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rPr>
          <w:caps/>
        </w:rPr>
        <w:id w:val="30091833"/>
        <w:lock w:val="contentLocked"/>
        <w:placeholder>
          <w:docPart w:val="A81F602006EA4C16A9F3206BB0D96450"/>
        </w:placeholder>
        <w:group/>
      </w:sdtPr>
      <w:sdtEndPr/>
      <w:sdtContent>
        <w:p w14:paraId="1E385E28" w14:textId="77777777" w:rsidR="00A50007" w:rsidRPr="0008176F" w:rsidRDefault="0008176F" w:rsidP="0008176F">
          <w:pPr>
            <w:pStyle w:val="NoSpacing"/>
            <w:jc w:val="center"/>
            <w:rPr>
              <w:caps/>
            </w:rPr>
          </w:pPr>
          <w:r w:rsidRPr="0008176F">
            <w:rPr>
              <w:caps/>
            </w:rPr>
            <w:t>University of Oklahoma</w:t>
          </w:r>
        </w:p>
        <w:p w14:paraId="7380EEC8" w14:textId="77777777" w:rsidR="0008176F" w:rsidRPr="0008176F" w:rsidRDefault="0008176F" w:rsidP="0008176F">
          <w:pPr>
            <w:pStyle w:val="NoSpacing"/>
            <w:jc w:val="center"/>
            <w:rPr>
              <w:caps/>
            </w:rPr>
          </w:pPr>
        </w:p>
        <w:p w14:paraId="34556F16" w14:textId="77777777" w:rsidR="0008176F" w:rsidRPr="0008176F" w:rsidRDefault="0008176F" w:rsidP="0008176F">
          <w:pPr>
            <w:pStyle w:val="NoSpacing"/>
            <w:jc w:val="center"/>
            <w:rPr>
              <w:caps/>
            </w:rPr>
          </w:pPr>
          <w:r w:rsidRPr="0008176F">
            <w:rPr>
              <w:caps/>
            </w:rPr>
            <w:t>Graduate College</w:t>
          </w:r>
        </w:p>
      </w:sdtContent>
    </w:sdt>
    <w:p w14:paraId="4C935F5B" w14:textId="77777777" w:rsidR="0008176F" w:rsidRPr="0008176F" w:rsidRDefault="0008176F" w:rsidP="0008176F">
      <w:pPr>
        <w:pStyle w:val="NoSpacing"/>
        <w:jc w:val="center"/>
        <w:rPr>
          <w:caps/>
        </w:rPr>
      </w:pPr>
    </w:p>
    <w:p w14:paraId="4CBE0105" w14:textId="77777777" w:rsidR="0008176F" w:rsidRPr="0008176F" w:rsidRDefault="0008176F" w:rsidP="0008176F">
      <w:pPr>
        <w:pStyle w:val="NoSpacing"/>
        <w:jc w:val="center"/>
        <w:rPr>
          <w:caps/>
        </w:rPr>
      </w:pPr>
    </w:p>
    <w:p w14:paraId="303A0A4A" w14:textId="77777777" w:rsidR="0008176F" w:rsidRPr="0008176F" w:rsidRDefault="0008176F" w:rsidP="0008176F">
      <w:pPr>
        <w:pStyle w:val="NoSpacing"/>
        <w:jc w:val="center"/>
        <w:rPr>
          <w:caps/>
        </w:rPr>
      </w:pPr>
    </w:p>
    <w:p w14:paraId="3DA97AD2" w14:textId="77777777" w:rsidR="0008176F" w:rsidRPr="0008176F" w:rsidRDefault="0008176F" w:rsidP="0008176F">
      <w:pPr>
        <w:pStyle w:val="NoSpacing"/>
        <w:jc w:val="center"/>
        <w:rPr>
          <w:caps/>
        </w:rPr>
      </w:pPr>
    </w:p>
    <w:p w14:paraId="29D99E23" w14:textId="77777777" w:rsidR="0008176F" w:rsidRPr="0008176F" w:rsidRDefault="0008176F" w:rsidP="0008176F">
      <w:pPr>
        <w:pStyle w:val="NoSpacing"/>
        <w:jc w:val="center"/>
        <w:rPr>
          <w:caps/>
        </w:rPr>
      </w:pPr>
    </w:p>
    <w:p w14:paraId="1C946202" w14:textId="77777777" w:rsidR="0008176F" w:rsidRPr="0008176F" w:rsidRDefault="0008176F" w:rsidP="0008176F">
      <w:pPr>
        <w:pStyle w:val="NoSpacing"/>
        <w:jc w:val="center"/>
        <w:rPr>
          <w:caps/>
        </w:rPr>
      </w:pPr>
    </w:p>
    <w:p w14:paraId="0380B089" w14:textId="77777777"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EndPr>
        <w:rPr>
          <w:rFonts w:asciiTheme="majorHAnsi" w:hAnsiTheme="majorHAnsi" w:cstheme="majorHAnsi"/>
        </w:rPr>
      </w:sdtEndPr>
      <w:sdtContent>
        <w:p w14:paraId="7B012805" w14:textId="03EC7FE8" w:rsidR="0008176F" w:rsidRPr="009B01FF" w:rsidRDefault="009B01FF" w:rsidP="0008176F">
          <w:pPr>
            <w:pStyle w:val="NoSpacing"/>
            <w:spacing w:line="480" w:lineRule="auto"/>
            <w:jc w:val="center"/>
            <w:rPr>
              <w:rFonts w:asciiTheme="majorHAnsi" w:hAnsiTheme="majorHAnsi" w:cstheme="majorHAnsi"/>
              <w:caps/>
            </w:rPr>
          </w:pPr>
          <w:r w:rsidRPr="009B01FF">
            <w:rPr>
              <w:rFonts w:asciiTheme="majorHAnsi" w:hAnsiTheme="majorHAnsi" w:cstheme="majorHAnsi"/>
            </w:rPr>
            <w:t>INTRA-COLONIAL SPACES: DESIRE AN</w:t>
          </w:r>
          <w:r w:rsidR="003E7E77">
            <w:rPr>
              <w:rFonts w:asciiTheme="majorHAnsi" w:hAnsiTheme="majorHAnsi" w:cstheme="majorHAnsi"/>
            </w:rPr>
            <w:t xml:space="preserve">D DISPLACEMENT IN IMAGES OF </w:t>
          </w:r>
          <w:r w:rsidRPr="009B01FF">
            <w:rPr>
              <w:rFonts w:asciiTheme="majorHAnsi" w:hAnsiTheme="majorHAnsi" w:cstheme="majorHAnsi"/>
            </w:rPr>
            <w:t xml:space="preserve">INDIAN TERRITORY, </w:t>
          </w:r>
          <w:r w:rsidR="00F67964" w:rsidRPr="009B01FF">
            <w:rPr>
              <w:rFonts w:asciiTheme="majorHAnsi" w:hAnsiTheme="majorHAnsi" w:cstheme="majorHAnsi"/>
            </w:rPr>
            <w:t>THE HAWA’IAN ISLANDS,</w:t>
          </w:r>
          <w:r w:rsidR="00F67964">
            <w:rPr>
              <w:rFonts w:asciiTheme="majorHAnsi" w:hAnsiTheme="majorHAnsi" w:cstheme="majorHAnsi"/>
            </w:rPr>
            <w:t xml:space="preserve"> AND </w:t>
          </w:r>
          <w:r w:rsidRPr="009B01FF">
            <w:rPr>
              <w:rFonts w:asciiTheme="majorHAnsi" w:hAnsiTheme="majorHAnsi" w:cstheme="majorHAnsi"/>
            </w:rPr>
            <w:t>NEW MEXICO TERRITORY, 1885-1920</w:t>
          </w:r>
        </w:p>
      </w:sdtContent>
    </w:sdt>
    <w:p w14:paraId="7669471E" w14:textId="77777777" w:rsidR="0008176F" w:rsidRPr="0008176F" w:rsidRDefault="0008176F" w:rsidP="0008176F">
      <w:pPr>
        <w:pStyle w:val="NoSpacing"/>
        <w:jc w:val="center"/>
        <w:rPr>
          <w:caps/>
        </w:rPr>
      </w:pPr>
    </w:p>
    <w:p w14:paraId="3FDA3B1E" w14:textId="77777777" w:rsidR="0008176F" w:rsidRPr="0008176F" w:rsidRDefault="0008176F" w:rsidP="0008176F">
      <w:pPr>
        <w:pStyle w:val="NoSpacing"/>
        <w:jc w:val="center"/>
        <w:rPr>
          <w:caps/>
        </w:rPr>
      </w:pPr>
    </w:p>
    <w:p w14:paraId="321AB30F" w14:textId="77777777" w:rsidR="0008176F" w:rsidRPr="0008176F" w:rsidRDefault="0008176F" w:rsidP="0008176F">
      <w:pPr>
        <w:pStyle w:val="NoSpacing"/>
        <w:jc w:val="center"/>
        <w:rPr>
          <w:caps/>
        </w:rPr>
      </w:pPr>
    </w:p>
    <w:p w14:paraId="45541307" w14:textId="77777777" w:rsidR="0008176F" w:rsidRPr="0008176F" w:rsidRDefault="0008176F" w:rsidP="0008176F">
      <w:pPr>
        <w:pStyle w:val="NoSpacing"/>
        <w:jc w:val="center"/>
        <w:rPr>
          <w:caps/>
        </w:rPr>
      </w:pPr>
    </w:p>
    <w:p w14:paraId="456ABF72" w14:textId="77777777" w:rsidR="0008176F" w:rsidRPr="0008176F" w:rsidRDefault="0008176F" w:rsidP="0008176F">
      <w:pPr>
        <w:pStyle w:val="NoSpacing"/>
        <w:jc w:val="center"/>
        <w:rPr>
          <w:caps/>
        </w:rPr>
      </w:pPr>
    </w:p>
    <w:p w14:paraId="2B3F5254" w14:textId="77777777" w:rsidR="0008176F" w:rsidRPr="0008176F" w:rsidRDefault="0008176F" w:rsidP="0008176F">
      <w:pPr>
        <w:pStyle w:val="NoSpacing"/>
        <w:jc w:val="center"/>
        <w:rPr>
          <w:caps/>
        </w:rPr>
      </w:pPr>
    </w:p>
    <w:p w14:paraId="37463928" w14:textId="479A7867" w:rsidR="0008176F" w:rsidRPr="0008176F" w:rsidRDefault="00B31D83" w:rsidP="0008176F">
      <w:pPr>
        <w:pStyle w:val="NoSpacing"/>
        <w:jc w:val="center"/>
        <w:rPr>
          <w:caps/>
        </w:rPr>
      </w:pPr>
      <w:sdt>
        <w:sdtPr>
          <w:rPr>
            <w:caps/>
          </w:rPr>
          <w:id w:val="11707817"/>
          <w:lock w:val="contentLocked"/>
          <w:placeholder>
            <w:docPart w:val="A81F602006EA4C16A9F3206BB0D96450"/>
          </w:placeholder>
          <w:group/>
        </w:sdtPr>
        <w:sdtEnd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42595">
            <w:rPr>
              <w:caps/>
            </w:rPr>
            <w:t>Dissertation</w:t>
          </w:r>
        </w:sdtContent>
      </w:sdt>
    </w:p>
    <w:p w14:paraId="1C0B88CD" w14:textId="77777777"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14:paraId="018BEF14" w14:textId="77777777" w:rsidR="0008176F" w:rsidRPr="0008176F" w:rsidRDefault="0008176F" w:rsidP="0008176F">
          <w:pPr>
            <w:pStyle w:val="NoSpacing"/>
            <w:jc w:val="center"/>
            <w:rPr>
              <w:caps/>
            </w:rPr>
          </w:pPr>
          <w:r w:rsidRPr="0008176F">
            <w:rPr>
              <w:caps/>
            </w:rPr>
            <w:t>submitted to the Graduate Faculty</w:t>
          </w:r>
        </w:p>
        <w:p w14:paraId="705F7421" w14:textId="77777777" w:rsidR="0008176F" w:rsidRDefault="0008176F" w:rsidP="0008176F">
          <w:pPr>
            <w:pStyle w:val="NoSpacing"/>
            <w:jc w:val="center"/>
          </w:pPr>
        </w:p>
        <w:p w14:paraId="18F71A17" w14:textId="77777777" w:rsidR="0008176F" w:rsidRDefault="0008176F" w:rsidP="0008176F">
          <w:pPr>
            <w:pStyle w:val="NoSpacing"/>
            <w:jc w:val="center"/>
          </w:pPr>
          <w:r>
            <w:t>in partial fulfillment of the requirements for the</w:t>
          </w:r>
        </w:p>
        <w:p w14:paraId="5AB0AC5C" w14:textId="77777777" w:rsidR="0008176F" w:rsidRDefault="0008176F" w:rsidP="0008176F">
          <w:pPr>
            <w:pStyle w:val="NoSpacing"/>
            <w:jc w:val="center"/>
          </w:pPr>
        </w:p>
        <w:p w14:paraId="46D1349E" w14:textId="77777777" w:rsidR="0008176F" w:rsidRDefault="0008176F" w:rsidP="0008176F">
          <w:pPr>
            <w:pStyle w:val="NoSpacing"/>
            <w:jc w:val="center"/>
          </w:pPr>
          <w:r>
            <w:t>Degree of</w:t>
          </w:r>
        </w:p>
      </w:sdtContent>
    </w:sdt>
    <w:p w14:paraId="62DC5A27" w14:textId="77777777"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EndPr/>
      <w:sdtContent>
        <w:p w14:paraId="3A7B7252" w14:textId="2B8D1D13" w:rsidR="00746E16" w:rsidRDefault="00942595" w:rsidP="00746E16">
          <w:pPr>
            <w:pStyle w:val="NoSpacing"/>
            <w:spacing w:line="480" w:lineRule="auto"/>
            <w:jc w:val="center"/>
            <w:rPr>
              <w:caps/>
            </w:rPr>
          </w:pPr>
          <w:r>
            <w:rPr>
              <w:caps/>
            </w:rPr>
            <w:t>Doctor of Philosophy</w:t>
          </w:r>
        </w:p>
      </w:sdtContent>
    </w:sdt>
    <w:p w14:paraId="2774A0DE" w14:textId="77777777" w:rsidR="00DD072F" w:rsidRDefault="00DD072F" w:rsidP="0008176F">
      <w:pPr>
        <w:pStyle w:val="NoSpacing"/>
        <w:jc w:val="center"/>
      </w:pPr>
    </w:p>
    <w:p w14:paraId="46E0E046" w14:textId="6EB2D8E8" w:rsidR="00DD072F" w:rsidRDefault="00DD072F" w:rsidP="0008176F">
      <w:pPr>
        <w:pStyle w:val="NoSpacing"/>
        <w:jc w:val="center"/>
      </w:pPr>
    </w:p>
    <w:p w14:paraId="5E383238" w14:textId="2CEB6496" w:rsidR="00DD072F" w:rsidRDefault="00DD072F" w:rsidP="0008176F">
      <w:pPr>
        <w:pStyle w:val="NoSpacing"/>
        <w:jc w:val="center"/>
      </w:pPr>
    </w:p>
    <w:p w14:paraId="5D7EAAF4" w14:textId="5F713206" w:rsidR="00DD072F" w:rsidRDefault="00DD072F" w:rsidP="0008176F">
      <w:pPr>
        <w:pStyle w:val="NoSpacing"/>
        <w:jc w:val="center"/>
      </w:pPr>
    </w:p>
    <w:p w14:paraId="1498F2CA" w14:textId="4AA6E45B" w:rsidR="00DD072F" w:rsidRDefault="00DD072F" w:rsidP="0008176F">
      <w:pPr>
        <w:pStyle w:val="NoSpacing"/>
        <w:jc w:val="center"/>
      </w:pPr>
    </w:p>
    <w:p w14:paraId="7F936101" w14:textId="77777777" w:rsidR="00DD072F" w:rsidRDefault="00DD072F" w:rsidP="0008176F">
      <w:pPr>
        <w:pStyle w:val="NoSpacing"/>
        <w:jc w:val="center"/>
      </w:pPr>
    </w:p>
    <w:p w14:paraId="07AC9DD6" w14:textId="77777777" w:rsidR="00730F0A" w:rsidRDefault="00730F0A" w:rsidP="0008176F">
      <w:pPr>
        <w:pStyle w:val="NoSpacing"/>
        <w:jc w:val="center"/>
      </w:pPr>
      <w:r>
        <w:t>By</w:t>
      </w:r>
    </w:p>
    <w:p w14:paraId="042FD03D" w14:textId="77777777"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EndPr/>
      <w:sdtContent>
        <w:p w14:paraId="395471E9" w14:textId="77777777" w:rsidR="00746E16" w:rsidRDefault="009B01FF" w:rsidP="00746E16">
          <w:pPr>
            <w:pStyle w:val="NoSpacing"/>
            <w:jc w:val="center"/>
            <w:rPr>
              <w:caps/>
            </w:rPr>
          </w:pPr>
          <w:r>
            <w:rPr>
              <w:caps/>
            </w:rPr>
            <w:t>JAMES FREDERICK PECK</w:t>
          </w:r>
        </w:p>
      </w:sdtContent>
    </w:sdt>
    <w:sdt>
      <w:sdtPr>
        <w:id w:val="30091838"/>
        <w:lock w:val="contentLocked"/>
        <w:placeholder>
          <w:docPart w:val="A81F602006EA4C16A9F3206BB0D96450"/>
        </w:placeholder>
        <w:group/>
      </w:sdtPr>
      <w:sdtEndPr/>
      <w:sdtContent>
        <w:p w14:paraId="77A2D426" w14:textId="77777777"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EndPr/>
      <w:sdtContent>
        <w:p w14:paraId="3CB1BB1A" w14:textId="1AAAF76B" w:rsidR="00730F0A" w:rsidRDefault="008A5026" w:rsidP="00730F0A">
          <w:pPr>
            <w:pStyle w:val="NoSpacing"/>
            <w:jc w:val="center"/>
          </w:pPr>
          <w:r>
            <w:t>2016</w:t>
          </w:r>
        </w:p>
      </w:sdtContent>
    </w:sdt>
    <w:p w14:paraId="0963B3AF" w14:textId="77777777" w:rsidR="00730F0A" w:rsidRDefault="00730F0A" w:rsidP="00730F0A">
      <w:pPr>
        <w:pStyle w:val="NoSpacing"/>
        <w:jc w:val="center"/>
      </w:pPr>
      <w:r>
        <w:br w:type="page"/>
      </w:r>
    </w:p>
    <w:p w14:paraId="50F0EEE1" w14:textId="77777777" w:rsidR="00730F0A" w:rsidRDefault="00730F0A" w:rsidP="00730F0A">
      <w:pPr>
        <w:pStyle w:val="NoSpacing"/>
        <w:jc w:val="center"/>
      </w:pPr>
    </w:p>
    <w:p w14:paraId="46091151" w14:textId="77777777" w:rsidR="00F93475" w:rsidRDefault="00F93475" w:rsidP="00730F0A">
      <w:pPr>
        <w:pStyle w:val="NoSpacing"/>
        <w:jc w:val="center"/>
      </w:pPr>
    </w:p>
    <w:p w14:paraId="64EA39A0" w14:textId="77777777" w:rsidR="00F93475" w:rsidRDefault="00F93475" w:rsidP="00730F0A">
      <w:pPr>
        <w:pStyle w:val="NoSpacing"/>
        <w:jc w:val="center"/>
      </w:pPr>
    </w:p>
    <w:p w14:paraId="08B189DE" w14:textId="77777777" w:rsidR="00730F0A" w:rsidRDefault="00730F0A" w:rsidP="00730F0A">
      <w:pPr>
        <w:pStyle w:val="NoSpacing"/>
        <w:jc w:val="center"/>
      </w:pPr>
    </w:p>
    <w:p w14:paraId="1E02BBDA" w14:textId="77777777"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EndPr/>
      <w:sdtContent>
        <w:sdt>
          <w:sdtPr>
            <w:rPr>
              <w:caps/>
            </w:rPr>
            <w:alias w:val="Click to enter dissertation title"/>
            <w:tag w:val="Click to enter dissertation title"/>
            <w:id w:val="1549108042"/>
            <w:placeholder>
              <w:docPart w:val="9E7D1B94AFC94594B6B7C266C4C0C19A"/>
            </w:placeholder>
          </w:sdtPr>
          <w:sdtEndPr>
            <w:rPr>
              <w:rFonts w:asciiTheme="majorHAnsi" w:hAnsiTheme="majorHAnsi" w:cstheme="majorHAnsi"/>
            </w:rPr>
          </w:sdtEndPr>
          <w:sdtContent>
            <w:sdt>
              <w:sdtPr>
                <w:rPr>
                  <w:caps/>
                </w:rPr>
                <w:alias w:val="Click to enter dissertation title"/>
                <w:tag w:val="Click to enter dissertation title"/>
                <w:id w:val="-1781560305"/>
                <w:placeholder>
                  <w:docPart w:val="94418BA48EA94A1CBBE6AF37D80B219D"/>
                </w:placeholder>
              </w:sdtPr>
              <w:sdtEndPr>
                <w:rPr>
                  <w:rFonts w:asciiTheme="majorHAnsi" w:hAnsiTheme="majorHAnsi" w:cstheme="majorHAnsi"/>
                </w:rPr>
              </w:sdtEndPr>
              <w:sdtContent>
                <w:p w14:paraId="69ED687E" w14:textId="26E8BEE1" w:rsidR="009B01FF" w:rsidRPr="00F67964" w:rsidRDefault="00F67964" w:rsidP="00B07232">
                  <w:pPr>
                    <w:pStyle w:val="NoSpacing"/>
                    <w:jc w:val="center"/>
                    <w:rPr>
                      <w:rFonts w:asciiTheme="majorHAnsi" w:hAnsiTheme="majorHAnsi" w:cstheme="majorHAnsi"/>
                      <w:caps/>
                      <w:szCs w:val="24"/>
                    </w:rPr>
                  </w:pPr>
                  <w:r w:rsidRPr="00B07232">
                    <w:t>INTRA-COLONIAL SPACES: DESIRE AND DISPLACEMENT IN IMAGES OF INDIAN TERRITORY, THE HAWA’IAN ISLANDS, AND NEW MEXICO TERRITORY, 1885-1920</w:t>
                  </w:r>
                </w:p>
              </w:sdtContent>
            </w:sdt>
          </w:sdtContent>
        </w:sdt>
        <w:p w14:paraId="53CEA2DB" w14:textId="77777777" w:rsidR="00730F0A" w:rsidRPr="00730F0A" w:rsidRDefault="00B31D83" w:rsidP="00730F0A">
          <w:pPr>
            <w:pStyle w:val="NoSpacing"/>
            <w:jc w:val="center"/>
            <w:rPr>
              <w:caps/>
            </w:rPr>
          </w:pPr>
        </w:p>
      </w:sdtContent>
    </w:sdt>
    <w:p w14:paraId="394A99C7" w14:textId="77777777" w:rsidR="00730F0A" w:rsidRPr="00730F0A" w:rsidRDefault="00730F0A" w:rsidP="00730F0A">
      <w:pPr>
        <w:pStyle w:val="NoSpacing"/>
        <w:jc w:val="center"/>
        <w:rPr>
          <w:caps/>
        </w:rPr>
      </w:pPr>
    </w:p>
    <w:p w14:paraId="7DFA488C" w14:textId="77777777" w:rsidR="00730F0A" w:rsidRPr="00730F0A" w:rsidRDefault="00730F0A" w:rsidP="00730F0A">
      <w:pPr>
        <w:pStyle w:val="NoSpacing"/>
        <w:jc w:val="center"/>
        <w:rPr>
          <w:caps/>
        </w:rPr>
      </w:pPr>
    </w:p>
    <w:p w14:paraId="05BE1A39" w14:textId="2B835950" w:rsidR="00730F0A" w:rsidRPr="00730F0A" w:rsidRDefault="00B31D83" w:rsidP="00730F0A">
      <w:pPr>
        <w:pStyle w:val="NoSpacing"/>
        <w:jc w:val="center"/>
        <w:rPr>
          <w:caps/>
        </w:rPr>
      </w:pPr>
      <w:sdt>
        <w:sdtPr>
          <w:rPr>
            <w:caps/>
          </w:rPr>
          <w:id w:val="11707828"/>
          <w:lock w:val="contentLocked"/>
          <w:placeholder>
            <w:docPart w:val="A81F602006EA4C16A9F3206BB0D96450"/>
          </w:placeholder>
          <w:group/>
        </w:sdtPr>
        <w:sdtEnd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EndPr/>
        <w:sdtContent>
          <w:r w:rsidR="00942595">
            <w:rPr>
              <w:caps/>
            </w:rPr>
            <w:t>Dissertation</w:t>
          </w:r>
        </w:sdtContent>
      </w:sdt>
      <w:sdt>
        <w:sdtPr>
          <w:rPr>
            <w:caps/>
          </w:rPr>
          <w:id w:val="11707829"/>
          <w:lock w:val="contentLocked"/>
          <w:placeholder>
            <w:docPart w:val="A81F602006EA4C16A9F3206BB0D96450"/>
          </w:placeholder>
          <w:group/>
        </w:sdtPr>
        <w:sdtEndPr/>
        <w:sdtContent>
          <w:r w:rsidR="00730F0A" w:rsidRPr="00730F0A">
            <w:rPr>
              <w:caps/>
            </w:rPr>
            <w:t xml:space="preserve"> approved for the</w:t>
          </w:r>
        </w:sdtContent>
      </w:sdt>
    </w:p>
    <w:p w14:paraId="6900BDD1" w14:textId="797BF7D1" w:rsidR="00746E16" w:rsidRDefault="00B07232" w:rsidP="00746E16">
      <w:pPr>
        <w:pStyle w:val="NoSpacing"/>
        <w:jc w:val="center"/>
        <w:rPr>
          <w:caps/>
        </w:rPr>
      </w:pPr>
      <w:r>
        <w:rPr>
          <w:caps/>
        </w:rPr>
        <w:t>SCHOOL OF VISUAL ARTS</w:t>
      </w:r>
    </w:p>
    <w:p w14:paraId="5C7EF535" w14:textId="77777777" w:rsidR="00730F0A" w:rsidRPr="00730F0A" w:rsidRDefault="00730F0A" w:rsidP="00730F0A">
      <w:pPr>
        <w:pStyle w:val="NoSpacing"/>
        <w:jc w:val="center"/>
        <w:rPr>
          <w:caps/>
        </w:rPr>
      </w:pPr>
    </w:p>
    <w:p w14:paraId="0D91DCE1" w14:textId="77777777" w:rsidR="00730F0A" w:rsidRPr="00730F0A" w:rsidRDefault="00730F0A" w:rsidP="00730F0A">
      <w:pPr>
        <w:pStyle w:val="NoSpacing"/>
        <w:jc w:val="center"/>
        <w:rPr>
          <w:caps/>
        </w:rPr>
      </w:pPr>
    </w:p>
    <w:p w14:paraId="2FD3696C" w14:textId="77777777" w:rsidR="00730F0A" w:rsidRPr="00730F0A" w:rsidRDefault="00730F0A" w:rsidP="00730F0A">
      <w:pPr>
        <w:pStyle w:val="NoSpacing"/>
        <w:jc w:val="center"/>
        <w:rPr>
          <w:caps/>
        </w:rPr>
      </w:pPr>
    </w:p>
    <w:p w14:paraId="5C802B3A" w14:textId="77777777" w:rsidR="00730F0A" w:rsidRDefault="00730F0A" w:rsidP="00730F0A">
      <w:pPr>
        <w:pStyle w:val="NoSpacing"/>
        <w:jc w:val="center"/>
        <w:rPr>
          <w:caps/>
        </w:rPr>
      </w:pPr>
    </w:p>
    <w:p w14:paraId="3C07257D" w14:textId="77777777" w:rsidR="00730F0A" w:rsidRPr="00730F0A" w:rsidRDefault="00730F0A" w:rsidP="00730F0A">
      <w:pPr>
        <w:pStyle w:val="NoSpacing"/>
        <w:jc w:val="center"/>
        <w:rPr>
          <w:caps/>
        </w:rPr>
      </w:pPr>
    </w:p>
    <w:p w14:paraId="29021245" w14:textId="77777777"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EndPr/>
      <w:sdtContent>
        <w:p w14:paraId="4F839956" w14:textId="77777777" w:rsidR="00730F0A" w:rsidRPr="00730F0A" w:rsidRDefault="00730F0A" w:rsidP="00730F0A">
          <w:pPr>
            <w:pStyle w:val="NoSpacing"/>
            <w:jc w:val="center"/>
            <w:rPr>
              <w:caps/>
            </w:rPr>
          </w:pPr>
          <w:r w:rsidRPr="00730F0A">
            <w:rPr>
              <w:caps/>
            </w:rPr>
            <w:t>By</w:t>
          </w:r>
        </w:p>
      </w:sdtContent>
    </w:sdt>
    <w:p w14:paraId="069E61E5" w14:textId="77777777" w:rsidR="00730F0A" w:rsidRDefault="00730F0A" w:rsidP="00730F0A">
      <w:pPr>
        <w:pStyle w:val="NoSpacing"/>
        <w:jc w:val="center"/>
      </w:pPr>
    </w:p>
    <w:p w14:paraId="051E4604" w14:textId="77777777" w:rsidR="00730F0A" w:rsidRPr="006B4721" w:rsidRDefault="00730F0A" w:rsidP="00730F0A">
      <w:pPr>
        <w:pStyle w:val="NoSpacing"/>
        <w:jc w:val="right"/>
      </w:pPr>
      <w:r>
        <w:tab/>
      </w:r>
      <w:r>
        <w:tab/>
      </w:r>
      <w:r>
        <w:tab/>
      </w:r>
      <w:r>
        <w:tab/>
      </w:r>
      <w:r w:rsidR="006B4721">
        <w:t>______________________________</w:t>
      </w:r>
    </w:p>
    <w:p w14:paraId="7570C74A" w14:textId="77777777" w:rsidR="00730F0A" w:rsidRDefault="00B31D83" w:rsidP="00730F0A">
      <w:pPr>
        <w:pStyle w:val="NoSpacing"/>
        <w:jc w:val="right"/>
      </w:pPr>
      <w:sdt>
        <w:sdtPr>
          <w:id w:val="2462164"/>
          <w:lock w:val="contentLocked"/>
          <w:placeholder>
            <w:docPart w:val="A81F602006EA4C16A9F3206BB0D96450"/>
          </w:placeholder>
          <w:group/>
        </w:sdtPr>
        <w:sdtEndPr/>
        <w:sdtContent>
          <w:sdt>
            <w:sdtPr>
              <w:id w:val="11707793"/>
              <w:lock w:val="contentLocked"/>
              <w:placeholder>
                <w:docPart w:val="A81F602006EA4C16A9F3206BB0D96450"/>
              </w:placeholder>
              <w:group/>
            </w:sdtPr>
            <w:sdtEnd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EndPr/>
        <w:sdtContent>
          <w:r w:rsidR="009B01FF">
            <w:t>Kenneth Haltman</w:t>
          </w:r>
        </w:sdtContent>
      </w:sdt>
      <w:r w:rsidR="00730F0A">
        <w:t>, Chair</w:t>
      </w:r>
    </w:p>
    <w:p w14:paraId="029A58CC" w14:textId="77777777" w:rsidR="00730F0A" w:rsidRDefault="00730F0A" w:rsidP="00730F0A">
      <w:pPr>
        <w:pStyle w:val="NoSpacing"/>
        <w:jc w:val="right"/>
      </w:pPr>
    </w:p>
    <w:p w14:paraId="764D47C6" w14:textId="77777777" w:rsidR="00730F0A" w:rsidRDefault="00730F0A" w:rsidP="00730F0A">
      <w:pPr>
        <w:pStyle w:val="NoSpacing"/>
        <w:jc w:val="right"/>
      </w:pPr>
    </w:p>
    <w:p w14:paraId="0DC76395" w14:textId="77777777" w:rsidR="00730F0A" w:rsidRPr="006B4721" w:rsidRDefault="006B4721" w:rsidP="00730F0A">
      <w:pPr>
        <w:pStyle w:val="NoSpacing"/>
        <w:jc w:val="right"/>
      </w:pPr>
      <w:r>
        <w:t>______________________________</w:t>
      </w:r>
    </w:p>
    <w:p w14:paraId="3543FDDB" w14:textId="1B7520AB" w:rsidR="00730F0A" w:rsidRDefault="00B31D83"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EndPr/>
        <w:sdtContent>
          <w:r w:rsidR="00942595">
            <w:t>Dr.</w:t>
          </w:r>
        </w:sdtContent>
      </w:sdt>
      <w:r w:rsidR="00730F0A">
        <w:t xml:space="preserve"> </w:t>
      </w:r>
      <w:sdt>
        <w:sdtPr>
          <w:alias w:val="Click to enter 2nd member name"/>
          <w:tag w:val="2nd member"/>
          <w:id w:val="30091850"/>
          <w:lock w:val="sdtLocked"/>
          <w:placeholder>
            <w:docPart w:val="4E747200787E4E0C91EFDA8465C0B418"/>
          </w:placeholder>
        </w:sdtPr>
        <w:sdtEndPr/>
        <w:sdtContent>
          <w:r w:rsidR="002A5FFA" w:rsidRPr="00E84A75">
            <w:rPr>
              <w:color w:val="000000" w:themeColor="text1"/>
            </w:rPr>
            <w:t>Alison Fields</w:t>
          </w:r>
        </w:sdtContent>
      </w:sdt>
    </w:p>
    <w:p w14:paraId="0C6E9347" w14:textId="77777777" w:rsidR="00730F0A" w:rsidRDefault="00730F0A" w:rsidP="00730F0A">
      <w:pPr>
        <w:pStyle w:val="NoSpacing"/>
        <w:jc w:val="right"/>
      </w:pPr>
    </w:p>
    <w:p w14:paraId="0914C0AC" w14:textId="77777777" w:rsidR="00730F0A" w:rsidRDefault="00730F0A" w:rsidP="00730F0A">
      <w:pPr>
        <w:pStyle w:val="NoSpacing"/>
        <w:jc w:val="right"/>
      </w:pPr>
    </w:p>
    <w:p w14:paraId="7C302A99" w14:textId="77777777" w:rsidR="00730F0A" w:rsidRPr="006B4721" w:rsidRDefault="006B4721" w:rsidP="00730F0A">
      <w:pPr>
        <w:pStyle w:val="NoSpacing"/>
        <w:jc w:val="right"/>
      </w:pPr>
      <w:r>
        <w:t>______________________________</w:t>
      </w:r>
    </w:p>
    <w:p w14:paraId="5EDF1E8D" w14:textId="0D5238D8" w:rsidR="00730F0A" w:rsidRDefault="00B31D83"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EndPr/>
        <w:sdtContent>
          <w:r w:rsidR="00942595">
            <w:t>Mr.</w:t>
          </w:r>
        </w:sdtContent>
      </w:sdt>
      <w:r w:rsidR="00746E16">
        <w:t xml:space="preserve"> </w:t>
      </w:r>
      <w:sdt>
        <w:sdtPr>
          <w:alias w:val="Click to enter 3rd member name"/>
          <w:tag w:val="3rd member"/>
          <w:id w:val="30091852"/>
          <w:lock w:val="sdtLocked"/>
          <w:placeholder>
            <w:docPart w:val="91E92CC32A8647FC976FCB879BC11161"/>
          </w:placeholder>
        </w:sdtPr>
        <w:sdtEndPr/>
        <w:sdtContent>
          <w:r w:rsidR="009B01FF">
            <w:t>B. Byron Price</w:t>
          </w:r>
        </w:sdtContent>
      </w:sdt>
    </w:p>
    <w:p w14:paraId="30A3E183" w14:textId="77777777" w:rsidR="00730F0A" w:rsidRDefault="00730F0A" w:rsidP="00730F0A">
      <w:pPr>
        <w:pStyle w:val="NoSpacing"/>
        <w:jc w:val="right"/>
      </w:pPr>
    </w:p>
    <w:p w14:paraId="1A0F33B6" w14:textId="77777777" w:rsidR="00730F0A" w:rsidRDefault="00730F0A" w:rsidP="00730F0A">
      <w:pPr>
        <w:pStyle w:val="NoSpacing"/>
        <w:jc w:val="right"/>
      </w:pPr>
    </w:p>
    <w:p w14:paraId="543F8DC8" w14:textId="77777777" w:rsidR="00730F0A" w:rsidRPr="006B4721" w:rsidRDefault="006B4721" w:rsidP="00730F0A">
      <w:pPr>
        <w:pStyle w:val="NoSpacing"/>
        <w:jc w:val="right"/>
      </w:pPr>
      <w:r>
        <w:t>______________________________</w:t>
      </w:r>
    </w:p>
    <w:p w14:paraId="252F0222" w14:textId="5703A9A0" w:rsidR="00FF0F0F" w:rsidRDefault="00B31D83"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EndPr/>
        <w:sdtContent>
          <w:r w:rsidR="00942595">
            <w:t>Dr.</w:t>
          </w:r>
        </w:sdtContent>
      </w:sdt>
      <w:r w:rsidR="00730F0A">
        <w:t xml:space="preserve"> </w:t>
      </w:r>
      <w:sdt>
        <w:sdtPr>
          <w:alias w:val="Click to enter 4th member name"/>
          <w:tag w:val="4th member"/>
          <w:id w:val="30091855"/>
          <w:lock w:val="sdtLocked"/>
          <w:placeholder>
            <w:docPart w:val="CDE79C69F22A480D9D131BF115AF9F60"/>
          </w:placeholder>
        </w:sdtPr>
        <w:sdtEndPr/>
        <w:sdtContent>
          <w:r w:rsidR="002A5FFA" w:rsidRPr="00E84A75">
            <w:rPr>
              <w:color w:val="000000" w:themeColor="text1"/>
            </w:rPr>
            <w:t>W. Jackson Rushing III</w:t>
          </w:r>
        </w:sdtContent>
      </w:sdt>
    </w:p>
    <w:p w14:paraId="79A0A241" w14:textId="063EA11E" w:rsidR="00FF0F0F" w:rsidRDefault="00FF0F0F" w:rsidP="00FF0F0F">
      <w:pPr>
        <w:pStyle w:val="NoSpacing"/>
        <w:jc w:val="right"/>
      </w:pPr>
    </w:p>
    <w:p w14:paraId="2BB7B8C7" w14:textId="77777777" w:rsidR="008F1CB6" w:rsidRDefault="008F1CB6" w:rsidP="00FF0F0F">
      <w:pPr>
        <w:pStyle w:val="NoSpacing"/>
        <w:jc w:val="right"/>
      </w:pPr>
    </w:p>
    <w:p w14:paraId="227D83BD" w14:textId="77777777" w:rsidR="00FF0F0F" w:rsidRPr="006B4721" w:rsidRDefault="006B4721" w:rsidP="00FF0F0F">
      <w:pPr>
        <w:pStyle w:val="NoSpacing"/>
        <w:jc w:val="right"/>
      </w:pPr>
      <w:r>
        <w:t>______________________________</w:t>
      </w:r>
    </w:p>
    <w:p w14:paraId="4433A155" w14:textId="703728D6" w:rsidR="00FF0F0F" w:rsidRDefault="00B31D83" w:rsidP="00FF0F0F">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EndPr/>
        <w:sdtContent>
          <w:r w:rsidR="00942595">
            <w:t>Dr.</w:t>
          </w:r>
        </w:sdtContent>
      </w:sdt>
      <w:r w:rsidR="00FF0F0F">
        <w:t xml:space="preserve"> </w:t>
      </w:r>
      <w:sdt>
        <w:sdtPr>
          <w:alias w:val="Click to enter 5th member name"/>
          <w:tag w:val="5th member"/>
          <w:id w:val="11707804"/>
          <w:lock w:val="sdtLocked"/>
          <w:placeholder>
            <w:docPart w:val="7EC8D7C93170496D8C44606F111D3434"/>
          </w:placeholder>
        </w:sdtPr>
        <w:sdtEndPr/>
        <w:sdtContent>
          <w:r w:rsidR="00B26B85">
            <w:t>Warren Metcalf</w:t>
          </w:r>
        </w:sdtContent>
      </w:sdt>
    </w:p>
    <w:p w14:paraId="34063D4D" w14:textId="65DCC065" w:rsidR="008F1CB6" w:rsidRDefault="008F1CB6" w:rsidP="00174B20">
      <w:pPr>
        <w:spacing w:line="240" w:lineRule="auto"/>
        <w:jc w:val="right"/>
      </w:pPr>
    </w:p>
    <w:p w14:paraId="60CDC106" w14:textId="77777777" w:rsidR="008F1CB6" w:rsidRDefault="008F1CB6" w:rsidP="00174B20">
      <w:pPr>
        <w:spacing w:line="240" w:lineRule="auto"/>
        <w:jc w:val="right"/>
      </w:pPr>
    </w:p>
    <w:p w14:paraId="60E28D19" w14:textId="77777777" w:rsidR="008F1CB6" w:rsidRPr="006B4721" w:rsidRDefault="008F1CB6" w:rsidP="008F1CB6">
      <w:pPr>
        <w:pStyle w:val="NoSpacing"/>
        <w:jc w:val="right"/>
      </w:pPr>
      <w:r>
        <w:t>______________________________</w:t>
      </w:r>
    </w:p>
    <w:p w14:paraId="6E4BDC55" w14:textId="3800A21D" w:rsidR="008F1CB6" w:rsidRDefault="00B31D83" w:rsidP="008F1CB6">
      <w:pPr>
        <w:pStyle w:val="NoSpacing"/>
        <w:jc w:val="right"/>
      </w:pPr>
      <w:sdt>
        <w:sdtPr>
          <w:alias w:val="Select the appropriate prefix"/>
          <w:tag w:val="Prefix"/>
          <w:id w:val="-1583600636"/>
          <w:placeholder>
            <w:docPart w:val="13C83B1409914CFEBB04DBFCBF7523D3"/>
          </w:placeholder>
          <w:dropDownList>
            <w:listItem w:displayText="[Prefix]" w:value="[Prefix]"/>
            <w:listItem w:displayText="Dr." w:value="Dr."/>
            <w:listItem w:displayText="Mr." w:value="Mr."/>
            <w:listItem w:displayText="Mrs." w:value="Mrs."/>
            <w:listItem w:displayText="Ms." w:value="Ms."/>
          </w:dropDownList>
        </w:sdtPr>
        <w:sdtEndPr/>
        <w:sdtContent>
          <w:r w:rsidR="008F1CB6">
            <w:t>Dr.</w:t>
          </w:r>
        </w:sdtContent>
      </w:sdt>
      <w:r w:rsidR="008F1CB6">
        <w:t xml:space="preserve"> </w:t>
      </w:r>
      <w:sdt>
        <w:sdtPr>
          <w:alias w:val="Click to enter 5th member name"/>
          <w:tag w:val="5th member"/>
          <w:id w:val="-236869169"/>
          <w:placeholder>
            <w:docPart w:val="C41C38CADBC44E47859276D52C657B2E"/>
          </w:placeholder>
        </w:sdtPr>
        <w:sdtEndPr/>
        <w:sdtContent>
          <w:r w:rsidR="008F1CB6">
            <w:t>Mary Jo Watson</w:t>
          </w:r>
        </w:sdtContent>
      </w:sdt>
    </w:p>
    <w:p w14:paraId="0BC11226" w14:textId="2C69693B" w:rsidR="00DD072F" w:rsidRDefault="008F1CB6" w:rsidP="008F1CB6">
      <w:pPr>
        <w:spacing w:line="240" w:lineRule="auto"/>
        <w:jc w:val="center"/>
        <w:rPr>
          <w:szCs w:val="32"/>
        </w:rPr>
      </w:pPr>
      <w:r>
        <w:t xml:space="preserve"> </w:t>
      </w:r>
      <w:r w:rsidR="00DD072F">
        <w:br w:type="page"/>
      </w:r>
    </w:p>
    <w:p w14:paraId="581D4ABB" w14:textId="77777777" w:rsidR="00730F0A" w:rsidRDefault="00730F0A" w:rsidP="00DD072F">
      <w:pPr>
        <w:pStyle w:val="NoSpacing"/>
        <w:jc w:val="center"/>
      </w:pPr>
    </w:p>
    <w:p w14:paraId="03BFC9F1" w14:textId="32D68A54" w:rsidR="00730F0A" w:rsidRDefault="00730F0A" w:rsidP="00DD072F">
      <w:pPr>
        <w:pStyle w:val="NoSpacing"/>
        <w:jc w:val="center"/>
      </w:pPr>
    </w:p>
    <w:p w14:paraId="6FB2C52A" w14:textId="77777777" w:rsidR="00730F0A" w:rsidRDefault="00730F0A" w:rsidP="00730F0A">
      <w:pPr>
        <w:pStyle w:val="NoSpacing"/>
        <w:jc w:val="center"/>
      </w:pPr>
    </w:p>
    <w:p w14:paraId="3842D950" w14:textId="77777777" w:rsidR="00730F0A" w:rsidRDefault="00730F0A" w:rsidP="00730F0A">
      <w:pPr>
        <w:pStyle w:val="NoSpacing"/>
        <w:jc w:val="center"/>
      </w:pPr>
    </w:p>
    <w:p w14:paraId="7797B20B" w14:textId="77777777" w:rsidR="00730F0A" w:rsidRDefault="00730F0A" w:rsidP="00730F0A">
      <w:pPr>
        <w:pStyle w:val="NoSpacing"/>
        <w:jc w:val="center"/>
      </w:pPr>
    </w:p>
    <w:p w14:paraId="119643FD" w14:textId="77777777" w:rsidR="00730F0A" w:rsidRDefault="00730F0A" w:rsidP="00730F0A">
      <w:pPr>
        <w:pStyle w:val="NoSpacing"/>
        <w:jc w:val="center"/>
      </w:pPr>
    </w:p>
    <w:p w14:paraId="4CBAFB47" w14:textId="77777777" w:rsidR="00730F0A" w:rsidRDefault="00730F0A" w:rsidP="00730F0A">
      <w:pPr>
        <w:pStyle w:val="NoSpacing"/>
        <w:jc w:val="center"/>
      </w:pPr>
    </w:p>
    <w:p w14:paraId="3C46BFBD" w14:textId="77777777" w:rsidR="00730F0A" w:rsidRDefault="00730F0A" w:rsidP="00730F0A">
      <w:pPr>
        <w:pStyle w:val="NoSpacing"/>
        <w:jc w:val="center"/>
      </w:pPr>
    </w:p>
    <w:p w14:paraId="0136938D" w14:textId="77777777" w:rsidR="00730F0A" w:rsidRDefault="00730F0A" w:rsidP="00730F0A">
      <w:pPr>
        <w:pStyle w:val="NoSpacing"/>
        <w:jc w:val="center"/>
      </w:pPr>
    </w:p>
    <w:p w14:paraId="25C72C31" w14:textId="77777777" w:rsidR="00730F0A" w:rsidRDefault="00730F0A" w:rsidP="00730F0A">
      <w:pPr>
        <w:pStyle w:val="NoSpacing"/>
        <w:jc w:val="center"/>
      </w:pPr>
    </w:p>
    <w:p w14:paraId="64F70E78" w14:textId="77777777" w:rsidR="00730F0A" w:rsidRDefault="00730F0A" w:rsidP="00730F0A">
      <w:pPr>
        <w:pStyle w:val="NoSpacing"/>
        <w:jc w:val="center"/>
      </w:pPr>
    </w:p>
    <w:p w14:paraId="74F2FF8C" w14:textId="77777777" w:rsidR="00730F0A" w:rsidRDefault="00730F0A" w:rsidP="00730F0A">
      <w:pPr>
        <w:pStyle w:val="NoSpacing"/>
        <w:jc w:val="center"/>
      </w:pPr>
    </w:p>
    <w:p w14:paraId="2942A03C" w14:textId="77777777" w:rsidR="00730F0A" w:rsidRDefault="00730F0A" w:rsidP="00730F0A">
      <w:pPr>
        <w:pStyle w:val="NoSpacing"/>
        <w:jc w:val="center"/>
      </w:pPr>
    </w:p>
    <w:p w14:paraId="7C09F9BB" w14:textId="77777777" w:rsidR="00730F0A" w:rsidRDefault="00730F0A" w:rsidP="00730F0A">
      <w:pPr>
        <w:pStyle w:val="NoSpacing"/>
        <w:jc w:val="center"/>
      </w:pPr>
    </w:p>
    <w:p w14:paraId="25BE7644" w14:textId="77777777" w:rsidR="00730F0A" w:rsidRDefault="00730F0A" w:rsidP="00730F0A">
      <w:pPr>
        <w:pStyle w:val="NoSpacing"/>
        <w:jc w:val="center"/>
      </w:pPr>
    </w:p>
    <w:p w14:paraId="16CBE7F2" w14:textId="77777777" w:rsidR="00730F0A" w:rsidRDefault="00730F0A" w:rsidP="00730F0A">
      <w:pPr>
        <w:pStyle w:val="NoSpacing"/>
        <w:jc w:val="center"/>
      </w:pPr>
    </w:p>
    <w:p w14:paraId="278DEF34" w14:textId="77777777" w:rsidR="00730F0A" w:rsidRDefault="00730F0A" w:rsidP="00730F0A">
      <w:pPr>
        <w:pStyle w:val="NoSpacing"/>
        <w:jc w:val="center"/>
      </w:pPr>
    </w:p>
    <w:p w14:paraId="0B1E71E4" w14:textId="77777777" w:rsidR="00730F0A" w:rsidRDefault="00730F0A" w:rsidP="00730F0A">
      <w:pPr>
        <w:pStyle w:val="NoSpacing"/>
        <w:jc w:val="center"/>
      </w:pPr>
    </w:p>
    <w:p w14:paraId="2A03DCB2" w14:textId="77777777" w:rsidR="00730F0A" w:rsidRDefault="00730F0A" w:rsidP="00730F0A">
      <w:pPr>
        <w:pStyle w:val="NoSpacing"/>
        <w:jc w:val="center"/>
      </w:pPr>
    </w:p>
    <w:p w14:paraId="71365A39" w14:textId="77777777" w:rsidR="00730F0A" w:rsidRDefault="00730F0A" w:rsidP="00730F0A">
      <w:pPr>
        <w:pStyle w:val="NoSpacing"/>
        <w:jc w:val="center"/>
      </w:pPr>
    </w:p>
    <w:p w14:paraId="4D303A70" w14:textId="77777777" w:rsidR="00730F0A" w:rsidRDefault="00730F0A" w:rsidP="00730F0A">
      <w:pPr>
        <w:pStyle w:val="NoSpacing"/>
        <w:jc w:val="center"/>
      </w:pPr>
    </w:p>
    <w:p w14:paraId="4E3EACBC" w14:textId="77777777" w:rsidR="00730F0A" w:rsidRDefault="00730F0A" w:rsidP="00730F0A">
      <w:pPr>
        <w:pStyle w:val="NoSpacing"/>
        <w:jc w:val="center"/>
      </w:pPr>
    </w:p>
    <w:p w14:paraId="55757E2A" w14:textId="77777777" w:rsidR="00730F0A" w:rsidRDefault="00730F0A" w:rsidP="00730F0A">
      <w:pPr>
        <w:pStyle w:val="NoSpacing"/>
        <w:jc w:val="center"/>
      </w:pPr>
    </w:p>
    <w:p w14:paraId="1775F13E" w14:textId="77777777" w:rsidR="00730F0A" w:rsidRDefault="00730F0A" w:rsidP="00730F0A">
      <w:pPr>
        <w:pStyle w:val="NoSpacing"/>
        <w:jc w:val="center"/>
      </w:pPr>
    </w:p>
    <w:p w14:paraId="22B4A527" w14:textId="77777777" w:rsidR="00730F0A" w:rsidRDefault="00730F0A" w:rsidP="00730F0A">
      <w:pPr>
        <w:pStyle w:val="NoSpacing"/>
        <w:jc w:val="center"/>
      </w:pPr>
    </w:p>
    <w:p w14:paraId="0730838A" w14:textId="77777777" w:rsidR="00730F0A" w:rsidRDefault="00730F0A" w:rsidP="00730F0A">
      <w:pPr>
        <w:pStyle w:val="NoSpacing"/>
        <w:jc w:val="center"/>
      </w:pPr>
    </w:p>
    <w:p w14:paraId="6B330BB7" w14:textId="77777777" w:rsidR="00730F0A" w:rsidRDefault="00730F0A" w:rsidP="00730F0A">
      <w:pPr>
        <w:pStyle w:val="NoSpacing"/>
        <w:jc w:val="center"/>
      </w:pPr>
    </w:p>
    <w:p w14:paraId="2055495E" w14:textId="77777777" w:rsidR="00730F0A" w:rsidRDefault="00730F0A" w:rsidP="00730F0A">
      <w:pPr>
        <w:pStyle w:val="NoSpacing"/>
        <w:jc w:val="center"/>
      </w:pPr>
    </w:p>
    <w:p w14:paraId="02EC658E" w14:textId="77777777" w:rsidR="00730F0A" w:rsidRDefault="00730F0A" w:rsidP="00730F0A">
      <w:pPr>
        <w:pStyle w:val="NoSpacing"/>
        <w:jc w:val="center"/>
      </w:pPr>
    </w:p>
    <w:p w14:paraId="4200BA39" w14:textId="77777777" w:rsidR="00730F0A" w:rsidRDefault="00730F0A" w:rsidP="00730F0A">
      <w:pPr>
        <w:pStyle w:val="NoSpacing"/>
        <w:jc w:val="center"/>
      </w:pPr>
    </w:p>
    <w:p w14:paraId="30F4FB0C" w14:textId="77777777" w:rsidR="00730F0A" w:rsidRDefault="00730F0A" w:rsidP="00730F0A">
      <w:pPr>
        <w:pStyle w:val="NoSpacing"/>
        <w:jc w:val="center"/>
      </w:pPr>
    </w:p>
    <w:p w14:paraId="414FB9C6" w14:textId="77777777" w:rsidR="00730F0A" w:rsidRDefault="00730F0A" w:rsidP="00730F0A">
      <w:pPr>
        <w:pStyle w:val="NoSpacing"/>
        <w:jc w:val="center"/>
      </w:pPr>
    </w:p>
    <w:p w14:paraId="2A96C689" w14:textId="77777777" w:rsidR="00730F0A" w:rsidRDefault="00730F0A" w:rsidP="00730F0A">
      <w:pPr>
        <w:pStyle w:val="NoSpacing"/>
        <w:jc w:val="center"/>
      </w:pPr>
    </w:p>
    <w:p w14:paraId="754B34EE" w14:textId="77777777" w:rsidR="00730F0A" w:rsidRDefault="00730F0A" w:rsidP="00730F0A">
      <w:pPr>
        <w:pStyle w:val="NoSpacing"/>
        <w:jc w:val="center"/>
      </w:pPr>
    </w:p>
    <w:p w14:paraId="613A9362" w14:textId="77777777" w:rsidR="00730F0A" w:rsidRDefault="00730F0A" w:rsidP="00730F0A">
      <w:pPr>
        <w:pStyle w:val="NoSpacing"/>
        <w:jc w:val="center"/>
      </w:pPr>
    </w:p>
    <w:p w14:paraId="1F34F96F" w14:textId="77777777" w:rsidR="00730F0A" w:rsidRDefault="00730F0A" w:rsidP="00730F0A">
      <w:pPr>
        <w:pStyle w:val="NoSpacing"/>
        <w:jc w:val="center"/>
      </w:pPr>
    </w:p>
    <w:p w14:paraId="4E51E134" w14:textId="77777777" w:rsidR="00730F0A" w:rsidRDefault="00730F0A" w:rsidP="00730F0A">
      <w:pPr>
        <w:pStyle w:val="NoSpacing"/>
        <w:jc w:val="center"/>
      </w:pPr>
    </w:p>
    <w:p w14:paraId="3639657A" w14:textId="77777777" w:rsidR="00730F0A" w:rsidRDefault="00730F0A" w:rsidP="00730F0A">
      <w:pPr>
        <w:pStyle w:val="NoSpacing"/>
        <w:jc w:val="center"/>
      </w:pPr>
    </w:p>
    <w:p w14:paraId="52F6CE23" w14:textId="77777777" w:rsidR="00730F0A" w:rsidRDefault="00730F0A" w:rsidP="00730F0A">
      <w:pPr>
        <w:pStyle w:val="NoSpacing"/>
        <w:jc w:val="center"/>
      </w:pPr>
    </w:p>
    <w:p w14:paraId="614F063B" w14:textId="77777777" w:rsidR="00730F0A" w:rsidRDefault="00730F0A" w:rsidP="00730F0A">
      <w:pPr>
        <w:pStyle w:val="NoSpacing"/>
        <w:jc w:val="center"/>
      </w:pPr>
    </w:p>
    <w:p w14:paraId="2FAEE664" w14:textId="77777777" w:rsidR="00730F0A" w:rsidRDefault="00730F0A" w:rsidP="00730F0A">
      <w:pPr>
        <w:pStyle w:val="NoSpacing"/>
        <w:jc w:val="center"/>
      </w:pPr>
    </w:p>
    <w:p w14:paraId="63C965D0" w14:textId="77777777" w:rsidR="00730F0A" w:rsidRDefault="00730F0A" w:rsidP="00730F0A">
      <w:pPr>
        <w:pStyle w:val="NoSpacing"/>
        <w:jc w:val="center"/>
      </w:pPr>
    </w:p>
    <w:p w14:paraId="4053D473" w14:textId="77777777" w:rsidR="00730F0A" w:rsidRDefault="00730F0A" w:rsidP="00730F0A">
      <w:pPr>
        <w:pStyle w:val="NoSpacing"/>
        <w:jc w:val="center"/>
      </w:pPr>
    </w:p>
    <w:p w14:paraId="6B0A0B3A" w14:textId="77777777" w:rsidR="00730F0A" w:rsidRDefault="00730F0A" w:rsidP="00730F0A">
      <w:pPr>
        <w:pStyle w:val="NoSpacing"/>
        <w:jc w:val="center"/>
      </w:pPr>
    </w:p>
    <w:p w14:paraId="7B5DACE6" w14:textId="1735433A" w:rsidR="00730F0A" w:rsidRDefault="00B31D83" w:rsidP="00730F0A">
      <w:pPr>
        <w:pStyle w:val="NoSpacing"/>
        <w:jc w:val="center"/>
      </w:pPr>
      <w:sdt>
        <w:sdtPr>
          <w:id w:val="30091877"/>
          <w:lock w:val="contentLocked"/>
          <w:placeholder>
            <w:docPart w:val="A81F602006EA4C16A9F3206BB0D96450"/>
          </w:placeholder>
          <w:group/>
        </w:sdtPr>
        <w:sdtEnd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B26B85">
            <w:rPr>
              <w:caps/>
            </w:rPr>
            <w:t>JAMES FREDERICK PECK</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EndPr/>
        <w:sdtContent>
          <w:r w:rsidR="00937781">
            <w:t>2016</w:t>
          </w:r>
        </w:sdtContent>
      </w:sdt>
    </w:p>
    <w:p w14:paraId="53BEE512" w14:textId="77777777" w:rsidR="00730F0A" w:rsidRDefault="00730F0A" w:rsidP="00730F0A">
      <w:pPr>
        <w:pStyle w:val="NoSpacing"/>
        <w:jc w:val="center"/>
      </w:pPr>
      <w:r>
        <w:t>All Rights Reserved.</w:t>
      </w:r>
    </w:p>
    <w:p w14:paraId="16A5704C" w14:textId="061422CF" w:rsidR="007C2DB5" w:rsidRPr="007C2DB5" w:rsidRDefault="007C2DB5" w:rsidP="007C2DB5">
      <w:pPr>
        <w:jc w:val="center"/>
        <w:rPr>
          <w:sz w:val="28"/>
          <w:szCs w:val="28"/>
        </w:rPr>
      </w:pPr>
      <w:r w:rsidRPr="007C2DB5">
        <w:rPr>
          <w:sz w:val="28"/>
          <w:szCs w:val="28"/>
        </w:rPr>
        <w:lastRenderedPageBreak/>
        <w:t>Dedication</w:t>
      </w:r>
    </w:p>
    <w:p w14:paraId="3E80A513" w14:textId="55754704" w:rsidR="003E7E77" w:rsidRDefault="007C2DB5" w:rsidP="007C2DB5">
      <w:r>
        <w:t xml:space="preserve">I dedicate this dissertation to my late mother, Patricia Eileen (Hardie) Peck, who always believed in me; to my wife, Sydney Nicole Peck, who always supported me; and </w:t>
      </w:r>
      <w:r w:rsidR="00200966">
        <w:t xml:space="preserve">to </w:t>
      </w:r>
      <w:r>
        <w:t>my son, Alexander Walter Peck, who always laughed at my jokes.</w:t>
      </w:r>
      <w:r w:rsidR="00F3642D">
        <w:t xml:space="preserve"> There is no way this dissertation would have ever been completed without each and ev</w:t>
      </w:r>
      <w:r w:rsidR="00174B20">
        <w:t>ery one of you. I love you all.</w:t>
      </w:r>
    </w:p>
    <w:p w14:paraId="6A3B82C1" w14:textId="77777777" w:rsidR="003E7E77" w:rsidRDefault="003E7E77" w:rsidP="007C2DB5"/>
    <w:p w14:paraId="0B9817CF" w14:textId="6849973A" w:rsidR="00F3642D" w:rsidRPr="007C2DB5" w:rsidRDefault="00B1581C" w:rsidP="007C2DB5">
      <w:pPr>
        <w:rPr>
          <w:lang w:bidi="ar-SA"/>
        </w:rPr>
      </w:pPr>
      <w:r>
        <w:t>Miss you, mom.</w:t>
      </w:r>
    </w:p>
    <w:p w14:paraId="2EEB9F87" w14:textId="77777777" w:rsidR="007C2DB5" w:rsidRDefault="007C2DB5" w:rsidP="007C2DB5">
      <w:pPr>
        <w:pStyle w:val="MediumGrid21"/>
        <w:sectPr w:rsidR="007C2DB5" w:rsidSect="00E526D3">
          <w:footnotePr>
            <w:numRestart w:val="eachSect"/>
          </w:footnotePr>
          <w:endnotePr>
            <w:numFmt w:val="decimal"/>
          </w:endnotePr>
          <w:pgSz w:w="12240" w:h="15840" w:code="1"/>
          <w:pgMar w:top="1440" w:right="1440" w:bottom="1440" w:left="2304" w:header="720" w:footer="720" w:gutter="0"/>
          <w:pgNumType w:fmt="lowerRoman" w:start="1"/>
          <w:cols w:space="720"/>
          <w:docGrid w:linePitch="360"/>
        </w:sectPr>
      </w:pPr>
    </w:p>
    <w:p w14:paraId="15F576D1" w14:textId="2515A7DA" w:rsidR="007C2DB5" w:rsidRDefault="007C2DB5" w:rsidP="007C2DB5">
      <w:pPr>
        <w:pStyle w:val="MediumGrid21"/>
      </w:pPr>
    </w:p>
    <w:p w14:paraId="4AD51B81" w14:textId="6C8CFE60" w:rsidR="00017EAF" w:rsidRDefault="00017EAF" w:rsidP="007C2DB5">
      <w:pPr>
        <w:pStyle w:val="MediumGrid21"/>
      </w:pPr>
    </w:p>
    <w:p w14:paraId="780792E5" w14:textId="559B5C4B" w:rsidR="00017EAF" w:rsidRDefault="00017EAF" w:rsidP="007C2DB5">
      <w:pPr>
        <w:pStyle w:val="MediumGrid21"/>
      </w:pPr>
    </w:p>
    <w:p w14:paraId="443081E3" w14:textId="13F3B6BC" w:rsidR="00017EAF" w:rsidRDefault="00017EAF" w:rsidP="007C2DB5">
      <w:pPr>
        <w:pStyle w:val="MediumGrid21"/>
      </w:pPr>
    </w:p>
    <w:p w14:paraId="07B618E7" w14:textId="6FE5F7C8" w:rsidR="00017EAF" w:rsidRDefault="00017EAF" w:rsidP="007C2DB5">
      <w:pPr>
        <w:pStyle w:val="MediumGrid21"/>
      </w:pPr>
    </w:p>
    <w:p w14:paraId="645FB7C1" w14:textId="471949F2" w:rsidR="00017EAF" w:rsidRDefault="00017EAF" w:rsidP="007C2DB5">
      <w:pPr>
        <w:pStyle w:val="MediumGrid21"/>
      </w:pPr>
    </w:p>
    <w:p w14:paraId="303692CB" w14:textId="38AA5355" w:rsidR="00017EAF" w:rsidRDefault="00017EAF" w:rsidP="007C2DB5">
      <w:pPr>
        <w:pStyle w:val="MediumGrid21"/>
      </w:pPr>
    </w:p>
    <w:p w14:paraId="794BB8B2" w14:textId="68F9762E" w:rsidR="00017EAF" w:rsidRDefault="00017EAF" w:rsidP="007C2DB5">
      <w:pPr>
        <w:pStyle w:val="MediumGrid21"/>
      </w:pPr>
    </w:p>
    <w:p w14:paraId="4537A3BE" w14:textId="0291927C" w:rsidR="00017EAF" w:rsidRDefault="00017EAF" w:rsidP="007C2DB5">
      <w:pPr>
        <w:pStyle w:val="MediumGrid21"/>
      </w:pPr>
    </w:p>
    <w:p w14:paraId="25AD4616" w14:textId="036685D3" w:rsidR="00017EAF" w:rsidRDefault="00017EAF" w:rsidP="007C2DB5">
      <w:pPr>
        <w:pStyle w:val="MediumGrid21"/>
      </w:pPr>
    </w:p>
    <w:p w14:paraId="0F28B33E" w14:textId="2770FEDB" w:rsidR="00017EAF" w:rsidRDefault="00017EAF" w:rsidP="007C2DB5">
      <w:pPr>
        <w:pStyle w:val="MediumGrid21"/>
      </w:pPr>
    </w:p>
    <w:p w14:paraId="34EDED47" w14:textId="26B48ED7" w:rsidR="00017EAF" w:rsidRDefault="00017EAF" w:rsidP="007C2DB5">
      <w:pPr>
        <w:pStyle w:val="MediumGrid21"/>
      </w:pPr>
    </w:p>
    <w:p w14:paraId="77D8A3F8" w14:textId="4D176771" w:rsidR="00017EAF" w:rsidRDefault="00017EAF" w:rsidP="007C2DB5">
      <w:pPr>
        <w:pStyle w:val="MediumGrid21"/>
      </w:pPr>
    </w:p>
    <w:p w14:paraId="15E827C1" w14:textId="0649D874" w:rsidR="00017EAF" w:rsidRDefault="00017EAF" w:rsidP="007C2DB5">
      <w:pPr>
        <w:pStyle w:val="MediumGrid21"/>
      </w:pPr>
    </w:p>
    <w:p w14:paraId="5A019C9A" w14:textId="0AE19E35" w:rsidR="00017EAF" w:rsidRDefault="00017EAF" w:rsidP="007C2DB5">
      <w:pPr>
        <w:pStyle w:val="MediumGrid21"/>
      </w:pPr>
    </w:p>
    <w:p w14:paraId="0C7F1E11" w14:textId="2DE67A45" w:rsidR="00017EAF" w:rsidRDefault="00017EAF" w:rsidP="007C2DB5">
      <w:pPr>
        <w:pStyle w:val="MediumGrid21"/>
      </w:pPr>
    </w:p>
    <w:p w14:paraId="7DED81DA" w14:textId="4A78DD2C" w:rsidR="00017EAF" w:rsidRDefault="00017EAF" w:rsidP="007C2DB5">
      <w:pPr>
        <w:pStyle w:val="MediumGrid21"/>
      </w:pPr>
    </w:p>
    <w:p w14:paraId="19C9AE9D" w14:textId="21A88340" w:rsidR="00017EAF" w:rsidRDefault="00017EAF" w:rsidP="007C2DB5">
      <w:pPr>
        <w:pStyle w:val="MediumGrid21"/>
      </w:pPr>
    </w:p>
    <w:p w14:paraId="58BFFA27" w14:textId="57EC8415" w:rsidR="00017EAF" w:rsidRDefault="00017EAF" w:rsidP="007C2DB5">
      <w:pPr>
        <w:pStyle w:val="MediumGrid21"/>
      </w:pPr>
    </w:p>
    <w:p w14:paraId="2793F245" w14:textId="71C21655" w:rsidR="00017EAF" w:rsidRDefault="00017EAF" w:rsidP="007C2DB5">
      <w:pPr>
        <w:pStyle w:val="MediumGrid21"/>
      </w:pPr>
    </w:p>
    <w:p w14:paraId="3DDFAFD8" w14:textId="4969B9C6" w:rsidR="00017EAF" w:rsidRDefault="00017EAF" w:rsidP="007C2DB5">
      <w:pPr>
        <w:pStyle w:val="MediumGrid21"/>
      </w:pPr>
    </w:p>
    <w:p w14:paraId="7808C5A1" w14:textId="0392B67D" w:rsidR="00017EAF" w:rsidRDefault="00017EAF" w:rsidP="007C2DB5">
      <w:pPr>
        <w:pStyle w:val="MediumGrid21"/>
      </w:pPr>
    </w:p>
    <w:p w14:paraId="2E6F9CC6" w14:textId="1FD3C5DB" w:rsidR="00017EAF" w:rsidRDefault="00017EAF" w:rsidP="007C2DB5">
      <w:pPr>
        <w:pStyle w:val="MediumGrid21"/>
      </w:pPr>
    </w:p>
    <w:p w14:paraId="1A5A2852" w14:textId="2F86BC96" w:rsidR="00017EAF" w:rsidRDefault="00017EAF" w:rsidP="007C2DB5">
      <w:pPr>
        <w:pStyle w:val="MediumGrid21"/>
      </w:pPr>
    </w:p>
    <w:p w14:paraId="5EFD84AE" w14:textId="3ED7FE46" w:rsidR="00017EAF" w:rsidRDefault="00017EAF" w:rsidP="007C2DB5">
      <w:pPr>
        <w:pStyle w:val="MediumGrid21"/>
      </w:pPr>
    </w:p>
    <w:p w14:paraId="7F428EF4" w14:textId="37732A71" w:rsidR="00017EAF" w:rsidRDefault="00017EAF" w:rsidP="007C2DB5">
      <w:pPr>
        <w:pStyle w:val="MediumGrid21"/>
      </w:pPr>
    </w:p>
    <w:p w14:paraId="582FF802" w14:textId="434A3F17" w:rsidR="00017EAF" w:rsidRDefault="00017EAF" w:rsidP="007C2DB5">
      <w:pPr>
        <w:pStyle w:val="MediumGrid21"/>
      </w:pPr>
    </w:p>
    <w:p w14:paraId="12633172" w14:textId="026C9EF6" w:rsidR="00017EAF" w:rsidRDefault="00017EAF" w:rsidP="007C2DB5">
      <w:pPr>
        <w:pStyle w:val="MediumGrid21"/>
      </w:pPr>
    </w:p>
    <w:p w14:paraId="1C1AEDDB" w14:textId="50239DA9" w:rsidR="00017EAF" w:rsidRDefault="00017EAF" w:rsidP="007C2DB5">
      <w:pPr>
        <w:pStyle w:val="MediumGrid21"/>
      </w:pPr>
    </w:p>
    <w:p w14:paraId="6D86B17A" w14:textId="77777777" w:rsidR="008457EF" w:rsidRDefault="008457EF" w:rsidP="007C2DB5">
      <w:pPr>
        <w:pStyle w:val="MediumGrid21"/>
        <w:sectPr w:rsidR="008457EF" w:rsidSect="00B07232">
          <w:footerReference w:type="default" r:id="rId8"/>
          <w:footnotePr>
            <w:numRestart w:val="eachSect"/>
          </w:footnotePr>
          <w:endnotePr>
            <w:numFmt w:val="decimal"/>
          </w:endnotePr>
          <w:type w:val="continuous"/>
          <w:pgSz w:w="12240" w:h="15840" w:code="1"/>
          <w:pgMar w:top="1440" w:right="1440" w:bottom="1440" w:left="2304" w:header="720" w:footer="720" w:gutter="0"/>
          <w:pgNumType w:fmt="lowerRoman" w:start="4"/>
          <w:cols w:space="720"/>
          <w:docGrid w:linePitch="360"/>
        </w:sectPr>
      </w:pPr>
    </w:p>
    <w:p w14:paraId="2211E411" w14:textId="6F6CB667" w:rsidR="008A5026" w:rsidRDefault="007C2DB5" w:rsidP="00D33940">
      <w:pPr>
        <w:pStyle w:val="Heading1"/>
      </w:pPr>
      <w:bookmarkStart w:id="1" w:name="_Toc468379256"/>
      <w:r w:rsidRPr="007C2DB5">
        <w:t>Acknowledgments</w:t>
      </w:r>
      <w:bookmarkEnd w:id="1"/>
    </w:p>
    <w:p w14:paraId="389E6EC0" w14:textId="77777777" w:rsidR="00202848" w:rsidRPr="00202848" w:rsidRDefault="00202848" w:rsidP="00202848">
      <w:pPr>
        <w:rPr>
          <w:lang w:bidi="ar-SA"/>
        </w:rPr>
      </w:pPr>
    </w:p>
    <w:p w14:paraId="5C036F81" w14:textId="1310B9C6" w:rsidR="005020B0" w:rsidRDefault="00F3642D" w:rsidP="00710368">
      <w:pPr>
        <w:ind w:firstLine="720"/>
        <w:rPr>
          <w:lang w:bidi="ar-SA"/>
        </w:rPr>
      </w:pPr>
      <w:r>
        <w:rPr>
          <w:lang w:bidi="ar-SA"/>
        </w:rPr>
        <w:t xml:space="preserve">I would like to extend my sincere thanks to my dissertation chair, Kenneth </w:t>
      </w:r>
      <w:r w:rsidR="007C2DB5">
        <w:rPr>
          <w:lang w:bidi="ar-SA"/>
        </w:rPr>
        <w:t>Haltman</w:t>
      </w:r>
      <w:r>
        <w:rPr>
          <w:lang w:bidi="ar-SA"/>
        </w:rPr>
        <w:t xml:space="preserve">. You have always held me to the highest standards. </w:t>
      </w:r>
      <w:r w:rsidR="002129F2">
        <w:rPr>
          <w:lang w:bidi="ar-SA"/>
        </w:rPr>
        <w:t xml:space="preserve">If I did not always reach those standards, the fault lies with me. </w:t>
      </w:r>
      <w:r w:rsidR="005020B0">
        <w:rPr>
          <w:lang w:bidi="ar-SA"/>
        </w:rPr>
        <w:t xml:space="preserve">You taught me to </w:t>
      </w:r>
      <w:r>
        <w:rPr>
          <w:lang w:bidi="ar-SA"/>
        </w:rPr>
        <w:t xml:space="preserve">look more </w:t>
      </w:r>
      <w:r w:rsidR="005020B0">
        <w:rPr>
          <w:lang w:bidi="ar-SA"/>
        </w:rPr>
        <w:t>closely at art, to read text</w:t>
      </w:r>
      <w:r w:rsidR="00107D77">
        <w:rPr>
          <w:lang w:bidi="ar-SA"/>
        </w:rPr>
        <w:t>s</w:t>
      </w:r>
      <w:r w:rsidR="005020B0">
        <w:rPr>
          <w:lang w:bidi="ar-SA"/>
        </w:rPr>
        <w:t xml:space="preserve"> more carefully, </w:t>
      </w:r>
      <w:r w:rsidR="00107D77">
        <w:rPr>
          <w:lang w:bidi="ar-SA"/>
        </w:rPr>
        <w:t xml:space="preserve">and to write more thoughtfully </w:t>
      </w:r>
      <w:r w:rsidR="00174B20">
        <w:rPr>
          <w:lang w:bidi="ar-SA"/>
        </w:rPr>
        <w:t>- if not always more concisely.</w:t>
      </w:r>
    </w:p>
    <w:p w14:paraId="28054DCA" w14:textId="3A3AD77E" w:rsidR="00710368" w:rsidRDefault="00710368" w:rsidP="00710368">
      <w:pPr>
        <w:ind w:firstLine="720"/>
        <w:rPr>
          <w:lang w:bidi="ar-SA"/>
        </w:rPr>
      </w:pPr>
      <w:r>
        <w:rPr>
          <w:lang w:bidi="ar-SA"/>
        </w:rPr>
        <w:t>I would also like to thank</w:t>
      </w:r>
      <w:r w:rsidR="002129F2">
        <w:rPr>
          <w:lang w:bidi="ar-SA"/>
        </w:rPr>
        <w:t xml:space="preserve"> Jack Rushing, Byron Price, and Alison Fields for helping me mature as a scholar. Your stimulating classes, honest feedback, and demanding assignments made a world of difference.</w:t>
      </w:r>
      <w:r>
        <w:rPr>
          <w:lang w:bidi="ar-SA"/>
        </w:rPr>
        <w:t xml:space="preserve"> I hope you each recognize something of your te</w:t>
      </w:r>
      <w:r w:rsidR="00174B20">
        <w:rPr>
          <w:lang w:bidi="ar-SA"/>
        </w:rPr>
        <w:t>aching in the finished product.</w:t>
      </w:r>
    </w:p>
    <w:p w14:paraId="263182D3" w14:textId="3642F714" w:rsidR="00107D77" w:rsidRDefault="00710368" w:rsidP="00710368">
      <w:pPr>
        <w:ind w:firstLine="720"/>
        <w:rPr>
          <w:lang w:bidi="ar-SA"/>
        </w:rPr>
      </w:pPr>
      <w:r>
        <w:rPr>
          <w:lang w:bidi="ar-SA"/>
        </w:rPr>
        <w:t xml:space="preserve">Finally, </w:t>
      </w:r>
      <w:r w:rsidR="00200966">
        <w:rPr>
          <w:lang w:bidi="ar-SA"/>
        </w:rPr>
        <w:t xml:space="preserve">a great big </w:t>
      </w:r>
      <w:r>
        <w:rPr>
          <w:lang w:bidi="ar-SA"/>
        </w:rPr>
        <w:t>thank</w:t>
      </w:r>
      <w:r w:rsidR="00200966">
        <w:rPr>
          <w:lang w:bidi="ar-SA"/>
        </w:rPr>
        <w:t xml:space="preserve">s </w:t>
      </w:r>
      <w:r>
        <w:rPr>
          <w:lang w:bidi="ar-SA"/>
        </w:rPr>
        <w:t xml:space="preserve">to </w:t>
      </w:r>
      <w:r w:rsidR="00200966">
        <w:rPr>
          <w:lang w:bidi="ar-SA"/>
        </w:rPr>
        <w:t>all of my f</w:t>
      </w:r>
      <w:r w:rsidR="00107D77">
        <w:rPr>
          <w:lang w:bidi="ar-SA"/>
        </w:rPr>
        <w:t>riends, teachers</w:t>
      </w:r>
      <w:r w:rsidR="00200966">
        <w:rPr>
          <w:lang w:bidi="ar-SA"/>
        </w:rPr>
        <w:t xml:space="preserve">, relatives, </w:t>
      </w:r>
      <w:r w:rsidR="00107D77">
        <w:rPr>
          <w:lang w:bidi="ar-SA"/>
        </w:rPr>
        <w:t>and colleagues</w:t>
      </w:r>
      <w:r w:rsidR="00200966">
        <w:rPr>
          <w:lang w:bidi="ar-SA"/>
        </w:rPr>
        <w:t xml:space="preserve"> </w:t>
      </w:r>
      <w:r>
        <w:rPr>
          <w:lang w:bidi="ar-SA"/>
        </w:rPr>
        <w:t xml:space="preserve">who helped me get </w:t>
      </w:r>
      <w:r w:rsidR="00B1581C">
        <w:rPr>
          <w:lang w:bidi="ar-SA"/>
        </w:rPr>
        <w:t>here</w:t>
      </w:r>
      <w:r>
        <w:rPr>
          <w:lang w:bidi="ar-SA"/>
        </w:rPr>
        <w:t xml:space="preserve"> in the first place</w:t>
      </w:r>
      <w:r w:rsidR="00200966">
        <w:rPr>
          <w:lang w:bidi="ar-SA"/>
        </w:rPr>
        <w:t xml:space="preserve">. I wish I had space to name you all. What follows is a woefully incomplete list: </w:t>
      </w:r>
      <w:r>
        <w:rPr>
          <w:lang w:bidi="ar-SA"/>
        </w:rPr>
        <w:t xml:space="preserve">Jeanne Bishop, Brad Collins, Aaron De Groft, Brian Ferriso, </w:t>
      </w:r>
      <w:r w:rsidR="00F67964">
        <w:rPr>
          <w:lang w:bidi="ar-SA"/>
        </w:rPr>
        <w:t xml:space="preserve">Connie Ferrell, </w:t>
      </w:r>
      <w:r>
        <w:rPr>
          <w:lang w:bidi="ar-SA"/>
        </w:rPr>
        <w:t xml:space="preserve">Jack Freiberg, Charles Mack, </w:t>
      </w:r>
      <w:r w:rsidR="00F67964">
        <w:rPr>
          <w:lang w:bidi="ar-SA"/>
        </w:rPr>
        <w:t xml:space="preserve">Bill Peck, </w:t>
      </w:r>
      <w:r w:rsidR="00200966">
        <w:rPr>
          <w:lang w:bidi="ar-SA"/>
        </w:rPr>
        <w:t xml:space="preserve">Charles Peck, </w:t>
      </w:r>
      <w:r w:rsidR="00F67964">
        <w:rPr>
          <w:lang w:bidi="ar-SA"/>
        </w:rPr>
        <w:t xml:space="preserve">Steve Peck, </w:t>
      </w:r>
      <w:r w:rsidR="00200966">
        <w:rPr>
          <w:lang w:bidi="ar-SA"/>
        </w:rPr>
        <w:t xml:space="preserve">and </w:t>
      </w:r>
      <w:r w:rsidR="00107D77">
        <w:rPr>
          <w:lang w:bidi="ar-SA"/>
        </w:rPr>
        <w:t>Brian Sprague</w:t>
      </w:r>
      <w:r w:rsidR="00174B20">
        <w:rPr>
          <w:lang w:bidi="ar-SA"/>
        </w:rPr>
        <w:t>.</w:t>
      </w:r>
    </w:p>
    <w:p w14:paraId="2ABE1AF3" w14:textId="6011D344" w:rsidR="007C2DB5" w:rsidRPr="007C2DB5" w:rsidRDefault="007C2DB5" w:rsidP="00174B20">
      <w:pPr>
        <w:rPr>
          <w:lang w:bidi="ar-SA"/>
        </w:rPr>
      </w:pPr>
    </w:p>
    <w:p w14:paraId="6E9A4BA8" w14:textId="77777777" w:rsidR="00575851" w:rsidRDefault="00575851">
      <w:pPr>
        <w:spacing w:line="240" w:lineRule="auto"/>
        <w:rPr>
          <w:b/>
        </w:rPr>
      </w:pPr>
      <w:bookmarkStart w:id="2" w:name="_Toc462940476"/>
      <w:bookmarkStart w:id="3" w:name="_Toc315681313"/>
      <w:bookmarkStart w:id="4" w:name="_Toc310579464"/>
      <w:r>
        <w:rPr>
          <w:b/>
        </w:rPr>
        <w:br w:type="page"/>
      </w:r>
    </w:p>
    <w:bookmarkEnd w:id="4" w:displacedByCustomXml="next"/>
    <w:bookmarkEnd w:id="3" w:displacedByCustomXml="next"/>
    <w:bookmarkEnd w:id="2" w:displacedByCustomXml="next"/>
    <w:sdt>
      <w:sdtPr>
        <w:rPr>
          <w:b/>
        </w:rPr>
        <w:id w:val="-55477158"/>
        <w:docPartObj>
          <w:docPartGallery w:val="Table of Contents"/>
          <w:docPartUnique/>
        </w:docPartObj>
      </w:sdtPr>
      <w:sdtEndPr>
        <w:rPr>
          <w:bCs/>
          <w:noProof/>
        </w:rPr>
      </w:sdtEndPr>
      <w:sdtContent>
        <w:p w14:paraId="31138C50" w14:textId="0067DD5B" w:rsidR="005D06A6" w:rsidRPr="007C2DB5" w:rsidRDefault="00306827" w:rsidP="007C2DB5">
          <w:pPr>
            <w:jc w:val="center"/>
            <w:rPr>
              <w:b/>
              <w:sz w:val="28"/>
              <w:szCs w:val="28"/>
            </w:rPr>
          </w:pPr>
          <w:r w:rsidRPr="007C2DB5">
            <w:rPr>
              <w:b/>
              <w:sz w:val="28"/>
              <w:szCs w:val="28"/>
            </w:rPr>
            <w:t xml:space="preserve">Table of </w:t>
          </w:r>
          <w:r w:rsidR="005D06A6" w:rsidRPr="007C2DB5">
            <w:rPr>
              <w:b/>
              <w:sz w:val="28"/>
              <w:szCs w:val="28"/>
            </w:rPr>
            <w:t>Contents</w:t>
          </w:r>
        </w:p>
        <w:p w14:paraId="05250183" w14:textId="5EA9DC99" w:rsidR="009B1217" w:rsidRDefault="008D200D">
          <w:pPr>
            <w:pStyle w:val="TOC1"/>
            <w:rPr>
              <w:rFonts w:eastAsiaTheme="minorEastAsia" w:cstheme="minorBidi"/>
              <w:noProof/>
              <w:sz w:val="22"/>
              <w:szCs w:val="22"/>
              <w:lang w:bidi="ar-SA"/>
            </w:rPr>
          </w:pPr>
          <w:r>
            <w:fldChar w:fldCharType="begin"/>
          </w:r>
          <w:r>
            <w:instrText xml:space="preserve"> TOC \o "2-3" \h \z \t "Heading 1,1,Title,1" </w:instrText>
          </w:r>
          <w:r>
            <w:fldChar w:fldCharType="separate"/>
          </w:r>
          <w:hyperlink w:anchor="_Toc468379256" w:history="1">
            <w:r w:rsidR="009B1217" w:rsidRPr="00BC23D6">
              <w:rPr>
                <w:rStyle w:val="Hyperlink"/>
                <w:noProof/>
              </w:rPr>
              <w:t>Acknowledgments</w:t>
            </w:r>
            <w:r w:rsidR="009B1217">
              <w:rPr>
                <w:noProof/>
                <w:webHidden/>
              </w:rPr>
              <w:tab/>
            </w:r>
            <w:r w:rsidR="009B1217">
              <w:rPr>
                <w:noProof/>
                <w:webHidden/>
              </w:rPr>
              <w:fldChar w:fldCharType="begin"/>
            </w:r>
            <w:r w:rsidR="009B1217">
              <w:rPr>
                <w:noProof/>
                <w:webHidden/>
              </w:rPr>
              <w:instrText xml:space="preserve"> PAGEREF _Toc468379256 \h </w:instrText>
            </w:r>
            <w:r w:rsidR="009B1217">
              <w:rPr>
                <w:noProof/>
                <w:webHidden/>
              </w:rPr>
            </w:r>
            <w:r w:rsidR="009B1217">
              <w:rPr>
                <w:noProof/>
                <w:webHidden/>
              </w:rPr>
              <w:fldChar w:fldCharType="separate"/>
            </w:r>
            <w:r w:rsidR="00FE5897">
              <w:rPr>
                <w:noProof/>
                <w:webHidden/>
              </w:rPr>
              <w:t>iv</w:t>
            </w:r>
            <w:r w:rsidR="009B1217">
              <w:rPr>
                <w:noProof/>
                <w:webHidden/>
              </w:rPr>
              <w:fldChar w:fldCharType="end"/>
            </w:r>
          </w:hyperlink>
        </w:p>
        <w:p w14:paraId="77B7BF66" w14:textId="3D17E5B4" w:rsidR="009B1217" w:rsidRDefault="00B31D83">
          <w:pPr>
            <w:pStyle w:val="TOC1"/>
            <w:rPr>
              <w:rFonts w:eastAsiaTheme="minorEastAsia" w:cstheme="minorBidi"/>
              <w:noProof/>
              <w:sz w:val="22"/>
              <w:szCs w:val="22"/>
              <w:lang w:bidi="ar-SA"/>
            </w:rPr>
          </w:pPr>
          <w:hyperlink w:anchor="_Toc468379257" w:history="1">
            <w:r w:rsidR="009B1217" w:rsidRPr="00BC23D6">
              <w:rPr>
                <w:rStyle w:val="Hyperlink"/>
                <w:noProof/>
                <w:shd w:val="clear" w:color="auto" w:fill="FFFFFF"/>
              </w:rPr>
              <w:t>List of Figures</w:t>
            </w:r>
            <w:r w:rsidR="009B1217">
              <w:rPr>
                <w:noProof/>
                <w:webHidden/>
              </w:rPr>
              <w:tab/>
            </w:r>
            <w:r w:rsidR="009B1217">
              <w:rPr>
                <w:noProof/>
                <w:webHidden/>
              </w:rPr>
              <w:fldChar w:fldCharType="begin"/>
            </w:r>
            <w:r w:rsidR="009B1217">
              <w:rPr>
                <w:noProof/>
                <w:webHidden/>
              </w:rPr>
              <w:instrText xml:space="preserve"> PAGEREF _Toc468379257 \h </w:instrText>
            </w:r>
            <w:r w:rsidR="009B1217">
              <w:rPr>
                <w:noProof/>
                <w:webHidden/>
              </w:rPr>
            </w:r>
            <w:r w:rsidR="009B1217">
              <w:rPr>
                <w:noProof/>
                <w:webHidden/>
              </w:rPr>
              <w:fldChar w:fldCharType="separate"/>
            </w:r>
            <w:r w:rsidR="00FE5897">
              <w:rPr>
                <w:noProof/>
                <w:webHidden/>
              </w:rPr>
              <w:t>vi</w:t>
            </w:r>
            <w:r w:rsidR="009B1217">
              <w:rPr>
                <w:noProof/>
                <w:webHidden/>
              </w:rPr>
              <w:fldChar w:fldCharType="end"/>
            </w:r>
          </w:hyperlink>
        </w:p>
        <w:p w14:paraId="5F36B0D3" w14:textId="569C7529" w:rsidR="009B1217" w:rsidRDefault="00B31D83">
          <w:pPr>
            <w:pStyle w:val="TOC1"/>
            <w:rPr>
              <w:rFonts w:eastAsiaTheme="minorEastAsia" w:cstheme="minorBidi"/>
              <w:noProof/>
              <w:sz w:val="22"/>
              <w:szCs w:val="22"/>
              <w:lang w:bidi="ar-SA"/>
            </w:rPr>
          </w:pPr>
          <w:hyperlink w:anchor="_Toc468379258" w:history="1">
            <w:r w:rsidR="009B1217" w:rsidRPr="00BC23D6">
              <w:rPr>
                <w:rStyle w:val="Hyperlink"/>
                <w:noProof/>
              </w:rPr>
              <w:t>Abstract</w:t>
            </w:r>
            <w:r w:rsidR="009B1217">
              <w:rPr>
                <w:noProof/>
                <w:webHidden/>
              </w:rPr>
              <w:tab/>
            </w:r>
            <w:r w:rsidR="009B1217">
              <w:rPr>
                <w:noProof/>
                <w:webHidden/>
              </w:rPr>
              <w:fldChar w:fldCharType="begin"/>
            </w:r>
            <w:r w:rsidR="009B1217">
              <w:rPr>
                <w:noProof/>
                <w:webHidden/>
              </w:rPr>
              <w:instrText xml:space="preserve"> PAGEREF _Toc468379258 \h </w:instrText>
            </w:r>
            <w:r w:rsidR="009B1217">
              <w:rPr>
                <w:noProof/>
                <w:webHidden/>
              </w:rPr>
            </w:r>
            <w:r w:rsidR="009B1217">
              <w:rPr>
                <w:noProof/>
                <w:webHidden/>
              </w:rPr>
              <w:fldChar w:fldCharType="separate"/>
            </w:r>
            <w:r w:rsidR="00FE5897">
              <w:rPr>
                <w:noProof/>
                <w:webHidden/>
              </w:rPr>
              <w:t>ix</w:t>
            </w:r>
            <w:r w:rsidR="009B1217">
              <w:rPr>
                <w:noProof/>
                <w:webHidden/>
              </w:rPr>
              <w:fldChar w:fldCharType="end"/>
            </w:r>
          </w:hyperlink>
        </w:p>
        <w:p w14:paraId="502A89C2" w14:textId="10CE230B" w:rsidR="009B1217" w:rsidRDefault="00B31D83">
          <w:pPr>
            <w:pStyle w:val="TOC1"/>
            <w:rPr>
              <w:rFonts w:eastAsiaTheme="minorEastAsia" w:cstheme="minorBidi"/>
              <w:noProof/>
              <w:sz w:val="22"/>
              <w:szCs w:val="22"/>
              <w:lang w:bidi="ar-SA"/>
            </w:rPr>
          </w:pPr>
          <w:hyperlink w:anchor="_Toc468379259" w:history="1">
            <w:r w:rsidR="009B1217" w:rsidRPr="00BC23D6">
              <w:rPr>
                <w:rStyle w:val="Hyperlink"/>
                <w:noProof/>
              </w:rPr>
              <w:t>Chapter 1 – Introduction</w:t>
            </w:r>
            <w:r w:rsidR="009B1217">
              <w:rPr>
                <w:noProof/>
                <w:webHidden/>
              </w:rPr>
              <w:tab/>
            </w:r>
            <w:r w:rsidR="009B1217">
              <w:rPr>
                <w:noProof/>
                <w:webHidden/>
              </w:rPr>
              <w:fldChar w:fldCharType="begin"/>
            </w:r>
            <w:r w:rsidR="009B1217">
              <w:rPr>
                <w:noProof/>
                <w:webHidden/>
              </w:rPr>
              <w:instrText xml:space="preserve"> PAGEREF _Toc468379259 \h </w:instrText>
            </w:r>
            <w:r w:rsidR="009B1217">
              <w:rPr>
                <w:noProof/>
                <w:webHidden/>
              </w:rPr>
            </w:r>
            <w:r w:rsidR="009B1217">
              <w:rPr>
                <w:noProof/>
                <w:webHidden/>
              </w:rPr>
              <w:fldChar w:fldCharType="separate"/>
            </w:r>
            <w:r w:rsidR="00FE5897">
              <w:rPr>
                <w:noProof/>
                <w:webHidden/>
              </w:rPr>
              <w:t>1</w:t>
            </w:r>
            <w:r w:rsidR="009B1217">
              <w:rPr>
                <w:noProof/>
                <w:webHidden/>
              </w:rPr>
              <w:fldChar w:fldCharType="end"/>
            </w:r>
          </w:hyperlink>
        </w:p>
        <w:p w14:paraId="0AF3C207" w14:textId="0D8C9708" w:rsidR="009B1217" w:rsidRDefault="00B31D83">
          <w:pPr>
            <w:pStyle w:val="TOC1"/>
            <w:rPr>
              <w:rFonts w:eastAsiaTheme="minorEastAsia" w:cstheme="minorBidi"/>
              <w:noProof/>
              <w:sz w:val="22"/>
              <w:szCs w:val="22"/>
              <w:lang w:bidi="ar-SA"/>
            </w:rPr>
          </w:pPr>
          <w:hyperlink w:anchor="_Toc468379260" w:history="1">
            <w:r w:rsidR="009B1217" w:rsidRPr="00BC23D6">
              <w:rPr>
                <w:rStyle w:val="Hyperlink"/>
                <w:noProof/>
              </w:rPr>
              <w:t>Chapter 2 – Indian Territory: A Contested Space</w:t>
            </w:r>
            <w:r w:rsidR="009B1217">
              <w:rPr>
                <w:noProof/>
                <w:webHidden/>
              </w:rPr>
              <w:tab/>
            </w:r>
            <w:r w:rsidR="009B1217">
              <w:rPr>
                <w:noProof/>
                <w:webHidden/>
              </w:rPr>
              <w:fldChar w:fldCharType="begin"/>
            </w:r>
            <w:r w:rsidR="009B1217">
              <w:rPr>
                <w:noProof/>
                <w:webHidden/>
              </w:rPr>
              <w:instrText xml:space="preserve"> PAGEREF _Toc468379260 \h </w:instrText>
            </w:r>
            <w:r w:rsidR="009B1217">
              <w:rPr>
                <w:noProof/>
                <w:webHidden/>
              </w:rPr>
            </w:r>
            <w:r w:rsidR="009B1217">
              <w:rPr>
                <w:noProof/>
                <w:webHidden/>
              </w:rPr>
              <w:fldChar w:fldCharType="separate"/>
            </w:r>
            <w:r w:rsidR="00FE5897">
              <w:rPr>
                <w:noProof/>
                <w:webHidden/>
              </w:rPr>
              <w:t>15</w:t>
            </w:r>
            <w:r w:rsidR="009B1217">
              <w:rPr>
                <w:noProof/>
                <w:webHidden/>
              </w:rPr>
              <w:fldChar w:fldCharType="end"/>
            </w:r>
          </w:hyperlink>
        </w:p>
        <w:p w14:paraId="44674542" w14:textId="17BF178D" w:rsidR="009B1217" w:rsidRDefault="00B31D83">
          <w:pPr>
            <w:pStyle w:val="TOC1"/>
            <w:rPr>
              <w:rFonts w:eastAsiaTheme="minorEastAsia" w:cstheme="minorBidi"/>
              <w:noProof/>
              <w:sz w:val="22"/>
              <w:szCs w:val="22"/>
              <w:lang w:bidi="ar-SA"/>
            </w:rPr>
          </w:pPr>
          <w:hyperlink w:anchor="_Toc468379261" w:history="1">
            <w:r w:rsidR="009B1217" w:rsidRPr="00BC23D6">
              <w:rPr>
                <w:rStyle w:val="Hyperlink"/>
                <w:noProof/>
              </w:rPr>
              <w:t>Chapter 3- Kilauea Volcano: Colonial Desire and Displacement in Hawai’i</w:t>
            </w:r>
            <w:r w:rsidR="009B1217">
              <w:rPr>
                <w:noProof/>
                <w:webHidden/>
              </w:rPr>
              <w:tab/>
            </w:r>
            <w:r w:rsidR="009B1217">
              <w:rPr>
                <w:noProof/>
                <w:webHidden/>
              </w:rPr>
              <w:fldChar w:fldCharType="begin"/>
            </w:r>
            <w:r w:rsidR="009B1217">
              <w:rPr>
                <w:noProof/>
                <w:webHidden/>
              </w:rPr>
              <w:instrText xml:space="preserve"> PAGEREF _Toc468379261 \h </w:instrText>
            </w:r>
            <w:r w:rsidR="009B1217">
              <w:rPr>
                <w:noProof/>
                <w:webHidden/>
              </w:rPr>
            </w:r>
            <w:r w:rsidR="009B1217">
              <w:rPr>
                <w:noProof/>
                <w:webHidden/>
              </w:rPr>
              <w:fldChar w:fldCharType="separate"/>
            </w:r>
            <w:r w:rsidR="00FE5897">
              <w:rPr>
                <w:noProof/>
                <w:webHidden/>
              </w:rPr>
              <w:t>70</w:t>
            </w:r>
            <w:r w:rsidR="009B1217">
              <w:rPr>
                <w:noProof/>
                <w:webHidden/>
              </w:rPr>
              <w:fldChar w:fldCharType="end"/>
            </w:r>
          </w:hyperlink>
        </w:p>
        <w:p w14:paraId="48D8D017" w14:textId="603DDD0E" w:rsidR="009B1217" w:rsidRDefault="00B31D83">
          <w:pPr>
            <w:pStyle w:val="TOC1"/>
            <w:rPr>
              <w:rFonts w:eastAsiaTheme="minorEastAsia" w:cstheme="minorBidi"/>
              <w:noProof/>
              <w:sz w:val="22"/>
              <w:szCs w:val="22"/>
              <w:lang w:bidi="ar-SA"/>
            </w:rPr>
          </w:pPr>
          <w:hyperlink w:anchor="_Toc468379262" w:history="1">
            <w:r w:rsidR="009B1217" w:rsidRPr="00BC23D6">
              <w:rPr>
                <w:rStyle w:val="Hyperlink"/>
                <w:noProof/>
              </w:rPr>
              <w:t>Chapter 4 – Painting Indians: The Gaze and Pueblo Modernism</w:t>
            </w:r>
            <w:r w:rsidR="009B1217">
              <w:rPr>
                <w:noProof/>
                <w:webHidden/>
              </w:rPr>
              <w:tab/>
            </w:r>
            <w:r w:rsidR="009B1217">
              <w:rPr>
                <w:noProof/>
                <w:webHidden/>
              </w:rPr>
              <w:fldChar w:fldCharType="begin"/>
            </w:r>
            <w:r w:rsidR="009B1217">
              <w:rPr>
                <w:noProof/>
                <w:webHidden/>
              </w:rPr>
              <w:instrText xml:space="preserve"> PAGEREF _Toc468379262 \h </w:instrText>
            </w:r>
            <w:r w:rsidR="009B1217">
              <w:rPr>
                <w:noProof/>
                <w:webHidden/>
              </w:rPr>
            </w:r>
            <w:r w:rsidR="009B1217">
              <w:rPr>
                <w:noProof/>
                <w:webHidden/>
              </w:rPr>
              <w:fldChar w:fldCharType="separate"/>
            </w:r>
            <w:r w:rsidR="00FE5897">
              <w:rPr>
                <w:noProof/>
                <w:webHidden/>
              </w:rPr>
              <w:t>112</w:t>
            </w:r>
            <w:r w:rsidR="009B1217">
              <w:rPr>
                <w:noProof/>
                <w:webHidden/>
              </w:rPr>
              <w:fldChar w:fldCharType="end"/>
            </w:r>
          </w:hyperlink>
        </w:p>
        <w:p w14:paraId="40B3D766" w14:textId="4C368BDE" w:rsidR="009B1217" w:rsidRDefault="00B31D83">
          <w:pPr>
            <w:pStyle w:val="TOC1"/>
            <w:rPr>
              <w:rFonts w:eastAsiaTheme="minorEastAsia" w:cstheme="minorBidi"/>
              <w:noProof/>
              <w:sz w:val="22"/>
              <w:szCs w:val="22"/>
              <w:lang w:bidi="ar-SA"/>
            </w:rPr>
          </w:pPr>
          <w:hyperlink w:anchor="_Toc468379263" w:history="1">
            <w:r w:rsidR="009B1217" w:rsidRPr="00BC23D6">
              <w:rPr>
                <w:rStyle w:val="Hyperlink"/>
                <w:noProof/>
              </w:rPr>
              <w:t>Chapter 5 – Conclusion</w:t>
            </w:r>
            <w:r w:rsidR="009B1217">
              <w:rPr>
                <w:noProof/>
                <w:webHidden/>
              </w:rPr>
              <w:tab/>
            </w:r>
            <w:r w:rsidR="009B1217">
              <w:rPr>
                <w:noProof/>
                <w:webHidden/>
              </w:rPr>
              <w:fldChar w:fldCharType="begin"/>
            </w:r>
            <w:r w:rsidR="009B1217">
              <w:rPr>
                <w:noProof/>
                <w:webHidden/>
              </w:rPr>
              <w:instrText xml:space="preserve"> PAGEREF _Toc468379263 \h </w:instrText>
            </w:r>
            <w:r w:rsidR="009B1217">
              <w:rPr>
                <w:noProof/>
                <w:webHidden/>
              </w:rPr>
            </w:r>
            <w:r w:rsidR="009B1217">
              <w:rPr>
                <w:noProof/>
                <w:webHidden/>
              </w:rPr>
              <w:fldChar w:fldCharType="separate"/>
            </w:r>
            <w:r w:rsidR="00FE5897">
              <w:rPr>
                <w:noProof/>
                <w:webHidden/>
              </w:rPr>
              <w:t>174</w:t>
            </w:r>
            <w:r w:rsidR="009B1217">
              <w:rPr>
                <w:noProof/>
                <w:webHidden/>
              </w:rPr>
              <w:fldChar w:fldCharType="end"/>
            </w:r>
          </w:hyperlink>
        </w:p>
        <w:p w14:paraId="4E5B441D" w14:textId="222E6873" w:rsidR="009B1217" w:rsidRDefault="00B31D83" w:rsidP="009B1217">
          <w:pPr>
            <w:pStyle w:val="TOC2"/>
            <w:ind w:left="0" w:firstLine="0"/>
            <w:rPr>
              <w:rFonts w:eastAsiaTheme="minorEastAsia" w:cstheme="minorBidi"/>
              <w:noProof/>
              <w:sz w:val="22"/>
              <w:szCs w:val="22"/>
              <w:lang w:bidi="ar-SA"/>
            </w:rPr>
          </w:pPr>
          <w:hyperlink w:anchor="_Toc468379264" w:history="1">
            <w:r w:rsidR="009B1217" w:rsidRPr="00BC23D6">
              <w:rPr>
                <w:rStyle w:val="Hyperlink"/>
                <w:noProof/>
              </w:rPr>
              <w:t>Bibliography</w:t>
            </w:r>
            <w:r w:rsidR="009B1217">
              <w:rPr>
                <w:noProof/>
                <w:webHidden/>
              </w:rPr>
              <w:tab/>
            </w:r>
            <w:r w:rsidR="009B1217">
              <w:rPr>
                <w:noProof/>
                <w:webHidden/>
              </w:rPr>
              <w:fldChar w:fldCharType="begin"/>
            </w:r>
            <w:r w:rsidR="009B1217">
              <w:rPr>
                <w:noProof/>
                <w:webHidden/>
              </w:rPr>
              <w:instrText xml:space="preserve"> PAGEREF _Toc468379264 \h </w:instrText>
            </w:r>
            <w:r w:rsidR="009B1217">
              <w:rPr>
                <w:noProof/>
                <w:webHidden/>
              </w:rPr>
            </w:r>
            <w:r w:rsidR="009B1217">
              <w:rPr>
                <w:noProof/>
                <w:webHidden/>
              </w:rPr>
              <w:fldChar w:fldCharType="separate"/>
            </w:r>
            <w:r w:rsidR="00FE5897">
              <w:rPr>
                <w:noProof/>
                <w:webHidden/>
              </w:rPr>
              <w:t>177</w:t>
            </w:r>
            <w:r w:rsidR="009B1217">
              <w:rPr>
                <w:noProof/>
                <w:webHidden/>
              </w:rPr>
              <w:fldChar w:fldCharType="end"/>
            </w:r>
          </w:hyperlink>
        </w:p>
        <w:p w14:paraId="55FAB97F" w14:textId="1DACB192" w:rsidR="005D06A6" w:rsidRDefault="008D200D">
          <w:r>
            <w:fldChar w:fldCharType="end"/>
          </w:r>
        </w:p>
      </w:sdtContent>
    </w:sdt>
    <w:p w14:paraId="5D7E822C" w14:textId="031AAAB5" w:rsidR="005D06A6" w:rsidRPr="00E526D3" w:rsidRDefault="005D06A6" w:rsidP="00151CC9"/>
    <w:p w14:paraId="2E69D0B7" w14:textId="416C6678" w:rsidR="002955B5" w:rsidRPr="00E526D3" w:rsidRDefault="002955B5" w:rsidP="00151CC9">
      <w:bookmarkStart w:id="5" w:name="_Toc310579466"/>
      <w:bookmarkStart w:id="6" w:name="_Toc315681315"/>
    </w:p>
    <w:p w14:paraId="610FA4BD" w14:textId="61C3FF60" w:rsidR="008260C6" w:rsidRPr="00E526D3" w:rsidRDefault="008260C6" w:rsidP="00151CC9">
      <w:pPr>
        <w:rPr>
          <w:sz w:val="22"/>
          <w:szCs w:val="22"/>
        </w:rPr>
      </w:pPr>
    </w:p>
    <w:p w14:paraId="3728E6C2" w14:textId="37957F31" w:rsidR="008260C6" w:rsidRPr="00E526D3" w:rsidRDefault="008260C6" w:rsidP="00151CC9">
      <w:pPr>
        <w:rPr>
          <w:sz w:val="22"/>
          <w:szCs w:val="22"/>
        </w:rPr>
      </w:pPr>
    </w:p>
    <w:p w14:paraId="7D3D3F82" w14:textId="4A0414A5" w:rsidR="00ED73EA" w:rsidRDefault="00ED73EA">
      <w:pPr>
        <w:spacing w:line="240" w:lineRule="auto"/>
      </w:pPr>
      <w:r>
        <w:br w:type="page"/>
      </w:r>
    </w:p>
    <w:bookmarkStart w:id="7" w:name="_Toc462940477"/>
    <w:bookmarkStart w:id="8" w:name="_Toc468379257"/>
    <w:p w14:paraId="2C78BF05" w14:textId="3FDC7E07" w:rsidR="00DA1971" w:rsidRPr="00815A62" w:rsidRDefault="00B31D83" w:rsidP="00E526D3">
      <w:pPr>
        <w:jc w:val="center"/>
        <w:rPr>
          <w:b/>
        </w:rPr>
      </w:pPr>
      <w:sdt>
        <w:sdtPr>
          <w:rPr>
            <w:rStyle w:val="Heading1Char"/>
          </w:r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EndPr>
          <w:rPr>
            <w:rStyle w:val="Heading1Char"/>
          </w:rPr>
        </w:sdtEndPr>
        <w:sdtContent>
          <w:r w:rsidR="00942595" w:rsidRPr="00DD072F">
            <w:rPr>
              <w:rStyle w:val="Heading1Char"/>
            </w:rPr>
            <w:t>List of Figures</w:t>
          </w:r>
        </w:sdtContent>
      </w:sdt>
      <w:bookmarkEnd w:id="5"/>
      <w:bookmarkEnd w:id="6"/>
      <w:bookmarkEnd w:id="7"/>
      <w:bookmarkEnd w:id="8"/>
    </w:p>
    <w:p w14:paraId="25BA68FB" w14:textId="3784C094" w:rsidR="00F71CCD" w:rsidRDefault="00726B7A">
      <w:pPr>
        <w:pStyle w:val="TableofFigures"/>
        <w:tabs>
          <w:tab w:val="right" w:leader="dot" w:pos="8486"/>
        </w:tabs>
        <w:rPr>
          <w:rFonts w:eastAsiaTheme="minorEastAsia" w:cstheme="minorBidi"/>
          <w:noProof/>
          <w:sz w:val="22"/>
          <w:szCs w:val="22"/>
          <w:lang w:bidi="ar-SA"/>
        </w:rPr>
      </w:pPr>
      <w:r>
        <w:fldChar w:fldCharType="begin"/>
      </w:r>
      <w:r>
        <w:instrText xml:space="preserve"> TOC \h \z \c "Figure" </w:instrText>
      </w:r>
      <w:r>
        <w:fldChar w:fldCharType="separate"/>
      </w:r>
      <w:hyperlink w:anchor="_Toc464499069" w:history="1">
        <w:r w:rsidR="00F71CCD" w:rsidRPr="00E06584">
          <w:rPr>
            <w:rStyle w:val="Hyperlink"/>
            <w:noProof/>
          </w:rPr>
          <w:t xml:space="preserve">Figure 2.1 – </w:t>
        </w:r>
        <w:r w:rsidR="00F71CCD" w:rsidRPr="00E06584">
          <w:rPr>
            <w:rStyle w:val="Hyperlink"/>
            <w:i/>
            <w:noProof/>
          </w:rPr>
          <w:t xml:space="preserve">Scottish Ranch </w:t>
        </w:r>
        <w:r w:rsidR="00F71CCD" w:rsidRPr="00E06584">
          <w:rPr>
            <w:rStyle w:val="Hyperlink"/>
            <w:noProof/>
          </w:rPr>
          <w:t>and</w:t>
        </w:r>
        <w:r w:rsidR="00F71CCD" w:rsidRPr="00E06584">
          <w:rPr>
            <w:rStyle w:val="Hyperlink"/>
            <w:i/>
            <w:noProof/>
          </w:rPr>
          <w:t xml:space="preserve"> English Ranch</w:t>
        </w:r>
        <w:r w:rsidR="00F71CCD">
          <w:rPr>
            <w:noProof/>
            <w:webHidden/>
          </w:rPr>
          <w:tab/>
        </w:r>
        <w:r w:rsidR="00F71CCD">
          <w:rPr>
            <w:noProof/>
            <w:webHidden/>
          </w:rPr>
          <w:fldChar w:fldCharType="begin"/>
        </w:r>
        <w:r w:rsidR="00F71CCD">
          <w:rPr>
            <w:noProof/>
            <w:webHidden/>
          </w:rPr>
          <w:instrText xml:space="preserve"> PAGEREF _Toc464499069 \h </w:instrText>
        </w:r>
        <w:r w:rsidR="00F71CCD">
          <w:rPr>
            <w:noProof/>
            <w:webHidden/>
          </w:rPr>
        </w:r>
        <w:r w:rsidR="00F71CCD">
          <w:rPr>
            <w:noProof/>
            <w:webHidden/>
          </w:rPr>
          <w:fldChar w:fldCharType="separate"/>
        </w:r>
        <w:r w:rsidR="00FE5897">
          <w:rPr>
            <w:noProof/>
            <w:webHidden/>
          </w:rPr>
          <w:t>60</w:t>
        </w:r>
        <w:r w:rsidR="00F71CCD">
          <w:rPr>
            <w:noProof/>
            <w:webHidden/>
          </w:rPr>
          <w:fldChar w:fldCharType="end"/>
        </w:r>
      </w:hyperlink>
    </w:p>
    <w:p w14:paraId="7B5A2CE3" w14:textId="04410735" w:rsidR="00F71CCD" w:rsidRDefault="00B31D83">
      <w:pPr>
        <w:pStyle w:val="TableofFigures"/>
        <w:tabs>
          <w:tab w:val="right" w:leader="dot" w:pos="8486"/>
        </w:tabs>
        <w:rPr>
          <w:rFonts w:eastAsiaTheme="minorEastAsia" w:cstheme="minorBidi"/>
          <w:noProof/>
          <w:sz w:val="22"/>
          <w:szCs w:val="22"/>
          <w:lang w:bidi="ar-SA"/>
        </w:rPr>
      </w:pPr>
      <w:hyperlink w:anchor="_Toc464499070" w:history="1">
        <w:r w:rsidR="00F71CCD" w:rsidRPr="00E06584">
          <w:rPr>
            <w:rStyle w:val="Hyperlink"/>
            <w:noProof/>
          </w:rPr>
          <w:t xml:space="preserve">Figure 2.2 – Cover Illustration, </w:t>
        </w:r>
        <w:r w:rsidR="00F71CCD" w:rsidRPr="00E06584">
          <w:rPr>
            <w:rStyle w:val="Hyperlink"/>
            <w:i/>
            <w:noProof/>
          </w:rPr>
          <w:t>Oklahoma!</w:t>
        </w:r>
        <w:r w:rsidR="00F71CCD">
          <w:rPr>
            <w:noProof/>
            <w:webHidden/>
          </w:rPr>
          <w:tab/>
        </w:r>
        <w:r w:rsidR="00F71CCD">
          <w:rPr>
            <w:noProof/>
            <w:webHidden/>
          </w:rPr>
          <w:fldChar w:fldCharType="begin"/>
        </w:r>
        <w:r w:rsidR="00F71CCD">
          <w:rPr>
            <w:noProof/>
            <w:webHidden/>
          </w:rPr>
          <w:instrText xml:space="preserve"> PAGEREF _Toc464499070 \h </w:instrText>
        </w:r>
        <w:r w:rsidR="00F71CCD">
          <w:rPr>
            <w:noProof/>
            <w:webHidden/>
          </w:rPr>
        </w:r>
        <w:r w:rsidR="00F71CCD">
          <w:rPr>
            <w:noProof/>
            <w:webHidden/>
          </w:rPr>
          <w:fldChar w:fldCharType="separate"/>
        </w:r>
        <w:r w:rsidR="00FE5897">
          <w:rPr>
            <w:noProof/>
            <w:webHidden/>
          </w:rPr>
          <w:t>60</w:t>
        </w:r>
        <w:r w:rsidR="00F71CCD">
          <w:rPr>
            <w:noProof/>
            <w:webHidden/>
          </w:rPr>
          <w:fldChar w:fldCharType="end"/>
        </w:r>
      </w:hyperlink>
    </w:p>
    <w:p w14:paraId="4D78FA26" w14:textId="138D725E" w:rsidR="00F71CCD" w:rsidRDefault="00B31D83">
      <w:pPr>
        <w:pStyle w:val="TableofFigures"/>
        <w:tabs>
          <w:tab w:val="right" w:leader="dot" w:pos="8486"/>
        </w:tabs>
        <w:rPr>
          <w:rFonts w:eastAsiaTheme="minorEastAsia" w:cstheme="minorBidi"/>
          <w:noProof/>
          <w:sz w:val="22"/>
          <w:szCs w:val="22"/>
          <w:lang w:bidi="ar-SA"/>
        </w:rPr>
      </w:pPr>
      <w:hyperlink w:anchor="_Toc464499071" w:history="1">
        <w:r w:rsidR="00F71CCD" w:rsidRPr="00E06584">
          <w:rPr>
            <w:rStyle w:val="Hyperlink"/>
            <w:noProof/>
          </w:rPr>
          <w:t xml:space="preserve">Figure 2.3 – George Catlin, </w:t>
        </w:r>
        <w:r w:rsidR="00F71CCD" w:rsidRPr="00E06584">
          <w:rPr>
            <w:rStyle w:val="Hyperlink"/>
            <w:i/>
            <w:noProof/>
          </w:rPr>
          <w:t>Comanche Warriors with White Flag</w:t>
        </w:r>
        <w:r w:rsidR="00F71CCD">
          <w:rPr>
            <w:noProof/>
            <w:webHidden/>
          </w:rPr>
          <w:tab/>
        </w:r>
        <w:r w:rsidR="00F71CCD">
          <w:rPr>
            <w:noProof/>
            <w:webHidden/>
          </w:rPr>
          <w:fldChar w:fldCharType="begin"/>
        </w:r>
        <w:r w:rsidR="00F71CCD">
          <w:rPr>
            <w:noProof/>
            <w:webHidden/>
          </w:rPr>
          <w:instrText xml:space="preserve"> PAGEREF _Toc464499071 \h </w:instrText>
        </w:r>
        <w:r w:rsidR="00F71CCD">
          <w:rPr>
            <w:noProof/>
            <w:webHidden/>
          </w:rPr>
        </w:r>
        <w:r w:rsidR="00F71CCD">
          <w:rPr>
            <w:noProof/>
            <w:webHidden/>
          </w:rPr>
          <w:fldChar w:fldCharType="separate"/>
        </w:r>
        <w:r w:rsidR="00FE5897">
          <w:rPr>
            <w:noProof/>
            <w:webHidden/>
          </w:rPr>
          <w:t>61</w:t>
        </w:r>
        <w:r w:rsidR="00F71CCD">
          <w:rPr>
            <w:noProof/>
            <w:webHidden/>
          </w:rPr>
          <w:fldChar w:fldCharType="end"/>
        </w:r>
      </w:hyperlink>
    </w:p>
    <w:p w14:paraId="35215D0C" w14:textId="456C7616" w:rsidR="00F71CCD" w:rsidRDefault="00B31D83">
      <w:pPr>
        <w:pStyle w:val="TableofFigures"/>
        <w:tabs>
          <w:tab w:val="right" w:leader="dot" w:pos="8486"/>
        </w:tabs>
        <w:rPr>
          <w:rFonts w:eastAsiaTheme="minorEastAsia" w:cstheme="minorBidi"/>
          <w:noProof/>
          <w:sz w:val="22"/>
          <w:szCs w:val="22"/>
          <w:lang w:bidi="ar-SA"/>
        </w:rPr>
      </w:pPr>
      <w:hyperlink w:anchor="_Toc464499072" w:history="1">
        <w:r w:rsidR="00F71CCD" w:rsidRPr="00E06584">
          <w:rPr>
            <w:rStyle w:val="Hyperlink"/>
            <w:noProof/>
          </w:rPr>
          <w:t xml:space="preserve">Figure 2.4 – George Catlin, </w:t>
        </w:r>
        <w:r w:rsidR="00F71CCD" w:rsidRPr="00E06584">
          <w:rPr>
            <w:rStyle w:val="Hyperlink"/>
            <w:i/>
            <w:noProof/>
          </w:rPr>
          <w:t>Comanche Meeting the Dragoons</w:t>
        </w:r>
        <w:r w:rsidR="00F71CCD">
          <w:rPr>
            <w:noProof/>
            <w:webHidden/>
          </w:rPr>
          <w:tab/>
        </w:r>
        <w:r w:rsidR="00F71CCD">
          <w:rPr>
            <w:noProof/>
            <w:webHidden/>
          </w:rPr>
          <w:fldChar w:fldCharType="begin"/>
        </w:r>
        <w:r w:rsidR="00F71CCD">
          <w:rPr>
            <w:noProof/>
            <w:webHidden/>
          </w:rPr>
          <w:instrText xml:space="preserve"> PAGEREF _Toc464499072 \h </w:instrText>
        </w:r>
        <w:r w:rsidR="00F71CCD">
          <w:rPr>
            <w:noProof/>
            <w:webHidden/>
          </w:rPr>
        </w:r>
        <w:r w:rsidR="00F71CCD">
          <w:rPr>
            <w:noProof/>
            <w:webHidden/>
          </w:rPr>
          <w:fldChar w:fldCharType="separate"/>
        </w:r>
        <w:r w:rsidR="00FE5897">
          <w:rPr>
            <w:noProof/>
            <w:webHidden/>
          </w:rPr>
          <w:t>61</w:t>
        </w:r>
        <w:r w:rsidR="00F71CCD">
          <w:rPr>
            <w:noProof/>
            <w:webHidden/>
          </w:rPr>
          <w:fldChar w:fldCharType="end"/>
        </w:r>
      </w:hyperlink>
    </w:p>
    <w:p w14:paraId="5BFB55A5" w14:textId="759DCABD" w:rsidR="00F71CCD" w:rsidRDefault="00B31D83">
      <w:pPr>
        <w:pStyle w:val="TableofFigures"/>
        <w:tabs>
          <w:tab w:val="right" w:leader="dot" w:pos="8486"/>
        </w:tabs>
        <w:rPr>
          <w:rFonts w:eastAsiaTheme="minorEastAsia" w:cstheme="minorBidi"/>
          <w:noProof/>
          <w:sz w:val="22"/>
          <w:szCs w:val="22"/>
          <w:lang w:bidi="ar-SA"/>
        </w:rPr>
      </w:pPr>
      <w:hyperlink w:anchor="_Toc464499073" w:history="1">
        <w:r w:rsidR="00F71CCD" w:rsidRPr="00E06584">
          <w:rPr>
            <w:rStyle w:val="Hyperlink"/>
            <w:noProof/>
          </w:rPr>
          <w:t xml:space="preserve">Figure 2.5 – Catlin, </w:t>
        </w:r>
        <w:r w:rsidR="00F71CCD" w:rsidRPr="00E06584">
          <w:rPr>
            <w:rStyle w:val="Hyperlink"/>
            <w:i/>
            <w:noProof/>
          </w:rPr>
          <w:t>The 1st Regiment of Dragoons</w:t>
        </w:r>
        <w:r w:rsidR="00F71CCD">
          <w:rPr>
            <w:noProof/>
            <w:webHidden/>
          </w:rPr>
          <w:tab/>
        </w:r>
        <w:r w:rsidR="00F71CCD">
          <w:rPr>
            <w:noProof/>
            <w:webHidden/>
          </w:rPr>
          <w:fldChar w:fldCharType="begin"/>
        </w:r>
        <w:r w:rsidR="00F71CCD">
          <w:rPr>
            <w:noProof/>
            <w:webHidden/>
          </w:rPr>
          <w:instrText xml:space="preserve"> PAGEREF _Toc464499073 \h </w:instrText>
        </w:r>
        <w:r w:rsidR="00F71CCD">
          <w:rPr>
            <w:noProof/>
            <w:webHidden/>
          </w:rPr>
        </w:r>
        <w:r w:rsidR="00F71CCD">
          <w:rPr>
            <w:noProof/>
            <w:webHidden/>
          </w:rPr>
          <w:fldChar w:fldCharType="separate"/>
        </w:r>
        <w:r w:rsidR="00FE5897">
          <w:rPr>
            <w:noProof/>
            <w:webHidden/>
          </w:rPr>
          <w:t>62</w:t>
        </w:r>
        <w:r w:rsidR="00F71CCD">
          <w:rPr>
            <w:noProof/>
            <w:webHidden/>
          </w:rPr>
          <w:fldChar w:fldCharType="end"/>
        </w:r>
      </w:hyperlink>
    </w:p>
    <w:p w14:paraId="5411954C" w14:textId="241E052E" w:rsidR="00F71CCD" w:rsidRDefault="00B31D83">
      <w:pPr>
        <w:pStyle w:val="TableofFigures"/>
        <w:tabs>
          <w:tab w:val="right" w:leader="dot" w:pos="8486"/>
        </w:tabs>
        <w:rPr>
          <w:rFonts w:eastAsiaTheme="minorEastAsia" w:cstheme="minorBidi"/>
          <w:noProof/>
          <w:sz w:val="22"/>
          <w:szCs w:val="22"/>
          <w:lang w:bidi="ar-SA"/>
        </w:rPr>
      </w:pPr>
      <w:hyperlink w:anchor="_Toc464499074" w:history="1">
        <w:r w:rsidR="00F71CCD" w:rsidRPr="00E06584">
          <w:rPr>
            <w:rStyle w:val="Hyperlink"/>
            <w:noProof/>
          </w:rPr>
          <w:t xml:space="preserve">Figure 2.6 – John Mix Stanley, </w:t>
        </w:r>
        <w:r w:rsidR="00F71CCD" w:rsidRPr="00E06584">
          <w:rPr>
            <w:rStyle w:val="Hyperlink"/>
            <w:i/>
            <w:noProof/>
          </w:rPr>
          <w:t>International Indian Council</w:t>
        </w:r>
        <w:r w:rsidR="00F71CCD">
          <w:rPr>
            <w:noProof/>
            <w:webHidden/>
          </w:rPr>
          <w:tab/>
        </w:r>
        <w:r w:rsidR="00F71CCD">
          <w:rPr>
            <w:noProof/>
            <w:webHidden/>
          </w:rPr>
          <w:fldChar w:fldCharType="begin"/>
        </w:r>
        <w:r w:rsidR="00F71CCD">
          <w:rPr>
            <w:noProof/>
            <w:webHidden/>
          </w:rPr>
          <w:instrText xml:space="preserve"> PAGEREF _Toc464499074 \h </w:instrText>
        </w:r>
        <w:r w:rsidR="00F71CCD">
          <w:rPr>
            <w:noProof/>
            <w:webHidden/>
          </w:rPr>
        </w:r>
        <w:r w:rsidR="00F71CCD">
          <w:rPr>
            <w:noProof/>
            <w:webHidden/>
          </w:rPr>
          <w:fldChar w:fldCharType="separate"/>
        </w:r>
        <w:r w:rsidR="00FE5897">
          <w:rPr>
            <w:noProof/>
            <w:webHidden/>
          </w:rPr>
          <w:t>62</w:t>
        </w:r>
        <w:r w:rsidR="00F71CCD">
          <w:rPr>
            <w:noProof/>
            <w:webHidden/>
          </w:rPr>
          <w:fldChar w:fldCharType="end"/>
        </w:r>
      </w:hyperlink>
    </w:p>
    <w:p w14:paraId="41997633" w14:textId="19F6C8C2" w:rsidR="00F71CCD" w:rsidRDefault="00B31D83">
      <w:pPr>
        <w:pStyle w:val="TableofFigures"/>
        <w:tabs>
          <w:tab w:val="right" w:leader="dot" w:pos="8486"/>
        </w:tabs>
        <w:rPr>
          <w:rFonts w:eastAsiaTheme="minorEastAsia" w:cstheme="minorBidi"/>
          <w:noProof/>
          <w:sz w:val="22"/>
          <w:szCs w:val="22"/>
          <w:lang w:bidi="ar-SA"/>
        </w:rPr>
      </w:pPr>
      <w:hyperlink w:anchor="_Toc464499075" w:history="1">
        <w:r w:rsidR="00F71CCD" w:rsidRPr="00E06584">
          <w:rPr>
            <w:rStyle w:val="Hyperlink"/>
            <w:noProof/>
          </w:rPr>
          <w:t xml:space="preserve">Figure 2.7 – John Neagle, </w:t>
        </w:r>
        <w:r w:rsidR="00F71CCD" w:rsidRPr="00E06584">
          <w:rPr>
            <w:rStyle w:val="Hyperlink"/>
            <w:i/>
            <w:noProof/>
          </w:rPr>
          <w:t>Portrait of John Ross</w:t>
        </w:r>
        <w:r w:rsidR="00F71CCD">
          <w:rPr>
            <w:noProof/>
            <w:webHidden/>
          </w:rPr>
          <w:tab/>
        </w:r>
        <w:r w:rsidR="00F71CCD">
          <w:rPr>
            <w:noProof/>
            <w:webHidden/>
          </w:rPr>
          <w:fldChar w:fldCharType="begin"/>
        </w:r>
        <w:r w:rsidR="00F71CCD">
          <w:rPr>
            <w:noProof/>
            <w:webHidden/>
          </w:rPr>
          <w:instrText xml:space="preserve"> PAGEREF _Toc464499075 \h </w:instrText>
        </w:r>
        <w:r w:rsidR="00F71CCD">
          <w:rPr>
            <w:noProof/>
            <w:webHidden/>
          </w:rPr>
        </w:r>
        <w:r w:rsidR="00F71CCD">
          <w:rPr>
            <w:noProof/>
            <w:webHidden/>
          </w:rPr>
          <w:fldChar w:fldCharType="separate"/>
        </w:r>
        <w:r w:rsidR="00FE5897">
          <w:rPr>
            <w:noProof/>
            <w:webHidden/>
          </w:rPr>
          <w:t>63</w:t>
        </w:r>
        <w:r w:rsidR="00F71CCD">
          <w:rPr>
            <w:noProof/>
            <w:webHidden/>
          </w:rPr>
          <w:fldChar w:fldCharType="end"/>
        </w:r>
      </w:hyperlink>
    </w:p>
    <w:p w14:paraId="37586A74" w14:textId="7C0C3885" w:rsidR="00F71CCD" w:rsidRDefault="00B31D83">
      <w:pPr>
        <w:pStyle w:val="TableofFigures"/>
        <w:tabs>
          <w:tab w:val="right" w:leader="dot" w:pos="8486"/>
        </w:tabs>
        <w:rPr>
          <w:rFonts w:eastAsiaTheme="minorEastAsia" w:cstheme="minorBidi"/>
          <w:noProof/>
          <w:sz w:val="22"/>
          <w:szCs w:val="22"/>
          <w:lang w:bidi="ar-SA"/>
        </w:rPr>
      </w:pPr>
      <w:hyperlink w:anchor="_Toc464499076" w:history="1">
        <w:r w:rsidR="00F71CCD" w:rsidRPr="00E06584">
          <w:rPr>
            <w:rStyle w:val="Hyperlink"/>
            <w:noProof/>
          </w:rPr>
          <w:t>Figure 2.8 – James W. Champney,</w:t>
        </w:r>
        <w:r w:rsidR="00F71CCD" w:rsidRPr="00E06584">
          <w:rPr>
            <w:rStyle w:val="Hyperlink"/>
            <w:i/>
            <w:noProof/>
          </w:rPr>
          <w:t xml:space="preserve"> An Indian Territorial Mansion</w:t>
        </w:r>
        <w:r w:rsidR="00F71CCD">
          <w:rPr>
            <w:noProof/>
            <w:webHidden/>
          </w:rPr>
          <w:tab/>
        </w:r>
        <w:r w:rsidR="00F71CCD">
          <w:rPr>
            <w:noProof/>
            <w:webHidden/>
          </w:rPr>
          <w:fldChar w:fldCharType="begin"/>
        </w:r>
        <w:r w:rsidR="00F71CCD">
          <w:rPr>
            <w:noProof/>
            <w:webHidden/>
          </w:rPr>
          <w:instrText xml:space="preserve"> PAGEREF _Toc464499076 \h </w:instrText>
        </w:r>
        <w:r w:rsidR="00F71CCD">
          <w:rPr>
            <w:noProof/>
            <w:webHidden/>
          </w:rPr>
        </w:r>
        <w:r w:rsidR="00F71CCD">
          <w:rPr>
            <w:noProof/>
            <w:webHidden/>
          </w:rPr>
          <w:fldChar w:fldCharType="separate"/>
        </w:r>
        <w:r w:rsidR="00FE5897">
          <w:rPr>
            <w:noProof/>
            <w:webHidden/>
          </w:rPr>
          <w:t>63</w:t>
        </w:r>
        <w:r w:rsidR="00F71CCD">
          <w:rPr>
            <w:noProof/>
            <w:webHidden/>
          </w:rPr>
          <w:fldChar w:fldCharType="end"/>
        </w:r>
      </w:hyperlink>
    </w:p>
    <w:p w14:paraId="55F8BB82" w14:textId="0CE24810" w:rsidR="00F71CCD" w:rsidRDefault="00B31D83">
      <w:pPr>
        <w:pStyle w:val="TableofFigures"/>
        <w:tabs>
          <w:tab w:val="right" w:leader="dot" w:pos="8486"/>
        </w:tabs>
        <w:rPr>
          <w:rFonts w:eastAsiaTheme="minorEastAsia" w:cstheme="minorBidi"/>
          <w:noProof/>
          <w:sz w:val="22"/>
          <w:szCs w:val="22"/>
          <w:lang w:bidi="ar-SA"/>
        </w:rPr>
      </w:pPr>
      <w:hyperlink w:anchor="_Toc464499077" w:history="1">
        <w:r w:rsidR="00F71CCD" w:rsidRPr="00E06584">
          <w:rPr>
            <w:rStyle w:val="Hyperlink"/>
            <w:noProof/>
          </w:rPr>
          <w:t xml:space="preserve">Figure 2.9 – James W. Champney, </w:t>
        </w:r>
        <w:r w:rsidR="00F71CCD" w:rsidRPr="00E06584">
          <w:rPr>
            <w:rStyle w:val="Hyperlink"/>
            <w:i/>
            <w:noProof/>
          </w:rPr>
          <w:t>Bridge Across North Fork of Canadian River</w:t>
        </w:r>
        <w:r w:rsidR="00F71CCD">
          <w:rPr>
            <w:noProof/>
            <w:webHidden/>
          </w:rPr>
          <w:tab/>
        </w:r>
        <w:r w:rsidR="00F71CCD">
          <w:rPr>
            <w:noProof/>
            <w:webHidden/>
          </w:rPr>
          <w:fldChar w:fldCharType="begin"/>
        </w:r>
        <w:r w:rsidR="00F71CCD">
          <w:rPr>
            <w:noProof/>
            <w:webHidden/>
          </w:rPr>
          <w:instrText xml:space="preserve"> PAGEREF _Toc464499077 \h </w:instrText>
        </w:r>
        <w:r w:rsidR="00F71CCD">
          <w:rPr>
            <w:noProof/>
            <w:webHidden/>
          </w:rPr>
        </w:r>
        <w:r w:rsidR="00F71CCD">
          <w:rPr>
            <w:noProof/>
            <w:webHidden/>
          </w:rPr>
          <w:fldChar w:fldCharType="separate"/>
        </w:r>
        <w:r w:rsidR="00FE5897">
          <w:rPr>
            <w:noProof/>
            <w:webHidden/>
          </w:rPr>
          <w:t>64</w:t>
        </w:r>
        <w:r w:rsidR="00F71CCD">
          <w:rPr>
            <w:noProof/>
            <w:webHidden/>
          </w:rPr>
          <w:fldChar w:fldCharType="end"/>
        </w:r>
      </w:hyperlink>
    </w:p>
    <w:p w14:paraId="423E3C20" w14:textId="13DCF162" w:rsidR="00F71CCD" w:rsidRDefault="00B31D83">
      <w:pPr>
        <w:pStyle w:val="TableofFigures"/>
        <w:tabs>
          <w:tab w:val="right" w:leader="dot" w:pos="8486"/>
        </w:tabs>
        <w:rPr>
          <w:rFonts w:eastAsiaTheme="minorEastAsia" w:cstheme="minorBidi"/>
          <w:noProof/>
          <w:sz w:val="22"/>
          <w:szCs w:val="22"/>
          <w:lang w:bidi="ar-SA"/>
        </w:rPr>
      </w:pPr>
      <w:hyperlink w:anchor="_Toc464499078" w:history="1">
        <w:r w:rsidR="00F71CCD" w:rsidRPr="00E06584">
          <w:rPr>
            <w:rStyle w:val="Hyperlink"/>
            <w:noProof/>
          </w:rPr>
          <w:t>Figure 2.10 – James W. Champney,</w:t>
        </w:r>
        <w:r w:rsidR="00F71CCD" w:rsidRPr="00E06584">
          <w:rPr>
            <w:rStyle w:val="Hyperlink"/>
            <w:i/>
            <w:noProof/>
          </w:rPr>
          <w:t xml:space="preserve"> Limestone Gap-Indian Territory</w:t>
        </w:r>
        <w:r w:rsidR="00F71CCD">
          <w:rPr>
            <w:noProof/>
            <w:webHidden/>
          </w:rPr>
          <w:tab/>
        </w:r>
        <w:r w:rsidR="00F71CCD">
          <w:rPr>
            <w:noProof/>
            <w:webHidden/>
          </w:rPr>
          <w:fldChar w:fldCharType="begin"/>
        </w:r>
        <w:r w:rsidR="00F71CCD">
          <w:rPr>
            <w:noProof/>
            <w:webHidden/>
          </w:rPr>
          <w:instrText xml:space="preserve"> PAGEREF _Toc464499078 \h </w:instrText>
        </w:r>
        <w:r w:rsidR="00F71CCD">
          <w:rPr>
            <w:noProof/>
            <w:webHidden/>
          </w:rPr>
        </w:r>
        <w:r w:rsidR="00F71CCD">
          <w:rPr>
            <w:noProof/>
            <w:webHidden/>
          </w:rPr>
          <w:fldChar w:fldCharType="separate"/>
        </w:r>
        <w:r w:rsidR="00FE5897">
          <w:rPr>
            <w:noProof/>
            <w:webHidden/>
          </w:rPr>
          <w:t>64</w:t>
        </w:r>
        <w:r w:rsidR="00F71CCD">
          <w:rPr>
            <w:noProof/>
            <w:webHidden/>
          </w:rPr>
          <w:fldChar w:fldCharType="end"/>
        </w:r>
      </w:hyperlink>
    </w:p>
    <w:p w14:paraId="68955F8E" w14:textId="0B6E31AE" w:rsidR="00F71CCD" w:rsidRDefault="00B31D83">
      <w:pPr>
        <w:pStyle w:val="TableofFigures"/>
        <w:tabs>
          <w:tab w:val="right" w:leader="dot" w:pos="8486"/>
        </w:tabs>
        <w:rPr>
          <w:rFonts w:eastAsiaTheme="minorEastAsia" w:cstheme="minorBidi"/>
          <w:noProof/>
          <w:sz w:val="22"/>
          <w:szCs w:val="22"/>
          <w:lang w:bidi="ar-SA"/>
        </w:rPr>
      </w:pPr>
      <w:hyperlink w:anchor="_Toc464499079" w:history="1">
        <w:r w:rsidR="00F71CCD" w:rsidRPr="00E06584">
          <w:rPr>
            <w:rStyle w:val="Hyperlink"/>
            <w:noProof/>
          </w:rPr>
          <w:t>Figure 2.11 – Bird’s Eye View of Tulsu</w:t>
        </w:r>
        <w:r w:rsidR="00F71CCD">
          <w:rPr>
            <w:noProof/>
            <w:webHidden/>
          </w:rPr>
          <w:tab/>
        </w:r>
        <w:r w:rsidR="00F71CCD">
          <w:rPr>
            <w:noProof/>
            <w:webHidden/>
          </w:rPr>
          <w:fldChar w:fldCharType="begin"/>
        </w:r>
        <w:r w:rsidR="00F71CCD">
          <w:rPr>
            <w:noProof/>
            <w:webHidden/>
          </w:rPr>
          <w:instrText xml:space="preserve"> PAGEREF _Toc464499079 \h </w:instrText>
        </w:r>
        <w:r w:rsidR="00F71CCD">
          <w:rPr>
            <w:noProof/>
            <w:webHidden/>
          </w:rPr>
        </w:r>
        <w:r w:rsidR="00F71CCD">
          <w:rPr>
            <w:noProof/>
            <w:webHidden/>
          </w:rPr>
          <w:fldChar w:fldCharType="separate"/>
        </w:r>
        <w:r w:rsidR="00FE5897">
          <w:rPr>
            <w:noProof/>
            <w:webHidden/>
          </w:rPr>
          <w:t>65</w:t>
        </w:r>
        <w:r w:rsidR="00F71CCD">
          <w:rPr>
            <w:noProof/>
            <w:webHidden/>
          </w:rPr>
          <w:fldChar w:fldCharType="end"/>
        </w:r>
      </w:hyperlink>
    </w:p>
    <w:p w14:paraId="457FB2D0" w14:textId="1E1E83EB" w:rsidR="00F71CCD" w:rsidRDefault="00B31D83">
      <w:pPr>
        <w:pStyle w:val="TableofFigures"/>
        <w:tabs>
          <w:tab w:val="right" w:leader="dot" w:pos="8486"/>
        </w:tabs>
        <w:rPr>
          <w:rFonts w:eastAsiaTheme="minorEastAsia" w:cstheme="minorBidi"/>
          <w:noProof/>
          <w:sz w:val="22"/>
          <w:szCs w:val="22"/>
          <w:lang w:bidi="ar-SA"/>
        </w:rPr>
      </w:pPr>
      <w:hyperlink w:anchor="_Toc464499080" w:history="1">
        <w:r w:rsidR="00F71CCD" w:rsidRPr="00E06584">
          <w:rPr>
            <w:rStyle w:val="Hyperlink"/>
            <w:rFonts w:asciiTheme="majorHAnsi" w:hAnsiTheme="majorHAnsi" w:cstheme="majorHAnsi"/>
            <w:noProof/>
          </w:rPr>
          <w:t xml:space="preserve">Figure 2.12 – </w:t>
        </w:r>
        <w:r w:rsidR="00F71CCD" w:rsidRPr="00E06584">
          <w:rPr>
            <w:rStyle w:val="Hyperlink"/>
            <w:rFonts w:asciiTheme="majorHAnsi" w:hAnsiTheme="majorHAnsi" w:cstheme="majorHAnsi"/>
            <w:i/>
            <w:noProof/>
          </w:rPr>
          <w:t>Camp Alice / Payne and Party Arrested</w:t>
        </w:r>
        <w:r w:rsidR="00F71CCD">
          <w:rPr>
            <w:noProof/>
            <w:webHidden/>
          </w:rPr>
          <w:tab/>
        </w:r>
        <w:r w:rsidR="00F71CCD">
          <w:rPr>
            <w:noProof/>
            <w:webHidden/>
          </w:rPr>
          <w:fldChar w:fldCharType="begin"/>
        </w:r>
        <w:r w:rsidR="00F71CCD">
          <w:rPr>
            <w:noProof/>
            <w:webHidden/>
          </w:rPr>
          <w:instrText xml:space="preserve"> PAGEREF _Toc464499080 \h </w:instrText>
        </w:r>
        <w:r w:rsidR="00F71CCD">
          <w:rPr>
            <w:noProof/>
            <w:webHidden/>
          </w:rPr>
        </w:r>
        <w:r w:rsidR="00F71CCD">
          <w:rPr>
            <w:noProof/>
            <w:webHidden/>
          </w:rPr>
          <w:fldChar w:fldCharType="separate"/>
        </w:r>
        <w:r w:rsidR="00FE5897">
          <w:rPr>
            <w:noProof/>
            <w:webHidden/>
          </w:rPr>
          <w:t>65</w:t>
        </w:r>
        <w:r w:rsidR="00F71CCD">
          <w:rPr>
            <w:noProof/>
            <w:webHidden/>
          </w:rPr>
          <w:fldChar w:fldCharType="end"/>
        </w:r>
      </w:hyperlink>
    </w:p>
    <w:p w14:paraId="4EFBA270" w14:textId="0697BE7C" w:rsidR="00F71CCD" w:rsidRDefault="00B31D83">
      <w:pPr>
        <w:pStyle w:val="TableofFigures"/>
        <w:tabs>
          <w:tab w:val="right" w:leader="dot" w:pos="8486"/>
        </w:tabs>
        <w:rPr>
          <w:rFonts w:eastAsiaTheme="minorEastAsia" w:cstheme="minorBidi"/>
          <w:noProof/>
          <w:sz w:val="22"/>
          <w:szCs w:val="22"/>
          <w:lang w:bidi="ar-SA"/>
        </w:rPr>
      </w:pPr>
      <w:hyperlink w:anchor="_Toc464499081" w:history="1">
        <w:r w:rsidR="00F71CCD" w:rsidRPr="00E06584">
          <w:rPr>
            <w:rStyle w:val="Hyperlink"/>
            <w:noProof/>
          </w:rPr>
          <w:t xml:space="preserve">Figure 2.13 – </w:t>
        </w:r>
        <w:r w:rsidR="00F71CCD" w:rsidRPr="00E06584">
          <w:rPr>
            <w:rStyle w:val="Hyperlink"/>
            <w:rFonts w:eastAsia="Cambria"/>
            <w:noProof/>
          </w:rPr>
          <w:t>Camp Alice / Payne Arrested Photo</w:t>
        </w:r>
        <w:r w:rsidR="00F71CCD">
          <w:rPr>
            <w:noProof/>
            <w:webHidden/>
          </w:rPr>
          <w:tab/>
        </w:r>
        <w:r w:rsidR="00F71CCD">
          <w:rPr>
            <w:noProof/>
            <w:webHidden/>
          </w:rPr>
          <w:fldChar w:fldCharType="begin"/>
        </w:r>
        <w:r w:rsidR="00F71CCD">
          <w:rPr>
            <w:noProof/>
            <w:webHidden/>
          </w:rPr>
          <w:instrText xml:space="preserve"> PAGEREF _Toc464499081 \h </w:instrText>
        </w:r>
        <w:r w:rsidR="00F71CCD">
          <w:rPr>
            <w:noProof/>
            <w:webHidden/>
          </w:rPr>
        </w:r>
        <w:r w:rsidR="00F71CCD">
          <w:rPr>
            <w:noProof/>
            <w:webHidden/>
          </w:rPr>
          <w:fldChar w:fldCharType="separate"/>
        </w:r>
        <w:r w:rsidR="00FE5897">
          <w:rPr>
            <w:noProof/>
            <w:webHidden/>
          </w:rPr>
          <w:t>66</w:t>
        </w:r>
        <w:r w:rsidR="00F71CCD">
          <w:rPr>
            <w:noProof/>
            <w:webHidden/>
          </w:rPr>
          <w:fldChar w:fldCharType="end"/>
        </w:r>
      </w:hyperlink>
    </w:p>
    <w:p w14:paraId="26938A77" w14:textId="1047BFFA" w:rsidR="00F71CCD" w:rsidRDefault="00B31D83">
      <w:pPr>
        <w:pStyle w:val="TableofFigures"/>
        <w:tabs>
          <w:tab w:val="right" w:leader="dot" w:pos="8486"/>
        </w:tabs>
        <w:rPr>
          <w:rFonts w:eastAsiaTheme="minorEastAsia" w:cstheme="minorBidi"/>
          <w:noProof/>
          <w:sz w:val="22"/>
          <w:szCs w:val="22"/>
          <w:lang w:bidi="ar-SA"/>
        </w:rPr>
      </w:pPr>
      <w:hyperlink w:anchor="_Toc464499082" w:history="1">
        <w:r w:rsidR="00F71CCD" w:rsidRPr="00E06584">
          <w:rPr>
            <w:rStyle w:val="Hyperlink"/>
            <w:noProof/>
          </w:rPr>
          <w:t xml:space="preserve">Figure 2.14 </w:t>
        </w:r>
        <w:r w:rsidR="00202848">
          <w:rPr>
            <w:rStyle w:val="Hyperlink"/>
            <w:noProof/>
          </w:rPr>
          <w:t>–</w:t>
        </w:r>
        <w:r w:rsidR="00F71CCD" w:rsidRPr="00E06584">
          <w:rPr>
            <w:rStyle w:val="Hyperlink"/>
            <w:noProof/>
          </w:rPr>
          <w:t xml:space="preserve"> Uncle Sam Feeding “Poor Lo Indian”</w:t>
        </w:r>
        <w:r w:rsidR="00F71CCD">
          <w:rPr>
            <w:noProof/>
            <w:webHidden/>
          </w:rPr>
          <w:tab/>
        </w:r>
        <w:r w:rsidR="00F71CCD">
          <w:rPr>
            <w:noProof/>
            <w:webHidden/>
          </w:rPr>
          <w:fldChar w:fldCharType="begin"/>
        </w:r>
        <w:r w:rsidR="00F71CCD">
          <w:rPr>
            <w:noProof/>
            <w:webHidden/>
          </w:rPr>
          <w:instrText xml:space="preserve"> PAGEREF _Toc464499082 \h </w:instrText>
        </w:r>
        <w:r w:rsidR="00F71CCD">
          <w:rPr>
            <w:noProof/>
            <w:webHidden/>
          </w:rPr>
        </w:r>
        <w:r w:rsidR="00F71CCD">
          <w:rPr>
            <w:noProof/>
            <w:webHidden/>
          </w:rPr>
          <w:fldChar w:fldCharType="separate"/>
        </w:r>
        <w:r w:rsidR="00FE5897">
          <w:rPr>
            <w:noProof/>
            <w:webHidden/>
          </w:rPr>
          <w:t>66</w:t>
        </w:r>
        <w:r w:rsidR="00F71CCD">
          <w:rPr>
            <w:noProof/>
            <w:webHidden/>
          </w:rPr>
          <w:fldChar w:fldCharType="end"/>
        </w:r>
      </w:hyperlink>
    </w:p>
    <w:p w14:paraId="0533C0AA" w14:textId="2FDFAE8B" w:rsidR="00F71CCD" w:rsidRDefault="00B31D83">
      <w:pPr>
        <w:pStyle w:val="TableofFigures"/>
        <w:tabs>
          <w:tab w:val="right" w:leader="dot" w:pos="8486"/>
        </w:tabs>
        <w:rPr>
          <w:rFonts w:eastAsiaTheme="minorEastAsia" w:cstheme="minorBidi"/>
          <w:noProof/>
          <w:sz w:val="22"/>
          <w:szCs w:val="22"/>
          <w:lang w:bidi="ar-SA"/>
        </w:rPr>
      </w:pPr>
      <w:hyperlink w:anchor="_Toc464499083" w:history="1">
        <w:r w:rsidR="00F71CCD" w:rsidRPr="00E06584">
          <w:rPr>
            <w:rStyle w:val="Hyperlink"/>
            <w:noProof/>
          </w:rPr>
          <w:t>Figure 2.15 – Royal Ranch / John Hittson’s Ranch</w:t>
        </w:r>
        <w:r w:rsidR="00F71CCD">
          <w:rPr>
            <w:noProof/>
            <w:webHidden/>
          </w:rPr>
          <w:tab/>
        </w:r>
        <w:r w:rsidR="00F71CCD">
          <w:rPr>
            <w:noProof/>
            <w:webHidden/>
          </w:rPr>
          <w:fldChar w:fldCharType="begin"/>
        </w:r>
        <w:r w:rsidR="00F71CCD">
          <w:rPr>
            <w:noProof/>
            <w:webHidden/>
          </w:rPr>
          <w:instrText xml:space="preserve"> PAGEREF _Toc464499083 \h </w:instrText>
        </w:r>
        <w:r w:rsidR="00F71CCD">
          <w:rPr>
            <w:noProof/>
            <w:webHidden/>
          </w:rPr>
        </w:r>
        <w:r w:rsidR="00F71CCD">
          <w:rPr>
            <w:noProof/>
            <w:webHidden/>
          </w:rPr>
          <w:fldChar w:fldCharType="separate"/>
        </w:r>
        <w:r w:rsidR="00FE5897">
          <w:rPr>
            <w:noProof/>
            <w:webHidden/>
          </w:rPr>
          <w:t>67</w:t>
        </w:r>
        <w:r w:rsidR="00F71CCD">
          <w:rPr>
            <w:noProof/>
            <w:webHidden/>
          </w:rPr>
          <w:fldChar w:fldCharType="end"/>
        </w:r>
      </w:hyperlink>
    </w:p>
    <w:p w14:paraId="2D72ED89" w14:textId="7DAABDAD" w:rsidR="00F71CCD" w:rsidRDefault="00B31D83">
      <w:pPr>
        <w:pStyle w:val="TableofFigures"/>
        <w:tabs>
          <w:tab w:val="right" w:leader="dot" w:pos="8486"/>
        </w:tabs>
        <w:rPr>
          <w:rFonts w:eastAsiaTheme="minorEastAsia" w:cstheme="minorBidi"/>
          <w:noProof/>
          <w:sz w:val="22"/>
          <w:szCs w:val="22"/>
          <w:lang w:bidi="ar-SA"/>
        </w:rPr>
      </w:pPr>
      <w:hyperlink w:anchor="_Toc464499084" w:history="1">
        <w:r w:rsidR="00F71CCD" w:rsidRPr="00E06584">
          <w:rPr>
            <w:rStyle w:val="Hyperlink"/>
            <w:noProof/>
          </w:rPr>
          <w:t>Figure 2.16 – Cherokee Phoenix Masthead</w:t>
        </w:r>
        <w:r w:rsidR="00F71CCD">
          <w:rPr>
            <w:noProof/>
            <w:webHidden/>
          </w:rPr>
          <w:tab/>
        </w:r>
        <w:r w:rsidR="00F71CCD">
          <w:rPr>
            <w:noProof/>
            <w:webHidden/>
          </w:rPr>
          <w:fldChar w:fldCharType="begin"/>
        </w:r>
        <w:r w:rsidR="00F71CCD">
          <w:rPr>
            <w:noProof/>
            <w:webHidden/>
          </w:rPr>
          <w:instrText xml:space="preserve"> PAGEREF _Toc464499084 \h </w:instrText>
        </w:r>
        <w:r w:rsidR="00F71CCD">
          <w:rPr>
            <w:noProof/>
            <w:webHidden/>
          </w:rPr>
        </w:r>
        <w:r w:rsidR="00F71CCD">
          <w:rPr>
            <w:noProof/>
            <w:webHidden/>
          </w:rPr>
          <w:fldChar w:fldCharType="separate"/>
        </w:r>
        <w:r w:rsidR="00FE5897">
          <w:rPr>
            <w:noProof/>
            <w:webHidden/>
          </w:rPr>
          <w:t>67</w:t>
        </w:r>
        <w:r w:rsidR="00F71CCD">
          <w:rPr>
            <w:noProof/>
            <w:webHidden/>
          </w:rPr>
          <w:fldChar w:fldCharType="end"/>
        </w:r>
      </w:hyperlink>
    </w:p>
    <w:p w14:paraId="2D0F67F4" w14:textId="79EA0E9F" w:rsidR="00F71CCD" w:rsidRDefault="00B31D83">
      <w:pPr>
        <w:pStyle w:val="TableofFigures"/>
        <w:tabs>
          <w:tab w:val="right" w:leader="dot" w:pos="8486"/>
        </w:tabs>
        <w:rPr>
          <w:rFonts w:eastAsiaTheme="minorEastAsia" w:cstheme="minorBidi"/>
          <w:noProof/>
          <w:sz w:val="22"/>
          <w:szCs w:val="22"/>
          <w:lang w:bidi="ar-SA"/>
        </w:rPr>
      </w:pPr>
      <w:hyperlink w:anchor="_Toc464499085" w:history="1">
        <w:r w:rsidR="00F71CCD" w:rsidRPr="00E06584">
          <w:rPr>
            <w:rStyle w:val="Hyperlink"/>
            <w:noProof/>
          </w:rPr>
          <w:t xml:space="preserve">Figure 2.17 – </w:t>
        </w:r>
        <w:r w:rsidR="00F71CCD" w:rsidRPr="00E06584">
          <w:rPr>
            <w:rStyle w:val="Hyperlink"/>
            <w:i/>
            <w:noProof/>
          </w:rPr>
          <w:t>Cherokee Advocate</w:t>
        </w:r>
        <w:r w:rsidR="00F71CCD" w:rsidRPr="00E06584">
          <w:rPr>
            <w:rStyle w:val="Hyperlink"/>
            <w:noProof/>
          </w:rPr>
          <w:t xml:space="preserve"> front page</w:t>
        </w:r>
        <w:r w:rsidR="00F71CCD">
          <w:rPr>
            <w:noProof/>
            <w:webHidden/>
          </w:rPr>
          <w:tab/>
        </w:r>
        <w:r w:rsidR="00F71CCD">
          <w:rPr>
            <w:noProof/>
            <w:webHidden/>
          </w:rPr>
          <w:fldChar w:fldCharType="begin"/>
        </w:r>
        <w:r w:rsidR="00F71CCD">
          <w:rPr>
            <w:noProof/>
            <w:webHidden/>
          </w:rPr>
          <w:instrText xml:space="preserve"> PAGEREF _Toc464499085 \h </w:instrText>
        </w:r>
        <w:r w:rsidR="00F71CCD">
          <w:rPr>
            <w:noProof/>
            <w:webHidden/>
          </w:rPr>
        </w:r>
        <w:r w:rsidR="00F71CCD">
          <w:rPr>
            <w:noProof/>
            <w:webHidden/>
          </w:rPr>
          <w:fldChar w:fldCharType="separate"/>
        </w:r>
        <w:r w:rsidR="00FE5897">
          <w:rPr>
            <w:noProof/>
            <w:webHidden/>
          </w:rPr>
          <w:t>68</w:t>
        </w:r>
        <w:r w:rsidR="00F71CCD">
          <w:rPr>
            <w:noProof/>
            <w:webHidden/>
          </w:rPr>
          <w:fldChar w:fldCharType="end"/>
        </w:r>
      </w:hyperlink>
    </w:p>
    <w:p w14:paraId="4313C48C" w14:textId="678948AF" w:rsidR="00F71CCD" w:rsidRDefault="00B31D83">
      <w:pPr>
        <w:pStyle w:val="TableofFigures"/>
        <w:tabs>
          <w:tab w:val="right" w:leader="dot" w:pos="8486"/>
        </w:tabs>
        <w:rPr>
          <w:rFonts w:eastAsiaTheme="minorEastAsia" w:cstheme="minorBidi"/>
          <w:noProof/>
          <w:sz w:val="22"/>
          <w:szCs w:val="22"/>
          <w:lang w:bidi="ar-SA"/>
        </w:rPr>
      </w:pPr>
      <w:hyperlink w:anchor="_Toc464499086" w:history="1">
        <w:r w:rsidR="00F71CCD" w:rsidRPr="00E06584">
          <w:rPr>
            <w:rStyle w:val="Hyperlink"/>
            <w:noProof/>
          </w:rPr>
          <w:t xml:space="preserve">Figure 2.18 – </w:t>
        </w:r>
        <w:r w:rsidR="00F71CCD" w:rsidRPr="00E06584">
          <w:rPr>
            <w:rStyle w:val="Hyperlink"/>
            <w:i/>
            <w:noProof/>
          </w:rPr>
          <w:t>Tipi with Battle Pictures</w:t>
        </w:r>
        <w:r w:rsidR="00F71CCD">
          <w:rPr>
            <w:noProof/>
            <w:webHidden/>
          </w:rPr>
          <w:tab/>
        </w:r>
        <w:r w:rsidR="00F71CCD">
          <w:rPr>
            <w:noProof/>
            <w:webHidden/>
          </w:rPr>
          <w:fldChar w:fldCharType="begin"/>
        </w:r>
        <w:r w:rsidR="00F71CCD">
          <w:rPr>
            <w:noProof/>
            <w:webHidden/>
          </w:rPr>
          <w:instrText xml:space="preserve"> PAGEREF _Toc464499086 \h </w:instrText>
        </w:r>
        <w:r w:rsidR="00F71CCD">
          <w:rPr>
            <w:noProof/>
            <w:webHidden/>
          </w:rPr>
        </w:r>
        <w:r w:rsidR="00F71CCD">
          <w:rPr>
            <w:noProof/>
            <w:webHidden/>
          </w:rPr>
          <w:fldChar w:fldCharType="separate"/>
        </w:r>
        <w:r w:rsidR="00FE5897">
          <w:rPr>
            <w:noProof/>
            <w:webHidden/>
          </w:rPr>
          <w:t>68</w:t>
        </w:r>
        <w:r w:rsidR="00F71CCD">
          <w:rPr>
            <w:noProof/>
            <w:webHidden/>
          </w:rPr>
          <w:fldChar w:fldCharType="end"/>
        </w:r>
      </w:hyperlink>
    </w:p>
    <w:p w14:paraId="6867FE95" w14:textId="23A1B135" w:rsidR="00F71CCD" w:rsidRDefault="00B31D83">
      <w:pPr>
        <w:pStyle w:val="TableofFigures"/>
        <w:tabs>
          <w:tab w:val="right" w:leader="dot" w:pos="8486"/>
        </w:tabs>
        <w:rPr>
          <w:rFonts w:eastAsiaTheme="minorEastAsia" w:cstheme="minorBidi"/>
          <w:noProof/>
          <w:sz w:val="22"/>
          <w:szCs w:val="22"/>
          <w:lang w:bidi="ar-SA"/>
        </w:rPr>
      </w:pPr>
      <w:hyperlink w:anchor="_Toc464499087" w:history="1">
        <w:r w:rsidR="00F71CCD" w:rsidRPr="00E06584">
          <w:rPr>
            <w:rStyle w:val="Hyperlink"/>
            <w:noProof/>
          </w:rPr>
          <w:t xml:space="preserve">Figure 2.19 – George Catlin, </w:t>
        </w:r>
        <w:r w:rsidR="00F71CCD" w:rsidRPr="00E06584">
          <w:rPr>
            <w:rStyle w:val="Hyperlink"/>
            <w:i/>
            <w:noProof/>
          </w:rPr>
          <w:t>Teh-toot-sah (Dohasan)</w:t>
        </w:r>
        <w:r w:rsidR="00F71CCD">
          <w:rPr>
            <w:noProof/>
            <w:webHidden/>
          </w:rPr>
          <w:tab/>
        </w:r>
        <w:r w:rsidR="00F71CCD">
          <w:rPr>
            <w:noProof/>
            <w:webHidden/>
          </w:rPr>
          <w:fldChar w:fldCharType="begin"/>
        </w:r>
        <w:r w:rsidR="00F71CCD">
          <w:rPr>
            <w:noProof/>
            <w:webHidden/>
          </w:rPr>
          <w:instrText xml:space="preserve"> PAGEREF _Toc464499087 \h </w:instrText>
        </w:r>
        <w:r w:rsidR="00F71CCD">
          <w:rPr>
            <w:noProof/>
            <w:webHidden/>
          </w:rPr>
        </w:r>
        <w:r w:rsidR="00F71CCD">
          <w:rPr>
            <w:noProof/>
            <w:webHidden/>
          </w:rPr>
          <w:fldChar w:fldCharType="separate"/>
        </w:r>
        <w:r w:rsidR="00FE5897">
          <w:rPr>
            <w:noProof/>
            <w:webHidden/>
          </w:rPr>
          <w:t>69</w:t>
        </w:r>
        <w:r w:rsidR="00F71CCD">
          <w:rPr>
            <w:noProof/>
            <w:webHidden/>
          </w:rPr>
          <w:fldChar w:fldCharType="end"/>
        </w:r>
      </w:hyperlink>
    </w:p>
    <w:p w14:paraId="789E7E28" w14:textId="6AF4C0DA" w:rsidR="00F71CCD" w:rsidRDefault="00B31D83">
      <w:pPr>
        <w:pStyle w:val="TableofFigures"/>
        <w:tabs>
          <w:tab w:val="right" w:leader="dot" w:pos="8486"/>
        </w:tabs>
        <w:rPr>
          <w:rFonts w:eastAsiaTheme="minorEastAsia" w:cstheme="minorBidi"/>
          <w:noProof/>
          <w:sz w:val="22"/>
          <w:szCs w:val="22"/>
          <w:lang w:bidi="ar-SA"/>
        </w:rPr>
      </w:pPr>
      <w:hyperlink w:anchor="_Toc464499088" w:history="1">
        <w:r w:rsidR="00F71CCD" w:rsidRPr="00E06584">
          <w:rPr>
            <w:rStyle w:val="Hyperlink"/>
            <w:noProof/>
          </w:rPr>
          <w:t xml:space="preserve">Figure 2.20 – E.A. Burbank, </w:t>
        </w:r>
        <w:r w:rsidR="00F71CCD" w:rsidRPr="00E06584">
          <w:rPr>
            <w:rStyle w:val="Hyperlink"/>
            <w:i/>
            <w:noProof/>
          </w:rPr>
          <w:t>Portrait of Silver Horn</w:t>
        </w:r>
        <w:r w:rsidR="00F71CCD">
          <w:rPr>
            <w:noProof/>
            <w:webHidden/>
          </w:rPr>
          <w:tab/>
        </w:r>
        <w:r w:rsidR="00F71CCD">
          <w:rPr>
            <w:noProof/>
            <w:webHidden/>
          </w:rPr>
          <w:fldChar w:fldCharType="begin"/>
        </w:r>
        <w:r w:rsidR="00F71CCD">
          <w:rPr>
            <w:noProof/>
            <w:webHidden/>
          </w:rPr>
          <w:instrText xml:space="preserve"> PAGEREF _Toc464499088 \h </w:instrText>
        </w:r>
        <w:r w:rsidR="00F71CCD">
          <w:rPr>
            <w:noProof/>
            <w:webHidden/>
          </w:rPr>
        </w:r>
        <w:r w:rsidR="00F71CCD">
          <w:rPr>
            <w:noProof/>
            <w:webHidden/>
          </w:rPr>
          <w:fldChar w:fldCharType="separate"/>
        </w:r>
        <w:r w:rsidR="00FE5897">
          <w:rPr>
            <w:noProof/>
            <w:webHidden/>
          </w:rPr>
          <w:t>69</w:t>
        </w:r>
        <w:r w:rsidR="00F71CCD">
          <w:rPr>
            <w:noProof/>
            <w:webHidden/>
          </w:rPr>
          <w:fldChar w:fldCharType="end"/>
        </w:r>
      </w:hyperlink>
    </w:p>
    <w:p w14:paraId="735AB12D" w14:textId="2D452249" w:rsidR="00F71CCD" w:rsidRDefault="00B31D83">
      <w:pPr>
        <w:pStyle w:val="TableofFigures"/>
        <w:tabs>
          <w:tab w:val="right" w:leader="dot" w:pos="8486"/>
        </w:tabs>
        <w:rPr>
          <w:rFonts w:eastAsiaTheme="minorEastAsia" w:cstheme="minorBidi"/>
          <w:noProof/>
          <w:sz w:val="22"/>
          <w:szCs w:val="22"/>
          <w:lang w:bidi="ar-SA"/>
        </w:rPr>
      </w:pPr>
      <w:hyperlink w:anchor="_Toc464499089" w:history="1">
        <w:r w:rsidR="00F71CCD" w:rsidRPr="00E06584">
          <w:rPr>
            <w:rStyle w:val="Hyperlink"/>
            <w:noProof/>
          </w:rPr>
          <w:t xml:space="preserve">Figure 3.1 – </w:t>
        </w:r>
        <w:r w:rsidR="00F71CCD" w:rsidRPr="00E06584">
          <w:rPr>
            <w:rStyle w:val="Hyperlink"/>
            <w:rFonts w:eastAsia="Cambria"/>
            <w:noProof/>
          </w:rPr>
          <w:t xml:space="preserve">Jules Tavernier, </w:t>
        </w:r>
        <w:r w:rsidR="00F71CCD" w:rsidRPr="00E06584">
          <w:rPr>
            <w:rStyle w:val="Hyperlink"/>
            <w:rFonts w:eastAsia="Cambria"/>
            <w:i/>
            <w:noProof/>
          </w:rPr>
          <w:t>Kilauea at Night</w:t>
        </w:r>
        <w:r w:rsidR="00F71CCD">
          <w:rPr>
            <w:noProof/>
            <w:webHidden/>
          </w:rPr>
          <w:tab/>
        </w:r>
        <w:r w:rsidR="00F71CCD">
          <w:rPr>
            <w:noProof/>
            <w:webHidden/>
          </w:rPr>
          <w:fldChar w:fldCharType="begin"/>
        </w:r>
        <w:r w:rsidR="00F71CCD">
          <w:rPr>
            <w:noProof/>
            <w:webHidden/>
          </w:rPr>
          <w:instrText xml:space="preserve"> PAGEREF _Toc464499089 \h </w:instrText>
        </w:r>
        <w:r w:rsidR="00F71CCD">
          <w:rPr>
            <w:noProof/>
            <w:webHidden/>
          </w:rPr>
        </w:r>
        <w:r w:rsidR="00F71CCD">
          <w:rPr>
            <w:noProof/>
            <w:webHidden/>
          </w:rPr>
          <w:fldChar w:fldCharType="separate"/>
        </w:r>
        <w:r w:rsidR="00FE5897">
          <w:rPr>
            <w:noProof/>
            <w:webHidden/>
          </w:rPr>
          <w:t>103</w:t>
        </w:r>
        <w:r w:rsidR="00F71CCD">
          <w:rPr>
            <w:noProof/>
            <w:webHidden/>
          </w:rPr>
          <w:fldChar w:fldCharType="end"/>
        </w:r>
      </w:hyperlink>
    </w:p>
    <w:p w14:paraId="794BF3DF" w14:textId="6A487B31" w:rsidR="00F71CCD" w:rsidRDefault="00B31D83">
      <w:pPr>
        <w:pStyle w:val="TableofFigures"/>
        <w:tabs>
          <w:tab w:val="right" w:leader="dot" w:pos="8486"/>
        </w:tabs>
        <w:rPr>
          <w:rFonts w:eastAsiaTheme="minorEastAsia" w:cstheme="minorBidi"/>
          <w:noProof/>
          <w:sz w:val="22"/>
          <w:szCs w:val="22"/>
          <w:lang w:bidi="ar-SA"/>
        </w:rPr>
      </w:pPr>
      <w:hyperlink w:anchor="_Toc464499090" w:history="1">
        <w:r w:rsidR="00F71CCD" w:rsidRPr="00E06584">
          <w:rPr>
            <w:rStyle w:val="Hyperlink"/>
            <w:noProof/>
          </w:rPr>
          <w:t xml:space="preserve">Figure 3.2 – </w:t>
        </w:r>
        <w:r w:rsidR="00F71CCD" w:rsidRPr="00E06584">
          <w:rPr>
            <w:rStyle w:val="Hyperlink"/>
            <w:rFonts w:eastAsia="Cambria"/>
            <w:noProof/>
          </w:rPr>
          <w:t xml:space="preserve">Jules Tavernier, </w:t>
        </w:r>
        <w:r w:rsidR="00F71CCD" w:rsidRPr="00E06584">
          <w:rPr>
            <w:rStyle w:val="Hyperlink"/>
            <w:rFonts w:eastAsia="Cambria"/>
            <w:i/>
            <w:noProof/>
          </w:rPr>
          <w:t>A Disputed Passage</w:t>
        </w:r>
        <w:r w:rsidR="00F71CCD">
          <w:rPr>
            <w:noProof/>
            <w:webHidden/>
          </w:rPr>
          <w:tab/>
        </w:r>
        <w:r w:rsidR="00F71CCD">
          <w:rPr>
            <w:noProof/>
            <w:webHidden/>
          </w:rPr>
          <w:fldChar w:fldCharType="begin"/>
        </w:r>
        <w:r w:rsidR="00F71CCD">
          <w:rPr>
            <w:noProof/>
            <w:webHidden/>
          </w:rPr>
          <w:instrText xml:space="preserve"> PAGEREF _Toc464499090 \h </w:instrText>
        </w:r>
        <w:r w:rsidR="00F71CCD">
          <w:rPr>
            <w:noProof/>
            <w:webHidden/>
          </w:rPr>
        </w:r>
        <w:r w:rsidR="00F71CCD">
          <w:rPr>
            <w:noProof/>
            <w:webHidden/>
          </w:rPr>
          <w:fldChar w:fldCharType="separate"/>
        </w:r>
        <w:r w:rsidR="00FE5897">
          <w:rPr>
            <w:noProof/>
            <w:webHidden/>
          </w:rPr>
          <w:t>103</w:t>
        </w:r>
        <w:r w:rsidR="00F71CCD">
          <w:rPr>
            <w:noProof/>
            <w:webHidden/>
          </w:rPr>
          <w:fldChar w:fldCharType="end"/>
        </w:r>
      </w:hyperlink>
    </w:p>
    <w:p w14:paraId="71D79AD5" w14:textId="2F07FC41" w:rsidR="00F71CCD" w:rsidRDefault="00B31D83">
      <w:pPr>
        <w:pStyle w:val="TableofFigures"/>
        <w:tabs>
          <w:tab w:val="right" w:leader="dot" w:pos="8486"/>
        </w:tabs>
        <w:rPr>
          <w:rFonts w:eastAsiaTheme="minorEastAsia" w:cstheme="minorBidi"/>
          <w:noProof/>
          <w:sz w:val="22"/>
          <w:szCs w:val="22"/>
          <w:lang w:bidi="ar-SA"/>
        </w:rPr>
      </w:pPr>
      <w:hyperlink w:anchor="_Toc464499091" w:history="1">
        <w:r w:rsidR="00F71CCD" w:rsidRPr="00E06584">
          <w:rPr>
            <w:rStyle w:val="Hyperlink"/>
            <w:noProof/>
          </w:rPr>
          <w:t xml:space="preserve">Figure 3.3 – </w:t>
        </w:r>
        <w:r w:rsidR="00F71CCD" w:rsidRPr="00E06584">
          <w:rPr>
            <w:rStyle w:val="Hyperlink"/>
            <w:rFonts w:eastAsia="Cambria"/>
            <w:noProof/>
          </w:rPr>
          <w:t xml:space="preserve">Jules Tavernier, </w:t>
        </w:r>
        <w:r w:rsidR="00F71CCD" w:rsidRPr="00E06584">
          <w:rPr>
            <w:rStyle w:val="Hyperlink"/>
            <w:rFonts w:eastAsia="Cambria"/>
            <w:i/>
            <w:noProof/>
          </w:rPr>
          <w:t>Artist’s Reverie</w:t>
        </w:r>
        <w:r w:rsidR="00F71CCD">
          <w:rPr>
            <w:noProof/>
            <w:webHidden/>
          </w:rPr>
          <w:tab/>
        </w:r>
        <w:r w:rsidR="00F71CCD">
          <w:rPr>
            <w:noProof/>
            <w:webHidden/>
          </w:rPr>
          <w:fldChar w:fldCharType="begin"/>
        </w:r>
        <w:r w:rsidR="00F71CCD">
          <w:rPr>
            <w:noProof/>
            <w:webHidden/>
          </w:rPr>
          <w:instrText xml:space="preserve"> PAGEREF _Toc464499091 \h </w:instrText>
        </w:r>
        <w:r w:rsidR="00F71CCD">
          <w:rPr>
            <w:noProof/>
            <w:webHidden/>
          </w:rPr>
        </w:r>
        <w:r w:rsidR="00F71CCD">
          <w:rPr>
            <w:noProof/>
            <w:webHidden/>
          </w:rPr>
          <w:fldChar w:fldCharType="separate"/>
        </w:r>
        <w:r w:rsidR="00FE5897">
          <w:rPr>
            <w:noProof/>
            <w:webHidden/>
          </w:rPr>
          <w:t>104</w:t>
        </w:r>
        <w:r w:rsidR="00F71CCD">
          <w:rPr>
            <w:noProof/>
            <w:webHidden/>
          </w:rPr>
          <w:fldChar w:fldCharType="end"/>
        </w:r>
      </w:hyperlink>
    </w:p>
    <w:p w14:paraId="775BE213" w14:textId="22B1EEF4" w:rsidR="00F71CCD" w:rsidRDefault="00B31D83">
      <w:pPr>
        <w:pStyle w:val="TableofFigures"/>
        <w:tabs>
          <w:tab w:val="right" w:leader="dot" w:pos="8486"/>
        </w:tabs>
        <w:rPr>
          <w:rFonts w:eastAsiaTheme="minorEastAsia" w:cstheme="minorBidi"/>
          <w:noProof/>
          <w:sz w:val="22"/>
          <w:szCs w:val="22"/>
          <w:lang w:bidi="ar-SA"/>
        </w:rPr>
      </w:pPr>
      <w:hyperlink w:anchor="_Toc464499092" w:history="1">
        <w:r w:rsidR="00F71CCD" w:rsidRPr="00E06584">
          <w:rPr>
            <w:rStyle w:val="Hyperlink"/>
            <w:noProof/>
          </w:rPr>
          <w:t xml:space="preserve">Figure 3.4 – </w:t>
        </w:r>
        <w:r w:rsidR="00F71CCD" w:rsidRPr="00E06584">
          <w:rPr>
            <w:rStyle w:val="Hyperlink"/>
            <w:rFonts w:eastAsia="Cambria"/>
            <w:noProof/>
          </w:rPr>
          <w:t>Typical Volcano Paintings</w:t>
        </w:r>
        <w:r w:rsidR="00F71CCD">
          <w:rPr>
            <w:noProof/>
            <w:webHidden/>
          </w:rPr>
          <w:tab/>
        </w:r>
        <w:r w:rsidR="00F71CCD">
          <w:rPr>
            <w:noProof/>
            <w:webHidden/>
          </w:rPr>
          <w:fldChar w:fldCharType="begin"/>
        </w:r>
        <w:r w:rsidR="00F71CCD">
          <w:rPr>
            <w:noProof/>
            <w:webHidden/>
          </w:rPr>
          <w:instrText xml:space="preserve"> PAGEREF _Toc464499092 \h </w:instrText>
        </w:r>
        <w:r w:rsidR="00F71CCD">
          <w:rPr>
            <w:noProof/>
            <w:webHidden/>
          </w:rPr>
        </w:r>
        <w:r w:rsidR="00F71CCD">
          <w:rPr>
            <w:noProof/>
            <w:webHidden/>
          </w:rPr>
          <w:fldChar w:fldCharType="separate"/>
        </w:r>
        <w:r w:rsidR="00FE5897">
          <w:rPr>
            <w:noProof/>
            <w:webHidden/>
          </w:rPr>
          <w:t>104</w:t>
        </w:r>
        <w:r w:rsidR="00F71CCD">
          <w:rPr>
            <w:noProof/>
            <w:webHidden/>
          </w:rPr>
          <w:fldChar w:fldCharType="end"/>
        </w:r>
      </w:hyperlink>
    </w:p>
    <w:p w14:paraId="1AFCE71E" w14:textId="7AEB8660" w:rsidR="00F71CCD" w:rsidRDefault="00B31D83">
      <w:pPr>
        <w:pStyle w:val="TableofFigures"/>
        <w:tabs>
          <w:tab w:val="right" w:leader="dot" w:pos="8486"/>
        </w:tabs>
        <w:rPr>
          <w:rFonts w:eastAsiaTheme="minorEastAsia" w:cstheme="minorBidi"/>
          <w:noProof/>
          <w:sz w:val="22"/>
          <w:szCs w:val="22"/>
          <w:lang w:bidi="ar-SA"/>
        </w:rPr>
      </w:pPr>
      <w:hyperlink w:anchor="_Toc464499093" w:history="1">
        <w:r w:rsidR="00F71CCD" w:rsidRPr="00E06584">
          <w:rPr>
            <w:rStyle w:val="Hyperlink"/>
            <w:noProof/>
          </w:rPr>
          <w:t xml:space="preserve">Figure 3.5 – </w:t>
        </w:r>
        <w:r w:rsidR="00F71CCD" w:rsidRPr="00E06584">
          <w:rPr>
            <w:rStyle w:val="Hyperlink"/>
            <w:rFonts w:eastAsia="Cambria"/>
            <w:i/>
            <w:noProof/>
          </w:rPr>
          <w:t>Fire Fountains</w:t>
        </w:r>
        <w:r w:rsidR="00F71CCD">
          <w:rPr>
            <w:noProof/>
            <w:webHidden/>
          </w:rPr>
          <w:tab/>
        </w:r>
        <w:r w:rsidR="00F71CCD">
          <w:rPr>
            <w:noProof/>
            <w:webHidden/>
          </w:rPr>
          <w:fldChar w:fldCharType="begin"/>
        </w:r>
        <w:r w:rsidR="00F71CCD">
          <w:rPr>
            <w:noProof/>
            <w:webHidden/>
          </w:rPr>
          <w:instrText xml:space="preserve"> PAGEREF _Toc464499093 \h </w:instrText>
        </w:r>
        <w:r w:rsidR="00F71CCD">
          <w:rPr>
            <w:noProof/>
            <w:webHidden/>
          </w:rPr>
        </w:r>
        <w:r w:rsidR="00F71CCD">
          <w:rPr>
            <w:noProof/>
            <w:webHidden/>
          </w:rPr>
          <w:fldChar w:fldCharType="separate"/>
        </w:r>
        <w:r w:rsidR="00FE5897">
          <w:rPr>
            <w:noProof/>
            <w:webHidden/>
          </w:rPr>
          <w:t>105</w:t>
        </w:r>
        <w:r w:rsidR="00F71CCD">
          <w:rPr>
            <w:noProof/>
            <w:webHidden/>
          </w:rPr>
          <w:fldChar w:fldCharType="end"/>
        </w:r>
      </w:hyperlink>
    </w:p>
    <w:p w14:paraId="733B393F" w14:textId="61169A76" w:rsidR="00F71CCD" w:rsidRDefault="00B31D83">
      <w:pPr>
        <w:pStyle w:val="TableofFigures"/>
        <w:tabs>
          <w:tab w:val="right" w:leader="dot" w:pos="8486"/>
        </w:tabs>
        <w:rPr>
          <w:rFonts w:eastAsiaTheme="minorEastAsia" w:cstheme="minorBidi"/>
          <w:noProof/>
          <w:sz w:val="22"/>
          <w:szCs w:val="22"/>
          <w:lang w:bidi="ar-SA"/>
        </w:rPr>
      </w:pPr>
      <w:hyperlink w:anchor="_Toc464499094" w:history="1">
        <w:r w:rsidR="00F71CCD" w:rsidRPr="00E06584">
          <w:rPr>
            <w:rStyle w:val="Hyperlink"/>
            <w:noProof/>
          </w:rPr>
          <w:t xml:space="preserve">Figure 3.6 – </w:t>
        </w:r>
        <w:r w:rsidR="00F71CCD" w:rsidRPr="00E06584">
          <w:rPr>
            <w:rStyle w:val="Hyperlink"/>
            <w:rFonts w:ascii="Times New Roman" w:hAnsi="Times New Roman"/>
            <w:noProof/>
          </w:rPr>
          <w:t xml:space="preserve">Frontispiece, from </w:t>
        </w:r>
        <w:r w:rsidR="00F71CCD" w:rsidRPr="00E06584">
          <w:rPr>
            <w:rStyle w:val="Hyperlink"/>
            <w:rFonts w:ascii="Times New Roman" w:hAnsi="Times New Roman"/>
            <w:i/>
            <w:iCs/>
            <w:noProof/>
          </w:rPr>
          <w:t>Voyage of H.M.S. Blonde</w:t>
        </w:r>
        <w:r w:rsidR="00F71CCD">
          <w:rPr>
            <w:noProof/>
            <w:webHidden/>
          </w:rPr>
          <w:tab/>
        </w:r>
        <w:r w:rsidR="00F71CCD">
          <w:rPr>
            <w:noProof/>
            <w:webHidden/>
          </w:rPr>
          <w:fldChar w:fldCharType="begin"/>
        </w:r>
        <w:r w:rsidR="00F71CCD">
          <w:rPr>
            <w:noProof/>
            <w:webHidden/>
          </w:rPr>
          <w:instrText xml:space="preserve"> PAGEREF _Toc464499094 \h </w:instrText>
        </w:r>
        <w:r w:rsidR="00F71CCD">
          <w:rPr>
            <w:noProof/>
            <w:webHidden/>
          </w:rPr>
        </w:r>
        <w:r w:rsidR="00F71CCD">
          <w:rPr>
            <w:noProof/>
            <w:webHidden/>
          </w:rPr>
          <w:fldChar w:fldCharType="separate"/>
        </w:r>
        <w:r w:rsidR="00FE5897">
          <w:rPr>
            <w:noProof/>
            <w:webHidden/>
          </w:rPr>
          <w:t>105</w:t>
        </w:r>
        <w:r w:rsidR="00F71CCD">
          <w:rPr>
            <w:noProof/>
            <w:webHidden/>
          </w:rPr>
          <w:fldChar w:fldCharType="end"/>
        </w:r>
      </w:hyperlink>
    </w:p>
    <w:p w14:paraId="42100D70" w14:textId="527DAE46" w:rsidR="00F71CCD" w:rsidRDefault="00B31D83">
      <w:pPr>
        <w:pStyle w:val="TableofFigures"/>
        <w:tabs>
          <w:tab w:val="right" w:leader="dot" w:pos="8486"/>
        </w:tabs>
        <w:rPr>
          <w:rFonts w:eastAsiaTheme="minorEastAsia" w:cstheme="minorBidi"/>
          <w:noProof/>
          <w:sz w:val="22"/>
          <w:szCs w:val="22"/>
          <w:lang w:bidi="ar-SA"/>
        </w:rPr>
      </w:pPr>
      <w:hyperlink w:anchor="_Toc464499095" w:history="1">
        <w:r w:rsidR="00F71CCD" w:rsidRPr="00E06584">
          <w:rPr>
            <w:rStyle w:val="Hyperlink"/>
            <w:noProof/>
          </w:rPr>
          <w:t xml:space="preserve">Figure 3.7 – </w:t>
        </w:r>
        <w:r w:rsidR="00F71CCD" w:rsidRPr="00E06584">
          <w:rPr>
            <w:rStyle w:val="Hyperlink"/>
            <w:rFonts w:ascii="Times New Roman" w:hAnsi="Times New Roman"/>
            <w:noProof/>
          </w:rPr>
          <w:t xml:space="preserve">Detail, Frontispiece, from </w:t>
        </w:r>
        <w:r w:rsidR="00F71CCD" w:rsidRPr="00E06584">
          <w:rPr>
            <w:rStyle w:val="Hyperlink"/>
            <w:rFonts w:ascii="Times New Roman" w:hAnsi="Times New Roman"/>
            <w:i/>
            <w:iCs/>
            <w:noProof/>
          </w:rPr>
          <w:t>Voyage of H.M.S. Blonde</w:t>
        </w:r>
        <w:r w:rsidR="00F71CCD">
          <w:rPr>
            <w:noProof/>
            <w:webHidden/>
          </w:rPr>
          <w:tab/>
        </w:r>
        <w:r w:rsidR="00F71CCD">
          <w:rPr>
            <w:noProof/>
            <w:webHidden/>
          </w:rPr>
          <w:fldChar w:fldCharType="begin"/>
        </w:r>
        <w:r w:rsidR="00F71CCD">
          <w:rPr>
            <w:noProof/>
            <w:webHidden/>
          </w:rPr>
          <w:instrText xml:space="preserve"> PAGEREF _Toc464499095 \h </w:instrText>
        </w:r>
        <w:r w:rsidR="00F71CCD">
          <w:rPr>
            <w:noProof/>
            <w:webHidden/>
          </w:rPr>
        </w:r>
        <w:r w:rsidR="00F71CCD">
          <w:rPr>
            <w:noProof/>
            <w:webHidden/>
          </w:rPr>
          <w:fldChar w:fldCharType="separate"/>
        </w:r>
        <w:r w:rsidR="00FE5897">
          <w:rPr>
            <w:noProof/>
            <w:webHidden/>
          </w:rPr>
          <w:t>106</w:t>
        </w:r>
        <w:r w:rsidR="00F71CCD">
          <w:rPr>
            <w:noProof/>
            <w:webHidden/>
          </w:rPr>
          <w:fldChar w:fldCharType="end"/>
        </w:r>
      </w:hyperlink>
    </w:p>
    <w:p w14:paraId="7CE05CB9" w14:textId="48B0CC79" w:rsidR="00F71CCD" w:rsidRDefault="00B31D83">
      <w:pPr>
        <w:pStyle w:val="TableofFigures"/>
        <w:tabs>
          <w:tab w:val="right" w:leader="dot" w:pos="8486"/>
        </w:tabs>
        <w:rPr>
          <w:rFonts w:eastAsiaTheme="minorEastAsia" w:cstheme="minorBidi"/>
          <w:noProof/>
          <w:sz w:val="22"/>
          <w:szCs w:val="22"/>
          <w:lang w:bidi="ar-SA"/>
        </w:rPr>
      </w:pPr>
      <w:hyperlink w:anchor="_Toc464499096" w:history="1">
        <w:r w:rsidR="00F71CCD" w:rsidRPr="00E06584">
          <w:rPr>
            <w:rStyle w:val="Hyperlink"/>
            <w:noProof/>
          </w:rPr>
          <w:t xml:space="preserve">Figure 3.8 – </w:t>
        </w:r>
        <w:r w:rsidR="00F71CCD" w:rsidRPr="00E06584">
          <w:rPr>
            <w:rStyle w:val="Hyperlink"/>
            <w:rFonts w:eastAsia="Cambria" w:cstheme="majorHAnsi"/>
            <w:noProof/>
          </w:rPr>
          <w:t xml:space="preserve">Titian Ramsay Peale, </w:t>
        </w:r>
        <w:r w:rsidR="00F71CCD" w:rsidRPr="00E06584">
          <w:rPr>
            <w:rStyle w:val="Hyperlink"/>
            <w:rFonts w:cstheme="majorHAnsi"/>
            <w:i/>
            <w:noProof/>
            <w:shd w:val="clear" w:color="auto" w:fill="FFFFFF"/>
          </w:rPr>
          <w:t>West Crater of “Kaluea Pele”</w:t>
        </w:r>
        <w:r w:rsidR="00F71CCD">
          <w:rPr>
            <w:noProof/>
            <w:webHidden/>
          </w:rPr>
          <w:tab/>
        </w:r>
        <w:r w:rsidR="00F71CCD">
          <w:rPr>
            <w:noProof/>
            <w:webHidden/>
          </w:rPr>
          <w:fldChar w:fldCharType="begin"/>
        </w:r>
        <w:r w:rsidR="00F71CCD">
          <w:rPr>
            <w:noProof/>
            <w:webHidden/>
          </w:rPr>
          <w:instrText xml:space="preserve"> PAGEREF _Toc464499096 \h </w:instrText>
        </w:r>
        <w:r w:rsidR="00F71CCD">
          <w:rPr>
            <w:noProof/>
            <w:webHidden/>
          </w:rPr>
        </w:r>
        <w:r w:rsidR="00F71CCD">
          <w:rPr>
            <w:noProof/>
            <w:webHidden/>
          </w:rPr>
          <w:fldChar w:fldCharType="separate"/>
        </w:r>
        <w:r w:rsidR="00FE5897">
          <w:rPr>
            <w:noProof/>
            <w:webHidden/>
          </w:rPr>
          <w:t>106</w:t>
        </w:r>
        <w:r w:rsidR="00F71CCD">
          <w:rPr>
            <w:noProof/>
            <w:webHidden/>
          </w:rPr>
          <w:fldChar w:fldCharType="end"/>
        </w:r>
      </w:hyperlink>
    </w:p>
    <w:p w14:paraId="465219A5" w14:textId="5B8DE51E" w:rsidR="00F71CCD" w:rsidRDefault="00B31D83">
      <w:pPr>
        <w:pStyle w:val="TableofFigures"/>
        <w:tabs>
          <w:tab w:val="right" w:leader="dot" w:pos="8486"/>
        </w:tabs>
        <w:rPr>
          <w:rFonts w:eastAsiaTheme="minorEastAsia" w:cstheme="minorBidi"/>
          <w:noProof/>
          <w:sz w:val="22"/>
          <w:szCs w:val="22"/>
          <w:lang w:bidi="ar-SA"/>
        </w:rPr>
      </w:pPr>
      <w:hyperlink w:anchor="_Toc464499097" w:history="1">
        <w:r w:rsidR="00F71CCD" w:rsidRPr="00E06584">
          <w:rPr>
            <w:rStyle w:val="Hyperlink"/>
            <w:noProof/>
          </w:rPr>
          <w:t xml:space="preserve">Figure 3.9 – </w:t>
        </w:r>
        <w:r w:rsidR="00F71CCD" w:rsidRPr="00E06584">
          <w:rPr>
            <w:rStyle w:val="Hyperlink"/>
            <w:iCs/>
            <w:noProof/>
          </w:rPr>
          <w:t xml:space="preserve">Edward Myer Kern, </w:t>
        </w:r>
        <w:r w:rsidR="00F71CCD" w:rsidRPr="00E06584">
          <w:rPr>
            <w:rStyle w:val="Hyperlink"/>
            <w:i/>
            <w:iCs/>
            <w:noProof/>
          </w:rPr>
          <w:t>Lava Lake, Volcano Kilauea</w:t>
        </w:r>
        <w:r w:rsidR="00F71CCD">
          <w:rPr>
            <w:noProof/>
            <w:webHidden/>
          </w:rPr>
          <w:tab/>
        </w:r>
        <w:r w:rsidR="00F71CCD">
          <w:rPr>
            <w:noProof/>
            <w:webHidden/>
          </w:rPr>
          <w:fldChar w:fldCharType="begin"/>
        </w:r>
        <w:r w:rsidR="00F71CCD">
          <w:rPr>
            <w:noProof/>
            <w:webHidden/>
          </w:rPr>
          <w:instrText xml:space="preserve"> PAGEREF _Toc464499097 \h </w:instrText>
        </w:r>
        <w:r w:rsidR="00F71CCD">
          <w:rPr>
            <w:noProof/>
            <w:webHidden/>
          </w:rPr>
        </w:r>
        <w:r w:rsidR="00F71CCD">
          <w:rPr>
            <w:noProof/>
            <w:webHidden/>
          </w:rPr>
          <w:fldChar w:fldCharType="separate"/>
        </w:r>
        <w:r w:rsidR="00FE5897">
          <w:rPr>
            <w:noProof/>
            <w:webHidden/>
          </w:rPr>
          <w:t>107</w:t>
        </w:r>
        <w:r w:rsidR="00F71CCD">
          <w:rPr>
            <w:noProof/>
            <w:webHidden/>
          </w:rPr>
          <w:fldChar w:fldCharType="end"/>
        </w:r>
      </w:hyperlink>
    </w:p>
    <w:p w14:paraId="56AEB345" w14:textId="0472B8A7" w:rsidR="00F71CCD" w:rsidRDefault="00B31D83">
      <w:pPr>
        <w:pStyle w:val="TableofFigures"/>
        <w:tabs>
          <w:tab w:val="right" w:leader="dot" w:pos="8486"/>
        </w:tabs>
        <w:rPr>
          <w:rFonts w:eastAsiaTheme="minorEastAsia" w:cstheme="minorBidi"/>
          <w:noProof/>
          <w:sz w:val="22"/>
          <w:szCs w:val="22"/>
          <w:lang w:bidi="ar-SA"/>
        </w:rPr>
      </w:pPr>
      <w:hyperlink w:anchor="_Toc464499098" w:history="1">
        <w:r w:rsidR="00F71CCD" w:rsidRPr="00E06584">
          <w:rPr>
            <w:rStyle w:val="Hyperlink"/>
            <w:noProof/>
          </w:rPr>
          <w:t xml:space="preserve">Figure 3.10 – Jules Tavernier, </w:t>
        </w:r>
        <w:r w:rsidR="00F71CCD" w:rsidRPr="00E06584">
          <w:rPr>
            <w:rStyle w:val="Hyperlink"/>
            <w:i/>
            <w:noProof/>
          </w:rPr>
          <w:t>Volcano House Interior</w:t>
        </w:r>
        <w:r w:rsidR="00F71CCD">
          <w:rPr>
            <w:noProof/>
            <w:webHidden/>
          </w:rPr>
          <w:tab/>
        </w:r>
        <w:r w:rsidR="00F71CCD">
          <w:rPr>
            <w:noProof/>
            <w:webHidden/>
          </w:rPr>
          <w:fldChar w:fldCharType="begin"/>
        </w:r>
        <w:r w:rsidR="00F71CCD">
          <w:rPr>
            <w:noProof/>
            <w:webHidden/>
          </w:rPr>
          <w:instrText xml:space="preserve"> PAGEREF _Toc464499098 \h </w:instrText>
        </w:r>
        <w:r w:rsidR="00F71CCD">
          <w:rPr>
            <w:noProof/>
            <w:webHidden/>
          </w:rPr>
        </w:r>
        <w:r w:rsidR="00F71CCD">
          <w:rPr>
            <w:noProof/>
            <w:webHidden/>
          </w:rPr>
          <w:fldChar w:fldCharType="separate"/>
        </w:r>
        <w:r w:rsidR="00FE5897">
          <w:rPr>
            <w:noProof/>
            <w:webHidden/>
          </w:rPr>
          <w:t>107</w:t>
        </w:r>
        <w:r w:rsidR="00F71CCD">
          <w:rPr>
            <w:noProof/>
            <w:webHidden/>
          </w:rPr>
          <w:fldChar w:fldCharType="end"/>
        </w:r>
      </w:hyperlink>
    </w:p>
    <w:p w14:paraId="0720403A" w14:textId="0A10DE53" w:rsidR="00F71CCD" w:rsidRDefault="00B31D83">
      <w:pPr>
        <w:pStyle w:val="TableofFigures"/>
        <w:tabs>
          <w:tab w:val="right" w:leader="dot" w:pos="8486"/>
        </w:tabs>
        <w:rPr>
          <w:rFonts w:eastAsiaTheme="minorEastAsia" w:cstheme="minorBidi"/>
          <w:noProof/>
          <w:sz w:val="22"/>
          <w:szCs w:val="22"/>
          <w:lang w:bidi="ar-SA"/>
        </w:rPr>
      </w:pPr>
      <w:hyperlink w:anchor="_Toc464499099" w:history="1">
        <w:r w:rsidR="00F71CCD" w:rsidRPr="00E06584">
          <w:rPr>
            <w:rStyle w:val="Hyperlink"/>
            <w:noProof/>
          </w:rPr>
          <w:t>Figure 3.11 – Fireplace and Chimney, Volcano House</w:t>
        </w:r>
        <w:r w:rsidR="00F71CCD">
          <w:rPr>
            <w:noProof/>
            <w:webHidden/>
          </w:rPr>
          <w:tab/>
        </w:r>
        <w:r w:rsidR="00F71CCD">
          <w:rPr>
            <w:noProof/>
            <w:webHidden/>
          </w:rPr>
          <w:fldChar w:fldCharType="begin"/>
        </w:r>
        <w:r w:rsidR="00F71CCD">
          <w:rPr>
            <w:noProof/>
            <w:webHidden/>
          </w:rPr>
          <w:instrText xml:space="preserve"> PAGEREF _Toc464499099 \h </w:instrText>
        </w:r>
        <w:r w:rsidR="00F71CCD">
          <w:rPr>
            <w:noProof/>
            <w:webHidden/>
          </w:rPr>
        </w:r>
        <w:r w:rsidR="00F71CCD">
          <w:rPr>
            <w:noProof/>
            <w:webHidden/>
          </w:rPr>
          <w:fldChar w:fldCharType="separate"/>
        </w:r>
        <w:r w:rsidR="00FE5897">
          <w:rPr>
            <w:noProof/>
            <w:webHidden/>
          </w:rPr>
          <w:t>108</w:t>
        </w:r>
        <w:r w:rsidR="00F71CCD">
          <w:rPr>
            <w:noProof/>
            <w:webHidden/>
          </w:rPr>
          <w:fldChar w:fldCharType="end"/>
        </w:r>
      </w:hyperlink>
    </w:p>
    <w:p w14:paraId="7B4CA298" w14:textId="29CB4C1D" w:rsidR="00F71CCD" w:rsidRDefault="00B31D83">
      <w:pPr>
        <w:pStyle w:val="TableofFigures"/>
        <w:tabs>
          <w:tab w:val="right" w:leader="dot" w:pos="8486"/>
        </w:tabs>
        <w:rPr>
          <w:rFonts w:eastAsiaTheme="minorEastAsia" w:cstheme="minorBidi"/>
          <w:noProof/>
          <w:sz w:val="22"/>
          <w:szCs w:val="22"/>
          <w:lang w:bidi="ar-SA"/>
        </w:rPr>
      </w:pPr>
      <w:hyperlink w:anchor="_Toc464499100" w:history="1">
        <w:r w:rsidR="00F71CCD" w:rsidRPr="00E06584">
          <w:rPr>
            <w:rStyle w:val="Hyperlink"/>
            <w:noProof/>
          </w:rPr>
          <w:t xml:space="preserve">Figure 3.12 – </w:t>
        </w:r>
        <w:r w:rsidR="00F71CCD" w:rsidRPr="00E06584">
          <w:rPr>
            <w:rStyle w:val="Hyperlink"/>
            <w:i/>
            <w:noProof/>
          </w:rPr>
          <w:t>Kilauea in Action</w:t>
        </w:r>
        <w:r w:rsidR="00F71CCD">
          <w:rPr>
            <w:noProof/>
            <w:webHidden/>
          </w:rPr>
          <w:tab/>
        </w:r>
        <w:r w:rsidR="00F71CCD">
          <w:rPr>
            <w:noProof/>
            <w:webHidden/>
          </w:rPr>
          <w:fldChar w:fldCharType="begin"/>
        </w:r>
        <w:r w:rsidR="00F71CCD">
          <w:rPr>
            <w:noProof/>
            <w:webHidden/>
          </w:rPr>
          <w:instrText xml:space="preserve"> PAGEREF _Toc464499100 \h </w:instrText>
        </w:r>
        <w:r w:rsidR="00F71CCD">
          <w:rPr>
            <w:noProof/>
            <w:webHidden/>
          </w:rPr>
        </w:r>
        <w:r w:rsidR="00F71CCD">
          <w:rPr>
            <w:noProof/>
            <w:webHidden/>
          </w:rPr>
          <w:fldChar w:fldCharType="separate"/>
        </w:r>
        <w:r w:rsidR="00FE5897">
          <w:rPr>
            <w:noProof/>
            <w:webHidden/>
          </w:rPr>
          <w:t>108</w:t>
        </w:r>
        <w:r w:rsidR="00F71CCD">
          <w:rPr>
            <w:noProof/>
            <w:webHidden/>
          </w:rPr>
          <w:fldChar w:fldCharType="end"/>
        </w:r>
      </w:hyperlink>
    </w:p>
    <w:p w14:paraId="4606A3E5" w14:textId="160032E6" w:rsidR="00F71CCD" w:rsidRDefault="00B31D83">
      <w:pPr>
        <w:pStyle w:val="TableofFigures"/>
        <w:tabs>
          <w:tab w:val="right" w:leader="dot" w:pos="8486"/>
        </w:tabs>
        <w:rPr>
          <w:rFonts w:eastAsiaTheme="minorEastAsia" w:cstheme="minorBidi"/>
          <w:noProof/>
          <w:sz w:val="22"/>
          <w:szCs w:val="22"/>
          <w:lang w:bidi="ar-SA"/>
        </w:rPr>
      </w:pPr>
      <w:hyperlink w:anchor="_Toc464499101" w:history="1">
        <w:r w:rsidR="00F71CCD" w:rsidRPr="00E06584">
          <w:rPr>
            <w:rStyle w:val="Hyperlink"/>
            <w:noProof/>
          </w:rPr>
          <w:t>Figure 3.13 – Illustrations of World’s Fair Cyclorama</w:t>
        </w:r>
        <w:r w:rsidR="00F71CCD">
          <w:rPr>
            <w:noProof/>
            <w:webHidden/>
          </w:rPr>
          <w:tab/>
        </w:r>
        <w:r w:rsidR="00F71CCD">
          <w:rPr>
            <w:noProof/>
            <w:webHidden/>
          </w:rPr>
          <w:fldChar w:fldCharType="begin"/>
        </w:r>
        <w:r w:rsidR="00F71CCD">
          <w:rPr>
            <w:noProof/>
            <w:webHidden/>
          </w:rPr>
          <w:instrText xml:space="preserve"> PAGEREF _Toc464499101 \h </w:instrText>
        </w:r>
        <w:r w:rsidR="00F71CCD">
          <w:rPr>
            <w:noProof/>
            <w:webHidden/>
          </w:rPr>
        </w:r>
        <w:r w:rsidR="00F71CCD">
          <w:rPr>
            <w:noProof/>
            <w:webHidden/>
          </w:rPr>
          <w:fldChar w:fldCharType="separate"/>
        </w:r>
        <w:r w:rsidR="00FE5897">
          <w:rPr>
            <w:noProof/>
            <w:webHidden/>
          </w:rPr>
          <w:t>109</w:t>
        </w:r>
        <w:r w:rsidR="00F71CCD">
          <w:rPr>
            <w:noProof/>
            <w:webHidden/>
          </w:rPr>
          <w:fldChar w:fldCharType="end"/>
        </w:r>
      </w:hyperlink>
    </w:p>
    <w:p w14:paraId="07CA59A4" w14:textId="378F43F4" w:rsidR="00F71CCD" w:rsidRDefault="00B31D83">
      <w:pPr>
        <w:pStyle w:val="TableofFigures"/>
        <w:tabs>
          <w:tab w:val="right" w:leader="dot" w:pos="8486"/>
        </w:tabs>
        <w:rPr>
          <w:rFonts w:eastAsiaTheme="minorEastAsia" w:cstheme="minorBidi"/>
          <w:noProof/>
          <w:sz w:val="22"/>
          <w:szCs w:val="22"/>
          <w:lang w:bidi="ar-SA"/>
        </w:rPr>
      </w:pPr>
      <w:hyperlink w:anchor="_Toc464499102" w:history="1">
        <w:r w:rsidR="00F71CCD" w:rsidRPr="00E06584">
          <w:rPr>
            <w:rStyle w:val="Hyperlink"/>
            <w:noProof/>
          </w:rPr>
          <w:t xml:space="preserve">Figure 3.14 – </w:t>
        </w:r>
        <w:r w:rsidR="00F71CCD" w:rsidRPr="00E06584">
          <w:rPr>
            <w:rStyle w:val="Hyperlink"/>
            <w:rFonts w:ascii="Times New Roman" w:hAnsi="Times New Roman"/>
            <w:noProof/>
          </w:rPr>
          <w:t>Titian Ramsay Peale,</w:t>
        </w:r>
        <w:r w:rsidR="00F71CCD" w:rsidRPr="00E06584">
          <w:rPr>
            <w:rStyle w:val="Hyperlink"/>
            <w:rFonts w:ascii="Times New Roman" w:hAnsi="Times New Roman"/>
            <w:i/>
            <w:noProof/>
          </w:rPr>
          <w:t xml:space="preserve"> Kilauea by Day</w:t>
        </w:r>
        <w:r w:rsidR="00F71CCD">
          <w:rPr>
            <w:noProof/>
            <w:webHidden/>
          </w:rPr>
          <w:tab/>
        </w:r>
        <w:r w:rsidR="00F71CCD">
          <w:rPr>
            <w:noProof/>
            <w:webHidden/>
          </w:rPr>
          <w:fldChar w:fldCharType="begin"/>
        </w:r>
        <w:r w:rsidR="00F71CCD">
          <w:rPr>
            <w:noProof/>
            <w:webHidden/>
          </w:rPr>
          <w:instrText xml:space="preserve"> PAGEREF _Toc464499102 \h </w:instrText>
        </w:r>
        <w:r w:rsidR="00F71CCD">
          <w:rPr>
            <w:noProof/>
            <w:webHidden/>
          </w:rPr>
        </w:r>
        <w:r w:rsidR="00F71CCD">
          <w:rPr>
            <w:noProof/>
            <w:webHidden/>
          </w:rPr>
          <w:fldChar w:fldCharType="separate"/>
        </w:r>
        <w:r w:rsidR="00FE5897">
          <w:rPr>
            <w:noProof/>
            <w:webHidden/>
          </w:rPr>
          <w:t>109</w:t>
        </w:r>
        <w:r w:rsidR="00F71CCD">
          <w:rPr>
            <w:noProof/>
            <w:webHidden/>
          </w:rPr>
          <w:fldChar w:fldCharType="end"/>
        </w:r>
      </w:hyperlink>
    </w:p>
    <w:p w14:paraId="78DDAD0F" w14:textId="3317997A" w:rsidR="00F71CCD" w:rsidRDefault="00B31D83">
      <w:pPr>
        <w:pStyle w:val="TableofFigures"/>
        <w:tabs>
          <w:tab w:val="right" w:leader="dot" w:pos="8486"/>
        </w:tabs>
        <w:rPr>
          <w:rFonts w:eastAsiaTheme="minorEastAsia" w:cstheme="minorBidi"/>
          <w:noProof/>
          <w:sz w:val="22"/>
          <w:szCs w:val="22"/>
          <w:lang w:bidi="ar-SA"/>
        </w:rPr>
      </w:pPr>
      <w:hyperlink w:anchor="_Toc464499103" w:history="1">
        <w:r w:rsidR="00F71CCD" w:rsidRPr="00E06584">
          <w:rPr>
            <w:rStyle w:val="Hyperlink"/>
            <w:noProof/>
          </w:rPr>
          <w:t xml:space="preserve">Figure 3.15 </w:t>
        </w:r>
        <w:r w:rsidR="00202848">
          <w:rPr>
            <w:rStyle w:val="Hyperlink"/>
            <w:noProof/>
          </w:rPr>
          <w:t>–</w:t>
        </w:r>
        <w:r w:rsidR="00F71CCD" w:rsidRPr="00E06584">
          <w:rPr>
            <w:rStyle w:val="Hyperlink"/>
            <w:noProof/>
          </w:rPr>
          <w:t xml:space="preserve"> </w:t>
        </w:r>
        <w:r w:rsidR="00F71CCD" w:rsidRPr="00E06584">
          <w:rPr>
            <w:rStyle w:val="Hyperlink"/>
            <w:rFonts w:ascii="Times New Roman" w:hAnsi="Times New Roman"/>
            <w:noProof/>
          </w:rPr>
          <w:t xml:space="preserve">Detail, </w:t>
        </w:r>
        <w:r w:rsidR="00F71CCD" w:rsidRPr="00E06584">
          <w:rPr>
            <w:rStyle w:val="Hyperlink"/>
            <w:rFonts w:ascii="Times New Roman" w:hAnsi="Times New Roman"/>
            <w:i/>
            <w:noProof/>
          </w:rPr>
          <w:t>Kilauea by Day</w:t>
        </w:r>
        <w:r w:rsidR="00F71CCD">
          <w:rPr>
            <w:noProof/>
            <w:webHidden/>
          </w:rPr>
          <w:tab/>
        </w:r>
        <w:r w:rsidR="00F71CCD">
          <w:rPr>
            <w:noProof/>
            <w:webHidden/>
          </w:rPr>
          <w:fldChar w:fldCharType="begin"/>
        </w:r>
        <w:r w:rsidR="00F71CCD">
          <w:rPr>
            <w:noProof/>
            <w:webHidden/>
          </w:rPr>
          <w:instrText xml:space="preserve"> PAGEREF _Toc464499103 \h </w:instrText>
        </w:r>
        <w:r w:rsidR="00F71CCD">
          <w:rPr>
            <w:noProof/>
            <w:webHidden/>
          </w:rPr>
        </w:r>
        <w:r w:rsidR="00F71CCD">
          <w:rPr>
            <w:noProof/>
            <w:webHidden/>
          </w:rPr>
          <w:fldChar w:fldCharType="separate"/>
        </w:r>
        <w:r w:rsidR="00FE5897">
          <w:rPr>
            <w:noProof/>
            <w:webHidden/>
          </w:rPr>
          <w:t>110</w:t>
        </w:r>
        <w:r w:rsidR="00F71CCD">
          <w:rPr>
            <w:noProof/>
            <w:webHidden/>
          </w:rPr>
          <w:fldChar w:fldCharType="end"/>
        </w:r>
      </w:hyperlink>
    </w:p>
    <w:p w14:paraId="6B451966" w14:textId="43918116" w:rsidR="00F71CCD" w:rsidRDefault="00B31D83">
      <w:pPr>
        <w:pStyle w:val="TableofFigures"/>
        <w:tabs>
          <w:tab w:val="right" w:leader="dot" w:pos="8486"/>
        </w:tabs>
        <w:rPr>
          <w:rFonts w:eastAsiaTheme="minorEastAsia" w:cstheme="minorBidi"/>
          <w:noProof/>
          <w:sz w:val="22"/>
          <w:szCs w:val="22"/>
          <w:lang w:bidi="ar-SA"/>
        </w:rPr>
      </w:pPr>
      <w:hyperlink w:anchor="_Toc464499104" w:history="1">
        <w:r w:rsidR="00F71CCD" w:rsidRPr="00E06584">
          <w:rPr>
            <w:rStyle w:val="Hyperlink"/>
            <w:noProof/>
          </w:rPr>
          <w:t xml:space="preserve">Figure 3.16 </w:t>
        </w:r>
        <w:r w:rsidR="00202848">
          <w:rPr>
            <w:rStyle w:val="Hyperlink"/>
            <w:noProof/>
          </w:rPr>
          <w:t>–</w:t>
        </w:r>
        <w:r w:rsidR="00F71CCD" w:rsidRPr="00E06584">
          <w:rPr>
            <w:rStyle w:val="Hyperlink"/>
            <w:noProof/>
          </w:rPr>
          <w:t xml:space="preserve"> Alexander Lancaster</w:t>
        </w:r>
        <w:r w:rsidR="00F71CCD">
          <w:rPr>
            <w:noProof/>
            <w:webHidden/>
          </w:rPr>
          <w:tab/>
        </w:r>
        <w:r w:rsidR="00F71CCD">
          <w:rPr>
            <w:noProof/>
            <w:webHidden/>
          </w:rPr>
          <w:fldChar w:fldCharType="begin"/>
        </w:r>
        <w:r w:rsidR="00F71CCD">
          <w:rPr>
            <w:noProof/>
            <w:webHidden/>
          </w:rPr>
          <w:instrText xml:space="preserve"> PAGEREF _Toc464499104 \h </w:instrText>
        </w:r>
        <w:r w:rsidR="00F71CCD">
          <w:rPr>
            <w:noProof/>
            <w:webHidden/>
          </w:rPr>
        </w:r>
        <w:r w:rsidR="00F71CCD">
          <w:rPr>
            <w:noProof/>
            <w:webHidden/>
          </w:rPr>
          <w:fldChar w:fldCharType="separate"/>
        </w:r>
        <w:r w:rsidR="00FE5897">
          <w:rPr>
            <w:noProof/>
            <w:webHidden/>
          </w:rPr>
          <w:t>110</w:t>
        </w:r>
        <w:r w:rsidR="00F71CCD">
          <w:rPr>
            <w:noProof/>
            <w:webHidden/>
          </w:rPr>
          <w:fldChar w:fldCharType="end"/>
        </w:r>
      </w:hyperlink>
    </w:p>
    <w:p w14:paraId="54EC4F1F" w14:textId="0D513F13" w:rsidR="00F71CCD" w:rsidRDefault="00B31D83">
      <w:pPr>
        <w:pStyle w:val="TableofFigures"/>
        <w:tabs>
          <w:tab w:val="right" w:leader="dot" w:pos="8486"/>
        </w:tabs>
        <w:rPr>
          <w:rFonts w:eastAsiaTheme="minorEastAsia" w:cstheme="minorBidi"/>
          <w:noProof/>
          <w:sz w:val="22"/>
          <w:szCs w:val="22"/>
          <w:lang w:bidi="ar-SA"/>
        </w:rPr>
      </w:pPr>
      <w:hyperlink w:anchor="_Toc464499105" w:history="1">
        <w:r w:rsidR="00F71CCD" w:rsidRPr="00E06584">
          <w:rPr>
            <w:rStyle w:val="Hyperlink"/>
            <w:noProof/>
          </w:rPr>
          <w:t>Figure 3.17 – View of Kilauea, 2012</w:t>
        </w:r>
        <w:r w:rsidR="00F71CCD">
          <w:rPr>
            <w:noProof/>
            <w:webHidden/>
          </w:rPr>
          <w:tab/>
        </w:r>
        <w:r w:rsidR="00F71CCD">
          <w:rPr>
            <w:noProof/>
            <w:webHidden/>
          </w:rPr>
          <w:fldChar w:fldCharType="begin"/>
        </w:r>
        <w:r w:rsidR="00F71CCD">
          <w:rPr>
            <w:noProof/>
            <w:webHidden/>
          </w:rPr>
          <w:instrText xml:space="preserve"> PAGEREF _Toc464499105 \h </w:instrText>
        </w:r>
        <w:r w:rsidR="00F71CCD">
          <w:rPr>
            <w:noProof/>
            <w:webHidden/>
          </w:rPr>
        </w:r>
        <w:r w:rsidR="00F71CCD">
          <w:rPr>
            <w:noProof/>
            <w:webHidden/>
          </w:rPr>
          <w:fldChar w:fldCharType="separate"/>
        </w:r>
        <w:r w:rsidR="00FE5897">
          <w:rPr>
            <w:noProof/>
            <w:webHidden/>
          </w:rPr>
          <w:t>111</w:t>
        </w:r>
        <w:r w:rsidR="00F71CCD">
          <w:rPr>
            <w:noProof/>
            <w:webHidden/>
          </w:rPr>
          <w:fldChar w:fldCharType="end"/>
        </w:r>
      </w:hyperlink>
    </w:p>
    <w:p w14:paraId="08A435DA" w14:textId="2DD14531" w:rsidR="00F71CCD" w:rsidRDefault="00B31D83">
      <w:pPr>
        <w:pStyle w:val="TableofFigures"/>
        <w:tabs>
          <w:tab w:val="right" w:leader="dot" w:pos="8486"/>
        </w:tabs>
        <w:rPr>
          <w:rFonts w:eastAsiaTheme="minorEastAsia" w:cstheme="minorBidi"/>
          <w:noProof/>
          <w:sz w:val="22"/>
          <w:szCs w:val="22"/>
          <w:lang w:bidi="ar-SA"/>
        </w:rPr>
      </w:pPr>
      <w:hyperlink w:anchor="_Toc464499106" w:history="1">
        <w:r w:rsidR="00F71CCD" w:rsidRPr="00E06584">
          <w:rPr>
            <w:rStyle w:val="Hyperlink"/>
            <w:noProof/>
          </w:rPr>
          <w:t xml:space="preserve">Figure 4.1 – Walter Ufer, </w:t>
        </w:r>
        <w:r w:rsidR="00F71CCD" w:rsidRPr="00E06584">
          <w:rPr>
            <w:rStyle w:val="Hyperlink"/>
            <w:i/>
            <w:noProof/>
          </w:rPr>
          <w:t>Their Audience</w:t>
        </w:r>
        <w:r w:rsidR="00F71CCD">
          <w:rPr>
            <w:noProof/>
            <w:webHidden/>
          </w:rPr>
          <w:tab/>
        </w:r>
        <w:r w:rsidR="00F71CCD">
          <w:rPr>
            <w:noProof/>
            <w:webHidden/>
          </w:rPr>
          <w:fldChar w:fldCharType="begin"/>
        </w:r>
        <w:r w:rsidR="00F71CCD">
          <w:rPr>
            <w:noProof/>
            <w:webHidden/>
          </w:rPr>
          <w:instrText xml:space="preserve"> PAGEREF _Toc464499106 \h </w:instrText>
        </w:r>
        <w:r w:rsidR="00F71CCD">
          <w:rPr>
            <w:noProof/>
            <w:webHidden/>
          </w:rPr>
        </w:r>
        <w:r w:rsidR="00F71CCD">
          <w:rPr>
            <w:noProof/>
            <w:webHidden/>
          </w:rPr>
          <w:fldChar w:fldCharType="separate"/>
        </w:r>
        <w:r w:rsidR="00FE5897">
          <w:rPr>
            <w:noProof/>
            <w:webHidden/>
          </w:rPr>
          <w:t>160</w:t>
        </w:r>
        <w:r w:rsidR="00F71CCD">
          <w:rPr>
            <w:noProof/>
            <w:webHidden/>
          </w:rPr>
          <w:fldChar w:fldCharType="end"/>
        </w:r>
      </w:hyperlink>
    </w:p>
    <w:p w14:paraId="1EB29AA7" w14:textId="611ED77F" w:rsidR="00F71CCD" w:rsidRDefault="00B31D83">
      <w:pPr>
        <w:pStyle w:val="TableofFigures"/>
        <w:tabs>
          <w:tab w:val="right" w:leader="dot" w:pos="8486"/>
        </w:tabs>
        <w:rPr>
          <w:rFonts w:eastAsiaTheme="minorEastAsia" w:cstheme="minorBidi"/>
          <w:noProof/>
          <w:sz w:val="22"/>
          <w:szCs w:val="22"/>
          <w:lang w:bidi="ar-SA"/>
        </w:rPr>
      </w:pPr>
      <w:hyperlink w:anchor="_Toc464499107" w:history="1">
        <w:r w:rsidR="00F71CCD" w:rsidRPr="00E06584">
          <w:rPr>
            <w:rStyle w:val="Hyperlink"/>
            <w:noProof/>
          </w:rPr>
          <w:t>Figure 4.2 – Walter Ufer at San Geronimo Dance</w:t>
        </w:r>
        <w:r w:rsidR="00F71CCD">
          <w:rPr>
            <w:noProof/>
            <w:webHidden/>
          </w:rPr>
          <w:tab/>
        </w:r>
        <w:r w:rsidR="00F71CCD">
          <w:rPr>
            <w:noProof/>
            <w:webHidden/>
          </w:rPr>
          <w:fldChar w:fldCharType="begin"/>
        </w:r>
        <w:r w:rsidR="00F71CCD">
          <w:rPr>
            <w:noProof/>
            <w:webHidden/>
          </w:rPr>
          <w:instrText xml:space="preserve"> PAGEREF _Toc464499107 \h </w:instrText>
        </w:r>
        <w:r w:rsidR="00F71CCD">
          <w:rPr>
            <w:noProof/>
            <w:webHidden/>
          </w:rPr>
        </w:r>
        <w:r w:rsidR="00F71CCD">
          <w:rPr>
            <w:noProof/>
            <w:webHidden/>
          </w:rPr>
          <w:fldChar w:fldCharType="separate"/>
        </w:r>
        <w:r w:rsidR="00FE5897">
          <w:rPr>
            <w:noProof/>
            <w:webHidden/>
          </w:rPr>
          <w:t>160</w:t>
        </w:r>
        <w:r w:rsidR="00F71CCD">
          <w:rPr>
            <w:noProof/>
            <w:webHidden/>
          </w:rPr>
          <w:fldChar w:fldCharType="end"/>
        </w:r>
      </w:hyperlink>
    </w:p>
    <w:p w14:paraId="44E3C3D2" w14:textId="233550EE" w:rsidR="00F71CCD" w:rsidRDefault="00B31D83">
      <w:pPr>
        <w:pStyle w:val="TableofFigures"/>
        <w:tabs>
          <w:tab w:val="right" w:leader="dot" w:pos="8486"/>
        </w:tabs>
        <w:rPr>
          <w:rFonts w:eastAsiaTheme="minorEastAsia" w:cstheme="minorBidi"/>
          <w:noProof/>
          <w:sz w:val="22"/>
          <w:szCs w:val="22"/>
          <w:lang w:bidi="ar-SA"/>
        </w:rPr>
      </w:pPr>
      <w:hyperlink w:anchor="_Toc464499108" w:history="1">
        <w:r w:rsidR="00F71CCD" w:rsidRPr="00E06584">
          <w:rPr>
            <w:rStyle w:val="Hyperlink"/>
            <w:rFonts w:asciiTheme="majorHAnsi" w:hAnsiTheme="majorHAnsi" w:cstheme="majorHAnsi"/>
            <w:noProof/>
          </w:rPr>
          <w:t xml:space="preserve">Figure 4.3 – E.I. Couse. </w:t>
        </w:r>
        <w:r w:rsidR="00F71CCD" w:rsidRPr="00E06584">
          <w:rPr>
            <w:rStyle w:val="Hyperlink"/>
            <w:rFonts w:asciiTheme="majorHAnsi" w:hAnsiTheme="majorHAnsi" w:cstheme="majorHAnsi"/>
            <w:i/>
            <w:noProof/>
          </w:rPr>
          <w:t>Pottery Vendor</w:t>
        </w:r>
        <w:r w:rsidR="00F71CCD">
          <w:rPr>
            <w:noProof/>
            <w:webHidden/>
          </w:rPr>
          <w:tab/>
        </w:r>
        <w:r w:rsidR="00F71CCD">
          <w:rPr>
            <w:noProof/>
            <w:webHidden/>
          </w:rPr>
          <w:fldChar w:fldCharType="begin"/>
        </w:r>
        <w:r w:rsidR="00F71CCD">
          <w:rPr>
            <w:noProof/>
            <w:webHidden/>
          </w:rPr>
          <w:instrText xml:space="preserve"> PAGEREF _Toc464499108 \h </w:instrText>
        </w:r>
        <w:r w:rsidR="00F71CCD">
          <w:rPr>
            <w:noProof/>
            <w:webHidden/>
          </w:rPr>
        </w:r>
        <w:r w:rsidR="00F71CCD">
          <w:rPr>
            <w:noProof/>
            <w:webHidden/>
          </w:rPr>
          <w:fldChar w:fldCharType="separate"/>
        </w:r>
        <w:r w:rsidR="00FE5897">
          <w:rPr>
            <w:noProof/>
            <w:webHidden/>
          </w:rPr>
          <w:t>161</w:t>
        </w:r>
        <w:r w:rsidR="00F71CCD">
          <w:rPr>
            <w:noProof/>
            <w:webHidden/>
          </w:rPr>
          <w:fldChar w:fldCharType="end"/>
        </w:r>
      </w:hyperlink>
    </w:p>
    <w:p w14:paraId="70DC303E" w14:textId="5D11841D" w:rsidR="00F71CCD" w:rsidRDefault="00B31D83">
      <w:pPr>
        <w:pStyle w:val="TableofFigures"/>
        <w:tabs>
          <w:tab w:val="right" w:leader="dot" w:pos="8486"/>
        </w:tabs>
        <w:rPr>
          <w:rFonts w:eastAsiaTheme="minorEastAsia" w:cstheme="minorBidi"/>
          <w:noProof/>
          <w:sz w:val="22"/>
          <w:szCs w:val="22"/>
          <w:lang w:bidi="ar-SA"/>
        </w:rPr>
      </w:pPr>
      <w:hyperlink w:anchor="_Toc464499109" w:history="1">
        <w:r w:rsidR="00F71CCD" w:rsidRPr="00E06584">
          <w:rPr>
            <w:rStyle w:val="Hyperlink"/>
            <w:noProof/>
          </w:rPr>
          <w:t xml:space="preserve">Figure 4.4 – E.I. Couse, </w:t>
        </w:r>
        <w:r w:rsidR="00F71CCD" w:rsidRPr="00E06584">
          <w:rPr>
            <w:rStyle w:val="Hyperlink"/>
            <w:i/>
            <w:noProof/>
          </w:rPr>
          <w:t>Moki Snake Dance</w:t>
        </w:r>
        <w:r w:rsidR="00F71CCD">
          <w:rPr>
            <w:noProof/>
            <w:webHidden/>
          </w:rPr>
          <w:tab/>
        </w:r>
        <w:r w:rsidR="00F71CCD">
          <w:rPr>
            <w:noProof/>
            <w:webHidden/>
          </w:rPr>
          <w:fldChar w:fldCharType="begin"/>
        </w:r>
        <w:r w:rsidR="00F71CCD">
          <w:rPr>
            <w:noProof/>
            <w:webHidden/>
          </w:rPr>
          <w:instrText xml:space="preserve"> PAGEREF _Toc464499109 \h </w:instrText>
        </w:r>
        <w:r w:rsidR="00F71CCD">
          <w:rPr>
            <w:noProof/>
            <w:webHidden/>
          </w:rPr>
        </w:r>
        <w:r w:rsidR="00F71CCD">
          <w:rPr>
            <w:noProof/>
            <w:webHidden/>
          </w:rPr>
          <w:fldChar w:fldCharType="separate"/>
        </w:r>
        <w:r w:rsidR="00FE5897">
          <w:rPr>
            <w:noProof/>
            <w:webHidden/>
          </w:rPr>
          <w:t>161</w:t>
        </w:r>
        <w:r w:rsidR="00F71CCD">
          <w:rPr>
            <w:noProof/>
            <w:webHidden/>
          </w:rPr>
          <w:fldChar w:fldCharType="end"/>
        </w:r>
      </w:hyperlink>
    </w:p>
    <w:p w14:paraId="4A33BC60" w14:textId="7C98EFEC" w:rsidR="00F71CCD" w:rsidRDefault="00B31D83">
      <w:pPr>
        <w:pStyle w:val="TableofFigures"/>
        <w:tabs>
          <w:tab w:val="right" w:leader="dot" w:pos="8486"/>
        </w:tabs>
        <w:rPr>
          <w:rFonts w:eastAsiaTheme="minorEastAsia" w:cstheme="minorBidi"/>
          <w:noProof/>
          <w:sz w:val="22"/>
          <w:szCs w:val="22"/>
          <w:lang w:bidi="ar-SA"/>
        </w:rPr>
      </w:pPr>
      <w:hyperlink w:anchor="_Toc464499110" w:history="1">
        <w:r w:rsidR="00F71CCD" w:rsidRPr="00E06584">
          <w:rPr>
            <w:rStyle w:val="Hyperlink"/>
            <w:noProof/>
          </w:rPr>
          <w:t xml:space="preserve">Figure 4.5 – Woody Crumbo, </w:t>
        </w:r>
        <w:r w:rsidR="00F71CCD" w:rsidRPr="00E06584">
          <w:rPr>
            <w:rStyle w:val="Hyperlink"/>
            <w:i/>
            <w:noProof/>
          </w:rPr>
          <w:t>Land of Enchantment</w:t>
        </w:r>
        <w:r w:rsidR="00F71CCD">
          <w:rPr>
            <w:noProof/>
            <w:webHidden/>
          </w:rPr>
          <w:tab/>
        </w:r>
        <w:r w:rsidR="00F71CCD">
          <w:rPr>
            <w:noProof/>
            <w:webHidden/>
          </w:rPr>
          <w:fldChar w:fldCharType="begin"/>
        </w:r>
        <w:r w:rsidR="00F71CCD">
          <w:rPr>
            <w:noProof/>
            <w:webHidden/>
          </w:rPr>
          <w:instrText xml:space="preserve"> PAGEREF _Toc464499110 \h </w:instrText>
        </w:r>
        <w:r w:rsidR="00F71CCD">
          <w:rPr>
            <w:noProof/>
            <w:webHidden/>
          </w:rPr>
        </w:r>
        <w:r w:rsidR="00F71CCD">
          <w:rPr>
            <w:noProof/>
            <w:webHidden/>
          </w:rPr>
          <w:fldChar w:fldCharType="separate"/>
        </w:r>
        <w:r w:rsidR="00FE5897">
          <w:rPr>
            <w:noProof/>
            <w:webHidden/>
          </w:rPr>
          <w:t>162</w:t>
        </w:r>
        <w:r w:rsidR="00F71CCD">
          <w:rPr>
            <w:noProof/>
            <w:webHidden/>
          </w:rPr>
          <w:fldChar w:fldCharType="end"/>
        </w:r>
      </w:hyperlink>
    </w:p>
    <w:p w14:paraId="3DCE8079" w14:textId="345418C0" w:rsidR="00F71CCD" w:rsidRDefault="00B31D83">
      <w:pPr>
        <w:pStyle w:val="TableofFigures"/>
        <w:tabs>
          <w:tab w:val="right" w:leader="dot" w:pos="8486"/>
        </w:tabs>
        <w:rPr>
          <w:rFonts w:eastAsiaTheme="minorEastAsia" w:cstheme="minorBidi"/>
          <w:noProof/>
          <w:sz w:val="22"/>
          <w:szCs w:val="22"/>
          <w:lang w:bidi="ar-SA"/>
        </w:rPr>
      </w:pPr>
      <w:hyperlink w:anchor="_Toc464499111" w:history="1">
        <w:r w:rsidR="00F71CCD" w:rsidRPr="00E06584">
          <w:rPr>
            <w:rStyle w:val="Hyperlink"/>
            <w:noProof/>
          </w:rPr>
          <w:t xml:space="preserve">Figure 4.6 – Walter Ufer, </w:t>
        </w:r>
        <w:r w:rsidR="00F71CCD" w:rsidRPr="00E06584">
          <w:rPr>
            <w:rStyle w:val="Hyperlink"/>
            <w:i/>
            <w:noProof/>
          </w:rPr>
          <w:t>Land of Ma</w:t>
        </w:r>
        <w:r w:rsidR="00F71CCD" w:rsidRPr="00E06584">
          <w:rPr>
            <w:rStyle w:val="Hyperlink"/>
            <w:rFonts w:cstheme="majorHAnsi"/>
            <w:i/>
            <w:noProof/>
          </w:rPr>
          <w:t>ň</w:t>
        </w:r>
        <w:r w:rsidR="00F71CCD" w:rsidRPr="00E06584">
          <w:rPr>
            <w:rStyle w:val="Hyperlink"/>
            <w:i/>
            <w:noProof/>
          </w:rPr>
          <w:t>ana</w:t>
        </w:r>
        <w:r w:rsidR="00F71CCD">
          <w:rPr>
            <w:noProof/>
            <w:webHidden/>
          </w:rPr>
          <w:tab/>
        </w:r>
        <w:r w:rsidR="00F71CCD">
          <w:rPr>
            <w:noProof/>
            <w:webHidden/>
          </w:rPr>
          <w:fldChar w:fldCharType="begin"/>
        </w:r>
        <w:r w:rsidR="00F71CCD">
          <w:rPr>
            <w:noProof/>
            <w:webHidden/>
          </w:rPr>
          <w:instrText xml:space="preserve"> PAGEREF _Toc464499111 \h </w:instrText>
        </w:r>
        <w:r w:rsidR="00F71CCD">
          <w:rPr>
            <w:noProof/>
            <w:webHidden/>
          </w:rPr>
        </w:r>
        <w:r w:rsidR="00F71CCD">
          <w:rPr>
            <w:noProof/>
            <w:webHidden/>
          </w:rPr>
          <w:fldChar w:fldCharType="separate"/>
        </w:r>
        <w:r w:rsidR="00FE5897">
          <w:rPr>
            <w:noProof/>
            <w:webHidden/>
          </w:rPr>
          <w:t>162</w:t>
        </w:r>
        <w:r w:rsidR="00F71CCD">
          <w:rPr>
            <w:noProof/>
            <w:webHidden/>
          </w:rPr>
          <w:fldChar w:fldCharType="end"/>
        </w:r>
      </w:hyperlink>
    </w:p>
    <w:p w14:paraId="36237461" w14:textId="3848084C" w:rsidR="00F71CCD" w:rsidRDefault="00B31D83">
      <w:pPr>
        <w:pStyle w:val="TableofFigures"/>
        <w:tabs>
          <w:tab w:val="right" w:leader="dot" w:pos="8486"/>
        </w:tabs>
        <w:rPr>
          <w:rFonts w:eastAsiaTheme="minorEastAsia" w:cstheme="minorBidi"/>
          <w:noProof/>
          <w:sz w:val="22"/>
          <w:szCs w:val="22"/>
          <w:lang w:bidi="ar-SA"/>
        </w:rPr>
      </w:pPr>
      <w:hyperlink w:anchor="_Toc464499112" w:history="1">
        <w:r w:rsidR="00F71CCD" w:rsidRPr="00E06584">
          <w:rPr>
            <w:rStyle w:val="Hyperlink"/>
            <w:noProof/>
          </w:rPr>
          <w:t xml:space="preserve">Figure 4.7 – Detail, </w:t>
        </w:r>
        <w:r w:rsidR="00F71CCD" w:rsidRPr="00E06584">
          <w:rPr>
            <w:rStyle w:val="Hyperlink"/>
            <w:i/>
            <w:noProof/>
          </w:rPr>
          <w:t>Land of Ma</w:t>
        </w:r>
        <w:r w:rsidR="00F71CCD" w:rsidRPr="00E06584">
          <w:rPr>
            <w:rStyle w:val="Hyperlink"/>
            <w:rFonts w:cstheme="majorHAnsi"/>
            <w:i/>
            <w:noProof/>
          </w:rPr>
          <w:t xml:space="preserve">ňana </w:t>
        </w:r>
        <w:r w:rsidR="00F71CCD" w:rsidRPr="00E06584">
          <w:rPr>
            <w:rStyle w:val="Hyperlink"/>
            <w:rFonts w:cstheme="majorHAnsi"/>
            <w:noProof/>
          </w:rPr>
          <w:t xml:space="preserve">and Awa Tsireh, </w:t>
        </w:r>
        <w:r w:rsidR="00F71CCD" w:rsidRPr="00E06584">
          <w:rPr>
            <w:rStyle w:val="Hyperlink"/>
            <w:rFonts w:cstheme="majorHAnsi"/>
            <w:i/>
            <w:noProof/>
          </w:rPr>
          <w:t>Bull and Koshare</w:t>
        </w:r>
        <w:r w:rsidR="00F71CCD">
          <w:rPr>
            <w:noProof/>
            <w:webHidden/>
          </w:rPr>
          <w:tab/>
        </w:r>
        <w:r w:rsidR="00F71CCD">
          <w:rPr>
            <w:noProof/>
            <w:webHidden/>
          </w:rPr>
          <w:fldChar w:fldCharType="begin"/>
        </w:r>
        <w:r w:rsidR="00F71CCD">
          <w:rPr>
            <w:noProof/>
            <w:webHidden/>
          </w:rPr>
          <w:instrText xml:space="preserve"> PAGEREF _Toc464499112 \h </w:instrText>
        </w:r>
        <w:r w:rsidR="00F71CCD">
          <w:rPr>
            <w:noProof/>
            <w:webHidden/>
          </w:rPr>
        </w:r>
        <w:r w:rsidR="00F71CCD">
          <w:rPr>
            <w:noProof/>
            <w:webHidden/>
          </w:rPr>
          <w:fldChar w:fldCharType="separate"/>
        </w:r>
        <w:r w:rsidR="00FE5897">
          <w:rPr>
            <w:noProof/>
            <w:webHidden/>
          </w:rPr>
          <w:t>163</w:t>
        </w:r>
        <w:r w:rsidR="00F71CCD">
          <w:rPr>
            <w:noProof/>
            <w:webHidden/>
          </w:rPr>
          <w:fldChar w:fldCharType="end"/>
        </w:r>
      </w:hyperlink>
    </w:p>
    <w:p w14:paraId="09347F97" w14:textId="63BB0F93" w:rsidR="00F71CCD" w:rsidRDefault="00B31D83">
      <w:pPr>
        <w:pStyle w:val="TableofFigures"/>
        <w:tabs>
          <w:tab w:val="right" w:leader="dot" w:pos="8486"/>
        </w:tabs>
        <w:rPr>
          <w:rFonts w:eastAsiaTheme="minorEastAsia" w:cstheme="minorBidi"/>
          <w:noProof/>
          <w:sz w:val="22"/>
          <w:szCs w:val="22"/>
          <w:lang w:bidi="ar-SA"/>
        </w:rPr>
      </w:pPr>
      <w:hyperlink w:anchor="_Toc464499113" w:history="1">
        <w:r w:rsidR="00F71CCD" w:rsidRPr="00E06584">
          <w:rPr>
            <w:rStyle w:val="Hyperlink"/>
            <w:noProof/>
          </w:rPr>
          <w:t xml:space="preserve">Figure 4.8 – Detail, </w:t>
        </w:r>
        <w:r w:rsidR="00F71CCD" w:rsidRPr="00E06584">
          <w:rPr>
            <w:rStyle w:val="Hyperlink"/>
            <w:i/>
            <w:noProof/>
          </w:rPr>
          <w:t>Jim and His Daughters</w:t>
        </w:r>
        <w:r w:rsidR="00F71CCD" w:rsidRPr="00E06584">
          <w:rPr>
            <w:rStyle w:val="Hyperlink"/>
            <w:noProof/>
          </w:rPr>
          <w:t xml:space="preserve">, and Detail, </w:t>
        </w:r>
        <w:r w:rsidR="00F71CCD" w:rsidRPr="00E06584">
          <w:rPr>
            <w:rStyle w:val="Hyperlink"/>
            <w:i/>
            <w:noProof/>
          </w:rPr>
          <w:t>Self Portrait</w:t>
        </w:r>
        <w:r w:rsidR="00F71CCD">
          <w:rPr>
            <w:noProof/>
            <w:webHidden/>
          </w:rPr>
          <w:tab/>
        </w:r>
        <w:r w:rsidR="00F71CCD">
          <w:rPr>
            <w:noProof/>
            <w:webHidden/>
          </w:rPr>
          <w:fldChar w:fldCharType="begin"/>
        </w:r>
        <w:r w:rsidR="00F71CCD">
          <w:rPr>
            <w:noProof/>
            <w:webHidden/>
          </w:rPr>
          <w:instrText xml:space="preserve"> PAGEREF _Toc464499113 \h </w:instrText>
        </w:r>
        <w:r w:rsidR="00F71CCD">
          <w:rPr>
            <w:noProof/>
            <w:webHidden/>
          </w:rPr>
        </w:r>
        <w:r w:rsidR="00F71CCD">
          <w:rPr>
            <w:noProof/>
            <w:webHidden/>
          </w:rPr>
          <w:fldChar w:fldCharType="separate"/>
        </w:r>
        <w:r w:rsidR="00FE5897">
          <w:rPr>
            <w:noProof/>
            <w:webHidden/>
          </w:rPr>
          <w:t>163</w:t>
        </w:r>
        <w:r w:rsidR="00F71CCD">
          <w:rPr>
            <w:noProof/>
            <w:webHidden/>
          </w:rPr>
          <w:fldChar w:fldCharType="end"/>
        </w:r>
      </w:hyperlink>
    </w:p>
    <w:p w14:paraId="3E0F68DF" w14:textId="40BFD62A" w:rsidR="00F71CCD" w:rsidRDefault="00B31D83">
      <w:pPr>
        <w:pStyle w:val="TableofFigures"/>
        <w:tabs>
          <w:tab w:val="right" w:leader="dot" w:pos="8486"/>
        </w:tabs>
        <w:rPr>
          <w:rFonts w:eastAsiaTheme="minorEastAsia" w:cstheme="minorBidi"/>
          <w:noProof/>
          <w:sz w:val="22"/>
          <w:szCs w:val="22"/>
          <w:lang w:bidi="ar-SA"/>
        </w:rPr>
      </w:pPr>
      <w:hyperlink w:anchor="_Toc464499114" w:history="1">
        <w:r w:rsidR="00F71CCD" w:rsidRPr="00E06584">
          <w:rPr>
            <w:rStyle w:val="Hyperlink"/>
            <w:noProof/>
          </w:rPr>
          <w:t xml:space="preserve">Figure 4.9 – Walter Ufer, </w:t>
        </w:r>
        <w:r w:rsidR="00F71CCD" w:rsidRPr="00E06584">
          <w:rPr>
            <w:rStyle w:val="Hyperlink"/>
            <w:i/>
            <w:noProof/>
          </w:rPr>
          <w:t>Going East</w:t>
        </w:r>
        <w:r w:rsidR="00F71CCD">
          <w:rPr>
            <w:noProof/>
            <w:webHidden/>
          </w:rPr>
          <w:tab/>
        </w:r>
        <w:r w:rsidR="00F71CCD">
          <w:rPr>
            <w:noProof/>
            <w:webHidden/>
          </w:rPr>
          <w:fldChar w:fldCharType="begin"/>
        </w:r>
        <w:r w:rsidR="00F71CCD">
          <w:rPr>
            <w:noProof/>
            <w:webHidden/>
          </w:rPr>
          <w:instrText xml:space="preserve"> PAGEREF _Toc464499114 \h </w:instrText>
        </w:r>
        <w:r w:rsidR="00F71CCD">
          <w:rPr>
            <w:noProof/>
            <w:webHidden/>
          </w:rPr>
        </w:r>
        <w:r w:rsidR="00F71CCD">
          <w:rPr>
            <w:noProof/>
            <w:webHidden/>
          </w:rPr>
          <w:fldChar w:fldCharType="separate"/>
        </w:r>
        <w:r w:rsidR="00FE5897">
          <w:rPr>
            <w:noProof/>
            <w:webHidden/>
          </w:rPr>
          <w:t>164</w:t>
        </w:r>
        <w:r w:rsidR="00F71CCD">
          <w:rPr>
            <w:noProof/>
            <w:webHidden/>
          </w:rPr>
          <w:fldChar w:fldCharType="end"/>
        </w:r>
      </w:hyperlink>
    </w:p>
    <w:p w14:paraId="70370282" w14:textId="6A9022B5" w:rsidR="00F71CCD" w:rsidRDefault="00B31D83">
      <w:pPr>
        <w:pStyle w:val="TableofFigures"/>
        <w:tabs>
          <w:tab w:val="right" w:leader="dot" w:pos="8486"/>
        </w:tabs>
        <w:rPr>
          <w:rFonts w:eastAsiaTheme="minorEastAsia" w:cstheme="minorBidi"/>
          <w:noProof/>
          <w:sz w:val="22"/>
          <w:szCs w:val="22"/>
          <w:lang w:bidi="ar-SA"/>
        </w:rPr>
      </w:pPr>
      <w:hyperlink w:anchor="_Toc464499115" w:history="1">
        <w:r w:rsidR="00F71CCD" w:rsidRPr="00E06584">
          <w:rPr>
            <w:rStyle w:val="Hyperlink"/>
            <w:noProof/>
          </w:rPr>
          <w:t>Figure 4.10 – Chicago Artist Wins Prize in New York</w:t>
        </w:r>
        <w:r w:rsidR="00F71CCD">
          <w:rPr>
            <w:noProof/>
            <w:webHidden/>
          </w:rPr>
          <w:tab/>
        </w:r>
        <w:r w:rsidR="00F71CCD">
          <w:rPr>
            <w:noProof/>
            <w:webHidden/>
          </w:rPr>
          <w:fldChar w:fldCharType="begin"/>
        </w:r>
        <w:r w:rsidR="00F71CCD">
          <w:rPr>
            <w:noProof/>
            <w:webHidden/>
          </w:rPr>
          <w:instrText xml:space="preserve"> PAGEREF _Toc464499115 \h </w:instrText>
        </w:r>
        <w:r w:rsidR="00F71CCD">
          <w:rPr>
            <w:noProof/>
            <w:webHidden/>
          </w:rPr>
        </w:r>
        <w:r w:rsidR="00F71CCD">
          <w:rPr>
            <w:noProof/>
            <w:webHidden/>
          </w:rPr>
          <w:fldChar w:fldCharType="separate"/>
        </w:r>
        <w:r w:rsidR="00FE5897">
          <w:rPr>
            <w:noProof/>
            <w:webHidden/>
          </w:rPr>
          <w:t>164</w:t>
        </w:r>
        <w:r w:rsidR="00F71CCD">
          <w:rPr>
            <w:noProof/>
            <w:webHidden/>
          </w:rPr>
          <w:fldChar w:fldCharType="end"/>
        </w:r>
      </w:hyperlink>
    </w:p>
    <w:p w14:paraId="09682AB8" w14:textId="5E7B6AFF" w:rsidR="00F71CCD" w:rsidRDefault="00B31D83">
      <w:pPr>
        <w:pStyle w:val="TableofFigures"/>
        <w:tabs>
          <w:tab w:val="right" w:leader="dot" w:pos="8486"/>
        </w:tabs>
        <w:rPr>
          <w:rFonts w:eastAsiaTheme="minorEastAsia" w:cstheme="minorBidi"/>
          <w:noProof/>
          <w:sz w:val="22"/>
          <w:szCs w:val="22"/>
          <w:lang w:bidi="ar-SA"/>
        </w:rPr>
      </w:pPr>
      <w:hyperlink w:anchor="_Toc464499116" w:history="1">
        <w:r w:rsidR="00F71CCD" w:rsidRPr="00E06584">
          <w:rPr>
            <w:rStyle w:val="Hyperlink"/>
            <w:noProof/>
          </w:rPr>
          <w:t xml:space="preserve">Figure 4.11 – Detail, </w:t>
        </w:r>
        <w:r w:rsidR="00F71CCD" w:rsidRPr="00E06584">
          <w:rPr>
            <w:rStyle w:val="Hyperlink"/>
            <w:i/>
            <w:noProof/>
          </w:rPr>
          <w:t>Going East</w:t>
        </w:r>
        <w:r w:rsidR="00F71CCD">
          <w:rPr>
            <w:noProof/>
            <w:webHidden/>
          </w:rPr>
          <w:tab/>
        </w:r>
        <w:r w:rsidR="00F71CCD">
          <w:rPr>
            <w:noProof/>
            <w:webHidden/>
          </w:rPr>
          <w:fldChar w:fldCharType="begin"/>
        </w:r>
        <w:r w:rsidR="00F71CCD">
          <w:rPr>
            <w:noProof/>
            <w:webHidden/>
          </w:rPr>
          <w:instrText xml:space="preserve"> PAGEREF _Toc464499116 \h </w:instrText>
        </w:r>
        <w:r w:rsidR="00F71CCD">
          <w:rPr>
            <w:noProof/>
            <w:webHidden/>
          </w:rPr>
        </w:r>
        <w:r w:rsidR="00F71CCD">
          <w:rPr>
            <w:noProof/>
            <w:webHidden/>
          </w:rPr>
          <w:fldChar w:fldCharType="separate"/>
        </w:r>
        <w:r w:rsidR="00FE5897">
          <w:rPr>
            <w:noProof/>
            <w:webHidden/>
          </w:rPr>
          <w:t>165</w:t>
        </w:r>
        <w:r w:rsidR="00F71CCD">
          <w:rPr>
            <w:noProof/>
            <w:webHidden/>
          </w:rPr>
          <w:fldChar w:fldCharType="end"/>
        </w:r>
      </w:hyperlink>
    </w:p>
    <w:p w14:paraId="7C3B811F" w14:textId="7381C07F" w:rsidR="00F71CCD" w:rsidRDefault="00B31D83">
      <w:pPr>
        <w:pStyle w:val="TableofFigures"/>
        <w:tabs>
          <w:tab w:val="right" w:leader="dot" w:pos="8486"/>
        </w:tabs>
        <w:rPr>
          <w:rFonts w:eastAsiaTheme="minorEastAsia" w:cstheme="minorBidi"/>
          <w:noProof/>
          <w:sz w:val="22"/>
          <w:szCs w:val="22"/>
          <w:lang w:bidi="ar-SA"/>
        </w:rPr>
      </w:pPr>
      <w:hyperlink w:anchor="_Toc464499117" w:history="1">
        <w:r w:rsidR="00F71CCD" w:rsidRPr="00E06584">
          <w:rPr>
            <w:rStyle w:val="Hyperlink"/>
            <w:noProof/>
          </w:rPr>
          <w:t>Figure 4.12 – Walter Ufer at His Easel</w:t>
        </w:r>
        <w:r w:rsidR="00F71CCD">
          <w:rPr>
            <w:noProof/>
            <w:webHidden/>
          </w:rPr>
          <w:tab/>
        </w:r>
        <w:r w:rsidR="00F71CCD">
          <w:rPr>
            <w:noProof/>
            <w:webHidden/>
          </w:rPr>
          <w:fldChar w:fldCharType="begin"/>
        </w:r>
        <w:r w:rsidR="00F71CCD">
          <w:rPr>
            <w:noProof/>
            <w:webHidden/>
          </w:rPr>
          <w:instrText xml:space="preserve"> PAGEREF _Toc464499117 \h </w:instrText>
        </w:r>
        <w:r w:rsidR="00F71CCD">
          <w:rPr>
            <w:noProof/>
            <w:webHidden/>
          </w:rPr>
        </w:r>
        <w:r w:rsidR="00F71CCD">
          <w:rPr>
            <w:noProof/>
            <w:webHidden/>
          </w:rPr>
          <w:fldChar w:fldCharType="separate"/>
        </w:r>
        <w:r w:rsidR="00FE5897">
          <w:rPr>
            <w:noProof/>
            <w:webHidden/>
          </w:rPr>
          <w:t>165</w:t>
        </w:r>
        <w:r w:rsidR="00F71CCD">
          <w:rPr>
            <w:noProof/>
            <w:webHidden/>
          </w:rPr>
          <w:fldChar w:fldCharType="end"/>
        </w:r>
      </w:hyperlink>
    </w:p>
    <w:p w14:paraId="11D58FE1" w14:textId="730DDD74" w:rsidR="00F71CCD" w:rsidRDefault="00B31D83">
      <w:pPr>
        <w:pStyle w:val="TableofFigures"/>
        <w:tabs>
          <w:tab w:val="right" w:leader="dot" w:pos="8486"/>
        </w:tabs>
        <w:rPr>
          <w:rFonts w:eastAsiaTheme="minorEastAsia" w:cstheme="minorBidi"/>
          <w:noProof/>
          <w:sz w:val="22"/>
          <w:szCs w:val="22"/>
          <w:lang w:bidi="ar-SA"/>
        </w:rPr>
      </w:pPr>
      <w:hyperlink w:anchor="_Toc464499118" w:history="1">
        <w:r w:rsidR="00F71CCD" w:rsidRPr="00E06584">
          <w:rPr>
            <w:rStyle w:val="Hyperlink"/>
            <w:noProof/>
          </w:rPr>
          <w:t xml:space="preserve">Figure 4.13 – Walter Ufer, </w:t>
        </w:r>
        <w:r w:rsidR="00F71CCD" w:rsidRPr="00E06584">
          <w:rPr>
            <w:rStyle w:val="Hyperlink"/>
            <w:i/>
            <w:noProof/>
          </w:rPr>
          <w:t>Artist with Model</w:t>
        </w:r>
        <w:r w:rsidR="00F71CCD">
          <w:rPr>
            <w:noProof/>
            <w:webHidden/>
          </w:rPr>
          <w:tab/>
        </w:r>
        <w:r w:rsidR="00F71CCD">
          <w:rPr>
            <w:noProof/>
            <w:webHidden/>
          </w:rPr>
          <w:fldChar w:fldCharType="begin"/>
        </w:r>
        <w:r w:rsidR="00F71CCD">
          <w:rPr>
            <w:noProof/>
            <w:webHidden/>
          </w:rPr>
          <w:instrText xml:space="preserve"> PAGEREF _Toc464499118 \h </w:instrText>
        </w:r>
        <w:r w:rsidR="00F71CCD">
          <w:rPr>
            <w:noProof/>
            <w:webHidden/>
          </w:rPr>
        </w:r>
        <w:r w:rsidR="00F71CCD">
          <w:rPr>
            <w:noProof/>
            <w:webHidden/>
          </w:rPr>
          <w:fldChar w:fldCharType="separate"/>
        </w:r>
        <w:r w:rsidR="00FE5897">
          <w:rPr>
            <w:noProof/>
            <w:webHidden/>
          </w:rPr>
          <w:t>166</w:t>
        </w:r>
        <w:r w:rsidR="00F71CCD">
          <w:rPr>
            <w:noProof/>
            <w:webHidden/>
          </w:rPr>
          <w:fldChar w:fldCharType="end"/>
        </w:r>
      </w:hyperlink>
    </w:p>
    <w:p w14:paraId="48FD69E7" w14:textId="6D9E3692" w:rsidR="00F71CCD" w:rsidRDefault="00B31D83">
      <w:pPr>
        <w:pStyle w:val="TableofFigures"/>
        <w:tabs>
          <w:tab w:val="right" w:leader="dot" w:pos="8486"/>
        </w:tabs>
        <w:rPr>
          <w:rFonts w:eastAsiaTheme="minorEastAsia" w:cstheme="minorBidi"/>
          <w:noProof/>
          <w:sz w:val="22"/>
          <w:szCs w:val="22"/>
          <w:lang w:bidi="ar-SA"/>
        </w:rPr>
      </w:pPr>
      <w:hyperlink w:anchor="_Toc464499119" w:history="1">
        <w:r w:rsidR="00F71CCD" w:rsidRPr="00E06584">
          <w:rPr>
            <w:rStyle w:val="Hyperlink"/>
            <w:noProof/>
          </w:rPr>
          <w:t xml:space="preserve">Figure 4.14 – Walter </w:t>
        </w:r>
        <w:r w:rsidR="00F71CCD" w:rsidRPr="00E06584">
          <w:rPr>
            <w:rStyle w:val="Hyperlink"/>
            <w:rFonts w:asciiTheme="majorHAnsi" w:hAnsiTheme="majorHAnsi" w:cstheme="majorHAnsi"/>
            <w:noProof/>
          </w:rPr>
          <w:t xml:space="preserve">Ufer, </w:t>
        </w:r>
        <w:r w:rsidR="00F71CCD" w:rsidRPr="00E06584">
          <w:rPr>
            <w:rStyle w:val="Hyperlink"/>
            <w:rFonts w:asciiTheme="majorHAnsi" w:hAnsiTheme="majorHAnsi" w:cstheme="majorHAnsi"/>
            <w:i/>
            <w:noProof/>
          </w:rPr>
          <w:t>Luzanna and Her Sisters</w:t>
        </w:r>
        <w:r w:rsidR="00F71CCD">
          <w:rPr>
            <w:noProof/>
            <w:webHidden/>
          </w:rPr>
          <w:tab/>
        </w:r>
        <w:r w:rsidR="00F71CCD">
          <w:rPr>
            <w:noProof/>
            <w:webHidden/>
          </w:rPr>
          <w:fldChar w:fldCharType="begin"/>
        </w:r>
        <w:r w:rsidR="00F71CCD">
          <w:rPr>
            <w:noProof/>
            <w:webHidden/>
          </w:rPr>
          <w:instrText xml:space="preserve"> PAGEREF _Toc464499119 \h </w:instrText>
        </w:r>
        <w:r w:rsidR="00F71CCD">
          <w:rPr>
            <w:noProof/>
            <w:webHidden/>
          </w:rPr>
        </w:r>
        <w:r w:rsidR="00F71CCD">
          <w:rPr>
            <w:noProof/>
            <w:webHidden/>
          </w:rPr>
          <w:fldChar w:fldCharType="separate"/>
        </w:r>
        <w:r w:rsidR="00FE5897">
          <w:rPr>
            <w:noProof/>
            <w:webHidden/>
          </w:rPr>
          <w:t>166</w:t>
        </w:r>
        <w:r w:rsidR="00F71CCD">
          <w:rPr>
            <w:noProof/>
            <w:webHidden/>
          </w:rPr>
          <w:fldChar w:fldCharType="end"/>
        </w:r>
      </w:hyperlink>
    </w:p>
    <w:p w14:paraId="3CD4A17A" w14:textId="4C7AC810" w:rsidR="00F71CCD" w:rsidRDefault="00B31D83">
      <w:pPr>
        <w:pStyle w:val="TableofFigures"/>
        <w:tabs>
          <w:tab w:val="right" w:leader="dot" w:pos="8486"/>
        </w:tabs>
        <w:rPr>
          <w:rFonts w:eastAsiaTheme="minorEastAsia" w:cstheme="minorBidi"/>
          <w:noProof/>
          <w:sz w:val="22"/>
          <w:szCs w:val="22"/>
          <w:lang w:bidi="ar-SA"/>
        </w:rPr>
      </w:pPr>
      <w:hyperlink w:anchor="_Toc464499120" w:history="1">
        <w:r w:rsidR="00F71CCD" w:rsidRPr="00E06584">
          <w:rPr>
            <w:rStyle w:val="Hyperlink"/>
            <w:noProof/>
          </w:rPr>
          <w:t>Figure 4.15 – Albert Lujan and Albert Looking Elk</w:t>
        </w:r>
        <w:r w:rsidR="00F71CCD">
          <w:rPr>
            <w:noProof/>
            <w:webHidden/>
          </w:rPr>
          <w:tab/>
        </w:r>
        <w:r w:rsidR="00F71CCD">
          <w:rPr>
            <w:noProof/>
            <w:webHidden/>
          </w:rPr>
          <w:fldChar w:fldCharType="begin"/>
        </w:r>
        <w:r w:rsidR="00F71CCD">
          <w:rPr>
            <w:noProof/>
            <w:webHidden/>
          </w:rPr>
          <w:instrText xml:space="preserve"> PAGEREF _Toc464499120 \h </w:instrText>
        </w:r>
        <w:r w:rsidR="00F71CCD">
          <w:rPr>
            <w:noProof/>
            <w:webHidden/>
          </w:rPr>
        </w:r>
        <w:r w:rsidR="00F71CCD">
          <w:rPr>
            <w:noProof/>
            <w:webHidden/>
          </w:rPr>
          <w:fldChar w:fldCharType="separate"/>
        </w:r>
        <w:r w:rsidR="00FE5897">
          <w:rPr>
            <w:noProof/>
            <w:webHidden/>
          </w:rPr>
          <w:t>167</w:t>
        </w:r>
        <w:r w:rsidR="00F71CCD">
          <w:rPr>
            <w:noProof/>
            <w:webHidden/>
          </w:rPr>
          <w:fldChar w:fldCharType="end"/>
        </w:r>
      </w:hyperlink>
    </w:p>
    <w:p w14:paraId="4443A800" w14:textId="1FD343EA" w:rsidR="00F71CCD" w:rsidRDefault="00B31D83">
      <w:pPr>
        <w:pStyle w:val="TableofFigures"/>
        <w:tabs>
          <w:tab w:val="right" w:leader="dot" w:pos="8486"/>
        </w:tabs>
        <w:rPr>
          <w:rFonts w:eastAsiaTheme="minorEastAsia" w:cstheme="minorBidi"/>
          <w:noProof/>
          <w:sz w:val="22"/>
          <w:szCs w:val="22"/>
          <w:lang w:bidi="ar-SA"/>
        </w:rPr>
      </w:pPr>
      <w:hyperlink w:anchor="_Toc464499121" w:history="1">
        <w:r w:rsidR="00F71CCD" w:rsidRPr="00E06584">
          <w:rPr>
            <w:rStyle w:val="Hyperlink"/>
            <w:noProof/>
          </w:rPr>
          <w:t xml:space="preserve">Figure 4.16 – Berninghaus, </w:t>
        </w:r>
        <w:r w:rsidR="00F71CCD" w:rsidRPr="00E06584">
          <w:rPr>
            <w:rStyle w:val="Hyperlink"/>
            <w:i/>
            <w:noProof/>
          </w:rPr>
          <w:t>A</w:t>
        </w:r>
        <w:r w:rsidR="00F71CCD" w:rsidRPr="00E06584">
          <w:rPr>
            <w:rStyle w:val="Hyperlink"/>
            <w:noProof/>
          </w:rPr>
          <w:t xml:space="preserve"> </w:t>
        </w:r>
        <w:r w:rsidR="00F71CCD" w:rsidRPr="00E06584">
          <w:rPr>
            <w:rStyle w:val="Hyperlink"/>
            <w:i/>
            <w:noProof/>
          </w:rPr>
          <w:t>Son of the War Chief</w:t>
        </w:r>
        <w:r w:rsidR="00F71CCD">
          <w:rPr>
            <w:noProof/>
            <w:webHidden/>
          </w:rPr>
          <w:tab/>
        </w:r>
        <w:r w:rsidR="00F71CCD">
          <w:rPr>
            <w:noProof/>
            <w:webHidden/>
          </w:rPr>
          <w:fldChar w:fldCharType="begin"/>
        </w:r>
        <w:r w:rsidR="00F71CCD">
          <w:rPr>
            <w:noProof/>
            <w:webHidden/>
          </w:rPr>
          <w:instrText xml:space="preserve"> PAGEREF _Toc464499121 \h </w:instrText>
        </w:r>
        <w:r w:rsidR="00F71CCD">
          <w:rPr>
            <w:noProof/>
            <w:webHidden/>
          </w:rPr>
        </w:r>
        <w:r w:rsidR="00F71CCD">
          <w:rPr>
            <w:noProof/>
            <w:webHidden/>
          </w:rPr>
          <w:fldChar w:fldCharType="separate"/>
        </w:r>
        <w:r w:rsidR="00FE5897">
          <w:rPr>
            <w:noProof/>
            <w:webHidden/>
          </w:rPr>
          <w:t>167</w:t>
        </w:r>
        <w:r w:rsidR="00F71CCD">
          <w:rPr>
            <w:noProof/>
            <w:webHidden/>
          </w:rPr>
          <w:fldChar w:fldCharType="end"/>
        </w:r>
      </w:hyperlink>
    </w:p>
    <w:p w14:paraId="7290EA4E" w14:textId="09FE5B23" w:rsidR="00F71CCD" w:rsidRDefault="00B31D83">
      <w:pPr>
        <w:pStyle w:val="TableofFigures"/>
        <w:tabs>
          <w:tab w:val="right" w:leader="dot" w:pos="8486"/>
        </w:tabs>
        <w:rPr>
          <w:rFonts w:eastAsiaTheme="minorEastAsia" w:cstheme="minorBidi"/>
          <w:noProof/>
          <w:sz w:val="22"/>
          <w:szCs w:val="22"/>
          <w:lang w:bidi="ar-SA"/>
        </w:rPr>
      </w:pPr>
      <w:hyperlink w:anchor="_Toc464499122" w:history="1">
        <w:r w:rsidR="00F71CCD" w:rsidRPr="00E06584">
          <w:rPr>
            <w:rStyle w:val="Hyperlink"/>
            <w:noProof/>
          </w:rPr>
          <w:t>Figure 4.17 – Albert Lujan at Taos Pueblo</w:t>
        </w:r>
        <w:r w:rsidR="00F71CCD">
          <w:rPr>
            <w:noProof/>
            <w:webHidden/>
          </w:rPr>
          <w:tab/>
        </w:r>
        <w:r w:rsidR="00F71CCD">
          <w:rPr>
            <w:noProof/>
            <w:webHidden/>
          </w:rPr>
          <w:fldChar w:fldCharType="begin"/>
        </w:r>
        <w:r w:rsidR="00F71CCD">
          <w:rPr>
            <w:noProof/>
            <w:webHidden/>
          </w:rPr>
          <w:instrText xml:space="preserve"> PAGEREF _Toc464499122 \h </w:instrText>
        </w:r>
        <w:r w:rsidR="00F71CCD">
          <w:rPr>
            <w:noProof/>
            <w:webHidden/>
          </w:rPr>
        </w:r>
        <w:r w:rsidR="00F71CCD">
          <w:rPr>
            <w:noProof/>
            <w:webHidden/>
          </w:rPr>
          <w:fldChar w:fldCharType="separate"/>
        </w:r>
        <w:r w:rsidR="00FE5897">
          <w:rPr>
            <w:noProof/>
            <w:webHidden/>
          </w:rPr>
          <w:t>168</w:t>
        </w:r>
        <w:r w:rsidR="00F71CCD">
          <w:rPr>
            <w:noProof/>
            <w:webHidden/>
          </w:rPr>
          <w:fldChar w:fldCharType="end"/>
        </w:r>
      </w:hyperlink>
    </w:p>
    <w:p w14:paraId="3C79982A" w14:textId="234990E1" w:rsidR="00F71CCD" w:rsidRDefault="00B31D83">
      <w:pPr>
        <w:pStyle w:val="TableofFigures"/>
        <w:tabs>
          <w:tab w:val="right" w:leader="dot" w:pos="8486"/>
        </w:tabs>
        <w:rPr>
          <w:rFonts w:eastAsiaTheme="minorEastAsia" w:cstheme="minorBidi"/>
          <w:noProof/>
          <w:sz w:val="22"/>
          <w:szCs w:val="22"/>
          <w:lang w:bidi="ar-SA"/>
        </w:rPr>
      </w:pPr>
      <w:hyperlink w:anchor="_Toc464499123" w:history="1">
        <w:r w:rsidR="00F71CCD" w:rsidRPr="00E06584">
          <w:rPr>
            <w:rStyle w:val="Hyperlink"/>
            <w:noProof/>
          </w:rPr>
          <w:t xml:space="preserve">Figure 4.18 – Dan Namingha, </w:t>
        </w:r>
        <w:r w:rsidR="00F71CCD" w:rsidRPr="00E06584">
          <w:rPr>
            <w:rStyle w:val="Hyperlink"/>
            <w:i/>
            <w:noProof/>
          </w:rPr>
          <w:t>Afternoon Rain Clouds</w:t>
        </w:r>
        <w:r w:rsidR="00F71CCD">
          <w:rPr>
            <w:noProof/>
            <w:webHidden/>
          </w:rPr>
          <w:tab/>
        </w:r>
        <w:r w:rsidR="00F71CCD">
          <w:rPr>
            <w:noProof/>
            <w:webHidden/>
          </w:rPr>
          <w:fldChar w:fldCharType="begin"/>
        </w:r>
        <w:r w:rsidR="00F71CCD">
          <w:rPr>
            <w:noProof/>
            <w:webHidden/>
          </w:rPr>
          <w:instrText xml:space="preserve"> PAGEREF _Toc464499123 \h </w:instrText>
        </w:r>
        <w:r w:rsidR="00F71CCD">
          <w:rPr>
            <w:noProof/>
            <w:webHidden/>
          </w:rPr>
        </w:r>
        <w:r w:rsidR="00F71CCD">
          <w:rPr>
            <w:noProof/>
            <w:webHidden/>
          </w:rPr>
          <w:fldChar w:fldCharType="separate"/>
        </w:r>
        <w:r w:rsidR="00FE5897">
          <w:rPr>
            <w:noProof/>
            <w:webHidden/>
          </w:rPr>
          <w:t>168</w:t>
        </w:r>
        <w:r w:rsidR="00F71CCD">
          <w:rPr>
            <w:noProof/>
            <w:webHidden/>
          </w:rPr>
          <w:fldChar w:fldCharType="end"/>
        </w:r>
      </w:hyperlink>
    </w:p>
    <w:p w14:paraId="1FCF5768" w14:textId="5330BB4A" w:rsidR="00F71CCD" w:rsidRDefault="00B31D83">
      <w:pPr>
        <w:pStyle w:val="TableofFigures"/>
        <w:tabs>
          <w:tab w:val="right" w:leader="dot" w:pos="8486"/>
        </w:tabs>
        <w:rPr>
          <w:rFonts w:eastAsiaTheme="minorEastAsia" w:cstheme="minorBidi"/>
          <w:noProof/>
          <w:sz w:val="22"/>
          <w:szCs w:val="22"/>
          <w:lang w:bidi="ar-SA"/>
        </w:rPr>
      </w:pPr>
      <w:hyperlink w:anchor="_Toc464499124" w:history="1">
        <w:r w:rsidR="00F71CCD" w:rsidRPr="00E06584">
          <w:rPr>
            <w:rStyle w:val="Hyperlink"/>
            <w:noProof/>
          </w:rPr>
          <w:t xml:space="preserve">Figure 4.19 – Albert Looking Elk, </w:t>
        </w:r>
        <w:r w:rsidR="00F71CCD" w:rsidRPr="00E06584">
          <w:rPr>
            <w:rStyle w:val="Hyperlink"/>
            <w:i/>
            <w:noProof/>
          </w:rPr>
          <w:t>Untitled (Taos Pueblo Scene)</w:t>
        </w:r>
        <w:r w:rsidR="00F71CCD">
          <w:rPr>
            <w:noProof/>
            <w:webHidden/>
          </w:rPr>
          <w:tab/>
        </w:r>
        <w:r w:rsidR="00F71CCD">
          <w:rPr>
            <w:noProof/>
            <w:webHidden/>
          </w:rPr>
          <w:fldChar w:fldCharType="begin"/>
        </w:r>
        <w:r w:rsidR="00F71CCD">
          <w:rPr>
            <w:noProof/>
            <w:webHidden/>
          </w:rPr>
          <w:instrText xml:space="preserve"> PAGEREF _Toc464499124 \h </w:instrText>
        </w:r>
        <w:r w:rsidR="00F71CCD">
          <w:rPr>
            <w:noProof/>
            <w:webHidden/>
          </w:rPr>
        </w:r>
        <w:r w:rsidR="00F71CCD">
          <w:rPr>
            <w:noProof/>
            <w:webHidden/>
          </w:rPr>
          <w:fldChar w:fldCharType="separate"/>
        </w:r>
        <w:r w:rsidR="00FE5897">
          <w:rPr>
            <w:noProof/>
            <w:webHidden/>
          </w:rPr>
          <w:t>169</w:t>
        </w:r>
        <w:r w:rsidR="00F71CCD">
          <w:rPr>
            <w:noProof/>
            <w:webHidden/>
          </w:rPr>
          <w:fldChar w:fldCharType="end"/>
        </w:r>
      </w:hyperlink>
    </w:p>
    <w:p w14:paraId="7058E394" w14:textId="51EC00F2" w:rsidR="00F71CCD" w:rsidRDefault="00B31D83">
      <w:pPr>
        <w:pStyle w:val="TableofFigures"/>
        <w:tabs>
          <w:tab w:val="right" w:leader="dot" w:pos="8486"/>
        </w:tabs>
        <w:rPr>
          <w:rFonts w:eastAsiaTheme="minorEastAsia" w:cstheme="minorBidi"/>
          <w:noProof/>
          <w:sz w:val="22"/>
          <w:szCs w:val="22"/>
          <w:lang w:bidi="ar-SA"/>
        </w:rPr>
      </w:pPr>
      <w:hyperlink w:anchor="_Toc464499125" w:history="1">
        <w:r w:rsidR="00F71CCD" w:rsidRPr="00E06584">
          <w:rPr>
            <w:rStyle w:val="Hyperlink"/>
            <w:noProof/>
          </w:rPr>
          <w:t xml:space="preserve">Figure 4.20 – Albert Lujan, </w:t>
        </w:r>
        <w:r w:rsidR="00F71CCD" w:rsidRPr="00E06584">
          <w:rPr>
            <w:rStyle w:val="Hyperlink"/>
            <w:i/>
            <w:noProof/>
          </w:rPr>
          <w:t>View of Taos Pueblo</w:t>
        </w:r>
        <w:r w:rsidR="00F71CCD">
          <w:rPr>
            <w:noProof/>
            <w:webHidden/>
          </w:rPr>
          <w:tab/>
        </w:r>
        <w:r w:rsidR="00F71CCD">
          <w:rPr>
            <w:noProof/>
            <w:webHidden/>
          </w:rPr>
          <w:fldChar w:fldCharType="begin"/>
        </w:r>
        <w:r w:rsidR="00F71CCD">
          <w:rPr>
            <w:noProof/>
            <w:webHidden/>
          </w:rPr>
          <w:instrText xml:space="preserve"> PAGEREF _Toc464499125 \h </w:instrText>
        </w:r>
        <w:r w:rsidR="00F71CCD">
          <w:rPr>
            <w:noProof/>
            <w:webHidden/>
          </w:rPr>
        </w:r>
        <w:r w:rsidR="00F71CCD">
          <w:rPr>
            <w:noProof/>
            <w:webHidden/>
          </w:rPr>
          <w:fldChar w:fldCharType="separate"/>
        </w:r>
        <w:r w:rsidR="00FE5897">
          <w:rPr>
            <w:noProof/>
            <w:webHidden/>
          </w:rPr>
          <w:t>169</w:t>
        </w:r>
        <w:r w:rsidR="00F71CCD">
          <w:rPr>
            <w:noProof/>
            <w:webHidden/>
          </w:rPr>
          <w:fldChar w:fldCharType="end"/>
        </w:r>
      </w:hyperlink>
    </w:p>
    <w:p w14:paraId="1D1FAAD1" w14:textId="5605767D" w:rsidR="00F71CCD" w:rsidRDefault="00B31D83">
      <w:pPr>
        <w:pStyle w:val="TableofFigures"/>
        <w:tabs>
          <w:tab w:val="right" w:leader="dot" w:pos="8486"/>
        </w:tabs>
        <w:rPr>
          <w:rFonts w:eastAsiaTheme="minorEastAsia" w:cstheme="minorBidi"/>
          <w:noProof/>
          <w:sz w:val="22"/>
          <w:szCs w:val="22"/>
          <w:lang w:bidi="ar-SA"/>
        </w:rPr>
      </w:pPr>
      <w:hyperlink w:anchor="_Toc464499126" w:history="1">
        <w:r w:rsidR="00F71CCD" w:rsidRPr="00E06584">
          <w:rPr>
            <w:rStyle w:val="Hyperlink"/>
            <w:noProof/>
          </w:rPr>
          <w:t xml:space="preserve">Figure 4.21 – Albert Looking Elk, </w:t>
        </w:r>
        <w:r w:rsidR="00F71CCD" w:rsidRPr="00E06584">
          <w:rPr>
            <w:rStyle w:val="Hyperlink"/>
            <w:i/>
            <w:noProof/>
          </w:rPr>
          <w:t>Burros at Taos Pueblo</w:t>
        </w:r>
        <w:r w:rsidR="00F71CCD">
          <w:rPr>
            <w:noProof/>
            <w:webHidden/>
          </w:rPr>
          <w:tab/>
        </w:r>
        <w:r w:rsidR="00F71CCD">
          <w:rPr>
            <w:noProof/>
            <w:webHidden/>
          </w:rPr>
          <w:fldChar w:fldCharType="begin"/>
        </w:r>
        <w:r w:rsidR="00F71CCD">
          <w:rPr>
            <w:noProof/>
            <w:webHidden/>
          </w:rPr>
          <w:instrText xml:space="preserve"> PAGEREF _Toc464499126 \h </w:instrText>
        </w:r>
        <w:r w:rsidR="00F71CCD">
          <w:rPr>
            <w:noProof/>
            <w:webHidden/>
          </w:rPr>
        </w:r>
        <w:r w:rsidR="00F71CCD">
          <w:rPr>
            <w:noProof/>
            <w:webHidden/>
          </w:rPr>
          <w:fldChar w:fldCharType="separate"/>
        </w:r>
        <w:r w:rsidR="00FE5897">
          <w:rPr>
            <w:noProof/>
            <w:webHidden/>
          </w:rPr>
          <w:t>170</w:t>
        </w:r>
        <w:r w:rsidR="00F71CCD">
          <w:rPr>
            <w:noProof/>
            <w:webHidden/>
          </w:rPr>
          <w:fldChar w:fldCharType="end"/>
        </w:r>
      </w:hyperlink>
    </w:p>
    <w:p w14:paraId="62E8C5C0" w14:textId="44B011EB" w:rsidR="00F71CCD" w:rsidRDefault="00B31D83">
      <w:pPr>
        <w:pStyle w:val="TableofFigures"/>
        <w:tabs>
          <w:tab w:val="right" w:leader="dot" w:pos="8486"/>
        </w:tabs>
        <w:rPr>
          <w:rFonts w:eastAsiaTheme="minorEastAsia" w:cstheme="minorBidi"/>
          <w:noProof/>
          <w:sz w:val="22"/>
          <w:szCs w:val="22"/>
          <w:lang w:bidi="ar-SA"/>
        </w:rPr>
      </w:pPr>
      <w:hyperlink w:anchor="_Toc464499127" w:history="1">
        <w:r w:rsidR="00F71CCD" w:rsidRPr="00E06584">
          <w:rPr>
            <w:rStyle w:val="Hyperlink"/>
            <w:noProof/>
          </w:rPr>
          <w:t>Figure 4.22 – “Cliff Dwellers” and “Cheyenne Chief &amp; Family” exhibits</w:t>
        </w:r>
        <w:r w:rsidR="00F71CCD">
          <w:rPr>
            <w:noProof/>
            <w:webHidden/>
          </w:rPr>
          <w:tab/>
        </w:r>
        <w:r w:rsidR="00F71CCD">
          <w:rPr>
            <w:noProof/>
            <w:webHidden/>
          </w:rPr>
          <w:fldChar w:fldCharType="begin"/>
        </w:r>
        <w:r w:rsidR="00F71CCD">
          <w:rPr>
            <w:noProof/>
            <w:webHidden/>
          </w:rPr>
          <w:instrText xml:space="preserve"> PAGEREF _Toc464499127 \h </w:instrText>
        </w:r>
        <w:r w:rsidR="00F71CCD">
          <w:rPr>
            <w:noProof/>
            <w:webHidden/>
          </w:rPr>
        </w:r>
        <w:r w:rsidR="00F71CCD">
          <w:rPr>
            <w:noProof/>
            <w:webHidden/>
          </w:rPr>
          <w:fldChar w:fldCharType="separate"/>
        </w:r>
        <w:r w:rsidR="00FE5897">
          <w:rPr>
            <w:noProof/>
            <w:webHidden/>
          </w:rPr>
          <w:t>170</w:t>
        </w:r>
        <w:r w:rsidR="00F71CCD">
          <w:rPr>
            <w:noProof/>
            <w:webHidden/>
          </w:rPr>
          <w:fldChar w:fldCharType="end"/>
        </w:r>
      </w:hyperlink>
    </w:p>
    <w:p w14:paraId="16F74EF0" w14:textId="383D2AE5" w:rsidR="00F71CCD" w:rsidRDefault="00B31D83">
      <w:pPr>
        <w:pStyle w:val="TableofFigures"/>
        <w:tabs>
          <w:tab w:val="right" w:leader="dot" w:pos="8486"/>
        </w:tabs>
        <w:rPr>
          <w:rFonts w:eastAsiaTheme="minorEastAsia" w:cstheme="minorBidi"/>
          <w:noProof/>
          <w:sz w:val="22"/>
          <w:szCs w:val="22"/>
          <w:lang w:bidi="ar-SA"/>
        </w:rPr>
      </w:pPr>
      <w:hyperlink w:anchor="_Toc464499128" w:history="1">
        <w:r w:rsidR="00F71CCD" w:rsidRPr="00E06584">
          <w:rPr>
            <w:rStyle w:val="Hyperlink"/>
            <w:noProof/>
          </w:rPr>
          <w:t xml:space="preserve">Figure 4.23 – Mirabal, </w:t>
        </w:r>
        <w:r w:rsidR="00F71CCD" w:rsidRPr="00E06584">
          <w:rPr>
            <w:rStyle w:val="Hyperlink"/>
            <w:i/>
            <w:noProof/>
          </w:rPr>
          <w:t>Taos Pueblo Scene</w:t>
        </w:r>
        <w:r w:rsidR="00F71CCD">
          <w:rPr>
            <w:noProof/>
            <w:webHidden/>
          </w:rPr>
          <w:tab/>
        </w:r>
        <w:r w:rsidR="00F71CCD">
          <w:rPr>
            <w:noProof/>
            <w:webHidden/>
          </w:rPr>
          <w:fldChar w:fldCharType="begin"/>
        </w:r>
        <w:r w:rsidR="00F71CCD">
          <w:rPr>
            <w:noProof/>
            <w:webHidden/>
          </w:rPr>
          <w:instrText xml:space="preserve"> PAGEREF _Toc464499128 \h </w:instrText>
        </w:r>
        <w:r w:rsidR="00F71CCD">
          <w:rPr>
            <w:noProof/>
            <w:webHidden/>
          </w:rPr>
        </w:r>
        <w:r w:rsidR="00F71CCD">
          <w:rPr>
            <w:noProof/>
            <w:webHidden/>
          </w:rPr>
          <w:fldChar w:fldCharType="separate"/>
        </w:r>
        <w:r w:rsidR="00FE5897">
          <w:rPr>
            <w:noProof/>
            <w:webHidden/>
          </w:rPr>
          <w:t>171</w:t>
        </w:r>
        <w:r w:rsidR="00F71CCD">
          <w:rPr>
            <w:noProof/>
            <w:webHidden/>
          </w:rPr>
          <w:fldChar w:fldCharType="end"/>
        </w:r>
      </w:hyperlink>
    </w:p>
    <w:p w14:paraId="289C0E27" w14:textId="1DC9498D" w:rsidR="00F71CCD" w:rsidRDefault="00B31D83">
      <w:pPr>
        <w:pStyle w:val="TableofFigures"/>
        <w:tabs>
          <w:tab w:val="right" w:leader="dot" w:pos="8486"/>
        </w:tabs>
        <w:rPr>
          <w:rFonts w:eastAsiaTheme="minorEastAsia" w:cstheme="minorBidi"/>
          <w:noProof/>
          <w:sz w:val="22"/>
          <w:szCs w:val="22"/>
          <w:lang w:bidi="ar-SA"/>
        </w:rPr>
      </w:pPr>
      <w:hyperlink w:anchor="_Toc464499129" w:history="1">
        <w:r w:rsidR="00F71CCD" w:rsidRPr="00E06584">
          <w:rPr>
            <w:rStyle w:val="Hyperlink"/>
            <w:noProof/>
          </w:rPr>
          <w:t xml:space="preserve">Figure 4.24 – Marjorie Eaton, </w:t>
        </w:r>
        <w:r w:rsidR="00F71CCD" w:rsidRPr="00E06584">
          <w:rPr>
            <w:rStyle w:val="Hyperlink"/>
            <w:i/>
            <w:noProof/>
          </w:rPr>
          <w:t>Bust of Juan (Mirabal)</w:t>
        </w:r>
        <w:r w:rsidR="00F71CCD">
          <w:rPr>
            <w:noProof/>
            <w:webHidden/>
          </w:rPr>
          <w:tab/>
        </w:r>
        <w:r w:rsidR="00F71CCD">
          <w:rPr>
            <w:noProof/>
            <w:webHidden/>
          </w:rPr>
          <w:fldChar w:fldCharType="begin"/>
        </w:r>
        <w:r w:rsidR="00F71CCD">
          <w:rPr>
            <w:noProof/>
            <w:webHidden/>
          </w:rPr>
          <w:instrText xml:space="preserve"> PAGEREF _Toc464499129 \h </w:instrText>
        </w:r>
        <w:r w:rsidR="00F71CCD">
          <w:rPr>
            <w:noProof/>
            <w:webHidden/>
          </w:rPr>
        </w:r>
        <w:r w:rsidR="00F71CCD">
          <w:rPr>
            <w:noProof/>
            <w:webHidden/>
          </w:rPr>
          <w:fldChar w:fldCharType="separate"/>
        </w:r>
        <w:r w:rsidR="00FE5897">
          <w:rPr>
            <w:noProof/>
            <w:webHidden/>
          </w:rPr>
          <w:t>171</w:t>
        </w:r>
        <w:r w:rsidR="00F71CCD">
          <w:rPr>
            <w:noProof/>
            <w:webHidden/>
          </w:rPr>
          <w:fldChar w:fldCharType="end"/>
        </w:r>
      </w:hyperlink>
    </w:p>
    <w:p w14:paraId="05D7B428" w14:textId="73CA17D0" w:rsidR="00F71CCD" w:rsidRDefault="00B31D83">
      <w:pPr>
        <w:pStyle w:val="TableofFigures"/>
        <w:tabs>
          <w:tab w:val="right" w:leader="dot" w:pos="8486"/>
        </w:tabs>
        <w:rPr>
          <w:rFonts w:eastAsiaTheme="minorEastAsia" w:cstheme="minorBidi"/>
          <w:noProof/>
          <w:sz w:val="22"/>
          <w:szCs w:val="22"/>
          <w:lang w:bidi="ar-SA"/>
        </w:rPr>
      </w:pPr>
      <w:hyperlink w:anchor="_Toc464499130" w:history="1">
        <w:r w:rsidR="00F71CCD" w:rsidRPr="00E06584">
          <w:rPr>
            <w:rStyle w:val="Hyperlink"/>
            <w:noProof/>
          </w:rPr>
          <w:t xml:space="preserve">Figure 4.25 – Juan Mirabal, </w:t>
        </w:r>
        <w:r w:rsidR="00F71CCD" w:rsidRPr="00E06584">
          <w:rPr>
            <w:rStyle w:val="Hyperlink"/>
            <w:i/>
            <w:noProof/>
          </w:rPr>
          <w:t>Taos Pueblo Scene</w:t>
        </w:r>
        <w:r w:rsidR="00F71CCD">
          <w:rPr>
            <w:noProof/>
            <w:webHidden/>
          </w:rPr>
          <w:tab/>
        </w:r>
        <w:r w:rsidR="00F71CCD">
          <w:rPr>
            <w:noProof/>
            <w:webHidden/>
          </w:rPr>
          <w:fldChar w:fldCharType="begin"/>
        </w:r>
        <w:r w:rsidR="00F71CCD">
          <w:rPr>
            <w:noProof/>
            <w:webHidden/>
          </w:rPr>
          <w:instrText xml:space="preserve"> PAGEREF _Toc464499130 \h </w:instrText>
        </w:r>
        <w:r w:rsidR="00F71CCD">
          <w:rPr>
            <w:noProof/>
            <w:webHidden/>
          </w:rPr>
        </w:r>
        <w:r w:rsidR="00F71CCD">
          <w:rPr>
            <w:noProof/>
            <w:webHidden/>
          </w:rPr>
          <w:fldChar w:fldCharType="separate"/>
        </w:r>
        <w:r w:rsidR="00FE5897">
          <w:rPr>
            <w:noProof/>
            <w:webHidden/>
          </w:rPr>
          <w:t>172</w:t>
        </w:r>
        <w:r w:rsidR="00F71CCD">
          <w:rPr>
            <w:noProof/>
            <w:webHidden/>
          </w:rPr>
          <w:fldChar w:fldCharType="end"/>
        </w:r>
      </w:hyperlink>
    </w:p>
    <w:p w14:paraId="3F2708AC" w14:textId="4D58E94C" w:rsidR="00F71CCD" w:rsidRDefault="00B31D83">
      <w:pPr>
        <w:pStyle w:val="TableofFigures"/>
        <w:tabs>
          <w:tab w:val="right" w:leader="dot" w:pos="8486"/>
        </w:tabs>
        <w:rPr>
          <w:rFonts w:eastAsiaTheme="minorEastAsia" w:cstheme="minorBidi"/>
          <w:noProof/>
          <w:sz w:val="22"/>
          <w:szCs w:val="22"/>
          <w:lang w:bidi="ar-SA"/>
        </w:rPr>
      </w:pPr>
      <w:hyperlink w:anchor="_Toc464499131" w:history="1">
        <w:r w:rsidR="00F71CCD" w:rsidRPr="00E06584">
          <w:rPr>
            <w:rStyle w:val="Hyperlink"/>
            <w:noProof/>
          </w:rPr>
          <w:t>Figure 4.26 – Taos Pueblo to Blue Lake</w:t>
        </w:r>
        <w:r w:rsidR="00F71CCD">
          <w:rPr>
            <w:noProof/>
            <w:webHidden/>
          </w:rPr>
          <w:tab/>
        </w:r>
        <w:r w:rsidR="00F71CCD">
          <w:rPr>
            <w:noProof/>
            <w:webHidden/>
          </w:rPr>
          <w:fldChar w:fldCharType="begin"/>
        </w:r>
        <w:r w:rsidR="00F71CCD">
          <w:rPr>
            <w:noProof/>
            <w:webHidden/>
          </w:rPr>
          <w:instrText xml:space="preserve"> PAGEREF _Toc464499131 \h </w:instrText>
        </w:r>
        <w:r w:rsidR="00F71CCD">
          <w:rPr>
            <w:noProof/>
            <w:webHidden/>
          </w:rPr>
        </w:r>
        <w:r w:rsidR="00F71CCD">
          <w:rPr>
            <w:noProof/>
            <w:webHidden/>
          </w:rPr>
          <w:fldChar w:fldCharType="separate"/>
        </w:r>
        <w:r w:rsidR="00FE5897">
          <w:rPr>
            <w:noProof/>
            <w:webHidden/>
          </w:rPr>
          <w:t>173</w:t>
        </w:r>
        <w:r w:rsidR="00F71CCD">
          <w:rPr>
            <w:noProof/>
            <w:webHidden/>
          </w:rPr>
          <w:fldChar w:fldCharType="end"/>
        </w:r>
      </w:hyperlink>
    </w:p>
    <w:p w14:paraId="5784736B" w14:textId="40725719" w:rsidR="00F71CCD" w:rsidRDefault="00B31D83">
      <w:pPr>
        <w:pStyle w:val="TableofFigures"/>
        <w:tabs>
          <w:tab w:val="right" w:leader="dot" w:pos="8486"/>
        </w:tabs>
        <w:rPr>
          <w:rFonts w:eastAsiaTheme="minorEastAsia" w:cstheme="minorBidi"/>
          <w:noProof/>
          <w:sz w:val="22"/>
          <w:szCs w:val="22"/>
          <w:lang w:bidi="ar-SA"/>
        </w:rPr>
      </w:pPr>
      <w:hyperlink w:anchor="_Toc464499132" w:history="1">
        <w:r w:rsidR="00F71CCD" w:rsidRPr="00E06584">
          <w:rPr>
            <w:rStyle w:val="Hyperlink"/>
            <w:noProof/>
          </w:rPr>
          <w:t xml:space="preserve">Figure 4.27 – Juan Mirabal, </w:t>
        </w:r>
        <w:r w:rsidR="00F71CCD" w:rsidRPr="00E06584">
          <w:rPr>
            <w:rStyle w:val="Hyperlink"/>
            <w:i/>
            <w:noProof/>
          </w:rPr>
          <w:t>Xmass Eve</w:t>
        </w:r>
        <w:r w:rsidR="00F71CCD">
          <w:rPr>
            <w:noProof/>
            <w:webHidden/>
          </w:rPr>
          <w:tab/>
        </w:r>
        <w:r w:rsidR="00F71CCD">
          <w:rPr>
            <w:noProof/>
            <w:webHidden/>
          </w:rPr>
          <w:fldChar w:fldCharType="begin"/>
        </w:r>
        <w:r w:rsidR="00F71CCD">
          <w:rPr>
            <w:noProof/>
            <w:webHidden/>
          </w:rPr>
          <w:instrText xml:space="preserve"> PAGEREF _Toc464499132 \h </w:instrText>
        </w:r>
        <w:r w:rsidR="00F71CCD">
          <w:rPr>
            <w:noProof/>
            <w:webHidden/>
          </w:rPr>
        </w:r>
        <w:r w:rsidR="00F71CCD">
          <w:rPr>
            <w:noProof/>
            <w:webHidden/>
          </w:rPr>
          <w:fldChar w:fldCharType="separate"/>
        </w:r>
        <w:r w:rsidR="00FE5897">
          <w:rPr>
            <w:noProof/>
            <w:webHidden/>
          </w:rPr>
          <w:t>173</w:t>
        </w:r>
        <w:r w:rsidR="00F71CCD">
          <w:rPr>
            <w:noProof/>
            <w:webHidden/>
          </w:rPr>
          <w:fldChar w:fldCharType="end"/>
        </w:r>
      </w:hyperlink>
    </w:p>
    <w:p w14:paraId="0F4CADE9" w14:textId="53B49750" w:rsidR="00F71CCD" w:rsidRDefault="00B31D83">
      <w:pPr>
        <w:pStyle w:val="TableofFigures"/>
        <w:tabs>
          <w:tab w:val="right" w:leader="dot" w:pos="8486"/>
        </w:tabs>
        <w:rPr>
          <w:rFonts w:eastAsiaTheme="minorEastAsia" w:cstheme="minorBidi"/>
          <w:noProof/>
          <w:sz w:val="22"/>
          <w:szCs w:val="22"/>
          <w:lang w:bidi="ar-SA"/>
        </w:rPr>
      </w:pPr>
      <w:hyperlink w:anchor="_Toc464499133" w:history="1">
        <w:r w:rsidR="00F71CCD" w:rsidRPr="00E06584">
          <w:rPr>
            <w:rStyle w:val="Hyperlink"/>
            <w:noProof/>
          </w:rPr>
          <w:t xml:space="preserve">Figure 4.28 – Juan Mirabal, </w:t>
        </w:r>
        <w:r w:rsidR="00F71CCD" w:rsidRPr="00E06584">
          <w:rPr>
            <w:rStyle w:val="Hyperlink"/>
            <w:i/>
            <w:noProof/>
          </w:rPr>
          <w:t>Fall at Taos Pueblo</w:t>
        </w:r>
        <w:r w:rsidR="00F71CCD">
          <w:rPr>
            <w:noProof/>
            <w:webHidden/>
          </w:rPr>
          <w:tab/>
        </w:r>
        <w:r w:rsidR="00F71CCD">
          <w:rPr>
            <w:noProof/>
            <w:webHidden/>
          </w:rPr>
          <w:fldChar w:fldCharType="begin"/>
        </w:r>
        <w:r w:rsidR="00F71CCD">
          <w:rPr>
            <w:noProof/>
            <w:webHidden/>
          </w:rPr>
          <w:instrText xml:space="preserve"> PAGEREF _Toc464499133 \h </w:instrText>
        </w:r>
        <w:r w:rsidR="00F71CCD">
          <w:rPr>
            <w:noProof/>
            <w:webHidden/>
          </w:rPr>
        </w:r>
        <w:r w:rsidR="00F71CCD">
          <w:rPr>
            <w:noProof/>
            <w:webHidden/>
          </w:rPr>
          <w:fldChar w:fldCharType="separate"/>
        </w:r>
        <w:r w:rsidR="00FE5897">
          <w:rPr>
            <w:noProof/>
            <w:webHidden/>
          </w:rPr>
          <w:t>172</w:t>
        </w:r>
        <w:r w:rsidR="00F71CCD">
          <w:rPr>
            <w:noProof/>
            <w:webHidden/>
          </w:rPr>
          <w:fldChar w:fldCharType="end"/>
        </w:r>
      </w:hyperlink>
    </w:p>
    <w:p w14:paraId="6E0EE527" w14:textId="4285E54C" w:rsidR="00726B7A" w:rsidRDefault="00726B7A" w:rsidP="00815A62">
      <w:r>
        <w:fldChar w:fldCharType="end"/>
      </w:r>
    </w:p>
    <w:p w14:paraId="0FDEA7DE" w14:textId="70400221" w:rsidR="00FD4757" w:rsidRPr="00202848" w:rsidRDefault="00DA1971" w:rsidP="00D33940">
      <w:pPr>
        <w:pStyle w:val="Heading1"/>
      </w:pPr>
      <w:r>
        <w:br w:type="page"/>
      </w:r>
      <w:bookmarkStart w:id="9" w:name="_Toc310579467"/>
      <w:bookmarkStart w:id="10" w:name="_Toc315681316"/>
      <w:bookmarkStart w:id="11" w:name="_Toc462940478"/>
      <w:bookmarkStart w:id="12" w:name="_Toc468379258"/>
      <w:r w:rsidRPr="00202848">
        <w:t>Abstract</w:t>
      </w:r>
      <w:bookmarkEnd w:id="9"/>
      <w:bookmarkEnd w:id="10"/>
      <w:bookmarkEnd w:id="11"/>
      <w:bookmarkEnd w:id="12"/>
    </w:p>
    <w:p w14:paraId="30D56A18" w14:textId="76656E33" w:rsidR="0023520B" w:rsidRDefault="0023520B" w:rsidP="0023520B">
      <w:pPr>
        <w:pStyle w:val="Standard"/>
        <w:spacing w:line="480" w:lineRule="auto"/>
        <w:ind w:firstLine="720"/>
      </w:pPr>
      <w:r w:rsidRPr="00252162">
        <w:rPr>
          <w:rFonts w:cs="Times New Roman"/>
        </w:rPr>
        <w:t>Depending primarily on image analysis, this dissertation considers a heretofore un</w:t>
      </w:r>
      <w:r>
        <w:t xml:space="preserve">derstudied artistic construct, the </w:t>
      </w:r>
      <w:r w:rsidRPr="00252162">
        <w:rPr>
          <w:rFonts w:cs="Times New Roman"/>
        </w:rPr>
        <w:t>American intra-colonial aesthetic</w:t>
      </w:r>
      <w:r>
        <w:t xml:space="preserve">. Produced </w:t>
      </w:r>
      <w:r w:rsidRPr="00252162">
        <w:rPr>
          <w:rFonts w:cs="Times New Roman"/>
        </w:rPr>
        <w:t>as a byproduct of displac</w:t>
      </w:r>
      <w:r>
        <w:t>ed American colonialist desires near the turn of the twentieth century, t</w:t>
      </w:r>
      <w:r>
        <w:rPr>
          <w:rFonts w:cs="Times New Roman"/>
        </w:rPr>
        <w:t xml:space="preserve">he visual practices used to achieve this aesthetic </w:t>
      </w:r>
      <w:r w:rsidRPr="00252162">
        <w:rPr>
          <w:rFonts w:cs="Times New Roman"/>
        </w:rPr>
        <w:t xml:space="preserve">were flexible and multivalent, </w:t>
      </w:r>
      <w:r>
        <w:rPr>
          <w:rFonts w:cs="Times New Roman"/>
        </w:rPr>
        <w:t xml:space="preserve">and included </w:t>
      </w:r>
      <w:r w:rsidRPr="00252162">
        <w:rPr>
          <w:rFonts w:cs="Times New Roman"/>
        </w:rPr>
        <w:t xml:space="preserve">the use of visual erasure or displacement of indigenous peoples; the use of Euro-American visual surrogates, </w:t>
      </w:r>
      <w:r w:rsidR="00EF3E21">
        <w:rPr>
          <w:rFonts w:cs="Times New Roman"/>
        </w:rPr>
        <w:t xml:space="preserve">or </w:t>
      </w:r>
      <w:r w:rsidR="00002CC2">
        <w:rPr>
          <w:rFonts w:cs="Times New Roman"/>
        </w:rPr>
        <w:t xml:space="preserve">placeholders </w:t>
      </w:r>
      <w:r>
        <w:rPr>
          <w:rFonts w:cs="Times New Roman"/>
        </w:rPr>
        <w:t>who visually appropriate</w:t>
      </w:r>
      <w:r w:rsidRPr="00252162">
        <w:rPr>
          <w:rFonts w:cs="Times New Roman"/>
        </w:rPr>
        <w:t xml:space="preserve"> the land; the depiction of indigenous peoples </w:t>
      </w:r>
      <w:r>
        <w:rPr>
          <w:rFonts w:cs="Times New Roman"/>
        </w:rPr>
        <w:t xml:space="preserve">as existing only in </w:t>
      </w:r>
      <w:r w:rsidRPr="00252162">
        <w:rPr>
          <w:rFonts w:cs="Times New Roman"/>
        </w:rPr>
        <w:t xml:space="preserve">the ethnographic present; and the appropriation of natural resources into a non-indigenous epistemology. </w:t>
      </w:r>
      <w:r w:rsidR="00002CC2">
        <w:rPr>
          <w:rFonts w:cs="Times New Roman"/>
        </w:rPr>
        <w:t>In addition, in</w:t>
      </w:r>
      <w:r w:rsidR="00002CC2" w:rsidRPr="00252162">
        <w:rPr>
          <w:rFonts w:cs="Times New Roman"/>
        </w:rPr>
        <w:t>dexicality</w:t>
      </w:r>
      <w:r w:rsidR="00002CC2">
        <w:rPr>
          <w:rFonts w:cs="Times New Roman"/>
        </w:rPr>
        <w:t xml:space="preserve">, a </w:t>
      </w:r>
      <w:r w:rsidR="00002CC2" w:rsidRPr="00252162">
        <w:rPr>
          <w:rFonts w:cs="Times New Roman"/>
        </w:rPr>
        <w:t>meta-narrative</w:t>
      </w:r>
      <w:r w:rsidR="00002CC2">
        <w:rPr>
          <w:rFonts w:cs="Times New Roman"/>
        </w:rPr>
        <w:t xml:space="preserve"> element that suggests the </w:t>
      </w:r>
      <w:r w:rsidR="00002CC2" w:rsidRPr="00252162">
        <w:rPr>
          <w:rFonts w:cs="Times New Roman"/>
        </w:rPr>
        <w:t>limits of ideology in art-making</w:t>
      </w:r>
      <w:r w:rsidR="00002CC2">
        <w:rPr>
          <w:rFonts w:cs="Times New Roman"/>
        </w:rPr>
        <w:t xml:space="preserve">, </w:t>
      </w:r>
      <w:r w:rsidR="00151CC9">
        <w:rPr>
          <w:rFonts w:cs="Times New Roman"/>
        </w:rPr>
        <w:t>is examined.</w:t>
      </w:r>
    </w:p>
    <w:p w14:paraId="0653E2F4" w14:textId="241B3202" w:rsidR="0023520B" w:rsidRPr="00252162" w:rsidRDefault="0023520B" w:rsidP="0023520B">
      <w:pPr>
        <w:ind w:firstLine="720"/>
        <w:rPr>
          <w:rFonts w:ascii="Times New Roman" w:hAnsi="Times New Roman"/>
        </w:rPr>
      </w:pPr>
      <w:r>
        <w:rPr>
          <w:rFonts w:ascii="Times New Roman" w:hAnsi="Times New Roman"/>
        </w:rPr>
        <w:t>T</w:t>
      </w:r>
      <w:r w:rsidRPr="00252162">
        <w:rPr>
          <w:rFonts w:ascii="Times New Roman" w:hAnsi="Times New Roman"/>
        </w:rPr>
        <w:t xml:space="preserve">his </w:t>
      </w:r>
      <w:r>
        <w:rPr>
          <w:rFonts w:ascii="Times New Roman" w:hAnsi="Times New Roman"/>
        </w:rPr>
        <w:t xml:space="preserve">analysis </w:t>
      </w:r>
      <w:r w:rsidRPr="00252162">
        <w:rPr>
          <w:rFonts w:ascii="Times New Roman" w:hAnsi="Times New Roman"/>
        </w:rPr>
        <w:t>locate</w:t>
      </w:r>
      <w:r>
        <w:rPr>
          <w:rFonts w:ascii="Times New Roman" w:hAnsi="Times New Roman"/>
        </w:rPr>
        <w:t>s</w:t>
      </w:r>
      <w:r w:rsidRPr="00252162">
        <w:rPr>
          <w:rFonts w:ascii="Times New Roman" w:hAnsi="Times New Roman"/>
        </w:rPr>
        <w:t xml:space="preserve"> </w:t>
      </w:r>
      <w:r>
        <w:rPr>
          <w:rFonts w:ascii="Times New Roman" w:hAnsi="Times New Roman"/>
        </w:rPr>
        <w:t xml:space="preserve">the American intra-colonial aesthetic through </w:t>
      </w:r>
      <w:r w:rsidRPr="00252162">
        <w:rPr>
          <w:rFonts w:ascii="Times New Roman" w:hAnsi="Times New Roman"/>
        </w:rPr>
        <w:t>thr</w:t>
      </w:r>
      <w:r>
        <w:rPr>
          <w:rFonts w:ascii="Times New Roman" w:hAnsi="Times New Roman"/>
        </w:rPr>
        <w:t>ee d</w:t>
      </w:r>
      <w:r w:rsidRPr="00252162">
        <w:rPr>
          <w:rFonts w:ascii="Times New Roman" w:hAnsi="Times New Roman"/>
        </w:rPr>
        <w:t>ifferent case</w:t>
      </w:r>
      <w:r>
        <w:rPr>
          <w:rFonts w:ascii="Times New Roman" w:hAnsi="Times New Roman"/>
        </w:rPr>
        <w:t>s</w:t>
      </w:r>
      <w:r w:rsidRPr="00252162">
        <w:rPr>
          <w:rFonts w:ascii="Times New Roman" w:hAnsi="Times New Roman"/>
        </w:rPr>
        <w:t xml:space="preserve"> stud</w:t>
      </w:r>
      <w:r>
        <w:rPr>
          <w:rFonts w:ascii="Times New Roman" w:hAnsi="Times New Roman"/>
        </w:rPr>
        <w:t xml:space="preserve">ies of </w:t>
      </w:r>
      <w:r w:rsidRPr="00252162">
        <w:rPr>
          <w:rFonts w:ascii="Times New Roman" w:hAnsi="Times New Roman"/>
        </w:rPr>
        <w:t xml:space="preserve">marginalized contact zones within the burgeoning </w:t>
      </w:r>
      <w:r>
        <w:rPr>
          <w:rFonts w:ascii="Times New Roman" w:hAnsi="Times New Roman"/>
        </w:rPr>
        <w:t xml:space="preserve">American empire, circa 1885-1920 – </w:t>
      </w:r>
      <w:r w:rsidR="004427E0">
        <w:rPr>
          <w:rFonts w:ascii="Times New Roman" w:hAnsi="Times New Roman"/>
        </w:rPr>
        <w:t>Indian Territory, the Hawai</w:t>
      </w:r>
      <w:r w:rsidRPr="00252162">
        <w:rPr>
          <w:rFonts w:ascii="Times New Roman" w:hAnsi="Times New Roman"/>
        </w:rPr>
        <w:t>ian Islands, and New Mexico Territory</w:t>
      </w:r>
      <w:r>
        <w:rPr>
          <w:rFonts w:ascii="Times New Roman" w:hAnsi="Times New Roman"/>
        </w:rPr>
        <w:t xml:space="preserve">. </w:t>
      </w:r>
      <w:r w:rsidRPr="00252162">
        <w:rPr>
          <w:rFonts w:ascii="Times New Roman" w:hAnsi="Times New Roman"/>
        </w:rPr>
        <w:t>While each chapter makes a different argument about the nature, scope, and characteristics of the intra-colonial aesthetic, the arguments are highly inter-related and depend upon, and strengthen, one another. Methodologically, I privilege images as primary historical documents</w:t>
      </w:r>
      <w:r>
        <w:t xml:space="preserve">, </w:t>
      </w:r>
      <w:r w:rsidRPr="00252162">
        <w:rPr>
          <w:rFonts w:ascii="Times New Roman" w:hAnsi="Times New Roman"/>
        </w:rPr>
        <w:t xml:space="preserve">foregrounding my belief that </w:t>
      </w:r>
      <w:r>
        <w:rPr>
          <w:rFonts w:ascii="Times New Roman" w:hAnsi="Times New Roman"/>
        </w:rPr>
        <w:t xml:space="preserve">art </w:t>
      </w:r>
      <w:r w:rsidRPr="00252162">
        <w:rPr>
          <w:rFonts w:ascii="Times New Roman" w:hAnsi="Times New Roman"/>
        </w:rPr>
        <w:t>remain the first and best evidence for the art historian.</w:t>
      </w:r>
      <w:r>
        <w:rPr>
          <w:rFonts w:ascii="Times New Roman" w:hAnsi="Times New Roman"/>
        </w:rPr>
        <w:t xml:space="preserve"> Finally, I </w:t>
      </w:r>
      <w:r w:rsidR="00EF3E21">
        <w:rPr>
          <w:rFonts w:ascii="Times New Roman" w:hAnsi="Times New Roman"/>
        </w:rPr>
        <w:t xml:space="preserve">apply </w:t>
      </w:r>
      <w:r w:rsidRPr="00252162">
        <w:rPr>
          <w:rFonts w:ascii="Times New Roman" w:hAnsi="Times New Roman"/>
        </w:rPr>
        <w:t>Edward Said</w:t>
      </w:r>
      <w:r>
        <w:rPr>
          <w:rFonts w:ascii="Times New Roman" w:hAnsi="Times New Roman"/>
        </w:rPr>
        <w:t xml:space="preserve">’s concept of the </w:t>
      </w:r>
      <w:r w:rsidRPr="00252162">
        <w:rPr>
          <w:rFonts w:ascii="Times New Roman" w:hAnsi="Times New Roman"/>
        </w:rPr>
        <w:t xml:space="preserve">Orient, and its inverse, the Occident, </w:t>
      </w:r>
      <w:r>
        <w:rPr>
          <w:rFonts w:ascii="Times New Roman" w:hAnsi="Times New Roman"/>
        </w:rPr>
        <w:t xml:space="preserve">as </w:t>
      </w:r>
      <w:r w:rsidRPr="00252162">
        <w:rPr>
          <w:rFonts w:ascii="Times New Roman" w:hAnsi="Times New Roman"/>
        </w:rPr>
        <w:t>theoretical constructions</w:t>
      </w:r>
      <w:r>
        <w:rPr>
          <w:rFonts w:ascii="Times New Roman" w:hAnsi="Times New Roman"/>
        </w:rPr>
        <w:t xml:space="preserve">. </w:t>
      </w:r>
      <w:r w:rsidR="00EF3E21">
        <w:rPr>
          <w:rFonts w:ascii="Times New Roman" w:hAnsi="Times New Roman"/>
        </w:rPr>
        <w:t xml:space="preserve">As such, </w:t>
      </w:r>
      <w:r>
        <w:rPr>
          <w:rFonts w:ascii="Times New Roman" w:hAnsi="Times New Roman"/>
        </w:rPr>
        <w:t>image</w:t>
      </w:r>
      <w:r w:rsidR="00EF3E21">
        <w:rPr>
          <w:rFonts w:ascii="Times New Roman" w:hAnsi="Times New Roman"/>
        </w:rPr>
        <w:t>s</w:t>
      </w:r>
      <w:r>
        <w:rPr>
          <w:rFonts w:ascii="Times New Roman" w:hAnsi="Times New Roman"/>
        </w:rPr>
        <w:t xml:space="preserve"> and texts made by Euro-America</w:t>
      </w:r>
      <w:r w:rsidR="006C5326">
        <w:rPr>
          <w:rFonts w:ascii="Times New Roman" w:hAnsi="Times New Roman"/>
        </w:rPr>
        <w:t>ns</w:t>
      </w:r>
      <w:r>
        <w:rPr>
          <w:rFonts w:ascii="Times New Roman" w:hAnsi="Times New Roman"/>
        </w:rPr>
        <w:t xml:space="preserve"> concerned with colonial desire are counterbalanced by images and texts made by indigenous people</w:t>
      </w:r>
      <w:r w:rsidR="00EF3E21">
        <w:rPr>
          <w:rFonts w:ascii="Times New Roman" w:hAnsi="Times New Roman"/>
        </w:rPr>
        <w:t>s</w:t>
      </w:r>
      <w:r>
        <w:rPr>
          <w:rFonts w:ascii="Times New Roman" w:hAnsi="Times New Roman"/>
        </w:rPr>
        <w:t xml:space="preserve"> concerned with n</w:t>
      </w:r>
      <w:r w:rsidRPr="00252162">
        <w:rPr>
          <w:rFonts w:ascii="Times New Roman" w:hAnsi="Times New Roman"/>
        </w:rPr>
        <w:t xml:space="preserve">ative </w:t>
      </w:r>
      <w:r>
        <w:rPr>
          <w:rFonts w:ascii="Times New Roman" w:hAnsi="Times New Roman"/>
        </w:rPr>
        <w:t xml:space="preserve">survival and </w:t>
      </w:r>
      <w:r w:rsidRPr="00252162">
        <w:rPr>
          <w:rFonts w:ascii="Times New Roman" w:hAnsi="Times New Roman"/>
        </w:rPr>
        <w:t>sovereignty</w:t>
      </w:r>
      <w:r w:rsidR="009B1217">
        <w:rPr>
          <w:rFonts w:ascii="Times New Roman" w:hAnsi="Times New Roman"/>
        </w:rPr>
        <w:t>.</w:t>
      </w:r>
    </w:p>
    <w:p w14:paraId="5B366203" w14:textId="4DF147AC" w:rsidR="0023520B" w:rsidRDefault="0023520B" w:rsidP="0023520B">
      <w:pPr>
        <w:rPr>
          <w:rFonts w:ascii="Times New Roman" w:hAnsi="Times New Roman"/>
        </w:rPr>
      </w:pPr>
    </w:p>
    <w:p w14:paraId="7D836B42" w14:textId="06E06B3C" w:rsidR="006744A3" w:rsidRDefault="006744A3" w:rsidP="006744A3">
      <w:pPr>
        <w:sectPr w:rsidR="006744A3" w:rsidSect="008457EF">
          <w:footnotePr>
            <w:numRestart w:val="eachSect"/>
          </w:footnotePr>
          <w:endnotePr>
            <w:numFmt w:val="decimal"/>
          </w:endnotePr>
          <w:pgSz w:w="12240" w:h="15840" w:code="1"/>
          <w:pgMar w:top="1440" w:right="1440" w:bottom="1440" w:left="2304" w:header="720" w:footer="720" w:gutter="0"/>
          <w:pgNumType w:fmt="lowerRoman" w:start="4"/>
          <w:cols w:space="720"/>
          <w:docGrid w:linePitch="360"/>
        </w:sectPr>
      </w:pPr>
      <w:bookmarkStart w:id="13" w:name="_Toc310579468"/>
      <w:bookmarkStart w:id="14" w:name="_Toc315681317"/>
      <w:bookmarkStart w:id="15" w:name="_Toc462940479"/>
    </w:p>
    <w:p w14:paraId="12728BC7" w14:textId="15D93641" w:rsidR="00DA1971" w:rsidRPr="006744A3" w:rsidRDefault="007459C4" w:rsidP="00D33940">
      <w:pPr>
        <w:pStyle w:val="Heading1"/>
        <w:numPr>
          <w:ilvl w:val="0"/>
          <w:numId w:val="38"/>
        </w:numPr>
      </w:pPr>
      <w:bookmarkStart w:id="16" w:name="_Toc468379259"/>
      <w:r>
        <w:t xml:space="preserve">– </w:t>
      </w:r>
      <w:r w:rsidR="00DA1971" w:rsidRPr="007459C4">
        <w:t>Introduction</w:t>
      </w:r>
      <w:bookmarkEnd w:id="13"/>
      <w:bookmarkEnd w:id="14"/>
      <w:bookmarkEnd w:id="15"/>
      <w:bookmarkEnd w:id="16"/>
    </w:p>
    <w:p w14:paraId="4F68FA94" w14:textId="03DEF07F" w:rsidR="002A61E1" w:rsidRPr="00F03418" w:rsidRDefault="002A61E1" w:rsidP="002A61E1">
      <w:pPr>
        <w:ind w:firstLine="720"/>
        <w:rPr>
          <w:rFonts w:ascii="Times New Roman" w:hAnsi="Times New Roman"/>
        </w:rPr>
      </w:pPr>
      <w:r w:rsidRPr="00F03418">
        <w:rPr>
          <w:rFonts w:ascii="Times New Roman" w:hAnsi="Times New Roman"/>
        </w:rPr>
        <w:t>American artists at the turn of the twentieth century frequently constructed image</w:t>
      </w:r>
      <w:r w:rsidR="00EF3E21">
        <w:rPr>
          <w:rFonts w:ascii="Times New Roman" w:hAnsi="Times New Roman"/>
        </w:rPr>
        <w:t>s of American territorial zones</w:t>
      </w:r>
      <w:r w:rsidRPr="00F03418">
        <w:rPr>
          <w:rFonts w:ascii="Times New Roman" w:hAnsi="Times New Roman"/>
        </w:rPr>
        <w:t xml:space="preserve"> as marginalized, quasi-colonial spaces. Such images suggested thematic and historiographical </w:t>
      </w:r>
      <w:r w:rsidRPr="00F03418">
        <w:rPr>
          <w:rFonts w:ascii="Times New Roman" w:hAnsi="Times New Roman"/>
          <w:lang w:bidi="ar-SA"/>
        </w:rPr>
        <w:t xml:space="preserve">equivalencies between America’s intra-colonial spaces and </w:t>
      </w:r>
      <w:r w:rsidRPr="00F03418">
        <w:rPr>
          <w:rFonts w:ascii="Times New Roman" w:hAnsi="Times New Roman"/>
        </w:rPr>
        <w:t xml:space="preserve">Europe’s newly acquired colonial possessions in Africa. </w:t>
      </w:r>
      <w:r w:rsidR="005B7071">
        <w:rPr>
          <w:rFonts w:ascii="Times New Roman" w:hAnsi="Times New Roman"/>
        </w:rPr>
        <w:t xml:space="preserve">Yet the emergent visual </w:t>
      </w:r>
      <w:r w:rsidRPr="00F03418">
        <w:rPr>
          <w:rFonts w:ascii="Times New Roman" w:hAnsi="Times New Roman"/>
        </w:rPr>
        <w:t xml:space="preserve">aesthetic practice </w:t>
      </w:r>
      <w:r w:rsidR="005B7071">
        <w:rPr>
          <w:rFonts w:ascii="Times New Roman" w:hAnsi="Times New Roman"/>
        </w:rPr>
        <w:t xml:space="preserve">came to reflect not European conquest but American </w:t>
      </w:r>
      <w:r w:rsidR="00EF3E21">
        <w:rPr>
          <w:rFonts w:ascii="Times New Roman" w:hAnsi="Times New Roman"/>
        </w:rPr>
        <w:t xml:space="preserve">territorial </w:t>
      </w:r>
      <w:r w:rsidR="005B7071">
        <w:rPr>
          <w:rFonts w:ascii="Times New Roman" w:hAnsi="Times New Roman"/>
        </w:rPr>
        <w:t xml:space="preserve">expansionism. The aesthetic </w:t>
      </w:r>
      <w:r w:rsidRPr="00F03418">
        <w:rPr>
          <w:rFonts w:ascii="Times New Roman" w:hAnsi="Times New Roman"/>
        </w:rPr>
        <w:t xml:space="preserve">can first be seen in certain Northern images made of the Reconstruction South in the 1870s. By the 1880s, such visual practices </w:t>
      </w:r>
      <w:r w:rsidR="00EF3E21">
        <w:rPr>
          <w:rFonts w:ascii="Times New Roman" w:hAnsi="Times New Roman"/>
        </w:rPr>
        <w:t xml:space="preserve">came to characterize many </w:t>
      </w:r>
      <w:r w:rsidRPr="00F03418">
        <w:rPr>
          <w:rFonts w:ascii="Times New Roman" w:hAnsi="Times New Roman"/>
        </w:rPr>
        <w:t>images of America’s territorial possessions. Depending primarily on image analysis, this dissertation locate</w:t>
      </w:r>
      <w:r w:rsidR="00EF3E21">
        <w:rPr>
          <w:rFonts w:ascii="Times New Roman" w:hAnsi="Times New Roman"/>
        </w:rPr>
        <w:t>s</w:t>
      </w:r>
      <w:r w:rsidRPr="00F03418">
        <w:rPr>
          <w:rFonts w:ascii="Times New Roman" w:hAnsi="Times New Roman"/>
        </w:rPr>
        <w:t xml:space="preserve"> and define</w:t>
      </w:r>
      <w:r w:rsidR="00EF3E21">
        <w:rPr>
          <w:rFonts w:ascii="Times New Roman" w:hAnsi="Times New Roman"/>
        </w:rPr>
        <w:t>s</w:t>
      </w:r>
      <w:r w:rsidRPr="00F03418">
        <w:rPr>
          <w:rFonts w:ascii="Times New Roman" w:hAnsi="Times New Roman"/>
        </w:rPr>
        <w:t xml:space="preserve"> a heretofore un</w:t>
      </w:r>
      <w:r w:rsidR="00EF3E21">
        <w:rPr>
          <w:rFonts w:ascii="Times New Roman" w:hAnsi="Times New Roman"/>
        </w:rPr>
        <w:t xml:space="preserve">derstudied </w:t>
      </w:r>
      <w:r w:rsidRPr="00F03418">
        <w:rPr>
          <w:rFonts w:ascii="Times New Roman" w:hAnsi="Times New Roman"/>
          <w:i/>
        </w:rPr>
        <w:t>intra-colonial</w:t>
      </w:r>
      <w:r w:rsidRPr="00F03418">
        <w:rPr>
          <w:rFonts w:ascii="Times New Roman" w:hAnsi="Times New Roman"/>
        </w:rPr>
        <w:t xml:space="preserve"> aesthetic within the American artistic </w:t>
      </w:r>
      <w:r w:rsidRPr="00F03418">
        <w:rPr>
          <w:rFonts w:ascii="Times New Roman" w:hAnsi="Times New Roman"/>
          <w:i/>
        </w:rPr>
        <w:t>milieu</w:t>
      </w:r>
      <w:r w:rsidRPr="00F03418">
        <w:rPr>
          <w:rFonts w:ascii="Times New Roman" w:hAnsi="Times New Roman"/>
        </w:rPr>
        <w:t xml:space="preserve">. Unlike proponents of Manifest Destiny, who presupposed the American West to be a </w:t>
      </w:r>
      <w:r w:rsidRPr="00F03418">
        <w:rPr>
          <w:rFonts w:ascii="Times New Roman" w:hAnsi="Times New Roman"/>
          <w:i/>
        </w:rPr>
        <w:t>tabula rasa</w:t>
      </w:r>
      <w:r w:rsidRPr="00F03418">
        <w:rPr>
          <w:rFonts w:ascii="Times New Roman" w:hAnsi="Times New Roman"/>
        </w:rPr>
        <w:t xml:space="preserve"> upon which settlers could effortlessly inscribe nationalistic prerogatives, those who produced and </w:t>
      </w:r>
      <w:r w:rsidR="00EF3E21">
        <w:rPr>
          <w:rFonts w:ascii="Times New Roman" w:hAnsi="Times New Roman"/>
        </w:rPr>
        <w:t xml:space="preserve">were informed by </w:t>
      </w:r>
      <w:r w:rsidRPr="00F03418">
        <w:rPr>
          <w:rFonts w:ascii="Times New Roman" w:hAnsi="Times New Roman"/>
        </w:rPr>
        <w:t>intra-colonial art acknowledged and attempted to invalidate the pre-existing territorial claims</w:t>
      </w:r>
      <w:r w:rsidR="00915343">
        <w:rPr>
          <w:rFonts w:ascii="Times New Roman" w:hAnsi="Times New Roman"/>
        </w:rPr>
        <w:t>,</w:t>
      </w:r>
      <w:r w:rsidRPr="00F03418">
        <w:rPr>
          <w:rFonts w:ascii="Times New Roman" w:hAnsi="Times New Roman"/>
        </w:rPr>
        <w:t xml:space="preserve"> </w:t>
      </w:r>
      <w:r w:rsidR="00915343">
        <w:rPr>
          <w:rFonts w:ascii="Times New Roman" w:hAnsi="Times New Roman"/>
        </w:rPr>
        <w:t xml:space="preserve">however implicit, </w:t>
      </w:r>
      <w:r w:rsidRPr="00F03418">
        <w:rPr>
          <w:rFonts w:ascii="Times New Roman" w:hAnsi="Times New Roman"/>
        </w:rPr>
        <w:t xml:space="preserve">of </w:t>
      </w:r>
      <w:r w:rsidR="00EF3E21">
        <w:rPr>
          <w:rFonts w:ascii="Times New Roman" w:hAnsi="Times New Roman"/>
        </w:rPr>
        <w:t>indigenous</w:t>
      </w:r>
      <w:r w:rsidRPr="00F03418">
        <w:rPr>
          <w:rFonts w:ascii="Times New Roman" w:hAnsi="Times New Roman"/>
        </w:rPr>
        <w:t xml:space="preserve"> inhabitants. In this model, texts and images produced of these territorial areas inscribed others, particularly Natives, as inherently inferior in terms of race, class, and gender. Yet this intra-colonial model produced meaning and identify not only for the marginalized group but for the dominant group as well.</w:t>
      </w:r>
    </w:p>
    <w:p w14:paraId="0961DCD5" w14:textId="27B33DE8" w:rsidR="002A61E1" w:rsidRPr="00F03418" w:rsidRDefault="002A61E1" w:rsidP="002A61E1">
      <w:pPr>
        <w:pStyle w:val="Standard"/>
        <w:spacing w:line="480" w:lineRule="auto"/>
        <w:ind w:firstLine="720"/>
        <w:rPr>
          <w:rFonts w:cs="Times New Roman"/>
        </w:rPr>
      </w:pPr>
      <w:r w:rsidRPr="00F03418">
        <w:rPr>
          <w:rFonts w:cs="Times New Roman"/>
        </w:rPr>
        <w:t>The pictorial practices artists used to achieve visual colonization of marginalized regions and peoples were flexible and multivalent, yet four visual practices stand out. First, artists frequently used visual erasure or displacement of indigenous peoples as</w:t>
      </w:r>
      <w:r w:rsidR="00EF3E21">
        <w:rPr>
          <w:rFonts w:cs="Times New Roman"/>
        </w:rPr>
        <w:t xml:space="preserve"> a</w:t>
      </w:r>
      <w:r w:rsidRPr="00F03418">
        <w:rPr>
          <w:rFonts w:cs="Times New Roman"/>
        </w:rPr>
        <w:t xml:space="preserve"> strategy to empty the land of legitimate stakeholders.</w:t>
      </w:r>
      <w:r w:rsidRPr="00F03418">
        <w:rPr>
          <w:rStyle w:val="FootnoteReference"/>
          <w:rFonts w:cs="Times New Roman"/>
        </w:rPr>
        <w:footnoteReference w:id="1"/>
      </w:r>
      <w:r w:rsidRPr="00F03418">
        <w:rPr>
          <w:rFonts w:cs="Times New Roman"/>
        </w:rPr>
        <w:t xml:space="preserve"> Second, artist frequently used visual surrogates, </w:t>
      </w:r>
      <w:r w:rsidR="00EF3E21">
        <w:rPr>
          <w:rFonts w:cs="Times New Roman"/>
        </w:rPr>
        <w:t xml:space="preserve">or </w:t>
      </w:r>
      <w:r w:rsidRPr="00F03418">
        <w:rPr>
          <w:rFonts w:cs="Times New Roman"/>
        </w:rPr>
        <w:t>Euro-American placeholders, as a way to visually appropriat</w:t>
      </w:r>
      <w:r w:rsidR="00EF3E21">
        <w:rPr>
          <w:rFonts w:cs="Times New Roman"/>
        </w:rPr>
        <w:t>e</w:t>
      </w:r>
      <w:r w:rsidRPr="00F03418">
        <w:rPr>
          <w:rFonts w:cs="Times New Roman"/>
        </w:rPr>
        <w:t xml:space="preserve"> the land. Third, when artists did </w:t>
      </w:r>
      <w:r w:rsidR="00915343">
        <w:rPr>
          <w:rFonts w:cs="Times New Roman"/>
        </w:rPr>
        <w:t>represent</w:t>
      </w:r>
      <w:r w:rsidRPr="00F03418">
        <w:rPr>
          <w:rFonts w:cs="Times New Roman"/>
        </w:rPr>
        <w:t xml:space="preserve"> indigenous peoples, they often pictured them in the ethnographic present.</w:t>
      </w:r>
      <w:r w:rsidRPr="00F03418">
        <w:rPr>
          <w:rStyle w:val="FootnoteReference"/>
          <w:rFonts w:cs="Times New Roman"/>
        </w:rPr>
        <w:footnoteReference w:id="2"/>
      </w:r>
      <w:r w:rsidRPr="00F03418">
        <w:rPr>
          <w:rFonts w:cs="Times New Roman"/>
        </w:rPr>
        <w:t xml:space="preserve"> At best, indigenous peoples are shown as mal</w:t>
      </w:r>
      <w:r w:rsidR="006C5326">
        <w:rPr>
          <w:rFonts w:cs="Times New Roman"/>
        </w:rPr>
        <w:t>adjusted to white ways; at worst</w:t>
      </w:r>
      <w:r w:rsidRPr="00F03418">
        <w:rPr>
          <w:rFonts w:cs="Times New Roman"/>
        </w:rPr>
        <w:t xml:space="preserve">, </w:t>
      </w:r>
      <w:r w:rsidR="00EF3E21">
        <w:rPr>
          <w:rFonts w:cs="Times New Roman"/>
        </w:rPr>
        <w:t xml:space="preserve">they are shown </w:t>
      </w:r>
      <w:r w:rsidRPr="00F03418">
        <w:rPr>
          <w:rFonts w:cs="Times New Roman"/>
        </w:rPr>
        <w:t>as savage barbarians. Fourth, when natural resources are depicte</w:t>
      </w:r>
      <w:r w:rsidR="006C5326">
        <w:rPr>
          <w:rFonts w:cs="Times New Roman"/>
        </w:rPr>
        <w:t>d, they are appropriated into non-indigenous epistemologies</w:t>
      </w:r>
      <w:r w:rsidRPr="00F03418">
        <w:rPr>
          <w:rFonts w:cs="Times New Roman"/>
        </w:rPr>
        <w:t xml:space="preserve"> and shown as exploitable source material for artists and authors, portending their eventual appropriation as an </w:t>
      </w:r>
      <w:r w:rsidR="00EF3E21">
        <w:rPr>
          <w:rFonts w:cs="Times New Roman"/>
        </w:rPr>
        <w:t xml:space="preserve">American </w:t>
      </w:r>
      <w:r w:rsidR="009B1217">
        <w:rPr>
          <w:rFonts w:cs="Times New Roman"/>
        </w:rPr>
        <w:t>economic resource.</w:t>
      </w:r>
    </w:p>
    <w:p w14:paraId="0A617B6C" w14:textId="740F5811" w:rsidR="002A61E1" w:rsidRPr="00F03418" w:rsidRDefault="002A61E1" w:rsidP="002A61E1">
      <w:pPr>
        <w:pStyle w:val="Standard"/>
        <w:spacing w:line="480" w:lineRule="auto"/>
        <w:ind w:firstLine="720"/>
        <w:rPr>
          <w:rFonts w:cs="Times New Roman"/>
        </w:rPr>
      </w:pPr>
      <w:r w:rsidRPr="00F03418">
        <w:rPr>
          <w:rFonts w:cs="Times New Roman"/>
        </w:rPr>
        <w:t>In addition to these pictorial practices, one further intellectu</w:t>
      </w:r>
      <w:r w:rsidR="008D6DF5">
        <w:rPr>
          <w:rFonts w:cs="Times New Roman"/>
        </w:rPr>
        <w:t xml:space="preserve">al construct will be examined. </w:t>
      </w:r>
      <w:r w:rsidRPr="00F03418">
        <w:rPr>
          <w:rFonts w:cs="Times New Roman"/>
        </w:rPr>
        <w:t xml:space="preserve">Artists working in the intra-colonial aesthetic, sometimes unintentionally, sometimes intentionally, indexed the art-making process in their art. While such indexicality has multiple causes, it invariably provides a tacit acknowledgement of the constructedness of such imagery. Unlike the four pictorial practices defined above, such acknowledgements </w:t>
      </w:r>
      <w:r w:rsidR="00CC679F">
        <w:rPr>
          <w:rFonts w:cs="Times New Roman"/>
        </w:rPr>
        <w:t>–</w:t>
      </w:r>
      <w:r w:rsidRPr="00F03418">
        <w:rPr>
          <w:rFonts w:cs="Times New Roman"/>
        </w:rPr>
        <w:t xml:space="preserve"> o</w:t>
      </w:r>
      <w:r w:rsidR="00CC679F">
        <w:rPr>
          <w:rFonts w:cs="Times New Roman"/>
        </w:rPr>
        <w:t>f constructedness, fictionality, and</w:t>
      </w:r>
      <w:r w:rsidRPr="00F03418">
        <w:rPr>
          <w:rFonts w:cs="Times New Roman"/>
        </w:rPr>
        <w:t xml:space="preserve"> departures from mimesis – do not work to naturalize intra-colonial aesthetic. Rather, they provide ironic meta-content which at times serves to undermine an otherwise naturalized ideological program. Such meta-narrative elements suggest the li</w:t>
      </w:r>
      <w:r w:rsidR="009B1217">
        <w:rPr>
          <w:rFonts w:cs="Times New Roman"/>
        </w:rPr>
        <w:t>mits of ideology in art-making.</w:t>
      </w:r>
    </w:p>
    <w:p w14:paraId="58C89FDF" w14:textId="7E0ED0D8" w:rsidR="002A61E1" w:rsidRPr="00F03418" w:rsidRDefault="002A61E1" w:rsidP="002A61E1">
      <w:pPr>
        <w:pStyle w:val="Standard"/>
        <w:spacing w:line="480" w:lineRule="auto"/>
        <w:ind w:firstLine="720"/>
        <w:rPr>
          <w:rFonts w:cs="Times New Roman"/>
        </w:rPr>
      </w:pPr>
      <w:r w:rsidRPr="00F03418">
        <w:rPr>
          <w:rFonts w:cs="Times New Roman"/>
        </w:rPr>
        <w:t>In this project, I argue that in portraying the people</w:t>
      </w:r>
      <w:r w:rsidR="00CC679F">
        <w:rPr>
          <w:rFonts w:cs="Times New Roman"/>
        </w:rPr>
        <w:t>s</w:t>
      </w:r>
      <w:r w:rsidRPr="00F03418">
        <w:rPr>
          <w:rFonts w:cs="Times New Roman"/>
        </w:rPr>
        <w:t xml:space="preserve"> and places wit</w:t>
      </w:r>
      <w:r w:rsidR="004427E0">
        <w:rPr>
          <w:rFonts w:cs="Times New Roman"/>
        </w:rPr>
        <w:t>hin Indian Territory, the Hawai</w:t>
      </w:r>
      <w:r w:rsidRPr="00F03418">
        <w:rPr>
          <w:rFonts w:cs="Times New Roman"/>
        </w:rPr>
        <w:t xml:space="preserve">ian Islands, and New Mexico Territory </w:t>
      </w:r>
      <w:r w:rsidR="00CC679F">
        <w:rPr>
          <w:rFonts w:cs="Times New Roman"/>
        </w:rPr>
        <w:t xml:space="preserve">through an </w:t>
      </w:r>
      <w:r w:rsidRPr="00F03418">
        <w:rPr>
          <w:rFonts w:cs="Times New Roman"/>
        </w:rPr>
        <w:t>intra-colonial</w:t>
      </w:r>
      <w:r w:rsidR="00CC679F">
        <w:rPr>
          <w:rFonts w:cs="Times New Roman"/>
        </w:rPr>
        <w:t xml:space="preserve"> aesthetic</w:t>
      </w:r>
      <w:r w:rsidRPr="00F03418">
        <w:rPr>
          <w:rFonts w:cs="Times New Roman"/>
        </w:rPr>
        <w:t>, texts and images validated, and fed into, the desire by some segments of post-bellum American society to see these lands, once thought of as useless impediments to progress and / or desolate, desert places, as exploitable resources for colonialist enterprises. To do so, artists first subjectified (i.e., made subjects of), and then objectified, people, places, and events. Objectified images informed a visual language of desire, one which pictured places and resources as both desirable and available to future settlers. In doing so, artists served as a colonialist avant-garde, as hunters, capturing images which fed the national hunger for land and resources.</w:t>
      </w:r>
    </w:p>
    <w:p w14:paraId="23AA0C59" w14:textId="7A560ABD" w:rsidR="002A61E1" w:rsidRPr="00F03418" w:rsidRDefault="002A61E1" w:rsidP="002A61E1">
      <w:pPr>
        <w:pStyle w:val="Standard"/>
        <w:spacing w:line="480" w:lineRule="auto"/>
        <w:ind w:firstLine="720"/>
        <w:rPr>
          <w:rFonts w:eastAsia="Times New Roman" w:cs="Times New Roman"/>
        </w:rPr>
      </w:pPr>
      <w:r w:rsidRPr="00F03418">
        <w:rPr>
          <w:rFonts w:cs="Times New Roman"/>
        </w:rPr>
        <w:t xml:space="preserve">American powerbrokers, poorly positioned after the Civil War to join in the imminent European </w:t>
      </w:r>
      <w:r w:rsidR="00915343">
        <w:rPr>
          <w:rFonts w:cs="Times New Roman"/>
        </w:rPr>
        <w:t>“</w:t>
      </w:r>
      <w:r w:rsidR="005B7071" w:rsidRPr="00F03418">
        <w:rPr>
          <w:rFonts w:cs="Times New Roman"/>
        </w:rPr>
        <w:t>Colonial</w:t>
      </w:r>
      <w:r w:rsidRPr="00F03418">
        <w:rPr>
          <w:rFonts w:cs="Times New Roman"/>
        </w:rPr>
        <w:t xml:space="preserve"> Scramble</w:t>
      </w:r>
      <w:r w:rsidR="00915343">
        <w:rPr>
          <w:rFonts w:cs="Times New Roman"/>
        </w:rPr>
        <w:t>”</w:t>
      </w:r>
      <w:r w:rsidRPr="00F03418">
        <w:rPr>
          <w:rFonts w:cs="Times New Roman"/>
        </w:rPr>
        <w:t xml:space="preserve"> for Africa (1881-1914), looked to artistic renderings of territorial possessions to project an image of America as a colonial power equal to the colonialist nation states of Europe. I base this interpretation on </w:t>
      </w:r>
      <w:r w:rsidRPr="00F03418">
        <w:rPr>
          <w:rFonts w:eastAsia="Times New Roman" w:cs="Times New Roman"/>
        </w:rPr>
        <w:t xml:space="preserve">Jennifer Greeson’s study of Edward King’s 1875 travelogue </w:t>
      </w:r>
      <w:r w:rsidRPr="00F03418">
        <w:rPr>
          <w:rFonts w:eastAsia="Times New Roman" w:cs="Times New Roman"/>
          <w:i/>
        </w:rPr>
        <w:t xml:space="preserve">The Great South: A Record of Journeys in Louisiana, Texas, the Indian Territory, Missouri, Arkansas, Mississippi, Alabama, Georgia, Florida,  South Carolina, North Carolina, Kentucky, Tennessee, Virginia, West Virginia, and Maryland </w:t>
      </w:r>
      <w:r w:rsidRPr="00F03418">
        <w:rPr>
          <w:rFonts w:eastAsia="Times New Roman" w:cs="Times New Roman"/>
        </w:rPr>
        <w:t xml:space="preserve">[hereafter, </w:t>
      </w:r>
      <w:r w:rsidRPr="00F03418">
        <w:rPr>
          <w:rFonts w:eastAsia="Times New Roman" w:cs="Times New Roman"/>
          <w:i/>
        </w:rPr>
        <w:t>The Great South</w:t>
      </w:r>
      <w:r w:rsidR="009B1217">
        <w:rPr>
          <w:rFonts w:eastAsia="Times New Roman" w:cs="Times New Roman"/>
        </w:rPr>
        <w:t>].</w:t>
      </w:r>
      <w:r w:rsidRPr="00F03418">
        <w:rPr>
          <w:rStyle w:val="FootnoteReference"/>
          <w:rFonts w:cs="Times New Roman"/>
        </w:rPr>
        <w:footnoteReference w:id="3"/>
      </w:r>
      <w:r w:rsidRPr="00F03418">
        <w:rPr>
          <w:rFonts w:eastAsia="Times New Roman" w:cs="Times New Roman"/>
        </w:rPr>
        <w:t xml:space="preserve"> In her analysis, Greeson convincingly argues that this mammoth, two and a half year undertaking financed by </w:t>
      </w:r>
      <w:r w:rsidRPr="00F03418">
        <w:rPr>
          <w:rFonts w:eastAsia="Times New Roman" w:cs="Times New Roman"/>
          <w:i/>
        </w:rPr>
        <w:t>Scribner’s</w:t>
      </w:r>
      <w:r w:rsidRPr="00F03418">
        <w:rPr>
          <w:rFonts w:eastAsia="Times New Roman" w:cs="Times New Roman"/>
        </w:rPr>
        <w:t xml:space="preserve"> </w:t>
      </w:r>
      <w:r w:rsidRPr="00F03418">
        <w:rPr>
          <w:rFonts w:eastAsia="Times New Roman" w:cs="Times New Roman"/>
          <w:i/>
        </w:rPr>
        <w:t>Magazine</w:t>
      </w:r>
      <w:r w:rsidRPr="00F03418">
        <w:rPr>
          <w:rFonts w:eastAsia="Times New Roman" w:cs="Times New Roman"/>
        </w:rPr>
        <w:t xml:space="preserve"> can profitably be read as an attempt by </w:t>
      </w:r>
      <w:r w:rsidRPr="00F03418">
        <w:rPr>
          <w:rFonts w:eastAsia="Times New Roman" w:cs="Times New Roman"/>
          <w:i/>
        </w:rPr>
        <w:t>Scribner’s</w:t>
      </w:r>
      <w:r w:rsidRPr="00F03418">
        <w:rPr>
          <w:rFonts w:eastAsia="Times New Roman" w:cs="Times New Roman"/>
        </w:rPr>
        <w:t xml:space="preserve"> editor Josiah Gilbert Holland to “represent the southern states under Reconstruction as a colonized region of the US, parallel to colonized regions of the European powers around the </w:t>
      </w:r>
      <w:r w:rsidR="00CC679F">
        <w:rPr>
          <w:rFonts w:eastAsia="Times New Roman" w:cs="Times New Roman"/>
        </w:rPr>
        <w:t>globe.” This, Gleeson concludes</w:t>
      </w:r>
      <w:r w:rsidRPr="00F03418">
        <w:rPr>
          <w:rFonts w:eastAsia="Times New Roman" w:cs="Times New Roman"/>
        </w:rPr>
        <w:t xml:space="preserve"> “was, fundamentally, to assert a new state of equality for the US amongst the imperial nations of the world.”</w:t>
      </w:r>
      <w:r w:rsidRPr="00F03418">
        <w:rPr>
          <w:rStyle w:val="FootnoteReference"/>
          <w:rFonts w:cs="Times New Roman"/>
        </w:rPr>
        <w:footnoteReference w:id="4"/>
      </w:r>
      <w:r w:rsidR="006C5326">
        <w:rPr>
          <w:rFonts w:eastAsia="Times New Roman" w:cs="Times New Roman"/>
        </w:rPr>
        <w:t xml:space="preserve"> According to Gr</w:t>
      </w:r>
      <w:r w:rsidRPr="00F03418">
        <w:rPr>
          <w:rFonts w:eastAsia="Times New Roman" w:cs="Times New Roman"/>
        </w:rPr>
        <w:t xml:space="preserve">eeson, </w:t>
      </w:r>
      <w:r w:rsidRPr="00F03418">
        <w:rPr>
          <w:rFonts w:eastAsia="Times New Roman" w:cs="Times New Roman"/>
          <w:i/>
        </w:rPr>
        <w:t>The New South</w:t>
      </w:r>
      <w:r w:rsidRPr="00F03418">
        <w:rPr>
          <w:rFonts w:eastAsia="Times New Roman" w:cs="Times New Roman"/>
        </w:rPr>
        <w:t xml:space="preserve"> packaged “southern states [under </w:t>
      </w:r>
      <w:r w:rsidR="006A2B51" w:rsidRPr="00F03418">
        <w:rPr>
          <w:rFonts w:eastAsia="Times New Roman" w:cs="Times New Roman"/>
        </w:rPr>
        <w:t>Reconstruction] . . .</w:t>
      </w:r>
      <w:r w:rsidR="006A2B51">
        <w:rPr>
          <w:rFonts w:eastAsia="Times New Roman" w:cs="Times New Roman"/>
        </w:rPr>
        <w:t xml:space="preserve"> </w:t>
      </w:r>
      <w:r w:rsidR="006A2B51" w:rsidRPr="00F03418">
        <w:rPr>
          <w:rFonts w:eastAsia="Times New Roman" w:cs="Times New Roman"/>
        </w:rPr>
        <w:t>.</w:t>
      </w:r>
      <w:r w:rsidRPr="00F03418">
        <w:rPr>
          <w:rFonts w:eastAsia="Times New Roman" w:cs="Times New Roman"/>
        </w:rPr>
        <w:t xml:space="preserve"> as a sort of domestic Africa – an imaginative parallel field for projection of imperial power within the US.”</w:t>
      </w:r>
      <w:r w:rsidRPr="00F03418">
        <w:rPr>
          <w:rStyle w:val="FootnoteReference"/>
          <w:rFonts w:cs="Times New Roman"/>
        </w:rPr>
        <w:footnoteReference w:id="5"/>
      </w:r>
      <w:r w:rsidRPr="00F03418">
        <w:rPr>
          <w:rFonts w:eastAsia="Times New Roman" w:cs="Times New Roman"/>
        </w:rPr>
        <w:t xml:space="preserve"> Just two decades later, in 1898, the American government would manifest its colonial ambitions through the annexation of Hawai’i, and the acquisition of the Philippines, Guam, and Puerto Ri</w:t>
      </w:r>
      <w:r w:rsidR="009B1217">
        <w:rPr>
          <w:rFonts w:eastAsia="Times New Roman" w:cs="Times New Roman"/>
        </w:rPr>
        <w:t>co in the Spanish-American war.</w:t>
      </w:r>
    </w:p>
    <w:p w14:paraId="4DA8801B" w14:textId="32CDEF4A" w:rsidR="002A61E1" w:rsidRPr="00F03418" w:rsidRDefault="002A61E1" w:rsidP="002A61E1">
      <w:pPr>
        <w:pStyle w:val="Standard"/>
        <w:spacing w:line="480" w:lineRule="auto"/>
        <w:ind w:firstLine="720"/>
        <w:rPr>
          <w:rFonts w:cs="Times New Roman"/>
        </w:rPr>
      </w:pPr>
      <w:r w:rsidRPr="00F03418">
        <w:rPr>
          <w:rFonts w:eastAsia="Times New Roman" w:cs="Times New Roman"/>
        </w:rPr>
        <w:t xml:space="preserve">Each chapter of the dissertation addresses the development of the American intra-colonial aesthetic through a different case study. While each chapter makes a different argument about the nature, scope, and characteristics of the intra-colonial aesthetic, the arguments are highly inter-related and depend upon, and strengthen, one another. </w:t>
      </w:r>
      <w:r w:rsidRPr="00F03418">
        <w:rPr>
          <w:rFonts w:cs="Times New Roman"/>
        </w:rPr>
        <w:t>Methodologically, throughout the project, I</w:t>
      </w:r>
      <w:r w:rsidR="00CC679F">
        <w:rPr>
          <w:rFonts w:cs="Times New Roman"/>
        </w:rPr>
        <w:t xml:space="preserve"> </w:t>
      </w:r>
      <w:r w:rsidRPr="00F03418">
        <w:rPr>
          <w:rFonts w:cs="Times New Roman"/>
        </w:rPr>
        <w:t>privilege images as primary historical documents. In looking closely at the images of these three intra-colonial spaces, I am foregrounding my belief that images remain the first and best evi</w:t>
      </w:r>
      <w:r w:rsidR="00CC679F">
        <w:rPr>
          <w:rFonts w:cs="Times New Roman"/>
        </w:rPr>
        <w:t xml:space="preserve">dence for the art historian. The narratives I create, </w:t>
      </w:r>
      <w:r w:rsidRPr="00F03418">
        <w:rPr>
          <w:rFonts w:cs="Times New Roman"/>
        </w:rPr>
        <w:t>although necessarily speculative, provide relative truths while expanding, rather than contracting, interpretive possibilities. In this vein, I model my close looking on the works of the Prownian, or Yale, model of visual analysis. Examples include the works of Kenneth Haltman and Alexander Nemerov. Haltman and Nemerov have both foreground</w:t>
      </w:r>
      <w:r w:rsidR="00A04B8F">
        <w:rPr>
          <w:rFonts w:cs="Times New Roman"/>
        </w:rPr>
        <w:t>ed</w:t>
      </w:r>
      <w:r w:rsidRPr="00F03418">
        <w:rPr>
          <w:rFonts w:cs="Times New Roman"/>
        </w:rPr>
        <w:t xml:space="preserve"> non-canonical art made by relatively obscure artists. Through close looking, both art historians open virtually unknown works to rich interpretive analysis informed by history writ large.</w:t>
      </w:r>
      <w:r w:rsidRPr="00F03418">
        <w:rPr>
          <w:rStyle w:val="FootnoteReference"/>
          <w:rFonts w:cs="Times New Roman"/>
        </w:rPr>
        <w:footnoteReference w:id="6"/>
      </w:r>
    </w:p>
    <w:p w14:paraId="54477A7A" w14:textId="221DE7EA" w:rsidR="002A61E1" w:rsidRPr="00F03418" w:rsidRDefault="002A61E1" w:rsidP="00D54A9A">
      <w:pPr>
        <w:ind w:firstLine="720"/>
      </w:pPr>
      <w:r w:rsidRPr="00F03418">
        <w:t xml:space="preserve">The theoretical writings of Edward Said (1935-2003) </w:t>
      </w:r>
      <w:r w:rsidR="00CC679F">
        <w:t xml:space="preserve">are </w:t>
      </w:r>
      <w:r w:rsidRPr="00F03418">
        <w:t xml:space="preserve">central to this dissertation. In his landmark book </w:t>
      </w:r>
      <w:r w:rsidRPr="00F03418">
        <w:rPr>
          <w:i/>
        </w:rPr>
        <w:t>Orientalism</w:t>
      </w:r>
      <w:r w:rsidRPr="00F03418">
        <w:t xml:space="preserve"> (1972), Said argued that the Orient, and its inverse, the Occident, developed in Europe not primarily as geographic places, but rather as theoretical constructions made by Western writers and imposed upon Eastern subjects. “The Orient is . . . one of its [Europe’s] deepest and most recurring images of the Other. In addition, the Orient has helped to define Europe (or the West) as its contrasting image, idea, personality.”</w:t>
      </w:r>
      <w:r w:rsidRPr="00F03418">
        <w:rPr>
          <w:rStyle w:val="FootnoteReference"/>
          <w:rFonts w:ascii="Times New Roman" w:hAnsi="Times New Roman"/>
        </w:rPr>
        <w:footnoteReference w:id="7"/>
      </w:r>
      <w:r w:rsidRPr="00F03418">
        <w:t xml:space="preserve"> Inherent in this practice of othering</w:t>
      </w:r>
      <w:r w:rsidR="00CC679F">
        <w:t xml:space="preserve"> </w:t>
      </w:r>
      <w:r w:rsidRPr="00F03418">
        <w:t xml:space="preserve">is a dismissal of the other as different, spectacular, and inferior in </w:t>
      </w:r>
      <w:r w:rsidR="00CC679F">
        <w:t xml:space="preserve">a variety of </w:t>
      </w:r>
      <w:r w:rsidRPr="00F03418">
        <w:t>ways. Said’s concept of the Orient has been influential on the postmodernist project of questioning the structures, and strictures, of institutional knowledge, receiv</w:t>
      </w:r>
      <w:r w:rsidR="009E1D64">
        <w:t>ed wisdom, and authority.</w:t>
      </w:r>
    </w:p>
    <w:p w14:paraId="55327F06" w14:textId="67AFF3BC" w:rsidR="002A61E1" w:rsidRPr="00F03418" w:rsidRDefault="002A61E1" w:rsidP="002A61E1">
      <w:pPr>
        <w:pStyle w:val="Standard"/>
        <w:spacing w:line="480" w:lineRule="auto"/>
        <w:ind w:firstLine="720"/>
        <w:rPr>
          <w:rFonts w:cs="Times New Roman"/>
        </w:rPr>
      </w:pPr>
      <w:r w:rsidRPr="00F03418">
        <w:rPr>
          <w:rFonts w:cs="Times New Roman"/>
        </w:rPr>
        <w:t>Said’s concept of Orientalism is not without its critics. Louisa Schein, summarizing other scholars’ analyses of Said’s weaknesses, points out that such “totalizing bifurcation of the globe into the categories of representer-represented” threatens to obscure “the historical multiplicity of axes of domination,” while excluding “the "West" as a potential object of essentialist representation.” Schein points out that such an argument stops just short of “the conclusion that the "East" is mute and is therefore inherently incapable of othering.”</w:t>
      </w:r>
      <w:r w:rsidRPr="00F03418">
        <w:rPr>
          <w:rStyle w:val="FootnoteReference"/>
          <w:rFonts w:cs="Times New Roman"/>
        </w:rPr>
        <w:footnoteReference w:id="8"/>
      </w:r>
      <w:r w:rsidRPr="00F03418">
        <w:rPr>
          <w:rFonts w:cs="Times New Roman"/>
        </w:rPr>
        <w:t xml:space="preserve"> Said’s approach, according to Jennifer Robertson, further clarifying the same claim, tends to "both further privilege Euro-American intellectual and theoretical trends as universal and obfuscate and neutralize the histories and legacies of non-Western imperialisms and associated 'othering'  practices."</w:t>
      </w:r>
      <w:r w:rsidRPr="00F03418">
        <w:rPr>
          <w:rStyle w:val="FootnoteReference"/>
          <w:rFonts w:cs="Times New Roman"/>
        </w:rPr>
        <w:footnoteReference w:id="9"/>
      </w:r>
      <w:r w:rsidRPr="00F03418">
        <w:rPr>
          <w:rFonts w:cs="Times New Roman"/>
        </w:rPr>
        <w:t xml:space="preserve"> Said’s concept of Orientalism, while useful, has certain limitations: it flattens local history into a totalizing schema; it threatens to mute Eastern voices (i.e., the voices of others) of dissent; it tends to privilege, and thus re-inscribe, Western intellectual hegemony; and it fails to recognize that processes of ‘othering’ happened, and continue to happen, within the East, and </w:t>
      </w:r>
      <w:r w:rsidRPr="00F03418">
        <w:rPr>
          <w:rFonts w:cs="Times New Roman"/>
          <w:i/>
        </w:rPr>
        <w:t>within</w:t>
      </w:r>
      <w:r w:rsidRPr="00F03418">
        <w:rPr>
          <w:rFonts w:cs="Times New Roman"/>
        </w:rPr>
        <w:t xml:space="preserve"> states.</w:t>
      </w:r>
    </w:p>
    <w:p w14:paraId="0D3FE7D1" w14:textId="51BB7627" w:rsidR="002A61E1" w:rsidRDefault="002A61E1" w:rsidP="00151CC9">
      <w:pPr>
        <w:pStyle w:val="Standard"/>
        <w:spacing w:line="480" w:lineRule="auto"/>
        <w:ind w:firstLine="720"/>
        <w:rPr>
          <w:rFonts w:cs="Times New Roman"/>
        </w:rPr>
      </w:pPr>
      <w:r w:rsidRPr="00F03418">
        <w:rPr>
          <w:rFonts w:cs="Times New Roman"/>
        </w:rPr>
        <w:t xml:space="preserve">Responding to these weaknesses, a number of scholars have applied Said’s model to the production of intra-state difference, called variously </w:t>
      </w:r>
      <w:r w:rsidRPr="00F03418">
        <w:rPr>
          <w:rFonts w:cs="Times New Roman"/>
          <w:i/>
        </w:rPr>
        <w:t>internal orientalism</w:t>
      </w:r>
      <w:r w:rsidRPr="00F03418">
        <w:rPr>
          <w:rFonts w:cs="Times New Roman"/>
        </w:rPr>
        <w:t xml:space="preserve"> or </w:t>
      </w:r>
      <w:r w:rsidRPr="00F03418">
        <w:rPr>
          <w:rFonts w:cs="Times New Roman"/>
          <w:i/>
        </w:rPr>
        <w:t>internal colonialism</w:t>
      </w:r>
      <w:r w:rsidRPr="00F03418">
        <w:rPr>
          <w:rFonts w:cs="Times New Roman"/>
        </w:rPr>
        <w:t xml:space="preserve">. Internal colonialism posits that the process </w:t>
      </w:r>
      <w:r w:rsidR="00915343" w:rsidRPr="008F1CB6">
        <w:rPr>
          <w:rFonts w:cs="Times New Roman"/>
        </w:rPr>
        <w:t>Said</w:t>
      </w:r>
      <w:r w:rsidR="008F1CB6" w:rsidRPr="008F1CB6">
        <w:rPr>
          <w:rFonts w:cs="Times New Roman"/>
        </w:rPr>
        <w:t xml:space="preserve"> termed</w:t>
      </w:r>
      <w:r w:rsidR="008F1CB6">
        <w:rPr>
          <w:rFonts w:cs="Times New Roman"/>
          <w:highlight w:val="yellow"/>
        </w:rPr>
        <w:t xml:space="preserve"> </w:t>
      </w:r>
      <w:r w:rsidRPr="00F03418">
        <w:rPr>
          <w:rFonts w:cs="Times New Roman"/>
        </w:rPr>
        <w:t>orientalism works within states. As stronger regions of a nation state continuously ‘others’ a weaker region of that state, especially through cultural outlets, national and regional identities are produced, and reproduced, ad infinitum.</w:t>
      </w:r>
      <w:r w:rsidRPr="00F03418">
        <w:rPr>
          <w:rStyle w:val="FootnoteReference"/>
          <w:rFonts w:cs="Times New Roman"/>
        </w:rPr>
        <w:footnoteReference w:id="10"/>
      </w:r>
      <w:r w:rsidRPr="00F03418">
        <w:rPr>
          <w:rFonts w:cs="Times New Roman"/>
        </w:rPr>
        <w:t xml:space="preserve"> Paralleling Said’s concept of orientalism, internal orientalism is based on exploitation and domination of weaker regions by stronger regions. Stronger regions tend to represent, in texts and images, subordinate regions as aff</w:t>
      </w:r>
      <w:r w:rsidR="008453E3">
        <w:rPr>
          <w:rFonts w:cs="Times New Roman"/>
        </w:rPr>
        <w:t xml:space="preserve">licted by vices and defects. </w:t>
      </w:r>
      <w:r w:rsidRPr="00F03418">
        <w:rPr>
          <w:rFonts w:cs="Times New Roman"/>
        </w:rPr>
        <w:t xml:space="preserve">David Jaanson </w:t>
      </w:r>
      <w:r w:rsidR="008453E3">
        <w:rPr>
          <w:rFonts w:cs="Times New Roman"/>
        </w:rPr>
        <w:t xml:space="preserve">contends that </w:t>
      </w:r>
      <w:r w:rsidRPr="00F03418">
        <w:rPr>
          <w:rFonts w:cs="Times New Roman"/>
        </w:rPr>
        <w:t>such representation</w:t>
      </w:r>
      <w:r w:rsidR="008453E3">
        <w:rPr>
          <w:rFonts w:cs="Times New Roman"/>
        </w:rPr>
        <w:t>s</w:t>
      </w:r>
      <w:r w:rsidRPr="00F03418">
        <w:rPr>
          <w:rFonts w:cs="Times New Roman"/>
        </w:rPr>
        <w:t>:</w:t>
      </w:r>
    </w:p>
    <w:p w14:paraId="67AD0036" w14:textId="2EF5BE3E" w:rsidR="002A61E1" w:rsidRPr="00F03418" w:rsidRDefault="002A61E1" w:rsidP="00501C15">
      <w:pPr>
        <w:pStyle w:val="NoSpacing"/>
        <w:ind w:left="720"/>
        <w:rPr>
          <w:rFonts w:ascii="Times New Roman" w:hAnsi="Times New Roman"/>
          <w:szCs w:val="24"/>
        </w:rPr>
      </w:pPr>
      <w:r w:rsidRPr="00F03418">
        <w:rPr>
          <w:rFonts w:ascii="Times New Roman" w:hAnsi="Times New Roman"/>
          <w:szCs w:val="24"/>
        </w:rPr>
        <w:t>have an internal consistency, a common imagery and vocabulary which writers, artists, scholars, business leaders, and government officials all draw upon in producing their representations of the</w:t>
      </w:r>
      <w:r w:rsidR="008453E3">
        <w:rPr>
          <w:rFonts w:ascii="Times New Roman" w:hAnsi="Times New Roman"/>
          <w:szCs w:val="24"/>
        </w:rPr>
        <w:t xml:space="preserve"> </w:t>
      </w:r>
      <w:r w:rsidRPr="00F03418">
        <w:rPr>
          <w:rFonts w:ascii="Times New Roman" w:hAnsi="Times New Roman"/>
          <w:szCs w:val="24"/>
        </w:rPr>
        <w:t>inferior region. The latter would also be viewed as an object for study, as rational, scientific methods and techniques are applied to study the region’s problems with the hopes of bringing it into line with the national standard. The people of the subordinate region might even be characterized as a different “race,” with distinct physical characteristics. This region would certainly be construed as different, so as to set it apart</w:t>
      </w:r>
      <w:r w:rsidR="00B95969">
        <w:rPr>
          <w:rFonts w:ascii="Times New Roman" w:hAnsi="Times New Roman"/>
          <w:szCs w:val="24"/>
        </w:rPr>
        <w:t xml:space="preserve"> </w:t>
      </w:r>
      <w:r w:rsidRPr="00F03418">
        <w:rPr>
          <w:rFonts w:ascii="Times New Roman" w:hAnsi="Times New Roman"/>
          <w:szCs w:val="24"/>
        </w:rPr>
        <w:t>from the rest of the state and allow it to serve as an other against which a positive national identity may be derived.</w:t>
      </w:r>
      <w:r w:rsidRPr="00F03418">
        <w:rPr>
          <w:rStyle w:val="FootnoteReference"/>
          <w:rFonts w:ascii="Times New Roman" w:hAnsi="Times New Roman"/>
          <w:szCs w:val="24"/>
        </w:rPr>
        <w:footnoteReference w:id="11"/>
      </w:r>
    </w:p>
    <w:p w14:paraId="72EDF5CD" w14:textId="77777777" w:rsidR="002A61E1" w:rsidRPr="00F03418" w:rsidRDefault="002A61E1" w:rsidP="002A61E1">
      <w:pPr>
        <w:pStyle w:val="Standard"/>
        <w:rPr>
          <w:rFonts w:cs="Times New Roman"/>
        </w:rPr>
      </w:pPr>
    </w:p>
    <w:p w14:paraId="500FE60C" w14:textId="77777777" w:rsidR="00151CC9" w:rsidRDefault="002A61E1" w:rsidP="002A61E1">
      <w:pPr>
        <w:pStyle w:val="Standard"/>
        <w:spacing w:line="480" w:lineRule="auto"/>
        <w:ind w:firstLine="720"/>
        <w:rPr>
          <w:rFonts w:cs="Times New Roman"/>
        </w:rPr>
      </w:pPr>
      <w:r w:rsidRPr="00F03418">
        <w:rPr>
          <w:rFonts w:cs="Times New Roman"/>
        </w:rPr>
        <w:t xml:space="preserve">It is this “internal consistency” and “common imagery and vocabulary” that I am interested in defining in representations of Indian Territory, </w:t>
      </w:r>
      <w:r w:rsidR="008453E3" w:rsidRPr="00F03418">
        <w:rPr>
          <w:rFonts w:cs="Times New Roman"/>
        </w:rPr>
        <w:t>the Hawai’i an Islands,</w:t>
      </w:r>
      <w:r w:rsidR="008453E3">
        <w:rPr>
          <w:rFonts w:cs="Times New Roman"/>
        </w:rPr>
        <w:t xml:space="preserve"> and New Mexico T</w:t>
      </w:r>
      <w:r w:rsidRPr="00F03418">
        <w:rPr>
          <w:rFonts w:cs="Times New Roman"/>
        </w:rPr>
        <w:t xml:space="preserve">erritory, allowing for a cogent application of Said’s general concept of Orientalism as refined through various scholars vis-à-vis the construct of </w:t>
      </w:r>
      <w:r w:rsidRPr="00F03418">
        <w:rPr>
          <w:rFonts w:cs="Times New Roman"/>
          <w:i/>
        </w:rPr>
        <w:t>internal orientalism</w:t>
      </w:r>
      <w:r w:rsidRPr="00F03418">
        <w:rPr>
          <w:rFonts w:cs="Times New Roman"/>
        </w:rPr>
        <w:t xml:space="preserve"> or </w:t>
      </w:r>
      <w:r w:rsidRPr="00F03418">
        <w:rPr>
          <w:rFonts w:cs="Times New Roman"/>
          <w:i/>
        </w:rPr>
        <w:t>internal colonialism</w:t>
      </w:r>
      <w:r w:rsidRPr="00F03418">
        <w:rPr>
          <w:rFonts w:cs="Times New Roman"/>
        </w:rPr>
        <w:t>, which I refigure a</w:t>
      </w:r>
      <w:r w:rsidR="00151CC9">
        <w:rPr>
          <w:rFonts w:cs="Times New Roman"/>
        </w:rPr>
        <w:t>s an intra-colonial aesthetic.</w:t>
      </w:r>
    </w:p>
    <w:p w14:paraId="2DFB9FAD" w14:textId="22E5B7AE" w:rsidR="002A61E1" w:rsidRPr="00F03418" w:rsidRDefault="006C5326" w:rsidP="002A61E1">
      <w:pPr>
        <w:pStyle w:val="Standard"/>
        <w:spacing w:line="480" w:lineRule="auto"/>
        <w:ind w:firstLine="720"/>
        <w:rPr>
          <w:rFonts w:cs="Times New Roman"/>
        </w:rPr>
      </w:pPr>
      <w:r>
        <w:rPr>
          <w:rFonts w:cs="Times New Roman"/>
        </w:rPr>
        <w:t>In addition to Orientalism, this</w:t>
      </w:r>
      <w:r w:rsidR="002A61E1" w:rsidRPr="00F03418">
        <w:rPr>
          <w:rFonts w:cs="Times New Roman"/>
        </w:rPr>
        <w:t xml:space="preserve"> </w:t>
      </w:r>
      <w:r w:rsidR="008453E3">
        <w:rPr>
          <w:rFonts w:cs="Times New Roman"/>
        </w:rPr>
        <w:t xml:space="preserve">dissertation </w:t>
      </w:r>
      <w:r w:rsidR="002A61E1" w:rsidRPr="00F03418">
        <w:rPr>
          <w:rFonts w:cs="Times New Roman"/>
        </w:rPr>
        <w:t>explore</w:t>
      </w:r>
      <w:r w:rsidR="008453E3">
        <w:rPr>
          <w:rFonts w:cs="Times New Roman"/>
        </w:rPr>
        <w:t>s</w:t>
      </w:r>
      <w:r w:rsidR="002A61E1" w:rsidRPr="00F03418">
        <w:rPr>
          <w:rFonts w:cs="Times New Roman"/>
        </w:rPr>
        <w:t xml:space="preserve"> the ideas put forward by Mary Louise Pratt in </w:t>
      </w:r>
      <w:r w:rsidR="002A61E1" w:rsidRPr="002A5FFA">
        <w:rPr>
          <w:rStyle w:val="Emphasis"/>
          <w:rFonts w:cs="Times New Roman"/>
          <w:b w:val="0"/>
        </w:rPr>
        <w:t>Imperial Eyes: Travel Writing and Transculturation.</w:t>
      </w:r>
      <w:r w:rsidR="002A61E1" w:rsidRPr="00F03418">
        <w:rPr>
          <w:rStyle w:val="Emphasis"/>
          <w:rFonts w:cs="Times New Roman"/>
        </w:rPr>
        <w:t xml:space="preserve"> </w:t>
      </w:r>
      <w:r w:rsidR="002A61E1" w:rsidRPr="00B95969">
        <w:rPr>
          <w:rStyle w:val="Emphasis"/>
          <w:rFonts w:cs="Times New Roman"/>
          <w:b w:val="0"/>
          <w:i w:val="0"/>
        </w:rPr>
        <w:t xml:space="preserve">Pratt defines travel writing </w:t>
      </w:r>
      <w:r w:rsidR="008453E3">
        <w:rPr>
          <w:rStyle w:val="Emphasis"/>
          <w:rFonts w:cs="Times New Roman"/>
          <w:b w:val="0"/>
          <w:i w:val="0"/>
        </w:rPr>
        <w:t xml:space="preserve">– </w:t>
      </w:r>
      <w:r w:rsidR="002A61E1" w:rsidRPr="00B95969">
        <w:rPr>
          <w:rStyle w:val="Emphasis"/>
          <w:rFonts w:cs="Times New Roman"/>
          <w:b w:val="0"/>
          <w:i w:val="0"/>
        </w:rPr>
        <w:t xml:space="preserve">and much of the material under discussion fall </w:t>
      </w:r>
      <w:r w:rsidR="008453E3">
        <w:rPr>
          <w:rStyle w:val="Emphasis"/>
          <w:rFonts w:cs="Times New Roman"/>
          <w:b w:val="0"/>
          <w:i w:val="0"/>
        </w:rPr>
        <w:t>into t</w:t>
      </w:r>
      <w:r w:rsidR="002A61E1" w:rsidRPr="00B95969">
        <w:rPr>
          <w:rStyle w:val="Emphasis"/>
          <w:rFonts w:cs="Times New Roman"/>
          <w:b w:val="0"/>
          <w:i w:val="0"/>
        </w:rPr>
        <w:t>his</w:t>
      </w:r>
      <w:r w:rsidR="002A61E1" w:rsidRPr="00F03418">
        <w:rPr>
          <w:rStyle w:val="Emphasis"/>
          <w:rFonts w:cs="Times New Roman"/>
        </w:rPr>
        <w:t xml:space="preserve"> </w:t>
      </w:r>
      <w:r w:rsidR="008453E3">
        <w:rPr>
          <w:rStyle w:val="Emphasis"/>
          <w:rFonts w:cs="Times New Roman"/>
          <w:b w:val="0"/>
          <w:i w:val="0"/>
        </w:rPr>
        <w:t xml:space="preserve">category – </w:t>
      </w:r>
      <w:r w:rsidR="002A61E1" w:rsidRPr="00B95969">
        <w:rPr>
          <w:rStyle w:val="Emphasis"/>
          <w:rFonts w:cs="Times New Roman"/>
          <w:b w:val="0"/>
          <w:i w:val="0"/>
        </w:rPr>
        <w:t>as a product of the contact zone, defined as a space</w:t>
      </w:r>
      <w:r w:rsidR="00B95969">
        <w:rPr>
          <w:rStyle w:val="Emphasis"/>
          <w:rFonts w:cs="Times New Roman"/>
          <w:b w:val="0"/>
          <w:i w:val="0"/>
        </w:rPr>
        <w:t xml:space="preserve"> </w:t>
      </w:r>
      <w:r w:rsidR="002A61E1" w:rsidRPr="00B95969">
        <w:rPr>
          <w:rFonts w:cs="Times New Roman"/>
        </w:rPr>
        <w:t>“</w:t>
      </w:r>
      <w:r w:rsidR="002A61E1" w:rsidRPr="00F03418">
        <w:rPr>
          <w:rFonts w:cs="Times New Roman"/>
        </w:rPr>
        <w:t>in which peoples geographically and historically separated come into contact with each other and establish ongoing relationships, usually involving conditions of coercion, racial inequity, and intractable conflict.”</w:t>
      </w:r>
      <w:r w:rsidR="002A61E1" w:rsidRPr="00F03418">
        <w:rPr>
          <w:rStyle w:val="FootnoteReference"/>
          <w:rFonts w:cs="Times New Roman"/>
        </w:rPr>
        <w:footnoteReference w:id="12"/>
      </w:r>
      <w:r w:rsidR="002A61E1" w:rsidRPr="00F03418">
        <w:rPr>
          <w:rFonts w:cs="Times New Roman"/>
        </w:rPr>
        <w:t xml:space="preserve"> This definition foregrounds the historic situations that produced travel literature, while keeping the asymmetry of power in perspective. Imperial, or intra-colonial, travel writing and image making must always be judged against this background of asymmetrical power.</w:t>
      </w:r>
    </w:p>
    <w:p w14:paraId="29298066" w14:textId="5E51B12D" w:rsidR="002A61E1" w:rsidRPr="00F03418" w:rsidRDefault="002A61E1" w:rsidP="002A61E1">
      <w:pPr>
        <w:pStyle w:val="Standard"/>
        <w:spacing w:line="480" w:lineRule="auto"/>
        <w:ind w:firstLine="720"/>
        <w:rPr>
          <w:rFonts w:cs="Times New Roman"/>
        </w:rPr>
      </w:pPr>
      <w:r w:rsidRPr="00F03418">
        <w:rPr>
          <w:rFonts w:cs="Times New Roman"/>
        </w:rPr>
        <w:t xml:space="preserve">Pratt </w:t>
      </w:r>
      <w:r w:rsidR="008453E3">
        <w:rPr>
          <w:rFonts w:cs="Times New Roman"/>
        </w:rPr>
        <w:t xml:space="preserve">also </w:t>
      </w:r>
      <w:r w:rsidRPr="00F03418">
        <w:rPr>
          <w:rFonts w:cs="Times New Roman"/>
        </w:rPr>
        <w:t xml:space="preserve">reinforces the importance, first introduced by Said, of </w:t>
      </w:r>
      <w:r w:rsidR="008453E3">
        <w:rPr>
          <w:rFonts w:cs="Times New Roman"/>
        </w:rPr>
        <w:t xml:space="preserve">the </w:t>
      </w:r>
      <w:r w:rsidRPr="00F03418">
        <w:rPr>
          <w:rFonts w:cs="Times New Roman"/>
        </w:rPr>
        <w:t xml:space="preserve">interdependence </w:t>
      </w:r>
      <w:r w:rsidR="00915343">
        <w:rPr>
          <w:rFonts w:cs="Times New Roman"/>
        </w:rPr>
        <w:t>of oppressor and oppressed</w:t>
      </w:r>
      <w:r w:rsidRPr="00F03418">
        <w:rPr>
          <w:rFonts w:cs="Times New Roman"/>
        </w:rPr>
        <w:t>. Pratt is interested in learning how travel writing helped to produce Europe’s image of itself. She argues that while imperial countries think that they define colonial possessions through cultural production, “the imperial metropole . . . habitually blinds itself to the reverse dynamic, the power colonies have over their ‘mother’ countries.”</w:t>
      </w:r>
      <w:r w:rsidRPr="00F03418">
        <w:rPr>
          <w:rStyle w:val="FootnoteReference"/>
          <w:rFonts w:cs="Times New Roman"/>
        </w:rPr>
        <w:footnoteReference w:id="13"/>
      </w:r>
      <w:r w:rsidRPr="00F03418">
        <w:rPr>
          <w:rFonts w:cs="Times New Roman"/>
        </w:rPr>
        <w:t xml:space="preserve"> In this, Pratt sees the metropole’s “obsessive need to present and re-present its peripheries and its others continually . . . to know itself. Travel writing, among other institutions,” she concludes, “is heavily organized in the service of that need.”</w:t>
      </w:r>
      <w:r w:rsidRPr="00F03418">
        <w:rPr>
          <w:rStyle w:val="FootnoteReference"/>
          <w:rFonts w:cs="Times New Roman"/>
        </w:rPr>
        <w:footnoteReference w:id="14"/>
      </w:r>
      <w:r w:rsidRPr="00F03418">
        <w:rPr>
          <w:rFonts w:cs="Times New Roman"/>
        </w:rPr>
        <w:t xml:space="preserve"> To this end, this dissertation explore</w:t>
      </w:r>
      <w:r w:rsidR="008453E3">
        <w:rPr>
          <w:rFonts w:cs="Times New Roman"/>
        </w:rPr>
        <w:t>s</w:t>
      </w:r>
      <w:r w:rsidRPr="00F03418">
        <w:rPr>
          <w:rFonts w:cs="Times New Roman"/>
        </w:rPr>
        <w:t xml:space="preserve"> how images of the periphery (the territories) help define the metropole’s (America’s) image of itself. </w:t>
      </w:r>
    </w:p>
    <w:p w14:paraId="382F86A6" w14:textId="6F032415" w:rsidR="002A61E1" w:rsidRPr="00F03418" w:rsidRDefault="002A61E1" w:rsidP="002A61E1">
      <w:pPr>
        <w:pStyle w:val="Standard"/>
        <w:spacing w:line="480" w:lineRule="auto"/>
        <w:ind w:firstLine="720"/>
        <w:rPr>
          <w:rFonts w:cs="Times New Roman"/>
        </w:rPr>
      </w:pPr>
      <w:r w:rsidRPr="00F03418">
        <w:rPr>
          <w:rFonts w:cs="Times New Roman"/>
        </w:rPr>
        <w:t>In this same vein, it is also important to ask, as does Pratt, “What do people on the receiving end of empire do with metropolitan modes of representation? How do they appropriate them? How do they talk back? What materials can one study to answer those questions?”</w:t>
      </w:r>
      <w:r w:rsidRPr="00F03418">
        <w:rPr>
          <w:rStyle w:val="FootnoteReference"/>
          <w:rFonts w:cs="Times New Roman"/>
        </w:rPr>
        <w:footnoteReference w:id="15"/>
      </w:r>
      <w:r w:rsidRPr="00F03418">
        <w:rPr>
          <w:rFonts w:cs="Times New Roman"/>
        </w:rPr>
        <w:t xml:space="preserve"> This is the most difficult problem Pratt confronts, as cultural products that respond directly to imperial culture have historically been difficult, and sometimes impossible, to recover. Yet all hope is not lost. Native newspapers, often written partially or completely in Native languages, prospered throughout indigenous lands in </w:t>
      </w:r>
      <w:r w:rsidR="008453E3">
        <w:rPr>
          <w:rFonts w:cs="Times New Roman"/>
        </w:rPr>
        <w:t xml:space="preserve">late </w:t>
      </w:r>
      <w:r w:rsidRPr="00F03418">
        <w:rPr>
          <w:rFonts w:cs="Times New Roman"/>
        </w:rPr>
        <w:t xml:space="preserve">nineteenth-century America. While these newspapers tended to comment on specific issues of the day, other cultural resources such as painting, poetry, and ceremony, provide a way of locating a generalized voice of cultural resistance within a specific tribe or group. In paintings of Native peoples, it is important, too, to determine, to the extent possible, how the artist and model negotiated pictorial agency. Finally, because many Native tribes have a conception of history that attempts to understand the present-day through historic parallels, in some instances </w:t>
      </w:r>
      <w:r w:rsidR="008453E3">
        <w:rPr>
          <w:rFonts w:cs="Times New Roman"/>
        </w:rPr>
        <w:t xml:space="preserve">accounts from the contemporary </w:t>
      </w:r>
      <w:r w:rsidRPr="00F03418">
        <w:rPr>
          <w:rFonts w:cs="Times New Roman"/>
        </w:rPr>
        <w:t xml:space="preserve">descendants of those who lived in these places </w:t>
      </w:r>
      <w:r w:rsidR="008453E3">
        <w:rPr>
          <w:rFonts w:cs="Times New Roman"/>
        </w:rPr>
        <w:t xml:space="preserve">can </w:t>
      </w:r>
      <w:r w:rsidRPr="00F03418">
        <w:rPr>
          <w:rFonts w:cs="Times New Roman"/>
        </w:rPr>
        <w:t>offer insights.</w:t>
      </w:r>
      <w:r w:rsidRPr="00F03418">
        <w:rPr>
          <w:rStyle w:val="FootnoteReference"/>
          <w:rFonts w:cs="Times New Roman"/>
        </w:rPr>
        <w:footnoteReference w:id="16"/>
      </w:r>
    </w:p>
    <w:p w14:paraId="124D4D9F" w14:textId="308B41F2" w:rsidR="002A61E1" w:rsidRPr="00F03418" w:rsidRDefault="008D5F59" w:rsidP="002A61E1">
      <w:pPr>
        <w:pStyle w:val="Standard"/>
        <w:spacing w:line="480" w:lineRule="auto"/>
        <w:ind w:firstLine="720"/>
        <w:rPr>
          <w:rFonts w:cs="Times New Roman"/>
        </w:rPr>
      </w:pPr>
      <w:r>
        <w:rPr>
          <w:rFonts w:eastAsia="Times New Roman" w:cs="Times New Roman"/>
        </w:rPr>
        <w:t xml:space="preserve">In </w:t>
      </w:r>
      <w:r w:rsidR="001C1864">
        <w:rPr>
          <w:rFonts w:eastAsia="Times New Roman" w:cs="Times New Roman"/>
        </w:rPr>
        <w:t>Chapter two</w:t>
      </w:r>
      <w:r w:rsidR="002A61E1" w:rsidRPr="00F03418">
        <w:rPr>
          <w:rFonts w:eastAsia="Times New Roman" w:cs="Times New Roman"/>
        </w:rPr>
        <w:t>, “</w:t>
      </w:r>
      <w:r w:rsidR="008453E3">
        <w:rPr>
          <w:rFonts w:eastAsia="Times New Roman" w:cs="Times New Roman"/>
        </w:rPr>
        <w:t xml:space="preserve">Indian Territory: A </w:t>
      </w:r>
      <w:r w:rsidR="002A61E1" w:rsidRPr="00F03418">
        <w:rPr>
          <w:rFonts w:cs="Times New Roman"/>
        </w:rPr>
        <w:t>Contested Space</w:t>
      </w:r>
      <w:r>
        <w:rPr>
          <w:rFonts w:cs="Times New Roman"/>
        </w:rPr>
        <w:t>,</w:t>
      </w:r>
      <w:r w:rsidR="008453E3">
        <w:rPr>
          <w:rFonts w:cs="Times New Roman"/>
        </w:rPr>
        <w:t xml:space="preserve">” </w:t>
      </w:r>
      <w:r>
        <w:rPr>
          <w:rFonts w:cs="Times New Roman"/>
        </w:rPr>
        <w:t>I look</w:t>
      </w:r>
      <w:r w:rsidR="002A61E1" w:rsidRPr="00F03418">
        <w:rPr>
          <w:rFonts w:cs="Times New Roman"/>
        </w:rPr>
        <w:t xml:space="preserve"> intently at a richly illustrated Boomer book, </w:t>
      </w:r>
      <w:r w:rsidR="002A61E1" w:rsidRPr="00F03418">
        <w:rPr>
          <w:rFonts w:cs="Times New Roman"/>
          <w:i/>
        </w:rPr>
        <w:t>Oklahoma! Politically and Topographically Described</w:t>
      </w:r>
      <w:r w:rsidR="002A61E1" w:rsidRPr="00F03418">
        <w:rPr>
          <w:rFonts w:cs="Times New Roman"/>
        </w:rPr>
        <w:t xml:space="preserve">, published in 1885. The analysis problematizes the pro-settlement tone of the prose and pictures in </w:t>
      </w:r>
      <w:r>
        <w:rPr>
          <w:rFonts w:cs="Times New Roman"/>
        </w:rPr>
        <w:t xml:space="preserve">one </w:t>
      </w:r>
      <w:r w:rsidR="008F1CB6">
        <w:rPr>
          <w:rFonts w:cs="Times New Roman"/>
        </w:rPr>
        <w:t xml:space="preserve">piece of promotional </w:t>
      </w:r>
      <w:r>
        <w:rPr>
          <w:rFonts w:cs="Times New Roman"/>
        </w:rPr>
        <w:t>literature</w:t>
      </w:r>
      <w:r w:rsidR="002A61E1" w:rsidRPr="00F03418">
        <w:rPr>
          <w:rFonts w:cs="Times New Roman"/>
        </w:rPr>
        <w:t xml:space="preserve"> of the mid-1880s, and offers a counter-narrative of resistance. While the romantic and fanciful illustrations of an agriculturally fecund land free of Indians</w:t>
      </w:r>
      <w:r w:rsidR="007459C4">
        <w:rPr>
          <w:rFonts w:cs="Times New Roman"/>
        </w:rPr>
        <w:t xml:space="preserve"> </w:t>
      </w:r>
      <w:r w:rsidR="002A61E1" w:rsidRPr="00F03418">
        <w:rPr>
          <w:rFonts w:cs="Times New Roman"/>
        </w:rPr>
        <w:t xml:space="preserve">in </w:t>
      </w:r>
      <w:r w:rsidR="002A61E1" w:rsidRPr="00F03418">
        <w:rPr>
          <w:rFonts w:cs="Times New Roman"/>
          <w:i/>
        </w:rPr>
        <w:t>Oklahoma</w:t>
      </w:r>
      <w:r w:rsidR="002A61E1" w:rsidRPr="00F03418">
        <w:rPr>
          <w:rFonts w:cs="Times New Roman"/>
        </w:rPr>
        <w:t>! makes the opening of the Indian and Oklahoma Territories to white settlement, and Oklahoma’s subsequent entry into the union, seem inevitable, voices of resistance, which unfolded through newspapers, magazines, promotional tracts, and Native ledger drawings, posed a challenge to American cultural hegemony.</w:t>
      </w:r>
      <w:r w:rsidR="002A61E1" w:rsidRPr="00F03418">
        <w:rPr>
          <w:rStyle w:val="FootnoteReference"/>
          <w:rFonts w:cs="Times New Roman"/>
        </w:rPr>
        <w:footnoteReference w:id="17"/>
      </w:r>
      <w:r w:rsidR="002A61E1" w:rsidRPr="00F03418">
        <w:rPr>
          <w:rFonts w:cs="Times New Roman"/>
        </w:rPr>
        <w:t xml:space="preserve"> As Said reminds us, "Never was it the case that the imperial encounter pitted an active Western intruder against a supine or inert non-Western native; there was always some form of active resistance . . . ."</w:t>
      </w:r>
      <w:r w:rsidR="002A61E1" w:rsidRPr="00F03418">
        <w:rPr>
          <w:rStyle w:val="FootnoteReference"/>
          <w:rFonts w:cs="Times New Roman"/>
        </w:rPr>
        <w:footnoteReference w:id="18"/>
      </w:r>
      <w:r w:rsidR="002A61E1" w:rsidRPr="00F03418">
        <w:rPr>
          <w:rFonts w:cs="Times New Roman"/>
        </w:rPr>
        <w:t xml:space="preserve"> Moreover, "The power to narrate, or to block other narratives from forming and emerging, is very important to culture and imperialism, and constitutes one of the main connections between them."</w:t>
      </w:r>
      <w:r w:rsidR="002A61E1" w:rsidRPr="00F03418">
        <w:rPr>
          <w:rStyle w:val="FootnoteReference"/>
          <w:rFonts w:cs="Times New Roman"/>
        </w:rPr>
        <w:footnoteReference w:id="19"/>
      </w:r>
      <w:r w:rsidR="002A61E1" w:rsidRPr="00F03418">
        <w:rPr>
          <w:rFonts w:cs="Times New Roman"/>
        </w:rPr>
        <w:t xml:space="preserve"> The cultural products of the colonized class offer counter-narratives which can challenge the dominant discourse. Without investigating this counter-narrative, only</w:t>
      </w:r>
      <w:r w:rsidR="009B1217">
        <w:rPr>
          <w:rFonts w:cs="Times New Roman"/>
        </w:rPr>
        <w:t xml:space="preserve"> half the story can be told.</w:t>
      </w:r>
    </w:p>
    <w:p w14:paraId="3AA792E5" w14:textId="19C7AC29" w:rsidR="002A61E1" w:rsidRPr="00F03418" w:rsidRDefault="002A61E1" w:rsidP="002A61E1">
      <w:pPr>
        <w:pStyle w:val="Standard"/>
        <w:spacing w:line="480" w:lineRule="auto"/>
        <w:ind w:firstLine="720"/>
        <w:rPr>
          <w:rFonts w:cs="Times New Roman"/>
        </w:rPr>
      </w:pPr>
      <w:r w:rsidRPr="00F03418">
        <w:rPr>
          <w:rFonts w:cs="Times New Roman"/>
        </w:rPr>
        <w:t xml:space="preserve">One prominent voice of resistance from within Indian Territory was the </w:t>
      </w:r>
      <w:r w:rsidRPr="00F03418">
        <w:rPr>
          <w:rFonts w:cs="Times New Roman"/>
          <w:i/>
        </w:rPr>
        <w:t>Cherokee Advocate</w:t>
      </w:r>
      <w:r w:rsidRPr="00F03418">
        <w:rPr>
          <w:rFonts w:cs="Times New Roman"/>
        </w:rPr>
        <w:t xml:space="preserve">, a newspaper printed by members of the Cherokee Nation. The </w:t>
      </w:r>
      <w:r w:rsidRPr="00F03418">
        <w:rPr>
          <w:rFonts w:cs="Times New Roman"/>
          <w:i/>
        </w:rPr>
        <w:t>Advocate</w:t>
      </w:r>
      <w:r w:rsidRPr="00F03418">
        <w:rPr>
          <w:rFonts w:cs="Times New Roman"/>
        </w:rPr>
        <w:t xml:space="preserve">, printed weekly in both English and Cherokee, published dissenting editorials and opinion pieces from its own editors, as well as others culled from national newspapers and magazines, throughout the 1880s. These articles and editorials suggest </w:t>
      </w:r>
      <w:r w:rsidR="00434080">
        <w:rPr>
          <w:rFonts w:cs="Times New Roman"/>
        </w:rPr>
        <w:t>that Indian</w:t>
      </w:r>
      <w:r w:rsidRPr="00F03418">
        <w:rPr>
          <w:rFonts w:cs="Times New Roman"/>
        </w:rPr>
        <w:t xml:space="preserve"> resistance to white encroachment manifest in the Indian Wars of the 1870s was continued through various media. These voices of resistance and dissent joined a national debate about land disputes between white settlers and Indians. Analyzing articles, letters, and editorials drawn from the </w:t>
      </w:r>
      <w:r w:rsidRPr="00F03418">
        <w:rPr>
          <w:rFonts w:cs="Times New Roman"/>
          <w:i/>
        </w:rPr>
        <w:t xml:space="preserve">Advocate </w:t>
      </w:r>
      <w:r w:rsidRPr="00F03418">
        <w:rPr>
          <w:rFonts w:cs="Times New Roman"/>
        </w:rPr>
        <w:t xml:space="preserve">circa 1885 </w:t>
      </w:r>
      <w:r w:rsidR="00431B61">
        <w:rPr>
          <w:rFonts w:cs="Times New Roman"/>
        </w:rPr>
        <w:t>provides a</w:t>
      </w:r>
      <w:r w:rsidRPr="00F03418">
        <w:rPr>
          <w:rFonts w:cs="Times New Roman"/>
        </w:rPr>
        <w:t xml:space="preserve"> better understanding of a</w:t>
      </w:r>
      <w:r w:rsidR="00431B61">
        <w:rPr>
          <w:rFonts w:cs="Times New Roman"/>
        </w:rPr>
        <w:t>n</w:t>
      </w:r>
      <w:r w:rsidRPr="00F03418">
        <w:rPr>
          <w:rFonts w:cs="Times New Roman"/>
        </w:rPr>
        <w:t xml:space="preserve"> historic example of resistance to cultural hegemony. When considered together, the editorials and articles written and aggregated by the </w:t>
      </w:r>
      <w:r w:rsidRPr="00F03418">
        <w:rPr>
          <w:rFonts w:cs="Times New Roman"/>
          <w:i/>
        </w:rPr>
        <w:t>Cherokee Advocate</w:t>
      </w:r>
      <w:r w:rsidRPr="00F03418">
        <w:rPr>
          <w:rFonts w:cs="Times New Roman"/>
        </w:rPr>
        <w:t xml:space="preserve">, along with </w:t>
      </w:r>
      <w:r w:rsidR="00431B61">
        <w:rPr>
          <w:rFonts w:cs="Times New Roman"/>
        </w:rPr>
        <w:t>p</w:t>
      </w:r>
      <w:r w:rsidR="008D5F59">
        <w:rPr>
          <w:rFonts w:cs="Times New Roman"/>
        </w:rPr>
        <w:t xml:space="preserve">aintings </w:t>
      </w:r>
      <w:r w:rsidR="00431B61">
        <w:rPr>
          <w:rFonts w:cs="Times New Roman"/>
        </w:rPr>
        <w:t>by the Kiowa artist Silver Horn,</w:t>
      </w:r>
      <w:r w:rsidRPr="00F03418">
        <w:rPr>
          <w:rFonts w:cs="Times New Roman"/>
        </w:rPr>
        <w:t xml:space="preserve"> offer a generalized counter-hegemonic voice of resistance within the Indian Territory that questioned the pro-white, pro-settlement assumptions presented in the text and illustrations of the Boomer booklet.</w:t>
      </w:r>
    </w:p>
    <w:p w14:paraId="49BB35A1" w14:textId="461CD8BC" w:rsidR="002A61E1" w:rsidRPr="00F03418" w:rsidRDefault="008D5F59" w:rsidP="002A61E1">
      <w:pPr>
        <w:pStyle w:val="Standard"/>
        <w:spacing w:line="480" w:lineRule="auto"/>
        <w:ind w:firstLine="720"/>
        <w:rPr>
          <w:rFonts w:cs="Times New Roman"/>
        </w:rPr>
      </w:pPr>
      <w:r>
        <w:rPr>
          <w:rFonts w:cs="Times New Roman"/>
        </w:rPr>
        <w:t>In c</w:t>
      </w:r>
      <w:r w:rsidR="001C1864">
        <w:rPr>
          <w:rFonts w:cs="Times New Roman"/>
        </w:rPr>
        <w:t>hapter three</w:t>
      </w:r>
      <w:r w:rsidR="002A61E1" w:rsidRPr="00F03418">
        <w:rPr>
          <w:rFonts w:cs="Times New Roman"/>
        </w:rPr>
        <w:t>, “Kil</w:t>
      </w:r>
      <w:r w:rsidR="004427E0">
        <w:rPr>
          <w:rFonts w:cs="Times New Roman"/>
        </w:rPr>
        <w:t>auea: Volcano Imagery and Hawai</w:t>
      </w:r>
      <w:r w:rsidR="002A61E1" w:rsidRPr="00F03418">
        <w:rPr>
          <w:rFonts w:cs="Times New Roman"/>
        </w:rPr>
        <w:t xml:space="preserve">ian Sovereignty, circa 1885,” </w:t>
      </w:r>
      <w:r>
        <w:rPr>
          <w:rFonts w:cs="Times New Roman"/>
        </w:rPr>
        <w:t xml:space="preserve">I </w:t>
      </w:r>
      <w:r w:rsidR="002A61E1" w:rsidRPr="00F03418">
        <w:rPr>
          <w:rFonts w:cs="Times New Roman"/>
        </w:rPr>
        <w:t>focus</w:t>
      </w:r>
      <w:r>
        <w:rPr>
          <w:rFonts w:cs="Times New Roman"/>
        </w:rPr>
        <w:t xml:space="preserve"> on</w:t>
      </w:r>
      <w:r w:rsidR="002A61E1" w:rsidRPr="00F03418">
        <w:rPr>
          <w:rFonts w:cs="Times New Roman"/>
        </w:rPr>
        <w:t xml:space="preserve"> my analysis of a single painting, Jules Tavernier’s 1885 </w:t>
      </w:r>
      <w:r w:rsidR="00E321EC">
        <w:rPr>
          <w:rFonts w:cs="Times New Roman"/>
          <w:i/>
        </w:rPr>
        <w:t>View of Kilauea Volcano a</w:t>
      </w:r>
      <w:r w:rsidR="002A61E1" w:rsidRPr="00F03418">
        <w:rPr>
          <w:rFonts w:cs="Times New Roman"/>
          <w:i/>
        </w:rPr>
        <w:t>t Night</w:t>
      </w:r>
      <w:r w:rsidR="002A61E1" w:rsidRPr="00F03418">
        <w:rPr>
          <w:rFonts w:cs="Times New Roman"/>
        </w:rPr>
        <w:t xml:space="preserve">. In this dramatic image, Tavernier echoes and invokes six decades of written and visual travel accounts which described the “discovery” of Kilauea by Europeans and Americans. Such travel accounts lead, ultimately, to Kilauea being understood, especially by non-Natives, as a site of scientific importance and sublime beauty. This focus on science and tourism, which persists to this day, attempts to displace the centuries-old native narrative of the volcano as </w:t>
      </w:r>
      <w:r w:rsidR="002A61E1" w:rsidRPr="00F03418">
        <w:rPr>
          <w:rFonts w:cs="Times New Roman"/>
          <w:i/>
        </w:rPr>
        <w:t>Pele</w:t>
      </w:r>
      <w:r w:rsidR="002A61E1" w:rsidRPr="00F03418">
        <w:rPr>
          <w:rFonts w:cs="Times New Roman"/>
        </w:rPr>
        <w:t xml:space="preserve">, a powerful </w:t>
      </w:r>
      <w:r w:rsidR="00431B61">
        <w:rPr>
          <w:rFonts w:cs="Times New Roman"/>
        </w:rPr>
        <w:t xml:space="preserve">being similar to a god, </w:t>
      </w:r>
      <w:r w:rsidR="002A61E1" w:rsidRPr="00F03418">
        <w:rPr>
          <w:rFonts w:cs="Times New Roman"/>
        </w:rPr>
        <w:t>whom many Native Hawaiians, pa</w:t>
      </w:r>
      <w:r w:rsidR="009B1217">
        <w:rPr>
          <w:rFonts w:cs="Times New Roman"/>
        </w:rPr>
        <w:t>st and present, honor and fear.</w:t>
      </w:r>
    </w:p>
    <w:p w14:paraId="2E05448B" w14:textId="6D49404A" w:rsidR="002A61E1" w:rsidRPr="00F03418" w:rsidRDefault="002A61E1" w:rsidP="002A61E1">
      <w:pPr>
        <w:pStyle w:val="Standard"/>
        <w:spacing w:line="480" w:lineRule="auto"/>
        <w:ind w:firstLine="720"/>
        <w:rPr>
          <w:rFonts w:cs="Times New Roman"/>
        </w:rPr>
      </w:pPr>
      <w:r w:rsidRPr="00F03418">
        <w:rPr>
          <w:rFonts w:cs="Times New Roman"/>
        </w:rPr>
        <w:t xml:space="preserve">The very </w:t>
      </w:r>
      <w:r w:rsidR="004427E0">
        <w:rPr>
          <w:rFonts w:cs="Times New Roman"/>
        </w:rPr>
        <w:t>process of any non-Native Hawai</w:t>
      </w:r>
      <w:r w:rsidRPr="00F03418">
        <w:rPr>
          <w:rFonts w:cs="Times New Roman"/>
        </w:rPr>
        <w:t>ian traveling to the center of the volcano, submitting the volcano to scientific experiments and empirical observations, and producing travel narratives, drawings and paintin</w:t>
      </w:r>
      <w:r w:rsidR="004427E0">
        <w:rPr>
          <w:rFonts w:cs="Times New Roman"/>
        </w:rPr>
        <w:t>gs, inherently challenges Hawai</w:t>
      </w:r>
      <w:r w:rsidRPr="00F03418">
        <w:rPr>
          <w:rFonts w:cs="Times New Roman"/>
        </w:rPr>
        <w:t xml:space="preserve">ian systems of knowledge and belief. As such, </w:t>
      </w:r>
      <w:r w:rsidRPr="00F03418">
        <w:rPr>
          <w:rFonts w:cs="Times New Roman"/>
          <w:i/>
        </w:rPr>
        <w:t>Kilauea at Night</w:t>
      </w:r>
      <w:r w:rsidRPr="00F03418">
        <w:rPr>
          <w:rFonts w:cs="Times New Roman"/>
        </w:rPr>
        <w:t xml:space="preserve"> </w:t>
      </w:r>
      <w:r w:rsidR="008D5F59">
        <w:rPr>
          <w:rFonts w:cs="Times New Roman"/>
        </w:rPr>
        <w:t>c</w:t>
      </w:r>
      <w:r w:rsidRPr="00F03418">
        <w:rPr>
          <w:rFonts w:cs="Times New Roman"/>
        </w:rPr>
        <w:t xml:space="preserve">aptures the transformation of the volcano, and thus Hawaii, from a site of colonialist contact with a “primitive” land to a potent tourist magnet. In this way, Tavernier’s painting records the performance of an intra-colonial act, and is analyzed to help define the intra-colonial aesthetic. Ultimately, </w:t>
      </w:r>
      <w:r w:rsidR="00E321EC">
        <w:rPr>
          <w:rFonts w:cs="Times New Roman"/>
          <w:i/>
        </w:rPr>
        <w:t>View of Kilauea Volcano a</w:t>
      </w:r>
      <w:r w:rsidRPr="00F03418">
        <w:rPr>
          <w:rFonts w:cs="Times New Roman"/>
          <w:i/>
        </w:rPr>
        <w:t xml:space="preserve">t Night </w:t>
      </w:r>
      <w:r w:rsidRPr="00F03418">
        <w:rPr>
          <w:rFonts w:cs="Times New Roman"/>
        </w:rPr>
        <w:t>themetizes changes in the colonial situation of Hawaii. By presenting Hawaii as a primitive paradise “discovered” by European and American explorers, these volcano discovery narratives, both written and painted, served as an important Euro-American rhetorical device, one that positioned the volcano, the Hawaii Islands, and the Hawaiian people, within a Euro-American epistemology.</w:t>
      </w:r>
    </w:p>
    <w:p w14:paraId="1B236748" w14:textId="7AF2DDF9" w:rsidR="002A61E1" w:rsidRPr="00F03418" w:rsidRDefault="002A61E1" w:rsidP="002A61E1">
      <w:pPr>
        <w:pStyle w:val="Standard"/>
        <w:spacing w:line="480" w:lineRule="auto"/>
        <w:ind w:firstLine="720"/>
        <w:rPr>
          <w:rFonts w:cs="Times New Roman"/>
        </w:rPr>
      </w:pPr>
      <w:r w:rsidRPr="00F03418">
        <w:rPr>
          <w:rFonts w:cs="Times New Roman"/>
        </w:rPr>
        <w:t xml:space="preserve">Yet Hawaiians, like </w:t>
      </w:r>
      <w:r w:rsidR="008D5F59">
        <w:rPr>
          <w:rFonts w:cs="Times New Roman"/>
        </w:rPr>
        <w:t xml:space="preserve">virtually </w:t>
      </w:r>
      <w:r w:rsidRPr="00F03418">
        <w:rPr>
          <w:rFonts w:cs="Times New Roman"/>
        </w:rPr>
        <w:t xml:space="preserve">all invaded peoples, resisted this Euro-American epistemology. </w:t>
      </w:r>
      <w:r w:rsidR="00431B61">
        <w:rPr>
          <w:rFonts w:cs="Times New Roman"/>
        </w:rPr>
        <w:t>In the 1880s, the election of a new king who championed a</w:t>
      </w:r>
      <w:r w:rsidR="004427E0">
        <w:rPr>
          <w:rFonts w:cs="Times New Roman"/>
        </w:rPr>
        <w:t xml:space="preserve"> return to native Hawai</w:t>
      </w:r>
      <w:r w:rsidR="00431B61">
        <w:rPr>
          <w:rFonts w:cs="Times New Roman"/>
        </w:rPr>
        <w:t xml:space="preserve">ian ways, along with the performance and printing of ancient </w:t>
      </w:r>
      <w:r w:rsidRPr="00F03418">
        <w:rPr>
          <w:rFonts w:cs="Times New Roman"/>
        </w:rPr>
        <w:t>forms of hula</w:t>
      </w:r>
      <w:r w:rsidR="00431B61">
        <w:rPr>
          <w:rFonts w:cs="Times New Roman"/>
        </w:rPr>
        <w:t>, informed a widespread resistance movement that is still ongoing today. The origin and spread of these forms of cultural resistance are explored in an effort to give contexts to what historically have been hard-fought debates over land use, some of which persist until this day.</w:t>
      </w:r>
    </w:p>
    <w:p w14:paraId="383E0661" w14:textId="771FCACD" w:rsidR="002A61E1" w:rsidRPr="00F03418" w:rsidRDefault="008D5F59" w:rsidP="002A61E1">
      <w:pPr>
        <w:pStyle w:val="Standard"/>
        <w:spacing w:line="480" w:lineRule="auto"/>
        <w:ind w:firstLine="709"/>
        <w:rPr>
          <w:rFonts w:cs="Times New Roman"/>
        </w:rPr>
      </w:pPr>
      <w:r>
        <w:rPr>
          <w:rFonts w:cs="Times New Roman"/>
        </w:rPr>
        <w:t xml:space="preserve">In my concluding chapter, </w:t>
      </w:r>
      <w:r w:rsidR="002A61E1" w:rsidRPr="00F03418">
        <w:rPr>
          <w:rFonts w:cs="Times New Roman"/>
        </w:rPr>
        <w:t>“</w:t>
      </w:r>
      <w:r w:rsidR="00FA25CA">
        <w:rPr>
          <w:rFonts w:cs="Times New Roman"/>
        </w:rPr>
        <w:t>Painting Indians: The Gaze and Pueblo Modernism</w:t>
      </w:r>
      <w:r w:rsidR="005B4D76">
        <w:rPr>
          <w:rFonts w:cs="Times New Roman"/>
        </w:rPr>
        <w:t>,</w:t>
      </w:r>
      <w:r w:rsidR="00FA25CA">
        <w:rPr>
          <w:rFonts w:cs="Times New Roman"/>
        </w:rPr>
        <w:t xml:space="preserve">” </w:t>
      </w:r>
      <w:r w:rsidR="005B4D76">
        <w:rPr>
          <w:rFonts w:cs="Times New Roman"/>
        </w:rPr>
        <w:t xml:space="preserve">I </w:t>
      </w:r>
      <w:r w:rsidR="002A61E1" w:rsidRPr="00F03418">
        <w:rPr>
          <w:rFonts w:cs="Times New Roman"/>
        </w:rPr>
        <w:t>consider several paintings made by Walter Ufer in Taos, New Mexico</w:t>
      </w:r>
      <w:r w:rsidR="00FA25CA">
        <w:rPr>
          <w:rFonts w:cs="Times New Roman"/>
        </w:rPr>
        <w:t xml:space="preserve">, between 1914 and 1920. In these paintings, </w:t>
      </w:r>
      <w:r w:rsidR="002A61E1" w:rsidRPr="00F03418">
        <w:rPr>
          <w:rFonts w:cs="Times New Roman"/>
        </w:rPr>
        <w:t xml:space="preserve">Ufer </w:t>
      </w:r>
      <w:r w:rsidR="00FA25CA">
        <w:rPr>
          <w:rFonts w:cs="Times New Roman"/>
        </w:rPr>
        <w:t xml:space="preserve">features </w:t>
      </w:r>
      <w:r w:rsidR="002A61E1" w:rsidRPr="00F03418">
        <w:rPr>
          <w:rFonts w:cs="Times New Roman"/>
        </w:rPr>
        <w:t>Native American subjects gazing out directly, even defiantly, at (presumably) Euro-American viewer</w:t>
      </w:r>
      <w:r w:rsidR="00302534">
        <w:rPr>
          <w:rFonts w:cs="Times New Roman"/>
        </w:rPr>
        <w:t>s</w:t>
      </w:r>
      <w:r w:rsidR="002A61E1" w:rsidRPr="00F03418">
        <w:rPr>
          <w:rFonts w:cs="Times New Roman"/>
        </w:rPr>
        <w:t>. Such returned gazes by native subjects were extremely rare in narrative genre scenes at this time, and make Ufer’s Indian paintings unsettling because, at a fundamental level, the outward gaze of the subject inherently involves the viewer with the inner life of the subject depicted. In this way, Ufer emphasized that his subjects, Pueblo Indians from Taos were real people and the paintings themselves were artificial spaces created by the artist. Th</w:t>
      </w:r>
      <w:r w:rsidR="00FA25CA">
        <w:rPr>
          <w:rFonts w:cs="Times New Roman"/>
        </w:rPr>
        <w:t xml:space="preserve">us viewing one </w:t>
      </w:r>
      <w:r w:rsidR="002A61E1" w:rsidRPr="00F03418">
        <w:rPr>
          <w:rFonts w:cs="Times New Roman"/>
        </w:rPr>
        <w:t xml:space="preserve">of Ufer’s “gaze” paintings is </w:t>
      </w:r>
      <w:r w:rsidR="00FA25CA">
        <w:rPr>
          <w:rFonts w:cs="Times New Roman"/>
        </w:rPr>
        <w:t xml:space="preserve">to view an </w:t>
      </w:r>
      <w:r w:rsidR="002A61E1" w:rsidRPr="00F03418">
        <w:rPr>
          <w:rFonts w:cs="Times New Roman"/>
        </w:rPr>
        <w:t>artistic fiction created by the artist. Once the fiction of the paintings is exposed, it becomes eas</w:t>
      </w:r>
      <w:r w:rsidR="00FA25CA">
        <w:rPr>
          <w:rFonts w:cs="Times New Roman"/>
        </w:rPr>
        <w:t xml:space="preserve">ier to see Taos and the Pueblo </w:t>
      </w:r>
      <w:r w:rsidR="002A61E1" w:rsidRPr="00F03418">
        <w:rPr>
          <w:rFonts w:cs="Times New Roman"/>
        </w:rPr>
        <w:t xml:space="preserve">as </w:t>
      </w:r>
      <w:r w:rsidR="00151CC9">
        <w:rPr>
          <w:rFonts w:cs="Times New Roman"/>
        </w:rPr>
        <w:t>colonial contact zones.</w:t>
      </w:r>
    </w:p>
    <w:p w14:paraId="02E519A8" w14:textId="5A27A55D" w:rsidR="00EF105C" w:rsidRDefault="001C1864" w:rsidP="002A61E1">
      <w:pPr>
        <w:pStyle w:val="Standard"/>
        <w:spacing w:line="480" w:lineRule="auto"/>
        <w:ind w:firstLine="709"/>
        <w:rPr>
          <w:rFonts w:eastAsia="Batang" w:cs="Times New Roman"/>
        </w:rPr>
      </w:pPr>
      <w:r>
        <w:rPr>
          <w:rFonts w:eastAsia="Batang" w:cs="Times New Roman"/>
        </w:rPr>
        <w:t xml:space="preserve">The patronage Ufer and his colleagues gave to Taos Pueblo Indians had an unexpected </w:t>
      </w:r>
      <w:r w:rsidR="00EF105C">
        <w:rPr>
          <w:rFonts w:eastAsia="Batang" w:cs="Times New Roman"/>
        </w:rPr>
        <w:t xml:space="preserve">and salutary </w:t>
      </w:r>
      <w:r>
        <w:rPr>
          <w:rFonts w:eastAsia="Batang" w:cs="Times New Roman"/>
        </w:rPr>
        <w:t xml:space="preserve">consequence. Several former models, including Albert Looking Elk, Albert Lujan, and Juan Mirabal, all eventually established careers as artists. </w:t>
      </w:r>
      <w:r w:rsidR="00C31553">
        <w:rPr>
          <w:rFonts w:eastAsia="Batang" w:cs="Times New Roman"/>
        </w:rPr>
        <w:t>Th</w:t>
      </w:r>
      <w:r w:rsidR="00273A01">
        <w:rPr>
          <w:rFonts w:eastAsia="Batang" w:cs="Times New Roman"/>
        </w:rPr>
        <w:t>e</w:t>
      </w:r>
      <w:r w:rsidR="00EF105C">
        <w:rPr>
          <w:rFonts w:eastAsia="Batang" w:cs="Times New Roman"/>
        </w:rPr>
        <w:t xml:space="preserve"> painting practices, an </w:t>
      </w:r>
      <w:r w:rsidR="00C31553">
        <w:rPr>
          <w:rFonts w:eastAsia="Batang" w:cs="Times New Roman"/>
        </w:rPr>
        <w:t>accommodation to the reality of a cash-based economy</w:t>
      </w:r>
      <w:r w:rsidR="00EF105C">
        <w:rPr>
          <w:rFonts w:eastAsia="Batang" w:cs="Times New Roman"/>
        </w:rPr>
        <w:t xml:space="preserve">, also allowed </w:t>
      </w:r>
      <w:r w:rsidR="00C31553">
        <w:rPr>
          <w:rFonts w:eastAsia="Batang" w:cs="Times New Roman"/>
        </w:rPr>
        <w:t>these three artists to negotiate modernity</w:t>
      </w:r>
      <w:r w:rsidR="00EF105C">
        <w:rPr>
          <w:rFonts w:eastAsia="Batang" w:cs="Times New Roman"/>
        </w:rPr>
        <w:t>. None of the three painted in the flat, auto-ethnographic style widely accepted as authentic by white patrons. Instead, in the case of Looking Elk and Lujan, they adapted a three-dimensional illusionistic style more closely associate with Taos Society of Artist members like Ufer. Mirabal, on the other hand, took elements of Western realism, the flat, abstract Indian style, and European Modernism to forge his own path. The rise of these three Pueblo Modernists</w:t>
      </w:r>
      <w:r w:rsidR="00A81FAD">
        <w:rPr>
          <w:rFonts w:eastAsia="Batang" w:cs="Times New Roman"/>
        </w:rPr>
        <w:t xml:space="preserve"> in the 1920s and 1930s points to the importance of culture in the struggle</w:t>
      </w:r>
      <w:r w:rsidR="00E50915">
        <w:rPr>
          <w:rFonts w:eastAsia="Batang" w:cs="Times New Roman"/>
        </w:rPr>
        <w:t xml:space="preserve"> for sovereignty.</w:t>
      </w:r>
    </w:p>
    <w:p w14:paraId="3FFFB743" w14:textId="592FFA38" w:rsidR="002A61E1" w:rsidRPr="00F03418" w:rsidRDefault="002A61E1" w:rsidP="002A61E1">
      <w:pPr>
        <w:pStyle w:val="Standard"/>
        <w:spacing w:line="480" w:lineRule="auto"/>
        <w:ind w:firstLine="709"/>
        <w:rPr>
          <w:rFonts w:cs="Times New Roman"/>
        </w:rPr>
      </w:pPr>
      <w:r w:rsidRPr="00F03418">
        <w:rPr>
          <w:rFonts w:cs="Times New Roman"/>
        </w:rPr>
        <w:t xml:space="preserve">This dissertation considers for the first time an American intra-colonial aesthetic, a heretofore unexplored artistic construct produced as a byproduct of displaced American colonialist desires. As an interpretive lens, the identification and definition of an intra-colonial aesthetic points to imperialist ambitions within the United States. However, cultural works expressing resistance by oppressed Native groups toward this visual colonialism may provide new avenues to interpret America’s self-image. Using a case-study approach, </w:t>
      </w:r>
      <w:r w:rsidR="005B4D76">
        <w:rPr>
          <w:rFonts w:cs="Times New Roman"/>
        </w:rPr>
        <w:t>I a</w:t>
      </w:r>
      <w:r w:rsidRPr="00F03418">
        <w:rPr>
          <w:rFonts w:cs="Times New Roman"/>
        </w:rPr>
        <w:t xml:space="preserve">ttempt to locate this visual practice in different marginalized contact zones within the burgeoning American empire, circa 1885-1918. I seek to penetrate deeply, not widely. </w:t>
      </w:r>
      <w:r w:rsidR="005E106C">
        <w:rPr>
          <w:rFonts w:cs="Times New Roman"/>
        </w:rPr>
        <w:t xml:space="preserve">The trade off, if there is one, may be that certain germane areas might not be included in this study. </w:t>
      </w:r>
      <w:r w:rsidRPr="00F03418">
        <w:rPr>
          <w:rFonts w:cs="Times New Roman"/>
        </w:rPr>
        <w:t xml:space="preserve">My goal is to provide a model, a methodology, which future scholars might apply to the study of other intra-colonial images. In this way, this dissertation will contribute to the larger study of American art by considering exploration art in late nineteenth century within a larger historical and geographic </w:t>
      </w:r>
      <w:r w:rsidRPr="00F03418">
        <w:rPr>
          <w:rFonts w:cs="Times New Roman"/>
          <w:i/>
        </w:rPr>
        <w:t>milieu</w:t>
      </w:r>
      <w:r w:rsidRPr="00F03418">
        <w:rPr>
          <w:rFonts w:cs="Times New Roman"/>
        </w:rPr>
        <w:t xml:space="preserve"> of colonial ambition and imperialist desire.</w:t>
      </w:r>
    </w:p>
    <w:p w14:paraId="50266685" w14:textId="5B40C6FC" w:rsidR="002A61E1" w:rsidRDefault="002A61E1" w:rsidP="00D33940">
      <w:pPr>
        <w:pStyle w:val="Caption"/>
      </w:pPr>
    </w:p>
    <w:p w14:paraId="2A54AB2B" w14:textId="77777777" w:rsidR="006744A3" w:rsidRDefault="006744A3" w:rsidP="002A61E1">
      <w:pPr>
        <w:pStyle w:val="Standard"/>
        <w:spacing w:line="480" w:lineRule="auto"/>
        <w:rPr>
          <w:rFonts w:cs="Times New Roman"/>
          <w:b/>
        </w:rPr>
        <w:sectPr w:rsidR="006744A3" w:rsidSect="00017EAF">
          <w:footnotePr>
            <w:numRestart w:val="eachSect"/>
          </w:footnotePr>
          <w:endnotePr>
            <w:numFmt w:val="decimal"/>
          </w:endnotePr>
          <w:pgSz w:w="12240" w:h="15840" w:code="1"/>
          <w:pgMar w:top="1440" w:right="1440" w:bottom="1440" w:left="2304" w:header="720" w:footer="720" w:gutter="0"/>
          <w:pgNumType w:start="1"/>
          <w:cols w:space="720"/>
          <w:docGrid w:linePitch="360"/>
        </w:sectPr>
      </w:pPr>
    </w:p>
    <w:p w14:paraId="2B7CC6CA" w14:textId="2A362143" w:rsidR="00957FF3" w:rsidRDefault="008A5026" w:rsidP="00D33940">
      <w:pPr>
        <w:pStyle w:val="Heading1"/>
      </w:pPr>
      <w:bookmarkStart w:id="17" w:name="_Toc468379260"/>
      <w:bookmarkStart w:id="18" w:name="_Toc315681318"/>
      <w:r>
        <w:t xml:space="preserve">Chapter 2 </w:t>
      </w:r>
      <w:r w:rsidR="001970B4">
        <w:t xml:space="preserve">– </w:t>
      </w:r>
      <w:r w:rsidR="00206CFC" w:rsidRPr="00D775A9">
        <w:t>Indian Territory: A Contested Space</w:t>
      </w:r>
      <w:bookmarkEnd w:id="17"/>
      <w:r w:rsidR="00512872" w:rsidRPr="00512872">
        <w:t xml:space="preserve"> </w:t>
      </w:r>
    </w:p>
    <w:p w14:paraId="5460FF01" w14:textId="46B4AC53" w:rsidR="00957FF3" w:rsidRPr="00512872" w:rsidRDefault="00957FF3" w:rsidP="00512872">
      <w:pPr>
        <w:pStyle w:val="Standard"/>
        <w:spacing w:line="480" w:lineRule="auto"/>
        <w:ind w:firstLine="720"/>
        <w:rPr>
          <w:i/>
        </w:rPr>
      </w:pPr>
      <w:r w:rsidRPr="00D775A9">
        <w:rPr>
          <w:i/>
        </w:rPr>
        <w:t>English Ranch in Oklahoma</w:t>
      </w:r>
      <w:r w:rsidRPr="00D775A9">
        <w:t xml:space="preserve"> and </w:t>
      </w:r>
      <w:r w:rsidRPr="00D775A9">
        <w:rPr>
          <w:i/>
        </w:rPr>
        <w:t>Scottish Ranch</w:t>
      </w:r>
      <w:r w:rsidRPr="00D775A9">
        <w:t>, two illustrations from an 1885 book promoting American settlement of Indian Territory, offer a prospective intra-colonial vision of Indian Territory controlled by white colonists and shaped by Western civilization.</w:t>
      </w:r>
      <w:r w:rsidRPr="00D775A9">
        <w:rPr>
          <w:rStyle w:val="FootnoteReference"/>
        </w:rPr>
        <w:footnoteReference w:id="20"/>
      </w:r>
      <w:r w:rsidRPr="00D775A9">
        <w:t xml:space="preserve"> In both images, small figures in the foreground, stand ins for would-be white American homesteaders, provide the viewer with a commanding view of mountains, plains, </w:t>
      </w:r>
      <w:r w:rsidRPr="00151CC9">
        <w:t>prairies, rivers and streams, trees, deer, fish, agriculture, and livestock</w:t>
      </w:r>
      <w:r w:rsidR="003F1102" w:rsidRPr="00151CC9">
        <w:t xml:space="preserve"> </w:t>
      </w:r>
      <w:r w:rsidR="009F1AEC" w:rsidRPr="00151CC9">
        <w:t>(fig</w:t>
      </w:r>
      <w:r w:rsidR="003F1102" w:rsidRPr="00151CC9">
        <w:t>. 2.1)</w:t>
      </w:r>
      <w:r w:rsidRPr="00151CC9">
        <w:t>.</w:t>
      </w:r>
      <w:r w:rsidRPr="00151CC9">
        <w:rPr>
          <w:rStyle w:val="FootnoteReference"/>
        </w:rPr>
        <w:footnoteReference w:id="21"/>
      </w:r>
      <w:r w:rsidRPr="00151CC9">
        <w:t xml:space="preserve"> These images perfectly illustrate the pro-settlement sentiment of the text they accompany in </w:t>
      </w:r>
      <w:r w:rsidRPr="00151CC9">
        <w:rPr>
          <w:i/>
        </w:rPr>
        <w:t xml:space="preserve">Oklahoma! Politically and Topographically Described: History and Guide to the Indian Territory: </w:t>
      </w:r>
      <w:r w:rsidRPr="00151CC9">
        <w:rPr>
          <w:rStyle w:val="Subtitle1"/>
          <w:rFonts w:cs="Arial"/>
          <w:bCs/>
          <w:i/>
        </w:rPr>
        <w:t>History and Guide to the Indian Territory. Biographical Sketches of Capt. D.L. Payne, W.L. Couch, W.H. Osborn, and Others</w:t>
      </w:r>
      <w:r w:rsidRPr="00151CC9">
        <w:rPr>
          <w:i/>
        </w:rPr>
        <w:t xml:space="preserve"> </w:t>
      </w:r>
      <w:r w:rsidRPr="00151CC9">
        <w:t xml:space="preserve">(hereafter </w:t>
      </w:r>
      <w:r w:rsidRPr="00151CC9">
        <w:rPr>
          <w:i/>
        </w:rPr>
        <w:t>Oklahoma</w:t>
      </w:r>
      <w:r w:rsidRPr="00151CC9">
        <w:t>)</w:t>
      </w:r>
      <w:r w:rsidR="0016758F" w:rsidRPr="00151CC9">
        <w:t xml:space="preserve"> (fig. 2.</w:t>
      </w:r>
      <w:r w:rsidR="00546B23" w:rsidRPr="00151CC9">
        <w:t>2</w:t>
      </w:r>
      <w:r w:rsidR="0016758F" w:rsidRPr="00151CC9">
        <w:t>)</w:t>
      </w:r>
      <w:r w:rsidRPr="00151CC9">
        <w:rPr>
          <w:b/>
        </w:rPr>
        <w:t xml:space="preserve">. </w:t>
      </w:r>
      <w:r w:rsidRPr="00151CC9">
        <w:t>Written</w:t>
      </w:r>
      <w:r w:rsidRPr="00151CC9">
        <w:rPr>
          <w:b/>
        </w:rPr>
        <w:t xml:space="preserve"> </w:t>
      </w:r>
      <w:r w:rsidRPr="00151CC9">
        <w:t>and published by</w:t>
      </w:r>
      <w:r w:rsidRPr="00151CC9">
        <w:rPr>
          <w:b/>
        </w:rPr>
        <w:t xml:space="preserve"> </w:t>
      </w:r>
      <w:r w:rsidRPr="00151CC9">
        <w:t>A.P. Jackson and E. C. Cole, Kansas-based bank</w:t>
      </w:r>
      <w:r w:rsidRPr="005B7071">
        <w:t>ers and land agitators, the pro-settlement tone of the prose and romantic, fanciful illustrati</w:t>
      </w:r>
      <w:r w:rsidR="00434080">
        <w:t>ons of an agriculturally fecund</w:t>
      </w:r>
      <w:r w:rsidRPr="005B7071">
        <w:t xml:space="preserve"> land free of Indians makes the opening of the Unassigned Lands, and eventually Indian Territory, to white settlement seem inevitable.</w:t>
      </w:r>
      <w:r w:rsidRPr="005B7071">
        <w:rPr>
          <w:rStyle w:val="FootnoteReference"/>
        </w:rPr>
        <w:footnoteReference w:id="22"/>
      </w:r>
    </w:p>
    <w:p w14:paraId="2823B76F" w14:textId="1484D21F" w:rsidR="00957FF3" w:rsidRPr="005B7071" w:rsidRDefault="00957FF3" w:rsidP="00957FF3">
      <w:pPr>
        <w:pStyle w:val="Standard"/>
        <w:spacing w:line="480" w:lineRule="auto"/>
        <w:ind w:firstLine="720"/>
        <w:rPr>
          <w:rFonts w:eastAsia="MS Mincho" w:cs="Times New Roman"/>
        </w:rPr>
      </w:pPr>
      <w:r w:rsidRPr="005B7071">
        <w:t xml:space="preserve">Fanciful illustrations like these mark a subtle but important divergence from earlier images of Indian Territory. </w:t>
      </w:r>
      <w:r w:rsidRPr="005B7071">
        <w:rPr>
          <w:rFonts w:eastAsia="MS Mincho" w:cs="Times New Roman"/>
        </w:rPr>
        <w:t>The two most prodigious pre-Civil War Indian Territory artists, George Catlin and John Mix Stanley, painted images of a contact zone</w:t>
      </w:r>
      <w:r w:rsidR="0076376C">
        <w:rPr>
          <w:rFonts w:eastAsia="MS Mincho" w:cs="Times New Roman"/>
        </w:rPr>
        <w:t xml:space="preserve">, </w:t>
      </w:r>
      <w:r w:rsidRPr="005B7071">
        <w:rPr>
          <w:rFonts w:eastAsia="MS Mincho" w:cs="Times New Roman"/>
        </w:rPr>
        <w:t>a place defined by asymmetrical power, occupied by the dispossessed, controlled by colonial forces, and surveyed and studied ultimately as a precursor to white settlement. The images describe a liminal place, a fragile, transitory amalgam of displaced Indians, the American soldiers sent west to control and protect them, and the few non-Indian allowed to li</w:t>
      </w:r>
      <w:r w:rsidR="0076376C">
        <w:rPr>
          <w:rFonts w:eastAsia="MS Mincho" w:cs="Times New Roman"/>
        </w:rPr>
        <w:t>ve there. Even so, compared to Boomer</w:t>
      </w:r>
      <w:r w:rsidRPr="005B7071">
        <w:rPr>
          <w:rFonts w:eastAsia="MS Mincho" w:cs="Times New Roman"/>
        </w:rPr>
        <w:t xml:space="preserve"> images from the 1880s, </w:t>
      </w:r>
      <w:r w:rsidR="00434080">
        <w:rPr>
          <w:rFonts w:eastAsia="MS Mincho" w:cs="Times New Roman"/>
        </w:rPr>
        <w:t xml:space="preserve">explored later in this chapter, </w:t>
      </w:r>
      <w:r w:rsidRPr="005B7071">
        <w:rPr>
          <w:rFonts w:eastAsia="MS Mincho" w:cs="Times New Roman"/>
        </w:rPr>
        <w:t>Catlin and Stanley portrayed a place whose</w:t>
      </w:r>
      <w:r w:rsidR="009B1217">
        <w:rPr>
          <w:rFonts w:eastAsia="MS Mincho" w:cs="Times New Roman"/>
        </w:rPr>
        <w:t xml:space="preserve"> future was still undetermined.</w:t>
      </w:r>
    </w:p>
    <w:p w14:paraId="7D40F0A4" w14:textId="302C8145" w:rsidR="00957FF3" w:rsidRPr="005B7071" w:rsidRDefault="00957FF3" w:rsidP="00957FF3">
      <w:pPr>
        <w:pStyle w:val="Standard"/>
        <w:spacing w:line="480" w:lineRule="auto"/>
        <w:ind w:firstLine="720"/>
      </w:pPr>
      <w:r w:rsidRPr="005B7071">
        <w:t xml:space="preserve">Despite the colonial over-determinism seen in the </w:t>
      </w:r>
      <w:r w:rsidRPr="005B7071">
        <w:rPr>
          <w:i/>
        </w:rPr>
        <w:t>Oklahoma</w:t>
      </w:r>
      <w:r w:rsidRPr="005B7071">
        <w:t xml:space="preserve"> images, Indian Territory, like every colonial territory, was a contested space.</w:t>
      </w:r>
      <w:r w:rsidRPr="005B7071">
        <w:rPr>
          <w:rStyle w:val="FootnoteReference"/>
        </w:rPr>
        <w:footnoteReference w:id="23"/>
      </w:r>
      <w:r w:rsidRPr="005B7071">
        <w:t xml:space="preserve"> In Indian Territory, resistance to colonization took several forms.</w:t>
      </w:r>
      <w:r w:rsidRPr="005B7071">
        <w:rPr>
          <w:rStyle w:val="FootnoteReference"/>
        </w:rPr>
        <w:footnoteReference w:id="24"/>
      </w:r>
      <w:r w:rsidRPr="005B7071">
        <w:t xml:space="preserve"> One prominent voice of resistance was the </w:t>
      </w:r>
      <w:r w:rsidRPr="005B7071">
        <w:rPr>
          <w:i/>
        </w:rPr>
        <w:t>Cherokee Advocate</w:t>
      </w:r>
      <w:r w:rsidRPr="005B7071">
        <w:t xml:space="preserve">. The </w:t>
      </w:r>
      <w:r w:rsidRPr="005B7071">
        <w:rPr>
          <w:i/>
        </w:rPr>
        <w:t>Advocate</w:t>
      </w:r>
      <w:r w:rsidRPr="005B7071">
        <w:t xml:space="preserve">, printed weekly in English and Cherokee, published dissenting editorials and opinions from their own editors, as well as those culled from national newspapers and magazines, throughout the 1880s. These voices of resistance and dissent, which advocated for Indian sovereignty and independence, joined a national debate about land disputes between white settlers and Indians. Articles, letters, and editorials drawn from several issues of the </w:t>
      </w:r>
      <w:r w:rsidRPr="005B7071">
        <w:rPr>
          <w:i/>
        </w:rPr>
        <w:t>Advocate</w:t>
      </w:r>
      <w:r w:rsidRPr="005B7071">
        <w:t xml:space="preserve"> in the mid-1880s offer an opportunity to better understand </w:t>
      </w:r>
      <w:r w:rsidR="00170F0C" w:rsidRPr="005B7071">
        <w:t xml:space="preserve">Indian </w:t>
      </w:r>
      <w:r w:rsidRPr="005B7071">
        <w:t>r</w:t>
      </w:r>
      <w:r w:rsidR="009B1217">
        <w:t>esistance to cultural hegemony.</w:t>
      </w:r>
    </w:p>
    <w:p w14:paraId="3F5CC32E" w14:textId="64EC1983" w:rsidR="00957FF3" w:rsidRPr="005B7071" w:rsidRDefault="00957FF3" w:rsidP="00957FF3">
      <w:pPr>
        <w:pStyle w:val="Standard"/>
        <w:spacing w:line="480" w:lineRule="auto"/>
        <w:ind w:firstLine="720"/>
      </w:pPr>
      <w:r w:rsidRPr="005B7071">
        <w:t>Another form of resistance was the art of Kiowa artist Silver Horn (1860-1940). The son of an accomplished warrior, grandnephew of an important Kiowa chief, and a significant medicine man</w:t>
      </w:r>
      <w:r w:rsidR="00170F0C" w:rsidRPr="005B7071">
        <w:t xml:space="preserve"> in his own right</w:t>
      </w:r>
      <w:r w:rsidRPr="005B7071">
        <w:t xml:space="preserve">, Silver Horn perpetuated and celebrated centuries of Kiowa lifeways through his artistic output. Silver Horn’s </w:t>
      </w:r>
      <w:r w:rsidRPr="005B7071">
        <w:rPr>
          <w:i/>
        </w:rPr>
        <w:t>Ghost Dance</w:t>
      </w:r>
      <w:r w:rsidRPr="005B7071">
        <w:t>, an 1891 hide painting, depicts the messianic, anti-colonial dance popular with many Plains tribes in the 1890s, focuses on an act of resistance that prophesied a world in which dead Indians and buffalo would be resurrected and tribes could return to the old way, and a “tidal wave of new soil would cover the earth, bury the whites, and restore the prairie.”</w:t>
      </w:r>
      <w:r w:rsidRPr="005B7071">
        <w:rPr>
          <w:rStyle w:val="FootnoteReference"/>
          <w:shd w:val="clear" w:color="auto" w:fill="FDF6E6"/>
        </w:rPr>
        <w:footnoteReference w:id="25"/>
      </w:r>
    </w:p>
    <w:p w14:paraId="44F91EE5" w14:textId="515CFA7A" w:rsidR="00305300" w:rsidRDefault="00957FF3" w:rsidP="00957FF3">
      <w:pPr>
        <w:pStyle w:val="Standard"/>
        <w:spacing w:line="480" w:lineRule="auto"/>
        <w:ind w:firstLine="720"/>
      </w:pPr>
      <w:r w:rsidRPr="005B7071">
        <w:t xml:space="preserve">When considered together, the editorials and articles written and aggregated by the </w:t>
      </w:r>
      <w:r w:rsidRPr="005B7071">
        <w:rPr>
          <w:i/>
        </w:rPr>
        <w:t>Cherokee Advocate</w:t>
      </w:r>
      <w:r w:rsidRPr="005B7071">
        <w:t xml:space="preserve"> and the ledger art of Silver Horn offer a generalized counter-hegemonic voice of resistance within the Indian Territory that questioned the pro-white, pro-settlement assumptions presented in the text and illustrations of the Boomer booklet. These contrasting world views were debated in newspapers and magazine both inside the Indian Territory and throughout the United States. Settlement of Indian</w:t>
      </w:r>
      <w:r w:rsidR="00350057" w:rsidRPr="005B7071">
        <w:t xml:space="preserve"> </w:t>
      </w:r>
      <w:r w:rsidRPr="005B7071">
        <w:t>Territory by white settlers was in no sense predetermined. That we know the outcome of these contested ideas in no way diminishes the importance of the debate.</w:t>
      </w:r>
      <w:r w:rsidRPr="005B7071">
        <w:rPr>
          <w:rStyle w:val="FootnoteReference"/>
        </w:rPr>
        <w:footnoteReference w:id="26"/>
      </w:r>
    </w:p>
    <w:p w14:paraId="770201DE" w14:textId="77777777" w:rsidR="00151CC9" w:rsidRPr="005B7071" w:rsidRDefault="00151CC9" w:rsidP="00957FF3">
      <w:pPr>
        <w:pStyle w:val="Standard"/>
        <w:spacing w:line="480" w:lineRule="auto"/>
        <w:ind w:firstLine="720"/>
      </w:pPr>
    </w:p>
    <w:p w14:paraId="1A3C7DA7" w14:textId="1B48910B" w:rsidR="00957FF3" w:rsidRPr="005B7071" w:rsidRDefault="003E215C" w:rsidP="00260473">
      <w:pPr>
        <w:jc w:val="center"/>
        <w:rPr>
          <w:b/>
        </w:rPr>
      </w:pPr>
      <w:r w:rsidRPr="005B7071">
        <w:rPr>
          <w:b/>
        </w:rPr>
        <w:t>Indian Territory in the 1830s and 1840s: An Inhospitable Place</w:t>
      </w:r>
    </w:p>
    <w:p w14:paraId="191B323C" w14:textId="7876F5E9" w:rsidR="00957FF3" w:rsidRPr="005B7071" w:rsidRDefault="00957FF3" w:rsidP="00957FF3">
      <w:pPr>
        <w:ind w:firstLine="720"/>
        <w:rPr>
          <w:b/>
        </w:rPr>
      </w:pPr>
      <w:r w:rsidRPr="005B7071">
        <w:t xml:space="preserve">Considered in isolation, </w:t>
      </w:r>
      <w:r w:rsidRPr="005B7071">
        <w:rPr>
          <w:i/>
        </w:rPr>
        <w:t>English Ranch in Oklahoma</w:t>
      </w:r>
      <w:r w:rsidRPr="005B7071">
        <w:t xml:space="preserve"> and </w:t>
      </w:r>
      <w:r w:rsidRPr="005B7071">
        <w:rPr>
          <w:i/>
        </w:rPr>
        <w:t>Scottish Ranch</w:t>
      </w:r>
      <w:r w:rsidRPr="005B7071">
        <w:t xml:space="preserve"> seem unremarkable, even mundane. However, seen in an historical context, they mark the</w:t>
      </w:r>
      <w:r w:rsidR="005B4D76">
        <w:t xml:space="preserve"> point of origin </w:t>
      </w:r>
      <w:r w:rsidRPr="005B7071">
        <w:t xml:space="preserve">of a new intra-colonial aesthetic. Until the Civil War, almost all images of Indian Territory were produced by either Catlin or Stanley in the 1830s and 1840s. Generally, </w:t>
      </w:r>
      <w:r w:rsidR="005B4D76">
        <w:t>these artists</w:t>
      </w:r>
      <w:r w:rsidRPr="005B7071">
        <w:t xml:space="preserve"> produced images that described the inhabitants and conditions of an open-air prison. Yet what was missing was a blatant ideology of desire</w:t>
      </w:r>
      <w:r w:rsidR="00350057" w:rsidRPr="005B7071">
        <w:t xml:space="preserve"> to possess Indian land.</w:t>
      </w:r>
    </w:p>
    <w:p w14:paraId="4362D547" w14:textId="6D447F4A" w:rsidR="00957FF3" w:rsidRPr="005B7071" w:rsidRDefault="00957FF3" w:rsidP="00957FF3">
      <w:pPr>
        <w:ind w:firstLine="720"/>
      </w:pPr>
      <w:r w:rsidRPr="005B7071">
        <w:t>George Catlin arri</w:t>
      </w:r>
      <w:r w:rsidR="005B4D76">
        <w:t>ved in Indian Territory in 1834,</w:t>
      </w:r>
      <w:r w:rsidR="00305300">
        <w:rPr>
          <w:rStyle w:val="FootnoteReference"/>
        </w:rPr>
        <w:footnoteReference w:id="27"/>
      </w:r>
      <w:r w:rsidRPr="005B7071">
        <w:t xml:space="preserve"> disillusioned with Indians in the east who, generally, had lived among whites for generations and therefore did not meet the young artist’s Romantic notion of “real” Indians, i.e., those not tainted by corrupting white influences. Catlin, like so many of his contemporaries, was involved in </w:t>
      </w:r>
      <w:r w:rsidR="005B4D76">
        <w:t>so-called “</w:t>
      </w:r>
      <w:r w:rsidRPr="005B7071">
        <w:t>salvage</w:t>
      </w:r>
      <w:r w:rsidR="005B4D76">
        <w:t>”</w:t>
      </w:r>
      <w:r w:rsidRPr="005B7071">
        <w:t xml:space="preserve"> work; he tried to preserve, in paint and in text, what he saw as a dying race. That the United States government policies were largely to blame for the disappearance of Indians and Indian culture was an irony largely lost on those involved in salvage work. The progress of the entire continent toward Western civilization was the only outcome m</w:t>
      </w:r>
      <w:r w:rsidR="009E1D64" w:rsidRPr="005B7071">
        <w:t>ost Americans could foresee.</w:t>
      </w:r>
    </w:p>
    <w:p w14:paraId="419CE873" w14:textId="3F677322" w:rsidR="00957FF3" w:rsidRPr="005B7071" w:rsidRDefault="00957FF3" w:rsidP="00957FF3">
      <w:pPr>
        <w:ind w:firstLine="720"/>
      </w:pPr>
      <w:r w:rsidRPr="005B7071">
        <w:t>During the 1830s, Catlin found his real Indians among the Osage and Comanche, and to a lesser extent, in the recently-relocated Cherokee, Choctaw, and Creek, in Indian Territory. Catlin arrived in Indian Territory just as Indian removal and relocation efforts r</w:t>
      </w:r>
      <w:r w:rsidR="008D59D6">
        <w:t xml:space="preserve">atcheted into full effect. He </w:t>
      </w:r>
      <w:r w:rsidRPr="005B7071">
        <w:t>spent two months painting the likenesses of Creeks, Cherokees, Choctaws, and Osages at Fort Gibson. Later that summer, the artist travelled with the Dodge-Leavenworth Expedition, accompanied by the U.S. Dragoons, also known as the 1</w:t>
      </w:r>
      <w:r w:rsidRPr="005B7071">
        <w:rPr>
          <w:vertAlign w:val="superscript"/>
        </w:rPr>
        <w:t>st</w:t>
      </w:r>
      <w:r w:rsidRPr="005B7071">
        <w:t xml:space="preserve"> Cavalry Regiment of the Army, from Fort Gibson to the Washita Mountains in south-central Indian Territory to meet with Plains tribes. Osage, Kiowa, and Comanche, long established in the region, opposed the government's resettlement policy and resented the eastern Indians being moved into their territory; General Leavenworth and Colonel Dodge went south to invite the</w:t>
      </w:r>
      <w:r w:rsidR="008D59D6">
        <w:t>se</w:t>
      </w:r>
      <w:r w:rsidRPr="005B7071">
        <w:t xml:space="preserve"> </w:t>
      </w:r>
      <w:r w:rsidR="008D59D6">
        <w:t xml:space="preserve">Indian tribes </w:t>
      </w:r>
      <w:r w:rsidRPr="005B7071">
        <w:t>to a peace council at Fort Gibson to be held later that year.</w:t>
      </w:r>
      <w:r w:rsidRPr="005B7071">
        <w:rPr>
          <w:rStyle w:val="FootnoteReference"/>
        </w:rPr>
        <w:footnoteReference w:id="28"/>
      </w:r>
    </w:p>
    <w:p w14:paraId="3B8E4D95" w14:textId="0EB02418" w:rsidR="00957FF3" w:rsidRPr="005B7071" w:rsidRDefault="00957FF3" w:rsidP="00957FF3">
      <w:pPr>
        <w:ind w:firstLine="720"/>
      </w:pPr>
      <w:r w:rsidRPr="005B7071">
        <w:t xml:space="preserve">Catlin’s views of the region and its people, later widely exhibited and published, were the first to be made by any artist. Although he was only in Indian Territory for a few months, Catlin made, over the next six years, about 450 paintings based on his time in Indian Territory, and throughout his career, more than a thousand works based on his encounters with Indians in the west. Taken together, Catlin’s paintings made in or of Indian Territory form a vast and important archive. Although Catlin primarily made portraits of individual Indians, I will focus my analysis on a smaller subgroup, pictures of the interaction between Indian and U.S. </w:t>
      </w:r>
      <w:r w:rsidR="009E1D64" w:rsidRPr="005B7071">
        <w:t>Dragoons in the summer of 1834.</w:t>
      </w:r>
    </w:p>
    <w:p w14:paraId="5D4323BF" w14:textId="722769FD" w:rsidR="00957FF3" w:rsidRPr="005B7071" w:rsidRDefault="00957FF3" w:rsidP="00957FF3">
      <w:pPr>
        <w:ind w:firstLine="720"/>
      </w:pPr>
      <w:r w:rsidRPr="005B7071">
        <w:t>Comanches, Kiowas, and Osages had had had relatively less contact with whites tha</w:t>
      </w:r>
      <w:r w:rsidR="00196B49">
        <w:t xml:space="preserve">n the eastern tribes forcibly </w:t>
      </w:r>
      <w:r w:rsidRPr="005B7071">
        <w:t xml:space="preserve">moved to the Territory. The Comanche, particularly, had had, until 1820, almost no </w:t>
      </w:r>
      <w:r w:rsidR="00196B49">
        <w:t xml:space="preserve">direct </w:t>
      </w:r>
      <w:r w:rsidRPr="005B7071">
        <w:t xml:space="preserve">contact with </w:t>
      </w:r>
      <w:r w:rsidR="00196B49">
        <w:t xml:space="preserve">the </w:t>
      </w:r>
      <w:r w:rsidRPr="005B7071">
        <w:t>American</w:t>
      </w:r>
      <w:r w:rsidR="00196B49">
        <w:t xml:space="preserve"> government</w:t>
      </w:r>
      <w:r w:rsidRPr="005B7071">
        <w:t>.</w:t>
      </w:r>
      <w:r w:rsidR="0035388D">
        <w:rPr>
          <w:rStyle w:val="FootnoteReference"/>
        </w:rPr>
        <w:footnoteReference w:id="29"/>
      </w:r>
      <w:r w:rsidRPr="005B7071">
        <w:t xml:space="preserve"> Catlin used his position within the government expedition to provide a unique view of the historic meeting between the Comanches and the Dragoons, which happened near Fort Sill. In </w:t>
      </w:r>
      <w:r w:rsidRPr="005B7071">
        <w:rPr>
          <w:i/>
        </w:rPr>
        <w:t>Comanche Warriors, with White Flag, Receiving the Dragoons</w:t>
      </w:r>
      <w:r w:rsidRPr="005B7071">
        <w:t>, the left half of the composition is divi</w:t>
      </w:r>
      <w:r w:rsidRPr="00151CC9">
        <w:t xml:space="preserve">ded between a tall peak of the Wichita </w:t>
      </w:r>
      <w:r w:rsidR="006C5326">
        <w:t xml:space="preserve">mountains (the </w:t>
      </w:r>
      <w:r w:rsidRPr="00151CC9">
        <w:t>background</w:t>
      </w:r>
      <w:r w:rsidR="006C5326">
        <w:t>)</w:t>
      </w:r>
      <w:r w:rsidRPr="00151CC9">
        <w:t xml:space="preserve"> and the undulating green expanse of the prairie (mid-ground and foreground)</w:t>
      </w:r>
      <w:r w:rsidR="003F1102" w:rsidRPr="00151CC9">
        <w:t xml:space="preserve"> (fig. 2.</w:t>
      </w:r>
      <w:r w:rsidR="00546B23" w:rsidRPr="00151CC9">
        <w:t>3</w:t>
      </w:r>
      <w:r w:rsidR="003F1102" w:rsidRPr="00151CC9">
        <w:t>)</w:t>
      </w:r>
      <w:r w:rsidRPr="00151CC9">
        <w:t>. On the right, the moun</w:t>
      </w:r>
      <w:r w:rsidRPr="005B7071">
        <w:t>tains, characterized by a series of lower peaks offer a visual echo of encamped Comanche teepees. Comanche horsemen ride, fast and free, from a herd of wild horses toward the encampment. They join a single line of riders in the mid-ground headed toward the Dragoons. Nearer the Dragoons, several Comanche riders break into a disorganized sprint toward the American cavalry. Metaphorically, the Comanche race from their wild past (the horses) toward their uncertain future among wester</w:t>
      </w:r>
      <w:r w:rsidR="009E1D64" w:rsidRPr="005B7071">
        <w:t>n civilization (the Dragoons).</w:t>
      </w:r>
    </w:p>
    <w:p w14:paraId="632415D9" w14:textId="52240411" w:rsidR="00B55E1E" w:rsidRPr="005B7071" w:rsidRDefault="00957FF3" w:rsidP="00B55E1E">
      <w:pPr>
        <w:ind w:firstLine="720"/>
      </w:pPr>
      <w:r w:rsidRPr="005B7071">
        <w:t xml:space="preserve">Here, then, is a visual representation of two worlds colliding. The foreground is defined by the precise linear pattern made by the Dragoons marching in formation. The crisp lines and formal uniforms contrast with the Comanche riders and the soft undulations of the verdant prairie. In the second row of Dragoons, two soldiers hold out white flags. </w:t>
      </w:r>
      <w:r w:rsidRPr="005B7071">
        <w:rPr>
          <w:i/>
        </w:rPr>
        <w:t>Coma</w:t>
      </w:r>
      <w:r w:rsidRPr="00151CC9">
        <w:rPr>
          <w:i/>
        </w:rPr>
        <w:t>nchee Meeting the Dragoons</w:t>
      </w:r>
      <w:r w:rsidRPr="00151CC9">
        <w:t xml:space="preserve"> can be read as the second act of this drama</w:t>
      </w:r>
      <w:r w:rsidR="00546B23" w:rsidRPr="00151CC9">
        <w:t xml:space="preserve"> (fig. 2.4</w:t>
      </w:r>
      <w:r w:rsidR="003F1102" w:rsidRPr="00151CC9">
        <w:t>)</w:t>
      </w:r>
      <w:r w:rsidRPr="00151CC9">
        <w:t>. A Comanche horseman, Little Spaniard, is shown leading a charging line of Indians. He</w:t>
      </w:r>
      <w:r w:rsidRPr="005B7071">
        <w:t xml:space="preserve"> rears up on his white horse; his barely controlled forward movement and exaggerated gestures are met with mild surprise in Catlin’s group of three, emphasized by the backward movement of their horses.</w:t>
      </w:r>
      <w:r w:rsidR="0035388D">
        <w:rPr>
          <w:rStyle w:val="FootnoteReference"/>
        </w:rPr>
        <w:footnoteReference w:id="30"/>
      </w:r>
      <w:r w:rsidRPr="005B7071">
        <w:t xml:space="preserve"> Catlin</w:t>
      </w:r>
      <w:r w:rsidR="00B55E1E" w:rsidRPr="005B7071">
        <w:t xml:space="preserve"> got sick during the trip and so did not continue on to meet the Comanche. </w:t>
      </w:r>
      <w:r w:rsidR="005B4D76">
        <w:t xml:space="preserve">Working from reports made by </w:t>
      </w:r>
      <w:r w:rsidR="00B55E1E" w:rsidRPr="005B7071">
        <w:t xml:space="preserve">his assistant, the artist nevertheless positioned himself at the epicenter of the historic meeting. Catlin </w:t>
      </w:r>
      <w:r w:rsidR="005B4D76">
        <w:t xml:space="preserve">appears </w:t>
      </w:r>
      <w:r w:rsidR="00B55E1E" w:rsidRPr="005B7071">
        <w:t>closest to Little Spaniard, who proffers a white buffalo robe flag, confirming a peaceful encounter.</w:t>
      </w:r>
    </w:p>
    <w:p w14:paraId="0887744C" w14:textId="00D40BB3" w:rsidR="00957FF3" w:rsidRPr="005B7071" w:rsidRDefault="00957FF3" w:rsidP="00957FF3">
      <w:pPr>
        <w:ind w:firstLine="720"/>
      </w:pPr>
      <w:r w:rsidRPr="005B7071">
        <w:t xml:space="preserve">In </w:t>
      </w:r>
      <w:r w:rsidRPr="005B7071">
        <w:rPr>
          <w:i/>
        </w:rPr>
        <w:t>The Firs</w:t>
      </w:r>
      <w:r w:rsidRPr="00151CC9">
        <w:rPr>
          <w:i/>
        </w:rPr>
        <w:t>t Regiment of the U.S. Dragoons</w:t>
      </w:r>
      <w:r w:rsidRPr="00151CC9">
        <w:t>, the Comanche chase buffalo through the regimented lines of the Dragoons</w:t>
      </w:r>
      <w:r w:rsidR="00546B23" w:rsidRPr="00151CC9">
        <w:t xml:space="preserve"> (fig.2.5</w:t>
      </w:r>
      <w:r w:rsidR="003F1102" w:rsidRPr="00151CC9">
        <w:t>)</w:t>
      </w:r>
      <w:r w:rsidRPr="00151CC9">
        <w:t>. The image conveys an uneasy humor colored by</w:t>
      </w:r>
      <w:r w:rsidRPr="005B7071">
        <w:t xml:space="preserve"> very real danger. On the one hand, the painting offers the viewer a bit of fun, hi jinx on the high Plains. On the other, the Comanche, by breaking protocol and joining in the hunt, confirm how little the two sides really knew each other. Though long in contact and confrontation with the Spanish, the Comanche had had little contact with Americans. </w:t>
      </w:r>
      <w:r w:rsidRPr="005B7071">
        <w:rPr>
          <w:i/>
        </w:rPr>
        <w:t>The First Regiment of the U.S. Dragoons</w:t>
      </w:r>
      <w:r w:rsidRPr="005B7071">
        <w:t xml:space="preserve"> is a visual reminder of just how tenuous the situation was in Indian Territory in 1834. Considering the purpose of the meeting and the Comanche’s animosity toward both eastern Indians and to would-be foreign rulers, it is easy to read against the playful nature of the hunt and see instead a feint, a mock battle and a contest of wills and lifestyl</w:t>
      </w:r>
      <w:r w:rsidR="009E1D64" w:rsidRPr="005B7071">
        <w:t>es.</w:t>
      </w:r>
    </w:p>
    <w:p w14:paraId="4F8545E0" w14:textId="285985C2" w:rsidR="00957FF3" w:rsidRPr="005B7071" w:rsidRDefault="00957FF3" w:rsidP="00957FF3">
      <w:pPr>
        <w:ind w:firstLine="720"/>
      </w:pPr>
      <w:r w:rsidRPr="005B7071">
        <w:t>By the time John Mix Stanley traveled to the Indian Territory in 1842, much had changed since Catlin’s sojourn eight year earlier. Stanley arrived just a few years after the conclusion of the Cherokee Trail of Tears</w:t>
      </w:r>
      <w:r w:rsidR="005B4D76">
        <w:t xml:space="preserve">, </w:t>
      </w:r>
      <w:r w:rsidR="005B4D76" w:rsidRPr="005B7071">
        <w:t xml:space="preserve">a ruinous event in which as </w:t>
      </w:r>
      <w:r w:rsidR="005B4D76">
        <w:t>many as 6,000 Cherokee perished</w:t>
      </w:r>
      <w:r w:rsidRPr="005B7071">
        <w:t xml:space="preserve">. During this time, all inhabitants of the Territory - eastern transplants, western locals, and the U.S. military - were busy trying to make the best out of a bad situation. For the eastern Indians, this meant trying to re-establish the government, commerce, educational system, and tribal customs they had been forced to give up during the great migration west. Stanley seems to have sensed his fortuitous timing, because he stayed, on and off, in the Territory from 1842 to 1845, longer than any other non-native artist before or after him. During his time there, Stanley set up a portrait studio at Fort Gibson; traveled twice to the Texas border to meet and paint Comanche, Seneca, and Delaware representatives; painted portraits of Cherokee Principal Chief John </w:t>
      </w:r>
      <w:r w:rsidR="005E106C">
        <w:t xml:space="preserve">Ross </w:t>
      </w:r>
      <w:r w:rsidRPr="005B7071">
        <w:t>and family at Bayou Menard; and visited Creek settlements on the North Canadian River.</w:t>
      </w:r>
      <w:r w:rsidRPr="005B7071">
        <w:rPr>
          <w:rStyle w:val="FootnoteReference"/>
        </w:rPr>
        <w:footnoteReference w:id="31"/>
      </w:r>
      <w:r w:rsidRPr="005B7071">
        <w:t xml:space="preserve"> </w:t>
      </w:r>
    </w:p>
    <w:p w14:paraId="46D67A0A" w14:textId="3DFCA276" w:rsidR="00957FF3" w:rsidRPr="005B7071" w:rsidRDefault="00957FF3" w:rsidP="00957FF3">
      <w:pPr>
        <w:ind w:firstLine="720"/>
      </w:pPr>
      <w:r w:rsidRPr="005B7071">
        <w:t xml:space="preserve">Yet his most important painting was completed in Tahlequah, in June 1843. There he attended a grand council of tribes called by Cherokee Principal Chief John Ross. From this he painted </w:t>
      </w:r>
      <w:r w:rsidRPr="005B7071">
        <w:rPr>
          <w:i/>
        </w:rPr>
        <w:t xml:space="preserve">International Indian Council, (Held at </w:t>
      </w:r>
      <w:r w:rsidR="00746CFD" w:rsidRPr="005B7071">
        <w:rPr>
          <w:i/>
        </w:rPr>
        <w:t>Tahlequah</w:t>
      </w:r>
      <w:r w:rsidRPr="005B7071">
        <w:rPr>
          <w:i/>
        </w:rPr>
        <w:t>, Indian Territory, in 1843</w:t>
      </w:r>
      <w:r w:rsidRPr="005B7071">
        <w:t xml:space="preserve"> </w:t>
      </w:r>
      <w:r w:rsidR="00546B23" w:rsidRPr="00151CC9">
        <w:t>(fig. 2.6</w:t>
      </w:r>
      <w:r w:rsidR="00746CFD" w:rsidRPr="00151CC9">
        <w:t>)</w:t>
      </w:r>
      <w:r w:rsidRPr="00151CC9">
        <w:t>, the first political painting made in Indian Territory since Catlin’s Dragoon p</w:t>
      </w:r>
      <w:r w:rsidRPr="005B7071">
        <w:t>aintings a decade earlier. What was almost certainly a chaotic scene of hundreds of Indian delegates from more than a dozen tribes in a multitude of dress and poses crowded into a small area is made orderly through Stanley’s composition. The painting forces order from chaos, and visually dovetails closely with Ross’ goals.</w:t>
      </w:r>
    </w:p>
    <w:p w14:paraId="2D14BF67" w14:textId="75D0532E" w:rsidR="00957FF3" w:rsidRPr="005B7071" w:rsidRDefault="00957FF3" w:rsidP="00957FF3">
      <w:pPr>
        <w:ind w:firstLine="720"/>
      </w:pPr>
      <w:r w:rsidRPr="005B7071">
        <w:t xml:space="preserve">Stanley uses visual devices borrowed from the Renaissance to expand the appeal of the painting beyond reportage and into the realm of history painting. The painting is organized by the orthogonal lines of the roof, which provides </w:t>
      </w:r>
      <w:r w:rsidR="005B4D76">
        <w:t xml:space="preserve">a convenient </w:t>
      </w:r>
      <w:r w:rsidRPr="005B7071">
        <w:t xml:space="preserve">organizational conceit – an inverted, one-point linear perspective scheme. As the roof orthogonal lines converge toward a single vanishing point, the structure orders the space into foreground, mid-ground, and background. The space is further defined by three large bays supported by wooden posts. Each post terminates in triangular jousts or supports. While the orthogonal lines move the viewer’s eye toward the distance, the vertical supports stop this movement. The vertical support closest to the picture plane splits the structure into left and right halves. Standing erect in front of the central vertical support post is General Zachary Taylor, </w:t>
      </w:r>
      <w:r w:rsidR="00F227B4">
        <w:t xml:space="preserve">a </w:t>
      </w:r>
      <w:r w:rsidRPr="005B7071">
        <w:t>future president of the United States. John Ross, principle chief of the Cherokee and the man who called the grand council, sits directly to Taylor’s left, his characteristic blac</w:t>
      </w:r>
      <w:r w:rsidR="00151CC9">
        <w:t>k coat and bow tie in evidence.</w:t>
      </w:r>
    </w:p>
    <w:p w14:paraId="0FFFB03B" w14:textId="6275D8E0" w:rsidR="00957FF3" w:rsidRPr="005B7071" w:rsidRDefault="00957FF3" w:rsidP="00957FF3">
      <w:pPr>
        <w:ind w:firstLine="720"/>
      </w:pPr>
      <w:r w:rsidRPr="005B7071">
        <w:t xml:space="preserve">Other attendees, anonymous today, were clearly portraits made by Stanley and inserted into the complex scene. Portraits in the foreground give way to barely-defined masses further into the distance. By their dress, the Indians to the left represent western Plains Indians, while those on the right side represent eastern Indians. Taylor, the only American military or government official in evidence, is conspicuous by both his central location and by his status as an outsider. His dress, demeanor, posture, position and likeness mark him as the most important attendee. He stands </w:t>
      </w:r>
      <w:r w:rsidR="005B4D76">
        <w:t xml:space="preserve">confidently </w:t>
      </w:r>
      <w:r w:rsidRPr="005B7071">
        <w:t>at the center of the council and looks out toward the viewer. Ross echoes Taylor’s direct gaze, yet he is seated</w:t>
      </w:r>
      <w:r w:rsidR="00151CC9">
        <w:t>, subordinate to Taylor.</w:t>
      </w:r>
    </w:p>
    <w:p w14:paraId="5F188ACB" w14:textId="70E94B1A" w:rsidR="00957FF3" w:rsidRPr="005B7071" w:rsidRDefault="00957FF3" w:rsidP="00957FF3">
      <w:pPr>
        <w:ind w:firstLine="720"/>
      </w:pPr>
      <w:r w:rsidRPr="005B7071">
        <w:t xml:space="preserve">Overall, the painting reveals much about Ross’s political aspirations and his goals for hosting the grand council, while hinting that Indian Territory might be emerging from the chaos caused by forced migrations. Even so, Taylor’s presence underscores the tenuous nature of Indian self-governance and sovereignty. Called just three </w:t>
      </w:r>
      <w:r w:rsidR="00F227B4">
        <w:t xml:space="preserve">years after the end of the </w:t>
      </w:r>
      <w:r w:rsidRPr="005B7071">
        <w:t>Trail of Tears</w:t>
      </w:r>
      <w:r w:rsidR="005B4D76">
        <w:t xml:space="preserve">, </w:t>
      </w:r>
      <w:r w:rsidRPr="005B7071">
        <w:t>the council was called by Ross in an attempt to consolidate his political power. When Ross arrived in Indian Territory in 1839, he was greeted by several thousand Cherokee settlers who had been coerced to move west years earlier.</w:t>
      </w:r>
      <w:r w:rsidRPr="005B7071">
        <w:rPr>
          <w:rStyle w:val="FootnoteReference"/>
        </w:rPr>
        <w:footnoteReference w:id="32"/>
      </w:r>
      <w:r w:rsidRPr="005B7071">
        <w:t xml:space="preserve"> They had been established in Indian Territory for more than a decade by this point, and had their own leaders and their own ideas about how to move forward in Indian Territory; few old settlers felt any allegiance toward Ross. For his part, Ross realized his power was based in numbers; more than 10,000 Cherokee </w:t>
      </w:r>
      <w:r w:rsidR="009803B3">
        <w:t xml:space="preserve">had </w:t>
      </w:r>
      <w:r w:rsidRPr="005B7071">
        <w:t xml:space="preserve">arrived </w:t>
      </w:r>
      <w:r w:rsidR="009803B3">
        <w:t xml:space="preserve">from the east. </w:t>
      </w:r>
      <w:r w:rsidRPr="005B7071">
        <w:t>The new arrivals made up more than two thirds of the Cherokee population, and under the leadership of Ross they set out to reestablish the legal, governmental, and social institutions they knew from their homelands in the Southeast.  Ross’s effort met repeatedly with challenges from the old settlers; the council wa</w:t>
      </w:r>
      <w:r w:rsidR="009803B3">
        <w:t>s a very public effort on his</w:t>
      </w:r>
      <w:r w:rsidRPr="005B7071">
        <w:t xml:space="preserve"> part to demonstrate and consolidate power.</w:t>
      </w:r>
      <w:r w:rsidRPr="005B7071">
        <w:rPr>
          <w:rStyle w:val="FootnoteReference"/>
        </w:rPr>
        <w:t xml:space="preserve"> </w:t>
      </w:r>
      <w:r w:rsidRPr="005B7071">
        <w:rPr>
          <w:rStyle w:val="FootnoteReference"/>
        </w:rPr>
        <w:footnoteReference w:id="33"/>
      </w:r>
    </w:p>
    <w:p w14:paraId="4B9172E6" w14:textId="5D630628" w:rsidR="00957FF3" w:rsidRPr="005B7071" w:rsidRDefault="00957FF3" w:rsidP="00957FF3">
      <w:pPr>
        <w:ind w:firstLine="720"/>
      </w:pPr>
      <w:r w:rsidRPr="005B7071">
        <w:t xml:space="preserve">At the same time, Ross was trying to avoid a war with the Osage and other established western tribes, attempting to establish law and order in a chaotic time, </w:t>
      </w:r>
      <w:r w:rsidR="009803B3">
        <w:t xml:space="preserve">and </w:t>
      </w:r>
      <w:r w:rsidRPr="005B7071">
        <w:t>combating disease and poverty among his people</w:t>
      </w:r>
      <w:r w:rsidR="009803B3">
        <w:t xml:space="preserve">. He was also </w:t>
      </w:r>
      <w:r w:rsidRPr="005B7071">
        <w:t>battling the United States government for the political and territorial future of his tribe, and more broadly, for Indians throughout the Territory. Ross wanted to renegotiate treaties so that the Cherokee</w:t>
      </w:r>
      <w:r w:rsidR="00F227B4">
        <w:t xml:space="preserve"> could receive more money</w:t>
      </w:r>
      <w:r w:rsidR="009803B3">
        <w:t xml:space="preserve">, and he </w:t>
      </w:r>
      <w:r w:rsidRPr="005B7071">
        <w:t>argued for the removal of all U</w:t>
      </w:r>
      <w:r w:rsidR="009803B3">
        <w:t>.</w:t>
      </w:r>
      <w:r w:rsidRPr="005B7071">
        <w:t>S</w:t>
      </w:r>
      <w:r w:rsidR="009803B3">
        <w:t>.</w:t>
      </w:r>
      <w:r w:rsidRPr="005B7071">
        <w:t xml:space="preserve"> military from all Indian lands</w:t>
      </w:r>
      <w:r w:rsidR="00F227B4">
        <w:t xml:space="preserve"> because he u</w:t>
      </w:r>
      <w:r w:rsidRPr="005B7071">
        <w:t xml:space="preserve">nderstood that true sovereignty could not be achieved with a foreign military stationed throughout Indian Territory. In many respects, Stanley’s painting dovetails with Ross’s goals, so much so that it seems almost like propaganda. Yet Taylor’s presence, and </w:t>
      </w:r>
      <w:r w:rsidR="009803B3">
        <w:t xml:space="preserve">the chief’s </w:t>
      </w:r>
      <w:r w:rsidRPr="005B7071">
        <w:t xml:space="preserve">visual subjugation to Taylor, makes it clear what a difficult task lay ahead for the Indians in the Territory. While </w:t>
      </w:r>
      <w:r w:rsidRPr="005B7071">
        <w:rPr>
          <w:i/>
        </w:rPr>
        <w:t>International Indian Council</w:t>
      </w:r>
      <w:r w:rsidRPr="005B7071">
        <w:t xml:space="preserve"> presents orderliness unthinkable during Catlin’s visit, it also subtly undermines the progress to which it bears witness. Yet compared with Catlin’s Dragoon paintings of the previous decade, it is clear too that the tribes were working toward makin</w:t>
      </w:r>
      <w:r w:rsidR="009E1D64" w:rsidRPr="005B7071">
        <w:t>g life work in the Territory.</w:t>
      </w:r>
    </w:p>
    <w:p w14:paraId="25F1C3A3" w14:textId="56713F59" w:rsidR="00957FF3" w:rsidRPr="005B7071" w:rsidRDefault="003F1102" w:rsidP="00957FF3">
      <w:pPr>
        <w:pStyle w:val="Standard"/>
        <w:spacing w:line="480" w:lineRule="auto"/>
        <w:ind w:firstLine="720"/>
        <w:rPr>
          <w:b/>
        </w:rPr>
      </w:pPr>
      <w:r w:rsidRPr="005B7071">
        <w:rPr>
          <w:rFonts w:cs="Times New Roman"/>
        </w:rPr>
        <w:t>Ross c</w:t>
      </w:r>
      <w:r w:rsidR="00957FF3" w:rsidRPr="005B7071">
        <w:rPr>
          <w:rFonts w:cs="Times New Roman"/>
        </w:rPr>
        <w:t xml:space="preserve">learly understood the connection between power and imagery. Just 3 years after orchestrating the Tahlequah meeting, </w:t>
      </w:r>
      <w:r w:rsidR="009803B3">
        <w:rPr>
          <w:rFonts w:cs="Times New Roman"/>
        </w:rPr>
        <w:t xml:space="preserve">he </w:t>
      </w:r>
      <w:r w:rsidRPr="005B7071">
        <w:rPr>
          <w:rFonts w:cs="Times New Roman"/>
        </w:rPr>
        <w:t>had his portrait</w:t>
      </w:r>
      <w:r w:rsidR="009803B3">
        <w:rPr>
          <w:rFonts w:cs="Times New Roman"/>
        </w:rPr>
        <w:t xml:space="preserve"> painted</w:t>
      </w:r>
      <w:r w:rsidRPr="005B7071">
        <w:rPr>
          <w:rFonts w:cs="Times New Roman"/>
        </w:rPr>
        <w:t xml:space="preserve"> by John </w:t>
      </w:r>
      <w:r w:rsidRPr="00151CC9">
        <w:rPr>
          <w:rFonts w:cs="Times New Roman"/>
        </w:rPr>
        <w:t xml:space="preserve">Neagle </w:t>
      </w:r>
      <w:r w:rsidR="00546B23" w:rsidRPr="00151CC9">
        <w:rPr>
          <w:rFonts w:cs="Times New Roman"/>
        </w:rPr>
        <w:t>(f</w:t>
      </w:r>
      <w:r w:rsidR="00957FF3" w:rsidRPr="00151CC9">
        <w:rPr>
          <w:rFonts w:cs="Times New Roman"/>
        </w:rPr>
        <w:t xml:space="preserve">ig. </w:t>
      </w:r>
      <w:r w:rsidR="00546B23" w:rsidRPr="00151CC9">
        <w:rPr>
          <w:rFonts w:cs="Times New Roman"/>
        </w:rPr>
        <w:t>2.7</w:t>
      </w:r>
      <w:r w:rsidR="00746CFD" w:rsidRPr="00151CC9">
        <w:rPr>
          <w:rFonts w:cs="Times New Roman"/>
        </w:rPr>
        <w:t>)</w:t>
      </w:r>
      <w:r w:rsidRPr="00151CC9">
        <w:rPr>
          <w:rFonts w:cs="Times New Roman"/>
        </w:rPr>
        <w:t>.</w:t>
      </w:r>
      <w:r w:rsidR="009803B3">
        <w:rPr>
          <w:rFonts w:cs="Times New Roman"/>
        </w:rPr>
        <w:t xml:space="preserve"> </w:t>
      </w:r>
      <w:r w:rsidR="00957FF3" w:rsidRPr="00151CC9">
        <w:rPr>
          <w:rFonts w:cs="Times New Roman"/>
        </w:rPr>
        <w:t>Ross prominently holds the August 6, 1846 Treaty of Washington, which achieved many of the goals he had set for the Tahlequah m</w:t>
      </w:r>
      <w:r w:rsidR="00957FF3" w:rsidRPr="005B7071">
        <w:rPr>
          <w:rFonts w:cs="Times New Roman"/>
        </w:rPr>
        <w:t>eeting – it e</w:t>
      </w:r>
      <w:r w:rsidR="00957FF3" w:rsidRPr="005B7071">
        <w:rPr>
          <w:rFonts w:eastAsia="Times New Roman" w:cs="Arial"/>
          <w:color w:val="252525"/>
        </w:rPr>
        <w:t>nded the covert war between the various Cherokee factions and united the Old Settlers, the Treaty Party, and Ross’ National Party.</w:t>
      </w:r>
    </w:p>
    <w:p w14:paraId="46EB1523" w14:textId="77777777" w:rsidR="00957FF3" w:rsidRPr="005B7071" w:rsidRDefault="00957FF3" w:rsidP="00957FF3">
      <w:pPr>
        <w:pStyle w:val="Standard"/>
        <w:spacing w:line="480" w:lineRule="auto"/>
        <w:rPr>
          <w:b/>
        </w:rPr>
      </w:pPr>
    </w:p>
    <w:p w14:paraId="4396C026" w14:textId="77777777" w:rsidR="00957FF3" w:rsidRPr="005B7071" w:rsidRDefault="00957FF3" w:rsidP="00260473">
      <w:pPr>
        <w:jc w:val="center"/>
        <w:rPr>
          <w:b/>
        </w:rPr>
      </w:pPr>
      <w:r w:rsidRPr="005B7071">
        <w:rPr>
          <w:b/>
        </w:rPr>
        <w:t>The Making of Oklahoma: From the Civil War to the Boomers</w:t>
      </w:r>
    </w:p>
    <w:p w14:paraId="095642E1" w14:textId="50AA02E7" w:rsidR="00957FF3" w:rsidRPr="005B7071" w:rsidRDefault="00957FF3" w:rsidP="00957FF3">
      <w:pPr>
        <w:pStyle w:val="Standard"/>
        <w:spacing w:line="480" w:lineRule="auto"/>
        <w:ind w:firstLine="720"/>
      </w:pPr>
      <w:r w:rsidRPr="005B7071">
        <w:t xml:space="preserve">The 1840s and 1850s were a time of relative peace and calm in Indian Territory. Yet all was not </w:t>
      </w:r>
      <w:r w:rsidR="009803B3">
        <w:t>well, a</w:t>
      </w:r>
      <w:r w:rsidRPr="005B7071">
        <w:t xml:space="preserve">nd the 1860s would see sharp reversals for tribes throughout </w:t>
      </w:r>
      <w:r w:rsidR="009803B3">
        <w:t>America. Although invaders had</w:t>
      </w:r>
      <w:r w:rsidRPr="005B7071">
        <w:t xml:space="preserve"> been taking land from Indians since 1492, the trend accelerated sharply in the second half of the nineteenth century. At the conclusion of the Civil War in 1865, the United States government used the Confederate allegiance of some Indians living within Indian Territory as a pretext to force re-negotiations of several treaties from the 1830s, including the Treaty of New </w:t>
      </w:r>
      <w:r w:rsidRPr="005B7071">
        <w:rPr>
          <w:rFonts w:cs="Arial"/>
          <w:color w:val="222222"/>
          <w:shd w:val="clear" w:color="auto" w:fill="FFFFFF"/>
        </w:rPr>
        <w:t>Echota</w:t>
      </w:r>
      <w:r w:rsidRPr="005B7071">
        <w:t xml:space="preserve"> with the Cherokees. Such renegotiations between colonizers and the colonized reenact the asymmetry of power inherent to any colonial relationship; as </w:t>
      </w:r>
      <w:r w:rsidR="009803B3">
        <w:t xml:space="preserve">a result, </w:t>
      </w:r>
      <w:r w:rsidRPr="005B7071">
        <w:t>the colonized (Indians) tend</w:t>
      </w:r>
      <w:r w:rsidR="009803B3">
        <w:t>ed</w:t>
      </w:r>
      <w:r w:rsidRPr="005B7071">
        <w:t xml:space="preserve"> to view forced renegotiations of treaties as invalid and unjust, while the colonizers (non-Indians) tend</w:t>
      </w:r>
      <w:r w:rsidR="009803B3">
        <w:t>ed</w:t>
      </w:r>
      <w:r w:rsidRPr="005B7071">
        <w:t xml:space="preserve"> to return to these negotiations for moral and legal justification for taking land. These forced renegotiations set the stage for the formation of the state of Oklahoma. The lands ceded by the Creeks and Seminoles after the Civil War became the Unassigned Lands, nearly two million acres encompassing and centered on modern-day Oklahoma City; the ceded lands of the Cherokees became the Cherokee Outlet, i.e., the pan</w:t>
      </w:r>
      <w:r w:rsidR="009E1D64" w:rsidRPr="005B7071">
        <w:t>handle of present-day Oklahoma.</w:t>
      </w:r>
    </w:p>
    <w:p w14:paraId="4D5079BE" w14:textId="3F9D0574" w:rsidR="00957FF3" w:rsidRPr="005B7071" w:rsidRDefault="00957FF3" w:rsidP="00957FF3">
      <w:pPr>
        <w:pStyle w:val="Standard"/>
        <w:spacing w:line="480" w:lineRule="auto"/>
        <w:ind w:firstLine="720"/>
      </w:pPr>
      <w:r w:rsidRPr="005B7071">
        <w:t>The coercive efforts by the United States to take millions of acres from Creek, Seminole, and Cherokee Indians were part of a trend. In 1862, Congress passed the Homestead Act, which allowed certain ci</w:t>
      </w:r>
      <w:r w:rsidR="00E703B6">
        <w:t xml:space="preserve">tizens to get freehold title to </w:t>
      </w:r>
      <w:r w:rsidRPr="005B7071">
        <w:t>160 acres of land, virtually for free, mostly in the</w:t>
      </w:r>
      <w:r w:rsidR="00E703B6">
        <w:t xml:space="preserve"> Mid-West and </w:t>
      </w:r>
      <w:r w:rsidRPr="005B7071">
        <w:t xml:space="preserve">West. </w:t>
      </w:r>
      <w:r w:rsidR="00E703B6">
        <w:t>T</w:t>
      </w:r>
      <w:r w:rsidRPr="005B7071">
        <w:t>ribal members, who were not granted universal United States citizenship until 1924, were excluded. By the 1870s, however, much of the most desirable</w:t>
      </w:r>
      <w:r w:rsidR="00F227B4">
        <w:t xml:space="preserve"> </w:t>
      </w:r>
      <w:r w:rsidRPr="005B7071">
        <w:t>land was gone, taken either by homesteaders, or more often, bought and resold at a profit by land speculators. Would-be settlers had been agitating for the United States government to open up the Unassigned Lands to colonization since shortly after the end of the Civil War. Yet the imminent closing of the frontier, anticipated since the early 1870s and seen as imminent by many in the 1880s, intensified efforts by some to force the government’s hand in the matter.</w:t>
      </w:r>
      <w:r w:rsidRPr="005B7071">
        <w:rPr>
          <w:rStyle w:val="FootnoteReference"/>
        </w:rPr>
        <w:footnoteReference w:id="34"/>
      </w:r>
    </w:p>
    <w:p w14:paraId="18947B33" w14:textId="2253DE0C" w:rsidR="00F227B4" w:rsidRDefault="00957FF3" w:rsidP="00957FF3">
      <w:pPr>
        <w:pStyle w:val="Standard"/>
        <w:spacing w:line="480" w:lineRule="auto"/>
        <w:ind w:firstLine="720"/>
      </w:pPr>
      <w:r w:rsidRPr="005B7071">
        <w:t>Around 1880, the most visible and vocal pro-settlemen</w:t>
      </w:r>
      <w:r w:rsidR="00F227B4">
        <w:t>t advocates earned the moniker “</w:t>
      </w:r>
      <w:r w:rsidRPr="005B7071">
        <w:t>Boomers</w:t>
      </w:r>
      <w:r w:rsidR="00F227B4">
        <w:t>”</w:t>
      </w:r>
      <w:r w:rsidRPr="005B7071">
        <w:t xml:space="preserve"> for the land boom they anticipated when the Unassigned Lands opened for non-Indian settlement. Boomers tended to call the Unassigned Lands Oklahoma, a term derived </w:t>
      </w:r>
      <w:r w:rsidR="00F227B4">
        <w:t xml:space="preserve">from two Choctaw words meaning </w:t>
      </w:r>
      <w:r w:rsidRPr="00F227B4">
        <w:rPr>
          <w:i/>
        </w:rPr>
        <w:t>red people</w:t>
      </w:r>
      <w:r w:rsidRPr="005B7071">
        <w:t xml:space="preserve">. From 1879 until 1884, Colonel David Payne (1836-1884), the infamous Boomer leader, headed up three separate incursions into the Unassigned Lands in an effort to create the first permanent non-Indian civilian settlement within the borders of Indian Territory. </w:t>
      </w:r>
      <w:r w:rsidR="00F227B4">
        <w:t xml:space="preserve">Many of the </w:t>
      </w:r>
      <w:r w:rsidR="00F227B4" w:rsidRPr="008B6C93">
        <w:t>Boomer venture</w:t>
      </w:r>
      <w:r w:rsidR="00F227B4">
        <w:t>s were poorly planned and executed, and often ended in disgrace for the Boomers and their leader. One incursion, i</w:t>
      </w:r>
      <w:r w:rsidR="00F227B4" w:rsidRPr="008B6C93">
        <w:t>nto Rock Falls in the Cherokee Outlet</w:t>
      </w:r>
      <w:r w:rsidR="00F227B4">
        <w:t xml:space="preserve">, was particularly </w:t>
      </w:r>
      <w:r w:rsidR="00F227B4" w:rsidRPr="008B6C93">
        <w:t>disastrous for Payne. After burning his buildings and confiscating his printing press, the U</w:t>
      </w:r>
      <w:r w:rsidR="00E703B6">
        <w:t>.</w:t>
      </w:r>
      <w:r w:rsidR="00F227B4" w:rsidRPr="008B6C93">
        <w:t>S</w:t>
      </w:r>
      <w:r w:rsidR="00E703B6">
        <w:t>.</w:t>
      </w:r>
      <w:r w:rsidR="00F227B4" w:rsidRPr="008B6C93">
        <w:t xml:space="preserve"> Army took him and his followers on a punishing wagon journey overland to Fort Smith. On the way, Payne and his men were paraded through the streets of Tahlequah, capitol of the Cherokee </w:t>
      </w:r>
      <w:r w:rsidR="00E703B6">
        <w:t>Nation.</w:t>
      </w:r>
    </w:p>
    <w:p w14:paraId="235B5D38" w14:textId="03EADD25" w:rsidR="00957FF3" w:rsidRPr="005B7071" w:rsidRDefault="00957FF3" w:rsidP="00957FF3">
      <w:pPr>
        <w:pStyle w:val="Standard"/>
        <w:spacing w:line="480" w:lineRule="auto"/>
        <w:ind w:firstLine="720"/>
      </w:pPr>
      <w:r w:rsidRPr="005B7071">
        <w:t>After Payne’s death, from 1884 until 1889, William L. Couch (1850-1890), Payne’s top lieutenant, led four more incursions into the Unassigned Lands. In each instance, the U</w:t>
      </w:r>
      <w:r w:rsidR="00E703B6">
        <w:t>.</w:t>
      </w:r>
      <w:r w:rsidRPr="005B7071">
        <w:t>S</w:t>
      </w:r>
      <w:r w:rsidR="00E703B6">
        <w:t>.</w:t>
      </w:r>
      <w:r w:rsidRPr="005B7071">
        <w:t xml:space="preserve"> cavalry rounded up the Boomers and their followers, imprisoned them briefly, and returned them to non-Indian lands.</w:t>
      </w:r>
      <w:r w:rsidRPr="005B7071">
        <w:rPr>
          <w:rStyle w:val="FootnoteReference"/>
        </w:rPr>
        <w:footnoteReference w:id="35"/>
      </w:r>
      <w:r w:rsidRPr="005B7071">
        <w:t xml:space="preserve"> Finally, in 1889, two events tilted the field forever toward non-Indian settlement of the Unassigned Lands and, eventually, the rest of Indian Territory. First, the </w:t>
      </w:r>
      <w:r w:rsidR="00E7417C">
        <w:t>U.S. government</w:t>
      </w:r>
      <w:r w:rsidRPr="005B7071">
        <w:t xml:space="preserve"> persuaded the Creek</w:t>
      </w:r>
      <w:r w:rsidR="00E703B6">
        <w:t>s</w:t>
      </w:r>
      <w:r w:rsidRPr="005B7071">
        <w:t xml:space="preserve"> </w:t>
      </w:r>
      <w:r w:rsidR="00E703B6">
        <w:t>t</w:t>
      </w:r>
      <w:r w:rsidRPr="005B7071">
        <w:t>o release their claim on the Unassigned Lands in exchange for $2,225,000. Second, the U</w:t>
      </w:r>
      <w:r w:rsidR="00E703B6">
        <w:t>.</w:t>
      </w:r>
      <w:r w:rsidRPr="005B7071">
        <w:t>S</w:t>
      </w:r>
      <w:r w:rsidR="00E703B6">
        <w:t>.</w:t>
      </w:r>
      <w:r w:rsidRPr="005B7071">
        <w:t xml:space="preserve"> Congress passed the Springer Amendment, which began the process of placing the Unassigned Lands within the federal public domain and open to homesteaders.</w:t>
      </w:r>
      <w:r w:rsidRPr="005B7071">
        <w:rPr>
          <w:rStyle w:val="FootnoteReference"/>
        </w:rPr>
        <w:footnoteReference w:id="36"/>
      </w:r>
      <w:r w:rsidRPr="005B7071">
        <w:t xml:space="preserve"> At 12 noon on April 22, 1889, the first Oklahoma Land Rush commenced.</w:t>
      </w:r>
    </w:p>
    <w:p w14:paraId="0313F61A" w14:textId="2BBD7D27" w:rsidR="00957FF3" w:rsidRPr="005B7071" w:rsidRDefault="00957FF3" w:rsidP="008B5EDD">
      <w:pPr>
        <w:pStyle w:val="Standard"/>
        <w:spacing w:line="480" w:lineRule="auto"/>
        <w:ind w:firstLine="720"/>
      </w:pPr>
      <w:r w:rsidRPr="005B7071">
        <w:t>In 1890, the Organic Act incorporated the Unassigned Lands into the newly-formed Oklahoma Territory. Between 18</w:t>
      </w:r>
      <w:r w:rsidR="00E703B6">
        <w:t>89 and 1893, white settlers laid claim to</w:t>
      </w:r>
      <w:r w:rsidRPr="005B7071">
        <w:t>, under the auspices of the United States government, more than nine million acres of Indian lands in five separate land runs. These millions of acres were incorporated into Oklahoma Territory, which came to occupy roughly the western half of what had been a much larger Indian Territory. Beginning in 1887 and accelerating throughout the 1890s, U.S. agents, through the General Land Use Act (Dawes Act), brought allotment</w:t>
      </w:r>
      <w:r w:rsidR="006B3C93">
        <w:t xml:space="preserve"> to Indian lands, and eventually, to </w:t>
      </w:r>
      <w:r w:rsidR="006B3C93" w:rsidRPr="005B7071">
        <w:t>Indian Territory</w:t>
      </w:r>
      <w:r w:rsidR="006B3C93">
        <w:t xml:space="preserve">. Allotment, a government policy that compromised </w:t>
      </w:r>
      <w:r w:rsidR="006B3C93" w:rsidRPr="005B7071">
        <w:t>native sovereignty</w:t>
      </w:r>
      <w:r w:rsidR="006B3C93">
        <w:t xml:space="preserve"> by outlawing communal landownership and coercing Indians into accepting individual land grants and ceding extra land to white settlers, had the effect of destroying Indian Territory, which eventually </w:t>
      </w:r>
      <w:r w:rsidRPr="005B7071">
        <w:t xml:space="preserve">disappeared </w:t>
      </w:r>
      <w:r w:rsidR="008B5EDD">
        <w:t xml:space="preserve">in 1907, </w:t>
      </w:r>
      <w:r w:rsidRPr="005B7071">
        <w:t xml:space="preserve">subsumed, along with Oklahoma Territory, </w:t>
      </w:r>
      <w:r w:rsidR="009E1D64" w:rsidRPr="005B7071">
        <w:t>into the state of Oklahoma.</w:t>
      </w:r>
      <w:r w:rsidR="00EA4769">
        <w:rPr>
          <w:rStyle w:val="FootnoteReference"/>
        </w:rPr>
        <w:footnoteReference w:id="37"/>
      </w:r>
    </w:p>
    <w:p w14:paraId="2FD5053C" w14:textId="496521F6" w:rsidR="00957FF3" w:rsidRPr="005B7071" w:rsidRDefault="00957FF3" w:rsidP="00957FF3">
      <w:pPr>
        <w:pStyle w:val="Standard"/>
        <w:spacing w:line="480" w:lineRule="auto"/>
        <w:ind w:firstLine="720"/>
      </w:pPr>
      <w:r w:rsidRPr="005B7071">
        <w:t xml:space="preserve">The mainstream media largely supported the efforts of colonists. </w:t>
      </w:r>
      <w:r w:rsidR="004A689A">
        <w:t>I</w:t>
      </w:r>
      <w:r w:rsidRPr="005B7071">
        <w:t xml:space="preserve">n the May 18 1889 issue of </w:t>
      </w:r>
      <w:r w:rsidRPr="005B7071">
        <w:rPr>
          <w:i/>
        </w:rPr>
        <w:t>Harper’s Weekly</w:t>
      </w:r>
      <w:r w:rsidRPr="005B7071">
        <w:t>, William Willard Howard described the rush and the conquered land in glowing terms in a l</w:t>
      </w:r>
      <w:r w:rsidR="008B5EDD">
        <w:t xml:space="preserve">avishly </w:t>
      </w:r>
      <w:r w:rsidRPr="005B7071">
        <w:t>illustrated four-page feature articl</w:t>
      </w:r>
      <w:r w:rsidR="004A689A">
        <w:t>e. The land consisted of “</w:t>
      </w:r>
      <w:r w:rsidRPr="005B7071">
        <w:t>rolling, grassy uplands and . . . wooded river-bottoms,” as well as trees “bursting into the most beautiful foliage of early spring,” and “apple orchards set in fertile meadows.” Beyond purple prose, Howard saw a deeper significa</w:t>
      </w:r>
      <w:r w:rsidR="008B5EDD">
        <w:t>nce to the land run; the “</w:t>
      </w:r>
      <w:r w:rsidRPr="005B7071">
        <w:t>rush across the border at noon on the opening day must go down in history as one of the most noteworthy events of Western civilization.” Howard understood the Unassigned Lands to be part of Indian Territory. Indeed, this was part of the appeal of the Land Run. With the run, “The last barrier of savagery in the United States was broken down.”</w:t>
      </w:r>
      <w:r w:rsidRPr="005B7071">
        <w:rPr>
          <w:rStyle w:val="FootnoteReference"/>
        </w:rPr>
        <w:footnoteReference w:id="38"/>
      </w:r>
    </w:p>
    <w:p w14:paraId="1A3694B6" w14:textId="284E2F5C" w:rsidR="00957FF3" w:rsidRPr="005B7071" w:rsidRDefault="00957FF3" w:rsidP="00957FF3">
      <w:pPr>
        <w:pStyle w:val="Standard"/>
        <w:spacing w:line="480" w:lineRule="auto"/>
        <w:ind w:firstLine="720"/>
      </w:pPr>
      <w:r w:rsidRPr="005B7071">
        <w:t>Yet Howard’s account of Oklahoma as a lush, verdant, and fertile does not square with the verdict passed by earlier writers and travelers through the region.</w:t>
      </w:r>
      <w:r w:rsidRPr="005B7071">
        <w:rPr>
          <w:rStyle w:val="FootnoteReference"/>
        </w:rPr>
        <w:footnoteReference w:id="39"/>
      </w:r>
      <w:r w:rsidRPr="005B7071">
        <w:t xml:space="preserve"> Major Stephen Long, whose party travelled </w:t>
      </w:r>
      <w:r w:rsidR="008B5EDD">
        <w:t>briefly through Oklahoma in 1820</w:t>
      </w:r>
      <w:r w:rsidRPr="005B7071">
        <w:t>, produced a map that labeled the area as the Great American Desert.</w:t>
      </w:r>
      <w:r w:rsidRPr="005B7071">
        <w:rPr>
          <w:rStyle w:val="FootnoteReference"/>
        </w:rPr>
        <w:footnoteReference w:id="40"/>
      </w:r>
      <w:r w:rsidRPr="005B7071">
        <w:t xml:space="preserve"> Time, a perceived limited supply of free land, and an explosion in travel writing all helped change the national conversation around the destiny of Indian Territory. </w:t>
      </w:r>
    </w:p>
    <w:p w14:paraId="3AF3C04A" w14:textId="77777777" w:rsidR="00957FF3" w:rsidRPr="005B7071" w:rsidRDefault="00957FF3" w:rsidP="00957FF3">
      <w:pPr>
        <w:pStyle w:val="Standard"/>
        <w:spacing w:line="480" w:lineRule="auto"/>
        <w:ind w:firstLine="720"/>
      </w:pPr>
    </w:p>
    <w:p w14:paraId="3424BD3C" w14:textId="48B5B1AF" w:rsidR="00957FF3" w:rsidRPr="005B7071" w:rsidRDefault="00957FF3" w:rsidP="00260473">
      <w:pPr>
        <w:jc w:val="center"/>
        <w:rPr>
          <w:b/>
          <w:i/>
        </w:rPr>
      </w:pPr>
      <w:r w:rsidRPr="005B7071">
        <w:rPr>
          <w:b/>
          <w:i/>
        </w:rPr>
        <w:t>The Great South</w:t>
      </w:r>
      <w:r w:rsidRPr="005B7071">
        <w:rPr>
          <w:b/>
        </w:rPr>
        <w:t>: Indian Territory &amp; the Beginning of Intra-Colonial Aesthetic</w:t>
      </w:r>
    </w:p>
    <w:p w14:paraId="007C8549" w14:textId="768C091D" w:rsidR="00957FF3" w:rsidRPr="005B7071" w:rsidRDefault="00957FF3" w:rsidP="00957FF3">
      <w:pPr>
        <w:pStyle w:val="Standard"/>
        <w:spacing w:line="480" w:lineRule="auto"/>
        <w:ind w:firstLine="720"/>
        <w:rPr>
          <w:rFonts w:eastAsia="Times New Roman"/>
        </w:rPr>
      </w:pPr>
      <w:r w:rsidRPr="005B7071">
        <w:t xml:space="preserve">After the Civil War, many authors and artists traveled to the former Confederate states to provide local color of the Reconstruction South to Northern and European readers. In 1875, Edward King published images of the Indian Territory in the sprawling travelogue </w:t>
      </w:r>
      <w:r w:rsidRPr="005B7071">
        <w:rPr>
          <w:i/>
        </w:rPr>
        <w:t xml:space="preserve">The Great South: A Record of Journeys in Louisiana, Texas, Indian Territory, Missouri, Arkansas, Mississippi, Alabama, Georgia, Florida, South Carolina, North Carolina, Kentucky, Tennessee, Virginia, West Virginia, and Maryland. </w:t>
      </w:r>
      <w:r w:rsidRPr="005B7071">
        <w:t xml:space="preserve">(hereafter </w:t>
      </w:r>
      <w:r w:rsidRPr="005B7071">
        <w:rPr>
          <w:i/>
        </w:rPr>
        <w:t>The Great South</w:t>
      </w:r>
      <w:r w:rsidRPr="005B7071">
        <w:t xml:space="preserve">). King’s travelogue was financed by </w:t>
      </w:r>
      <w:r w:rsidRPr="005B7071">
        <w:rPr>
          <w:rFonts w:eastAsia="Times New Roman"/>
          <w:i/>
        </w:rPr>
        <w:t>Scribner’s</w:t>
      </w:r>
      <w:r w:rsidRPr="005B7071">
        <w:rPr>
          <w:rFonts w:eastAsia="Times New Roman"/>
        </w:rPr>
        <w:t xml:space="preserve"> </w:t>
      </w:r>
      <w:r w:rsidRPr="005B7071">
        <w:rPr>
          <w:rFonts w:eastAsia="Times New Roman"/>
          <w:i/>
        </w:rPr>
        <w:t>Monthly</w:t>
      </w:r>
      <w:r w:rsidRPr="005B7071">
        <w:rPr>
          <w:rFonts w:eastAsia="Times New Roman"/>
        </w:rPr>
        <w:t xml:space="preserve"> magazine editor Josiah Gilbert Holland. In Holland’s employ, King travel thousands of miles across the South</w:t>
      </w:r>
      <w:r w:rsidR="008B5EDD" w:rsidRPr="005B7071">
        <w:rPr>
          <w:rFonts w:eastAsia="Times New Roman"/>
        </w:rPr>
        <w:t>, over a two-and-a-half-year period</w:t>
      </w:r>
      <w:r w:rsidRPr="005B7071">
        <w:rPr>
          <w:rFonts w:eastAsia="Times New Roman"/>
        </w:rPr>
        <w:t>, from 1873 to 1875. The product of this travel</w:t>
      </w:r>
      <w:r w:rsidR="00111711">
        <w:rPr>
          <w:rFonts w:eastAsia="Times New Roman"/>
        </w:rPr>
        <w:t>,</w:t>
      </w:r>
      <w:r w:rsidRPr="005B7071">
        <w:rPr>
          <w:rFonts w:eastAsia="Times New Roman"/>
        </w:rPr>
        <w:t xml:space="preserve"> a series of articles published in </w:t>
      </w:r>
      <w:r w:rsidRPr="005B7071">
        <w:rPr>
          <w:rFonts w:eastAsia="Times New Roman"/>
          <w:i/>
        </w:rPr>
        <w:t>Scribner’s</w:t>
      </w:r>
      <w:r w:rsidR="00111711">
        <w:rPr>
          <w:rFonts w:eastAsia="Times New Roman"/>
        </w:rPr>
        <w:t xml:space="preserve">, </w:t>
      </w:r>
      <w:r w:rsidRPr="005B7071">
        <w:rPr>
          <w:rFonts w:eastAsia="Times New Roman"/>
        </w:rPr>
        <w:t xml:space="preserve">proved popular, and Holland further capitalized on King’s efforts by collecting and publishing the articles in book form. The articles, and subsequently the book, were illustrated by over 500 wood engravings based on the drawings of James Wells Champney, a New England-based artist who </w:t>
      </w:r>
      <w:r w:rsidR="00111711">
        <w:rPr>
          <w:rFonts w:eastAsia="Times New Roman"/>
        </w:rPr>
        <w:t>had accompanied</w:t>
      </w:r>
      <w:r w:rsidRPr="005B7071">
        <w:rPr>
          <w:rFonts w:eastAsia="Times New Roman"/>
        </w:rPr>
        <w:t xml:space="preserve"> the King expedition.</w:t>
      </w:r>
      <w:r w:rsidRPr="005B7071">
        <w:rPr>
          <w:rStyle w:val="FootnoteReference"/>
          <w:rFonts w:eastAsia="Times New Roman"/>
        </w:rPr>
        <w:footnoteReference w:id="41"/>
      </w:r>
    </w:p>
    <w:p w14:paraId="4411F6DE" w14:textId="1EFBF285" w:rsidR="00957FF3" w:rsidRPr="005B7071" w:rsidRDefault="00957FF3" w:rsidP="00957FF3">
      <w:pPr>
        <w:pStyle w:val="Standard"/>
        <w:spacing w:line="480" w:lineRule="auto"/>
        <w:ind w:firstLine="720"/>
        <w:rPr>
          <w:rFonts w:eastAsia="Times New Roman"/>
        </w:rPr>
      </w:pPr>
      <w:r w:rsidRPr="005B7071">
        <w:rPr>
          <w:rFonts w:eastAsia="Times New Roman"/>
          <w:i/>
        </w:rPr>
        <w:t>The Great South</w:t>
      </w:r>
      <w:r w:rsidRPr="005B7071">
        <w:rPr>
          <w:rFonts w:eastAsia="Times New Roman"/>
        </w:rPr>
        <w:t xml:space="preserve"> is part of a long tradition of travel writing, a genre problematized in recent scholarship. While King’s first two travelogue books, </w:t>
      </w:r>
      <w:r w:rsidRPr="005B7071">
        <w:rPr>
          <w:rFonts w:eastAsia="Times New Roman"/>
          <w:i/>
        </w:rPr>
        <w:t>My Paris: French Character Sketches</w:t>
      </w:r>
      <w:r w:rsidRPr="005B7071">
        <w:rPr>
          <w:rFonts w:eastAsia="Times New Roman"/>
        </w:rPr>
        <w:t xml:space="preserve"> (1868) and </w:t>
      </w:r>
      <w:r w:rsidRPr="005B7071">
        <w:rPr>
          <w:rFonts w:eastAsia="Times New Roman"/>
          <w:i/>
        </w:rPr>
        <w:t>Kentucky’s Love; or Roughing It Around Paris</w:t>
      </w:r>
      <w:r w:rsidRPr="005B7071">
        <w:rPr>
          <w:rFonts w:eastAsia="Times New Roman"/>
        </w:rPr>
        <w:t xml:space="preserve"> (1873), indulged American’s tastes for all things French, </w:t>
      </w:r>
      <w:r w:rsidRPr="005B7071">
        <w:rPr>
          <w:rFonts w:eastAsia="Times New Roman"/>
          <w:i/>
        </w:rPr>
        <w:t>The New South</w:t>
      </w:r>
      <w:r w:rsidRPr="005B7071">
        <w:rPr>
          <w:rFonts w:eastAsia="Times New Roman"/>
        </w:rPr>
        <w:t xml:space="preserve"> parallel</w:t>
      </w:r>
      <w:r w:rsidR="00111711">
        <w:rPr>
          <w:rFonts w:eastAsia="Times New Roman"/>
        </w:rPr>
        <w:t>ed</w:t>
      </w:r>
      <w:r w:rsidRPr="005B7071">
        <w:rPr>
          <w:rFonts w:eastAsia="Times New Roman"/>
        </w:rPr>
        <w:t xml:space="preserve"> and chronicle</w:t>
      </w:r>
      <w:r w:rsidR="00111711">
        <w:rPr>
          <w:rFonts w:eastAsia="Times New Roman"/>
        </w:rPr>
        <w:t>d</w:t>
      </w:r>
      <w:r w:rsidRPr="005B7071">
        <w:rPr>
          <w:rFonts w:eastAsia="Times New Roman"/>
        </w:rPr>
        <w:t xml:space="preserve"> the broader American colonialist enterprises</w:t>
      </w:r>
      <w:r w:rsidR="00111711">
        <w:rPr>
          <w:rFonts w:eastAsia="Times New Roman"/>
        </w:rPr>
        <w:t>, and equated</w:t>
      </w:r>
      <w:r w:rsidR="00E64DF5">
        <w:rPr>
          <w:rFonts w:eastAsia="Times New Roman"/>
        </w:rPr>
        <w:t xml:space="preserve"> the Reconstruction South with European colonialism</w:t>
      </w:r>
      <w:r w:rsidRPr="005B7071">
        <w:rPr>
          <w:rFonts w:eastAsia="Times New Roman"/>
        </w:rPr>
        <w:t>.</w:t>
      </w:r>
      <w:r w:rsidR="00E64DF5">
        <w:rPr>
          <w:rStyle w:val="FootnoteReference"/>
          <w:rFonts w:eastAsia="Times New Roman"/>
        </w:rPr>
        <w:footnoteReference w:id="42"/>
      </w:r>
    </w:p>
    <w:p w14:paraId="00388915" w14:textId="753D236B" w:rsidR="00957FF3" w:rsidRPr="00151CC9" w:rsidRDefault="00957FF3" w:rsidP="00957FF3">
      <w:pPr>
        <w:pStyle w:val="Standard"/>
        <w:spacing w:line="480" w:lineRule="auto"/>
        <w:ind w:firstLine="720"/>
      </w:pPr>
      <w:r w:rsidRPr="005B7071">
        <w:rPr>
          <w:i/>
        </w:rPr>
        <w:t>The Great South</w:t>
      </w:r>
      <w:r w:rsidRPr="005B7071">
        <w:t xml:space="preserve"> includes 17 images drawn by Champney of Indian Territory. Unlike the earlier images by Catlin and Stanley, </w:t>
      </w:r>
      <w:r w:rsidRPr="005B7071">
        <w:rPr>
          <w:i/>
        </w:rPr>
        <w:t>The Great South</w:t>
      </w:r>
      <w:r w:rsidRPr="005B7071">
        <w:t xml:space="preserve"> ma</w:t>
      </w:r>
      <w:r w:rsidR="00111711">
        <w:t xml:space="preserve">de </w:t>
      </w:r>
      <w:r w:rsidRPr="005B7071">
        <w:t xml:space="preserve">no secret of colonial desire. </w:t>
      </w:r>
      <w:r w:rsidRPr="005B7071">
        <w:rPr>
          <w:bCs/>
          <w:iCs/>
        </w:rPr>
        <w:t xml:space="preserve">In </w:t>
      </w:r>
      <w:r w:rsidRPr="005B7071">
        <w:rPr>
          <w:bCs/>
          <w:i/>
          <w:iCs/>
        </w:rPr>
        <w:t>An Indian Territorial Mansion</w:t>
      </w:r>
      <w:r w:rsidRPr="005B7071">
        <w:rPr>
          <w:bCs/>
          <w:iCs/>
        </w:rPr>
        <w:t>,</w:t>
      </w:r>
      <w:r w:rsidR="00CB19DE" w:rsidRPr="005B7071">
        <w:rPr>
          <w:bCs/>
          <w:iCs/>
        </w:rPr>
        <w:t xml:space="preserve"> </w:t>
      </w:r>
      <w:r w:rsidRPr="005B7071">
        <w:rPr>
          <w:bCs/>
          <w:iCs/>
        </w:rPr>
        <w:t>a t</w:t>
      </w:r>
      <w:r w:rsidRPr="005B7071">
        <w:t>ree stump and axe suggest that the man in the foreground has singlehandedly constructed his own piece of civilizatio</w:t>
      </w:r>
      <w:r w:rsidRPr="00151CC9">
        <w:t>n from the wilderness</w:t>
      </w:r>
      <w:r w:rsidR="003F1102" w:rsidRPr="00151CC9">
        <w:t xml:space="preserve"> </w:t>
      </w:r>
      <w:r w:rsidR="00546B23" w:rsidRPr="00151CC9">
        <w:rPr>
          <w:bCs/>
          <w:iCs/>
        </w:rPr>
        <w:t>(fig. 2.8</w:t>
      </w:r>
      <w:r w:rsidR="003F1102" w:rsidRPr="00151CC9">
        <w:rPr>
          <w:bCs/>
          <w:iCs/>
        </w:rPr>
        <w:t>)</w:t>
      </w:r>
      <w:r w:rsidRPr="00151CC9">
        <w:t>. T</w:t>
      </w:r>
      <w:r w:rsidRPr="00151CC9">
        <w:rPr>
          <w:bCs/>
          <w:iCs/>
        </w:rPr>
        <w:t xml:space="preserve">he small, primitive log cabin in the foreground is dwarfed by the vast </w:t>
      </w:r>
      <w:r w:rsidRPr="00151CC9">
        <w:t xml:space="preserve">prairieland stretching out </w:t>
      </w:r>
      <w:r w:rsidR="00111711">
        <w:t xml:space="preserve">into the </w:t>
      </w:r>
      <w:r w:rsidRPr="00151CC9">
        <w:t>right distance. The message is clear - with an axe and a strong back, any white settler could remake a corner of this wild land into their own ranch or farm. Nothing interrupts this agricultural fantasy of rugged American individualism.</w:t>
      </w:r>
      <w:r w:rsidR="005975DA">
        <w:rPr>
          <w:rStyle w:val="FootnoteReference"/>
        </w:rPr>
        <w:footnoteReference w:id="43"/>
      </w:r>
      <w:r w:rsidRPr="00151CC9">
        <w:t xml:space="preserve"> </w:t>
      </w:r>
    </w:p>
    <w:p w14:paraId="13EF8ED3" w14:textId="135E47F6" w:rsidR="00957FF3" w:rsidRPr="005B7071" w:rsidRDefault="00957FF3" w:rsidP="00957FF3">
      <w:pPr>
        <w:pStyle w:val="Standard"/>
        <w:spacing w:line="480" w:lineRule="auto"/>
        <w:ind w:firstLine="720"/>
      </w:pPr>
      <w:r w:rsidRPr="00151CC9">
        <w:t xml:space="preserve">In </w:t>
      </w:r>
      <w:r w:rsidRPr="00151CC9">
        <w:rPr>
          <w:i/>
        </w:rPr>
        <w:t>Bridge Across North Fork of Canadian River, Indian Territory (M., K. &amp; T. Railway),</w:t>
      </w:r>
      <w:r w:rsidRPr="00151CC9">
        <w:t xml:space="preserve"> the railroad indicates direct government and industry support of American settlement in Indian Territory</w:t>
      </w:r>
      <w:r w:rsidR="00546B23" w:rsidRPr="00151CC9">
        <w:t xml:space="preserve"> (fig. 2.9</w:t>
      </w:r>
      <w:r w:rsidR="003F1102" w:rsidRPr="00151CC9">
        <w:t>)</w:t>
      </w:r>
      <w:r w:rsidRPr="00151CC9">
        <w:t>.</w:t>
      </w:r>
      <w:r w:rsidR="005975DA">
        <w:rPr>
          <w:rStyle w:val="FootnoteReference"/>
        </w:rPr>
        <w:footnoteReference w:id="44"/>
      </w:r>
      <w:r w:rsidRPr="00151CC9">
        <w:t xml:space="preserve"> The parallel lines of the symmetrical railroad tracks impose logic and reason upon the wilderness as it neatly bisects the Territory. The parallel lines of the tract lead to, and are framed by, the superstructure of a bridge, itself framed by the barr</w:t>
      </w:r>
      <w:r w:rsidR="00E64DF5" w:rsidRPr="00151CC9">
        <w:t xml:space="preserve">el vault offered by the </w:t>
      </w:r>
      <w:r w:rsidRPr="00151CC9">
        <w:t>design of the plate. Order, stability, tech</w:t>
      </w:r>
      <w:r w:rsidRPr="005B7071">
        <w:t xml:space="preserve">nology and progress characterize the scene and embrace Indian Territory. In </w:t>
      </w:r>
      <w:r w:rsidRPr="005B7071">
        <w:rPr>
          <w:bCs/>
          <w:i/>
          <w:iCs/>
        </w:rPr>
        <w:t>Limestone Gap-Indian Territory</w:t>
      </w:r>
      <w:r w:rsidRPr="005B7071">
        <w:rPr>
          <w:bCs/>
          <w:iCs/>
        </w:rPr>
        <w:t>, the progress promised by the railroad is contrasted with the prim</w:t>
      </w:r>
      <w:r w:rsidRPr="00151CC9">
        <w:rPr>
          <w:bCs/>
          <w:iCs/>
        </w:rPr>
        <w:t>itive ways of the past</w:t>
      </w:r>
      <w:r w:rsidR="00546B23" w:rsidRPr="00151CC9">
        <w:rPr>
          <w:bCs/>
          <w:iCs/>
        </w:rPr>
        <w:t xml:space="preserve"> (fig. 2.10</w:t>
      </w:r>
      <w:r w:rsidR="003F1102" w:rsidRPr="00151CC9">
        <w:rPr>
          <w:bCs/>
          <w:iCs/>
        </w:rPr>
        <w:t>)</w:t>
      </w:r>
      <w:r w:rsidRPr="00151CC9">
        <w:rPr>
          <w:bCs/>
          <w:iCs/>
        </w:rPr>
        <w:t>. The f</w:t>
      </w:r>
      <w:r w:rsidRPr="00151CC9">
        <w:t xml:space="preserve">oreground is dominated by skeletal remains, the ruins of a horse-drawn </w:t>
      </w:r>
      <w:r w:rsidR="00302534">
        <w:t>wagon</w:t>
      </w:r>
      <w:r w:rsidRPr="00151CC9">
        <w:t xml:space="preserve">. Progress is coming, though – a </w:t>
      </w:r>
      <w:r w:rsidR="00E64DF5" w:rsidRPr="00151CC9">
        <w:t xml:space="preserve">train can be seen </w:t>
      </w:r>
      <w:r w:rsidR="00111711">
        <w:t xml:space="preserve">arriving </w:t>
      </w:r>
      <w:r w:rsidRPr="005B7071">
        <w:t>from the distance. In short order, the train will pass right by the wagon. Limestone Gap was an important stop on the Texas Road, a commerce corridor connecting Kansas and Texas, long controlled, at least partially, by Indians. The King party came through the Territory in 1873-74, just months after the railroa</w:t>
      </w:r>
      <w:r w:rsidR="00614185">
        <w:t>d opened.</w:t>
      </w:r>
    </w:p>
    <w:p w14:paraId="6846DDDD" w14:textId="594AF01D" w:rsidR="00957FF3" w:rsidRPr="005B7071" w:rsidRDefault="00957FF3" w:rsidP="00957FF3">
      <w:pPr>
        <w:pStyle w:val="Standard"/>
        <w:spacing w:line="480" w:lineRule="auto"/>
        <w:ind w:firstLine="720"/>
      </w:pPr>
      <w:r w:rsidRPr="005B7071">
        <w:t xml:space="preserve">While the railroad was an unambiguous sign of progress to Americans, Indian tribes understood it to be a breach of </w:t>
      </w:r>
      <w:r w:rsidR="00111711">
        <w:t xml:space="preserve">their </w:t>
      </w:r>
      <w:r w:rsidRPr="005B7071">
        <w:t>sovereign</w:t>
      </w:r>
      <w:r w:rsidR="00111711">
        <w:t xml:space="preserve">ty. </w:t>
      </w:r>
      <w:r w:rsidRPr="005B7071">
        <w:t xml:space="preserve">In the view of </w:t>
      </w:r>
      <w:r w:rsidR="00111711">
        <w:t>recent Chickasaw historians writing on behalf of their N</w:t>
      </w:r>
      <w:r w:rsidRPr="005B7071">
        <w:t>ation</w:t>
      </w:r>
      <w:r w:rsidR="00111711">
        <w:t>’s cultural center</w:t>
      </w:r>
      <w:r w:rsidRPr="005B7071">
        <w:t>, trains:</w:t>
      </w:r>
    </w:p>
    <w:p w14:paraId="01BA4BC0" w14:textId="5B5A21BD" w:rsidR="00957FF3" w:rsidRPr="005B7071" w:rsidRDefault="00957FF3" w:rsidP="00546B23">
      <w:pPr>
        <w:pStyle w:val="NoSpacing"/>
        <w:ind w:left="720"/>
        <w:rPr>
          <w:szCs w:val="24"/>
        </w:rPr>
      </w:pPr>
      <w:r w:rsidRPr="005B7071">
        <w:rPr>
          <w:szCs w:val="24"/>
        </w:rPr>
        <w:t xml:space="preserve">brought unwanted changes. The Chickasaw Nation lost control over certain portions of our land when the U.S. government transferred rights-of-way to the railroads. The opening of un-allotted lands started to create the “checkerboard” we now have on our landscape. The railroads transported large numbers of intruders into the Chickasaw Nation and they permanently changed the makeup of our </w:t>
      </w:r>
      <w:r w:rsidRPr="005B7071">
        <w:rPr>
          <w:i/>
          <w:szCs w:val="24"/>
        </w:rPr>
        <w:t>yaakni</w:t>
      </w:r>
      <w:r w:rsidRPr="005B7071">
        <w:rPr>
          <w:szCs w:val="24"/>
        </w:rPr>
        <w:t xml:space="preserve"> (land)</w:t>
      </w:r>
      <w:r w:rsidR="00546B23">
        <w:rPr>
          <w:szCs w:val="24"/>
        </w:rPr>
        <w:t>.</w:t>
      </w:r>
      <w:r w:rsidRPr="005B7071">
        <w:rPr>
          <w:rStyle w:val="FootnoteReference"/>
        </w:rPr>
        <w:footnoteReference w:id="45"/>
      </w:r>
    </w:p>
    <w:p w14:paraId="62F8AFFB" w14:textId="77777777" w:rsidR="00957FF3" w:rsidRPr="005B7071" w:rsidRDefault="00957FF3" w:rsidP="00957FF3">
      <w:pPr>
        <w:pStyle w:val="NoSpacing"/>
        <w:ind w:left="1440"/>
        <w:rPr>
          <w:szCs w:val="24"/>
        </w:rPr>
      </w:pPr>
    </w:p>
    <w:p w14:paraId="564383F1" w14:textId="3B9961F8" w:rsidR="00E64DF5" w:rsidRDefault="00957FF3" w:rsidP="00546B23">
      <w:pPr>
        <w:pStyle w:val="Standard"/>
        <w:spacing w:line="480" w:lineRule="auto"/>
      </w:pPr>
      <w:r w:rsidRPr="005B7071">
        <w:t xml:space="preserve">The railroad was devastating to Indian sovereignty; it provided unimpeded passage into and through the territory; the right of way granted to the railroads further eroded the Indian Territorial footprint; and the commerce the railroad generated </w:t>
      </w:r>
      <w:r w:rsidR="00111711">
        <w:t xml:space="preserve">either did not, or did not fully, </w:t>
      </w:r>
      <w:r w:rsidRPr="005B7071">
        <w:t>benefit Indian tribes</w:t>
      </w:r>
      <w:r w:rsidR="00111711">
        <w:t xml:space="preserve">. </w:t>
      </w:r>
      <w:r w:rsidR="00E64DF5">
        <w:t>B</w:t>
      </w:r>
      <w:r w:rsidRPr="005B7071">
        <w:t>efore the construction of the railroad bridge at Limestone Gap, the Chickasaw had been charging travelers $1 to pass over a wooden footbridge at Limest</w:t>
      </w:r>
      <w:r w:rsidR="00343A99" w:rsidRPr="005B7071">
        <w:t>one Gap,</w:t>
      </w:r>
      <w:r w:rsidRPr="005B7071">
        <w:t xml:space="preserve"> generating as much as $100 per day.</w:t>
      </w:r>
      <w:r w:rsidRPr="005B7071">
        <w:rPr>
          <w:rStyle w:val="FootnoteReference"/>
        </w:rPr>
        <w:footnoteReference w:id="46"/>
      </w:r>
      <w:r w:rsidRPr="005B7071">
        <w:t xml:space="preserve"> The railroad drove a stake through the heart of the Territory. A decade later, an east-west railroad line would bisect the territory again. Soon after, the Land Runs began, then allotment. Statehood was simply the last nail in the coffin of Indian sovereignty.</w:t>
      </w:r>
    </w:p>
    <w:p w14:paraId="6132490D" w14:textId="77777777" w:rsidR="006C5326" w:rsidRPr="006C5326" w:rsidRDefault="006C5326" w:rsidP="00260473">
      <w:pPr>
        <w:jc w:val="center"/>
      </w:pPr>
    </w:p>
    <w:p w14:paraId="3D6C26E0" w14:textId="0D3C666E" w:rsidR="00957FF3" w:rsidRPr="005B7071" w:rsidRDefault="00957FF3" w:rsidP="00260473">
      <w:pPr>
        <w:jc w:val="center"/>
        <w:rPr>
          <w:b/>
        </w:rPr>
      </w:pPr>
      <w:r w:rsidRPr="005B7071">
        <w:rPr>
          <w:b/>
          <w:i/>
        </w:rPr>
        <w:t xml:space="preserve">Oklahoma! </w:t>
      </w:r>
      <w:r w:rsidRPr="005B7071">
        <w:rPr>
          <w:b/>
        </w:rPr>
        <w:t>A</w:t>
      </w:r>
      <w:r w:rsidR="004F0094" w:rsidRPr="005B7071">
        <w:rPr>
          <w:b/>
        </w:rPr>
        <w:t xml:space="preserve"> Boomer Tract Described</w:t>
      </w:r>
    </w:p>
    <w:p w14:paraId="791C3DA2" w14:textId="663E0A46" w:rsidR="00957FF3" w:rsidRPr="005B7071" w:rsidRDefault="00957FF3" w:rsidP="00957FF3">
      <w:pPr>
        <w:pStyle w:val="Standard"/>
        <w:spacing w:line="480" w:lineRule="auto"/>
        <w:ind w:firstLine="720"/>
      </w:pPr>
      <w:r w:rsidRPr="005B7071">
        <w:t xml:space="preserve">Ten years after </w:t>
      </w:r>
      <w:r w:rsidRPr="005B7071">
        <w:rPr>
          <w:i/>
        </w:rPr>
        <w:t>The Great South</w:t>
      </w:r>
      <w:r w:rsidRPr="005B7071">
        <w:t xml:space="preserve">, another, much smaller book, </w:t>
      </w:r>
      <w:r w:rsidRPr="005B7071">
        <w:rPr>
          <w:i/>
        </w:rPr>
        <w:t>Oklahoma</w:t>
      </w:r>
      <w:r w:rsidR="00E64DF5">
        <w:rPr>
          <w:i/>
        </w:rPr>
        <w:t>!</w:t>
      </w:r>
      <w:r w:rsidR="00E64DF5">
        <w:t>,</w:t>
      </w:r>
      <w:r w:rsidR="00151CC9">
        <w:t xml:space="preserve"> </w:t>
      </w:r>
      <w:r w:rsidR="004C7914">
        <w:t>appeared</w:t>
      </w:r>
      <w:r w:rsidRPr="005B7071">
        <w:t xml:space="preserve">. The book included thirty-nine distinct wood engravings, purportedly of Indian Territory, among them, </w:t>
      </w:r>
      <w:r w:rsidRPr="005B7071">
        <w:rPr>
          <w:i/>
        </w:rPr>
        <w:t>English Ranch in Oklahoma</w:t>
      </w:r>
      <w:r w:rsidRPr="005B7071">
        <w:t xml:space="preserve"> and </w:t>
      </w:r>
      <w:r w:rsidRPr="005B7071">
        <w:rPr>
          <w:i/>
        </w:rPr>
        <w:t>Scottish Ranch</w:t>
      </w:r>
      <w:r w:rsidR="006C5326">
        <w:rPr>
          <w:i/>
        </w:rPr>
        <w:t xml:space="preserve"> </w:t>
      </w:r>
      <w:r w:rsidR="006C5326" w:rsidRPr="005B7071">
        <w:rPr>
          <w:i/>
        </w:rPr>
        <w:t>in Oklahoma</w:t>
      </w:r>
      <w:r w:rsidRPr="005B7071">
        <w:t xml:space="preserve">. Twenty-five of the images, or about two-thirds, focus on the land. This </w:t>
      </w:r>
      <w:r w:rsidR="004C7914">
        <w:t xml:space="preserve">was no </w:t>
      </w:r>
      <w:r w:rsidRPr="005B7071">
        <w:t xml:space="preserve">coincidence. Land, and who controls it, </w:t>
      </w:r>
      <w:r w:rsidR="004C7914">
        <w:t xml:space="preserve">was </w:t>
      </w:r>
      <w:r w:rsidRPr="005B7071">
        <w:t xml:space="preserve">central to the foundational American Myth of the Frontier. According to </w:t>
      </w:r>
      <w:r w:rsidR="004C7914">
        <w:t xml:space="preserve">cultural historian </w:t>
      </w:r>
      <w:r w:rsidRPr="005B7071">
        <w:t>Richard Slotkin, “the conquest of the wilderness and the subjugation or displacement of the Native Americans . . . have been the means to our achievement of a national identity [and] phenomenally dynamic . . . civilization.”</w:t>
      </w:r>
      <w:r w:rsidR="00E64DF5" w:rsidRPr="00E64DF5">
        <w:rPr>
          <w:rStyle w:val="FootnoteReference"/>
        </w:rPr>
        <w:t xml:space="preserve"> </w:t>
      </w:r>
      <w:r w:rsidR="00E64DF5" w:rsidRPr="005B7071">
        <w:rPr>
          <w:rStyle w:val="FootnoteReference"/>
        </w:rPr>
        <w:footnoteReference w:id="47"/>
      </w:r>
      <w:r w:rsidRPr="005B7071">
        <w:t xml:space="preserve"> The yeoman farmer was an agent of progress against the wilderness precisely because he reenacted the conquest of the wilderness, which had to be taken forcibly from Indians, and therefore reenacts the foundational myth of America. Conflict between Indians and whites was unavoidable because “ineluctable political and social issues [made] coexistence between primitive natives and civilized Europeans impossible on any basis other than subjugation,” and struggles between whites and Indians inevitably became “wars of extermination,” with land as the prize.</w:t>
      </w:r>
      <w:r w:rsidR="00142D91">
        <w:rPr>
          <w:rStyle w:val="FootnoteReference"/>
        </w:rPr>
        <w:footnoteReference w:id="48"/>
      </w:r>
    </w:p>
    <w:p w14:paraId="4B755D06" w14:textId="6922CBF1" w:rsidR="00957FF3" w:rsidRPr="005B7071" w:rsidRDefault="00957FF3" w:rsidP="00957FF3">
      <w:pPr>
        <w:pStyle w:val="Standard"/>
        <w:spacing w:line="480" w:lineRule="auto"/>
        <w:ind w:firstLine="720"/>
      </w:pPr>
      <w:r w:rsidRPr="005B7071">
        <w:t xml:space="preserve">In the </w:t>
      </w:r>
      <w:r w:rsidRPr="005B7071">
        <w:rPr>
          <w:i/>
        </w:rPr>
        <w:t>Oklahoma</w:t>
      </w:r>
      <w:r w:rsidRPr="005B7071">
        <w:t xml:space="preserve"> booklet, land </w:t>
      </w:r>
      <w:r w:rsidR="004C7914">
        <w:t xml:space="preserve">was </w:t>
      </w:r>
      <w:r w:rsidRPr="005B7071">
        <w:t>indeed the prize</w:t>
      </w:r>
      <w:r w:rsidR="004C7914">
        <w:t xml:space="preserve">, </w:t>
      </w:r>
      <w:r w:rsidRPr="005B7071">
        <w:t xml:space="preserve">portrayed as an untapped natural wonderland of fecund land, bountiful forests, and fruitful plains, rivers and streams. To a one, these images focus on the land at the expense of the </w:t>
      </w:r>
      <w:r w:rsidR="004C7914">
        <w:t xml:space="preserve">indigenous </w:t>
      </w:r>
      <w:r w:rsidRPr="005B7071">
        <w:t>people of the region. In nearly every landscape image, the artist</w:t>
      </w:r>
      <w:r w:rsidR="00E64DF5">
        <w:t xml:space="preserve">, or artists, </w:t>
      </w:r>
      <w:r w:rsidRPr="005B7071">
        <w:t>employed a high horizon line; some of the compositions are up to eighty percent land. Represented as devoid or nearly devoid of people, buildings, Indians, and even railroads (</w:t>
      </w:r>
      <w:r w:rsidR="004C7914">
        <w:t xml:space="preserve">as noted, </w:t>
      </w:r>
      <w:r w:rsidRPr="005B7071">
        <w:t>by 1885, the Territory was bisected by two rail lines)</w:t>
      </w:r>
      <w:r w:rsidR="004C7914">
        <w:t>,</w:t>
      </w:r>
      <w:r w:rsidRPr="005B7071">
        <w:t xml:space="preserve"> the land pictured is ripe for development by yeoman farmers. The authors were trying to foment a land boom; the illustrati</w:t>
      </w:r>
      <w:r w:rsidR="00151CC9">
        <w:t>ons serve</w:t>
      </w:r>
      <w:r w:rsidR="004C7914">
        <w:t>d</w:t>
      </w:r>
      <w:r w:rsidR="00151CC9">
        <w:t xml:space="preserve"> this ideological end.</w:t>
      </w:r>
    </w:p>
    <w:p w14:paraId="707E7BAE" w14:textId="54414E1A" w:rsidR="00957FF3" w:rsidRPr="005B7071" w:rsidRDefault="00957FF3" w:rsidP="00957FF3">
      <w:pPr>
        <w:pStyle w:val="Standard"/>
        <w:spacing w:line="480" w:lineRule="auto"/>
        <w:ind w:firstLine="720"/>
      </w:pPr>
      <w:r w:rsidRPr="005B7071">
        <w:t>It took some effort to represent Indian Terr</w:t>
      </w:r>
      <w:r w:rsidR="004C7914">
        <w:t xml:space="preserve">itory as a desolate, unpopulated plain. </w:t>
      </w:r>
      <w:r w:rsidRPr="005B7071">
        <w:t>By 1885, more than 70,000 Indians lived throughout the Territory, and tribal governments had built impressive buildings, churches, homes, and infrastructure in the bigger towns</w:t>
      </w:r>
      <w:r w:rsidR="004C7914">
        <w:t>, a</w:t>
      </w:r>
      <w:r w:rsidRPr="005B7071">
        <w:t xml:space="preserve">ll of which </w:t>
      </w:r>
      <w:r w:rsidR="004C7914" w:rsidRPr="005B7071">
        <w:t xml:space="preserve">the Boomer booklet </w:t>
      </w:r>
      <w:r w:rsidRPr="005B7071">
        <w:t xml:space="preserve">purposefully obscured. Compare, for example, the images accompanying “A Zig-Zag Journey in Indian Territory,” an article published in </w:t>
      </w:r>
      <w:r w:rsidRPr="005B7071">
        <w:rPr>
          <w:i/>
        </w:rPr>
        <w:t>Frank Leslie’s Illustrated Newspaper</w:t>
      </w:r>
      <w:r w:rsidRPr="005B7071">
        <w:t xml:space="preserve"> on August 11, 1888, which shows various towns in Indian Territory to be dotted with houses, civic buildings, schools, and even teepees. Particularly interesting is </w:t>
      </w:r>
      <w:r w:rsidRPr="005B7071">
        <w:rPr>
          <w:i/>
        </w:rPr>
        <w:t>Bird’s Eye View of Tulsu, Creek Nation</w:t>
      </w:r>
      <w:r w:rsidR="004C7914">
        <w:t>,</w:t>
      </w:r>
      <w:r w:rsidRPr="005B7071">
        <w:t xml:space="preserve"> the earliest recorded image of what is now the city of Tulsa, Oklahoma, complete with the Katy railroad running through the town (</w:t>
      </w:r>
      <w:r w:rsidR="00546B23">
        <w:t>fig. 2.11</w:t>
      </w:r>
      <w:r w:rsidRPr="005B7071">
        <w:t>)</w:t>
      </w:r>
      <w:r w:rsidR="00614185">
        <w:t>.</w:t>
      </w:r>
    </w:p>
    <w:p w14:paraId="3F5BAD82" w14:textId="5B005B41" w:rsidR="00957FF3" w:rsidRPr="005B7071" w:rsidRDefault="00957FF3" w:rsidP="00957FF3">
      <w:pPr>
        <w:pStyle w:val="Standard"/>
        <w:spacing w:line="480" w:lineRule="auto"/>
        <w:ind w:firstLine="720"/>
      </w:pPr>
      <w:r w:rsidRPr="005B7071">
        <w:t xml:space="preserve">Promotional tracts like </w:t>
      </w:r>
      <w:r w:rsidRPr="005B7071">
        <w:rPr>
          <w:i/>
        </w:rPr>
        <w:t>Oklahoma</w:t>
      </w:r>
      <w:r w:rsidRPr="005B7071">
        <w:t xml:space="preserve"> relied on the power of rhetoric to win over skeptical audiences. Promotional materials for Western states and territories tended to emphasize the abundance of the West while downplaying the harsh conditions settler would find upon arrival. Most Western booster tracts painted the past as savage, the future as a time in which all free and cheap land would be gone, and the present as the only moment in which to act. They offered would-be settlers a promised land of mild seasons, bountiful fields, and verdant forests full of nature’s bounty.</w:t>
      </w:r>
      <w:r w:rsidRPr="005B7071">
        <w:rPr>
          <w:rStyle w:val="FootnoteReference"/>
        </w:rPr>
        <w:footnoteReference w:id="49"/>
      </w:r>
      <w:r w:rsidRPr="005B7071">
        <w:t xml:space="preserve"> Yet by the 1880s, the high rainfall and mild climate settlers had come to depend on since the early 1870s had changed to severe drought and extreme temperatures, especially in the northern Plains</w:t>
      </w:r>
      <w:r w:rsidR="00151CC9">
        <w:t xml:space="preserve"> states of Kansas and Nebraska.</w:t>
      </w:r>
    </w:p>
    <w:p w14:paraId="3B1C3243" w14:textId="359364D2" w:rsidR="00957FF3" w:rsidRPr="005B7071" w:rsidRDefault="00957FF3" w:rsidP="00957FF3">
      <w:pPr>
        <w:pStyle w:val="Standard"/>
        <w:spacing w:line="480" w:lineRule="auto"/>
        <w:ind w:firstLine="720"/>
      </w:pPr>
      <w:r w:rsidRPr="005B7071">
        <w:t xml:space="preserve">By 1885, Cole and Jackson had reason to anticipate that some readers would be leery of such utopian promises. In this light, the profusion of illustrations can be read as an attempt by the authors to offer </w:t>
      </w:r>
      <w:r w:rsidR="00E64DF5" w:rsidRPr="005B7071">
        <w:t xml:space="preserve">reassurance </w:t>
      </w:r>
      <w:r w:rsidR="00E64DF5">
        <w:t xml:space="preserve">to </w:t>
      </w:r>
      <w:r w:rsidRPr="005B7071">
        <w:t>wary consumers. Most of the image</w:t>
      </w:r>
      <w:r w:rsidR="00E64DF5">
        <w:t>s share a concrete, hard edged photo</w:t>
      </w:r>
      <w:r w:rsidRPr="005B7071">
        <w:t xml:space="preserve"> aesthetic, lending them a documentary feel; the images, realized in black and white, are all framed like photos</w:t>
      </w:r>
      <w:r w:rsidR="006F4AB7">
        <w:t xml:space="preserve">, and </w:t>
      </w:r>
      <w:r w:rsidR="00142D91">
        <w:t>at least two o</w:t>
      </w:r>
      <w:r w:rsidR="006F4AB7">
        <w:t xml:space="preserve">f the </w:t>
      </w:r>
      <w:r w:rsidRPr="005B7071">
        <w:t xml:space="preserve">images </w:t>
      </w:r>
      <w:r w:rsidR="004C7914">
        <w:t xml:space="preserve">can be </w:t>
      </w:r>
      <w:r w:rsidRPr="005B7071">
        <w:t>trace</w:t>
      </w:r>
      <w:r w:rsidR="004C7914">
        <w:t>d</w:t>
      </w:r>
      <w:r w:rsidRPr="005B7071">
        <w:t xml:space="preserve"> back to recognizable source photographs</w:t>
      </w:r>
      <w:r w:rsidR="00040362">
        <w:t xml:space="preserve">. For example, an </w:t>
      </w:r>
      <w:r w:rsidR="00040362" w:rsidRPr="008B6C93">
        <w:t>illustrat</w:t>
      </w:r>
      <w:r w:rsidR="00040362">
        <w:t xml:space="preserve">ion of Camp Alice in </w:t>
      </w:r>
      <w:r w:rsidR="00040362" w:rsidRPr="008B6C93">
        <w:t xml:space="preserve">the </w:t>
      </w:r>
      <w:r w:rsidR="00040362" w:rsidRPr="008B6C93">
        <w:rPr>
          <w:i/>
        </w:rPr>
        <w:t>Oklahoma</w:t>
      </w:r>
      <w:r w:rsidR="00040362" w:rsidRPr="008B6C93">
        <w:t xml:space="preserve"> boomer </w:t>
      </w:r>
      <w:r w:rsidR="00040362" w:rsidRPr="00151CC9">
        <w:t>booklet, opposite page 18, is based on a</w:t>
      </w:r>
      <w:r w:rsidR="00142D91" w:rsidRPr="00151CC9">
        <w:t>n</w:t>
      </w:r>
      <w:r w:rsidR="00040362" w:rsidRPr="00151CC9">
        <w:t xml:space="preserve"> 1883 photograph by </w:t>
      </w:r>
      <w:r w:rsidR="00142D91" w:rsidRPr="00151CC9">
        <w:rPr>
          <w:rFonts w:asciiTheme="majorHAnsi" w:eastAsia="Cambria" w:hAnsiTheme="majorHAnsi" w:cstheme="majorHAnsi"/>
        </w:rPr>
        <w:t>Karl P. Wickmiller</w:t>
      </w:r>
      <w:r w:rsidR="00040362" w:rsidRPr="00151CC9">
        <w:rPr>
          <w:rFonts w:asciiTheme="majorHAnsi" w:eastAsia="Cambria" w:hAnsiTheme="majorHAnsi" w:cstheme="majorHAnsi"/>
        </w:rPr>
        <w:t xml:space="preserve"> </w:t>
      </w:r>
      <w:r w:rsidR="00A8188A" w:rsidRPr="00151CC9">
        <w:t>(figs. 2.</w:t>
      </w:r>
      <w:r w:rsidR="00546B23" w:rsidRPr="00151CC9">
        <w:t>12 &amp; 2.13</w:t>
      </w:r>
      <w:r w:rsidR="00A8188A" w:rsidRPr="00151CC9">
        <w:t>)</w:t>
      </w:r>
      <w:r w:rsidRPr="00151CC9">
        <w:t>.</w:t>
      </w:r>
      <w:r w:rsidRPr="00151CC9">
        <w:rPr>
          <w:rStyle w:val="FootnoteReference"/>
        </w:rPr>
        <w:footnoteReference w:id="50"/>
      </w:r>
      <w:r w:rsidR="00A8188A" w:rsidRPr="00151CC9">
        <w:t xml:space="preserve"> </w:t>
      </w:r>
      <w:r w:rsidRPr="00151CC9">
        <w:t xml:space="preserve">By the late nineteenth century, photography had attained the status of a truthful, honest translation of the observed world. </w:t>
      </w:r>
      <w:r w:rsidR="00040362" w:rsidRPr="00151CC9">
        <w:t>Martha Sandweiss, analyzing t</w:t>
      </w:r>
      <w:r w:rsidR="00040362" w:rsidRPr="008B6C93">
        <w:t xml:space="preserve">he attitudes of several western explorers and the changing role of photography in illustrating the west, </w:t>
      </w:r>
      <w:r w:rsidR="00142D91">
        <w:t>observes</w:t>
      </w:r>
      <w:r w:rsidR="00040362">
        <w:t xml:space="preserve">: </w:t>
      </w:r>
      <w:r w:rsidR="00040362" w:rsidRPr="008B6C93">
        <w:t>“For Cherry, as well as Hittell and Hayden, the very literalism of photography, its seeming ability to transcribe and convey the details of the physical world into two-dimensional form, made it the ideal medium for illustration. How could one argue with its details, its accuracy, its absolute fidelity to things observed?”</w:t>
      </w:r>
      <w:r w:rsidR="00040362" w:rsidRPr="00040362">
        <w:rPr>
          <w:rStyle w:val="FootnoteReference"/>
        </w:rPr>
        <w:t xml:space="preserve"> </w:t>
      </w:r>
      <w:r w:rsidR="00040362" w:rsidRPr="005B7071">
        <w:rPr>
          <w:rStyle w:val="FootnoteReference"/>
        </w:rPr>
        <w:footnoteReference w:id="51"/>
      </w:r>
      <w:r w:rsidR="00040362">
        <w:rPr>
          <w:rStyle w:val="FootnoteReference"/>
        </w:rPr>
        <w:t xml:space="preserve"> </w:t>
      </w:r>
      <w:r w:rsidRPr="005B7071">
        <w:t xml:space="preserve">By equating their images with photographs by emphasizing the hard edge photo aesthetic, and by using photographs as source material for at least two of their images, the authors of </w:t>
      </w:r>
      <w:r w:rsidRPr="005B7071">
        <w:rPr>
          <w:i/>
        </w:rPr>
        <w:t>Oklahoma</w:t>
      </w:r>
      <w:r w:rsidRPr="005B7071">
        <w:t xml:space="preserve"> assert the trustworthiness o</w:t>
      </w:r>
      <w:r w:rsidR="00151CC9">
        <w:t>f their Boomer images and text.</w:t>
      </w:r>
    </w:p>
    <w:p w14:paraId="43C10C9B" w14:textId="77777777" w:rsidR="00957FF3" w:rsidRPr="005B7071" w:rsidRDefault="00957FF3" w:rsidP="00957FF3">
      <w:pPr>
        <w:pStyle w:val="Standard"/>
        <w:spacing w:line="480" w:lineRule="auto"/>
        <w:ind w:firstLine="720"/>
      </w:pPr>
      <w:r w:rsidRPr="005B7071">
        <w:t>Cole, in his prefatory remarks, goes to great lengths to describe Oklahoma as a fecund yet untapped land of plenty:</w:t>
      </w:r>
    </w:p>
    <w:p w14:paraId="600D6F19" w14:textId="77777777" w:rsidR="00957FF3" w:rsidRPr="005B7071" w:rsidRDefault="00957FF3" w:rsidP="00957FF3">
      <w:pPr>
        <w:pStyle w:val="NoSpacing"/>
        <w:ind w:left="720"/>
        <w:rPr>
          <w:szCs w:val="24"/>
        </w:rPr>
      </w:pPr>
      <w:r w:rsidRPr="005B7071">
        <w:rPr>
          <w:szCs w:val="24"/>
        </w:rPr>
        <w:t>From time immemorial there has lain a most enchanting country in the midst of a great nation. Still little is known concerning its true vastness by the average American of to-day. Within its boundaries lie the Indian Territory and the Oklahoma country; a country that will contribute to the world’s granary, the world’s treasury, the world’s highway. It is a picture of a fleeting phase in our national life; it makes a new geography for that portion of America. Little is known of it-little of its greatness, richness, and beauty. Its forests and prairies await the laborer and the capitalist; its cataracts, cañons, and crests woo the painter; its mountains, salt beds, and stupendous vegetable production challenge the naturalist. Its climate invites the invalid, healing the systems wounded by ruder climates. Its fields are large.</w:t>
      </w:r>
      <w:r w:rsidRPr="005B7071">
        <w:rPr>
          <w:rStyle w:val="FootnoteReference"/>
        </w:rPr>
        <w:footnoteReference w:id="52"/>
      </w:r>
    </w:p>
    <w:p w14:paraId="7E6BF549" w14:textId="77777777" w:rsidR="00957FF3" w:rsidRPr="005B7071" w:rsidRDefault="00957FF3" w:rsidP="00957FF3">
      <w:pPr>
        <w:pStyle w:val="Standard"/>
        <w:ind w:firstLine="720"/>
      </w:pPr>
    </w:p>
    <w:p w14:paraId="0EADDE3E" w14:textId="307CA356" w:rsidR="00957FF3" w:rsidRPr="005B7071" w:rsidRDefault="00957FF3" w:rsidP="00957FF3">
      <w:pPr>
        <w:pStyle w:val="Standard"/>
        <w:spacing w:line="480" w:lineRule="auto"/>
      </w:pPr>
      <w:r w:rsidRPr="005B7071">
        <w:t xml:space="preserve">Like promotional booster tracts before, Cole and Jackson create a sense of urgency, presenting an image of a vast, little-known, fertile place, which represents “a fleeting phase in our national life” that </w:t>
      </w:r>
      <w:r w:rsidR="004C7914">
        <w:t>needed to b</w:t>
      </w:r>
      <w:r w:rsidRPr="005B7071">
        <w:t>e taken advantage of quickly. Many settlers and would-be settlers in the mid-1880s were defeated by the dry, extreme climate of the N</w:t>
      </w:r>
      <w:r w:rsidR="00142D91">
        <w:t xml:space="preserve">orthern Plain and fearful that available </w:t>
      </w:r>
      <w:r w:rsidRPr="005B7071">
        <w:t>land</w:t>
      </w:r>
      <w:r w:rsidR="00142D91">
        <w:t xml:space="preserve"> would soon disappear forever. </w:t>
      </w:r>
      <w:r w:rsidRPr="005B7071">
        <w:t xml:space="preserve">Oklahoma offered one last place for </w:t>
      </w:r>
      <w:r w:rsidR="00386461">
        <w:t xml:space="preserve">settlers </w:t>
      </w:r>
      <w:r w:rsidRPr="005B7071">
        <w:t xml:space="preserve">to live the American dream. Inherent to any imperialistic enterprise such as America’s conquest of Indian lands </w:t>
      </w:r>
      <w:r w:rsidR="00386461">
        <w:t>was</w:t>
      </w:r>
      <w:r w:rsidRPr="005B7071">
        <w:t xml:space="preserve"> the belief that “primitive” natives </w:t>
      </w:r>
      <w:r w:rsidR="00386461">
        <w:t xml:space="preserve">could not </w:t>
      </w:r>
      <w:r w:rsidRPr="005B7071">
        <w:t xml:space="preserve">efficiently, or fully, extract the value from their land or their culture. </w:t>
      </w:r>
      <w:r w:rsidRPr="005B7071">
        <w:rPr>
          <w:rFonts w:cs="Arial"/>
        </w:rPr>
        <w:t xml:space="preserve">The images and text present a fertile land completely and utterly underutilized; </w:t>
      </w:r>
      <w:r w:rsidRPr="005B7071">
        <w:t xml:space="preserve">Cole and Jackson </w:t>
      </w:r>
      <w:r w:rsidRPr="005B7071">
        <w:rPr>
          <w:rFonts w:cs="Arial"/>
        </w:rPr>
        <w:t xml:space="preserve">organize, objectify, and </w:t>
      </w:r>
      <w:r w:rsidR="00386461">
        <w:rPr>
          <w:rFonts w:cs="Arial"/>
        </w:rPr>
        <w:t>“</w:t>
      </w:r>
      <w:r w:rsidRPr="005B7071">
        <w:rPr>
          <w:rFonts w:cs="Arial"/>
        </w:rPr>
        <w:t>other</w:t>
      </w:r>
      <w:r w:rsidR="00386461">
        <w:rPr>
          <w:rFonts w:cs="Arial"/>
        </w:rPr>
        <w:t>”</w:t>
      </w:r>
      <w:r w:rsidRPr="005B7071">
        <w:rPr>
          <w:rFonts w:cs="Arial"/>
        </w:rPr>
        <w:t xml:space="preserve"> Indians and their lands for the benefit of white settlers.</w:t>
      </w:r>
      <w:r w:rsidRPr="005B7071">
        <w:rPr>
          <w:rStyle w:val="FootnoteReference"/>
        </w:rPr>
        <w:footnoteReference w:id="53"/>
      </w:r>
    </w:p>
    <w:p w14:paraId="00AB7164" w14:textId="30DF4D85" w:rsidR="00957FF3" w:rsidRPr="005B7071" w:rsidRDefault="00957FF3" w:rsidP="00957FF3">
      <w:pPr>
        <w:pStyle w:val="Standard"/>
        <w:spacing w:line="480" w:lineRule="auto"/>
        <w:ind w:firstLine="720"/>
      </w:pPr>
      <w:r w:rsidRPr="005B7071">
        <w:t>The large majority of the images emphasize the land as vast, wide open, fecund, and nearly uninhabited. Especially notable for their absence are Indians, featured in only three images out of 39</w:t>
      </w:r>
      <w:r w:rsidR="00386461">
        <w:t>, and in two of the three, present only by omission,</w:t>
      </w:r>
      <w:r w:rsidRPr="005B7071">
        <w:t xml:space="preserve"> i.e., teepees pictured side-by-side with colonist’s wagons or log cabins. Flesh and b</w:t>
      </w:r>
      <w:r w:rsidR="00386461">
        <w:t xml:space="preserve">lood </w:t>
      </w:r>
      <w:r w:rsidRPr="005B7071">
        <w:t>Indians are shown in only one image, as caricatures,</w:t>
      </w:r>
      <w:r w:rsidR="00D653D5" w:rsidRPr="005B7071">
        <w:t xml:space="preserve"> dependent on white beneficence.</w:t>
      </w:r>
      <w:r w:rsidRPr="005B7071">
        <w:t xml:space="preserve"> The </w:t>
      </w:r>
      <w:r w:rsidR="00386461">
        <w:t xml:space="preserve">absence </w:t>
      </w:r>
      <w:r w:rsidRPr="005B7071">
        <w:t>of Indians and the untapped potential of the rich land serve as visual justification for the takeover of Indian lands. The Indian Wars were nonetheless a recent, and painful, memory for Indians and non-Indians alike. In these images of Oklahoma, a land free of Indians suggest</w:t>
      </w:r>
      <w:r w:rsidR="00386461">
        <w:t>ed</w:t>
      </w:r>
      <w:r w:rsidRPr="005B7071">
        <w:t xml:space="preserve"> that colonizers need </w:t>
      </w:r>
      <w:r w:rsidR="00614185">
        <w:t>not fear red-on-white violence.</w:t>
      </w:r>
    </w:p>
    <w:p w14:paraId="4C29A9FF" w14:textId="5889A5E6" w:rsidR="00957FF3" w:rsidRPr="005B7071" w:rsidRDefault="00957FF3" w:rsidP="00957FF3">
      <w:pPr>
        <w:pStyle w:val="Standard"/>
        <w:spacing w:line="480" w:lineRule="auto"/>
        <w:ind w:firstLine="720"/>
      </w:pPr>
      <w:r w:rsidRPr="005B7071">
        <w:t>The text of the booklet offer</w:t>
      </w:r>
      <w:r w:rsidR="00386461">
        <w:t>ed</w:t>
      </w:r>
      <w:r w:rsidRPr="005B7071">
        <w:t xml:space="preserve"> all sorts of data to support the safety of the land and its unseen inhabitants. Chapter four goes into great detail about the size of the Indian Territory, the population and location of various tribes, and their progress toward various markers of Western civilization: Christianity, classical educational an</w:t>
      </w:r>
      <w:r w:rsidR="00756646">
        <w:t>d agriculture standards</w:t>
      </w:r>
      <w:r w:rsidR="006C5326">
        <w:t xml:space="preserve">. </w:t>
      </w:r>
      <w:r w:rsidRPr="005B7071">
        <w:t xml:space="preserve">Chapter five details every school and school teacher in the Indian Territory. Together, the text of these chapters paints the tribes as nearly civilized, mostly Christian, largely agricultural, and entirely harmless. By comparison, the illustrations that </w:t>
      </w:r>
      <w:r w:rsidR="00756646">
        <w:t xml:space="preserve">accompanying </w:t>
      </w:r>
      <w:r w:rsidRPr="005B7071">
        <w:t xml:space="preserve">the text are sparse, and illustrate a colonized landscape (page 32), industry in the form of cattle </w:t>
      </w:r>
      <w:r w:rsidR="00756646">
        <w:t>(</w:t>
      </w:r>
      <w:r w:rsidRPr="005B7071">
        <w:t xml:space="preserve">page 38), and </w:t>
      </w:r>
      <w:r w:rsidRPr="005B7071">
        <w:rPr>
          <w:i/>
        </w:rPr>
        <w:t>Uncle Sam Feeding Poor Lo Indian</w:t>
      </w:r>
      <w:r w:rsidR="00727313" w:rsidRPr="005B7071">
        <w:rPr>
          <w:i/>
        </w:rPr>
        <w:t xml:space="preserve"> </w:t>
      </w:r>
      <w:r w:rsidR="00727313" w:rsidRPr="005B7071">
        <w:t>(opposite page 46)</w:t>
      </w:r>
      <w:r w:rsidRPr="005B7071">
        <w:t xml:space="preserve">, a patronizing morality parable that shows Indians in the role of </w:t>
      </w:r>
      <w:r w:rsidRPr="00151CC9">
        <w:t xml:space="preserve">passive beneficiaries </w:t>
      </w:r>
      <w:r w:rsidR="00756646">
        <w:t xml:space="preserve">of </w:t>
      </w:r>
      <w:r w:rsidR="00E7417C" w:rsidRPr="00151CC9">
        <w:t>U.S. government</w:t>
      </w:r>
      <w:r w:rsidRPr="00151CC9">
        <w:t xml:space="preserve"> </w:t>
      </w:r>
      <w:r w:rsidR="00756646">
        <w:t xml:space="preserve">beneficence </w:t>
      </w:r>
      <w:r w:rsidR="00546B23" w:rsidRPr="00151CC9">
        <w:t>(fig. 2.14</w:t>
      </w:r>
      <w:r w:rsidR="00727313" w:rsidRPr="00151CC9">
        <w:t>)</w:t>
      </w:r>
      <w:r w:rsidRPr="00151CC9">
        <w:t>.</w:t>
      </w:r>
      <w:r w:rsidRPr="00151CC9">
        <w:rPr>
          <w:rStyle w:val="FootnoteReference"/>
        </w:rPr>
        <w:footnoteReference w:id="54"/>
      </w:r>
    </w:p>
    <w:p w14:paraId="756B7CF8" w14:textId="02764C78" w:rsidR="00957FF3" w:rsidRPr="005B7071" w:rsidRDefault="00957FF3" w:rsidP="00957FF3">
      <w:pPr>
        <w:pStyle w:val="Standard"/>
        <w:spacing w:line="480" w:lineRule="auto"/>
        <w:ind w:firstLine="720"/>
      </w:pPr>
      <w:r w:rsidRPr="005B7071">
        <w:t xml:space="preserve">Some irony exists in the fact Cole and Jackson chose </w:t>
      </w:r>
      <w:r w:rsidRPr="00756646">
        <w:rPr>
          <w:i/>
        </w:rPr>
        <w:t>these</w:t>
      </w:r>
      <w:r w:rsidRPr="005B7071">
        <w:t xml:space="preserve"> images to advertise Oklahoma. Access to Indian Territory was difficult to arrange in the 1880s</w:t>
      </w:r>
      <w:r w:rsidR="009C023B">
        <w:t xml:space="preserve">. No </w:t>
      </w:r>
      <w:r w:rsidRPr="005B7071">
        <w:t xml:space="preserve">evidence exists to suggest that either Jackson or Cole, or </w:t>
      </w:r>
      <w:r w:rsidR="00756646">
        <w:t xml:space="preserve">any </w:t>
      </w:r>
      <w:r w:rsidRPr="005B7071">
        <w:t>of their agents, visited Indian Territory, or that any artist travelled through I</w:t>
      </w:r>
      <w:r w:rsidR="009C023B">
        <w:t xml:space="preserve">ndian </w:t>
      </w:r>
      <w:r w:rsidRPr="005B7071">
        <w:t>T</w:t>
      </w:r>
      <w:r w:rsidR="009C023B">
        <w:t>erritory</w:t>
      </w:r>
      <w:r w:rsidRPr="005B7071">
        <w:t xml:space="preserve"> in the mid-1880s.</w:t>
      </w:r>
      <w:r w:rsidRPr="005B7071">
        <w:rPr>
          <w:rStyle w:val="FootnoteReference"/>
        </w:rPr>
        <w:footnoteReference w:id="55"/>
      </w:r>
      <w:r w:rsidRPr="005B7071">
        <w:t xml:space="preserve"> Unless a visitor was attached to the U</w:t>
      </w:r>
      <w:r w:rsidR="009803B3">
        <w:t>.</w:t>
      </w:r>
      <w:r w:rsidRPr="005B7071">
        <w:t>S</w:t>
      </w:r>
      <w:r w:rsidR="009803B3">
        <w:t>.</w:t>
      </w:r>
      <w:r w:rsidRPr="005B7071">
        <w:t xml:space="preserve"> military, the best way to view the Territory was out the window of a train. Yet these images suggest extensiv</w:t>
      </w:r>
      <w:r w:rsidR="00151CC9">
        <w:t>e travel through the Territory.</w:t>
      </w:r>
      <w:r w:rsidR="006B3C93">
        <w:t xml:space="preserve"> In</w:t>
      </w:r>
      <w:r w:rsidR="006C5326">
        <w:t xml:space="preserve"> reality, n</w:t>
      </w:r>
      <w:r w:rsidR="00D02DBB">
        <w:t>either Jackson nor Cole traveled through Indian Territory. Rather, they based some of their images on photographs, while basing others on images</w:t>
      </w:r>
      <w:r w:rsidR="006B3C93">
        <w:t xml:space="preserve"> cribbed </w:t>
      </w:r>
      <w:r w:rsidR="00D02DBB">
        <w:t xml:space="preserve">from an earlier </w:t>
      </w:r>
      <w:r w:rsidR="006B3C93">
        <w:t>book</w:t>
      </w:r>
      <w:r w:rsidR="00D02DBB">
        <w:t xml:space="preserve"> that had nothing to do with Indian Territory</w:t>
      </w:r>
      <w:r w:rsidR="00614185">
        <w:t>.</w:t>
      </w:r>
    </w:p>
    <w:p w14:paraId="20CF4A5D" w14:textId="2769B58E" w:rsidR="004F5103" w:rsidRPr="008F1CB6" w:rsidRDefault="00957FF3" w:rsidP="004F5103">
      <w:pPr>
        <w:pStyle w:val="Standard"/>
        <w:spacing w:line="480" w:lineRule="auto"/>
        <w:ind w:firstLine="720"/>
      </w:pPr>
      <w:r w:rsidRPr="005B7071">
        <w:t>While A.P. Jackson’s identity has been lost to history, Elrick C. Cole was a lawyer, judge, bank president, politician, and land-agitator from Great Bend, Kansas, near the Kansas-Oklahoma border.</w:t>
      </w:r>
      <w:r w:rsidRPr="005B7071">
        <w:rPr>
          <w:rStyle w:val="FootnoteReference"/>
        </w:rPr>
        <w:footnoteReference w:id="56"/>
      </w:r>
      <w:r w:rsidRPr="005B7071">
        <w:t xml:space="preserve"> While Cole’s background explains the Boomer sentiment of the booklet, it does not explain why eight of the major landscape images in</w:t>
      </w:r>
      <w:r w:rsidR="00601231">
        <w:t>cluded</w:t>
      </w:r>
      <w:r w:rsidRPr="005B7071">
        <w:t xml:space="preserve"> actually depict scenes from Arkansas, Kansas, Illinois and Texas. Originally drawn by prolific Kansas artist Henry Worrall for </w:t>
      </w:r>
      <w:r w:rsidRPr="005B7071">
        <w:rPr>
          <w:i/>
        </w:rPr>
        <w:t>Historic Sketches of the Cattle Trade from the South and Southwest</w:t>
      </w:r>
      <w:r w:rsidRPr="005B7071">
        <w:t xml:space="preserve"> (1874), the publisher of both books, Ramsey, Millett &amp; Hudson of Kansas City, MO, seems to have repurposed the Worrall images, editing their captions and sizes.</w:t>
      </w:r>
      <w:r w:rsidRPr="005B7071">
        <w:rPr>
          <w:rStyle w:val="FootnoteReference"/>
        </w:rPr>
        <w:footnoteReference w:id="57"/>
      </w:r>
      <w:r w:rsidRPr="005B7071">
        <w:t xml:space="preserve"> </w:t>
      </w:r>
      <w:r w:rsidR="00601231">
        <w:t xml:space="preserve">No one, it seems, has noted this borrowing previously. </w:t>
      </w:r>
      <w:r w:rsidRPr="005B7071">
        <w:t xml:space="preserve">In one particularly interesting example, the publishers cut down “John Hittson’s Ranch on the Bijou, Colorado” to exclude a railroad going through the Colorado landscape. The resulting image, repurposed and re-titled </w:t>
      </w:r>
      <w:r w:rsidRPr="005B7071">
        <w:rPr>
          <w:i/>
        </w:rPr>
        <w:t xml:space="preserve">Royal Ranch in Oklahoma </w:t>
      </w:r>
      <w:r w:rsidRPr="005B7071">
        <w:t>(p.117), passes as an authentic image of Oklahoma to an au</w:t>
      </w:r>
      <w:r w:rsidRPr="008F1CB6">
        <w:t xml:space="preserve">dience </w:t>
      </w:r>
      <w:r w:rsidR="00601231" w:rsidRPr="008F1CB6">
        <w:t xml:space="preserve">with no </w:t>
      </w:r>
      <w:r w:rsidRPr="008F1CB6">
        <w:t>direct experience of the land</w:t>
      </w:r>
      <w:r w:rsidR="00546B23" w:rsidRPr="008F1CB6">
        <w:t xml:space="preserve"> (fig. 2.15</w:t>
      </w:r>
      <w:r w:rsidR="004F5103" w:rsidRPr="008F1CB6">
        <w:t>)</w:t>
      </w:r>
      <w:r w:rsidRPr="008F1CB6">
        <w:t>.</w:t>
      </w:r>
      <w:r w:rsidR="00FD7ADC">
        <w:rPr>
          <w:rStyle w:val="FootnoteReference"/>
        </w:rPr>
        <w:footnoteReference w:id="58"/>
      </w:r>
    </w:p>
    <w:p w14:paraId="7A2E0504" w14:textId="27C02AEC" w:rsidR="00957FF3" w:rsidRPr="005B7071" w:rsidRDefault="00957FF3" w:rsidP="004F5103">
      <w:pPr>
        <w:pStyle w:val="Standard"/>
        <w:spacing w:line="480" w:lineRule="auto"/>
        <w:ind w:firstLine="720"/>
      </w:pPr>
      <w:r w:rsidRPr="008F1CB6">
        <w:t>On the one hand, the origin of these images works to undercut the authority of the very book they illustrate. In image and in text, the book is at pains to portray Indian Territory as a benign, Indian-free arcadia</w:t>
      </w:r>
      <w:r w:rsidR="00157118">
        <w:t>,</w:t>
      </w:r>
      <w:r w:rsidR="00601231" w:rsidRPr="008F1CB6">
        <w:t xml:space="preserve"> </w:t>
      </w:r>
      <w:r w:rsidR="00157118">
        <w:t xml:space="preserve">though </w:t>
      </w:r>
      <w:r w:rsidRPr="008F1CB6">
        <w:t xml:space="preserve">the land was </w:t>
      </w:r>
      <w:r w:rsidR="00601231" w:rsidRPr="008F1CB6">
        <w:t xml:space="preserve">in fact </w:t>
      </w:r>
      <w:r w:rsidRPr="008F1CB6">
        <w:t>inhabited by more than 70,000 Indians under the full</w:t>
      </w:r>
      <w:r w:rsidRPr="005B7071">
        <w:t xml:space="preserve"> control of </w:t>
      </w:r>
      <w:r w:rsidR="00601231">
        <w:t>n</w:t>
      </w:r>
      <w:r w:rsidRPr="005B7071">
        <w:t>either the U</w:t>
      </w:r>
      <w:r w:rsidR="009803B3">
        <w:t>.</w:t>
      </w:r>
      <w:r w:rsidRPr="005B7071">
        <w:t>S</w:t>
      </w:r>
      <w:r w:rsidR="009803B3">
        <w:t>.</w:t>
      </w:r>
      <w:r w:rsidRPr="005B7071">
        <w:t xml:space="preserve"> military </w:t>
      </w:r>
      <w:r w:rsidR="00601231">
        <w:t>n</w:t>
      </w:r>
      <w:r w:rsidRPr="005B7071">
        <w:t xml:space="preserve">or various Indian tribes. If these images had been </w:t>
      </w:r>
      <w:r w:rsidR="00601231">
        <w:t xml:space="preserve">more accurately </w:t>
      </w:r>
      <w:r w:rsidRPr="005B7071">
        <w:t xml:space="preserve">titled and cited, they would </w:t>
      </w:r>
      <w:r w:rsidR="00601231">
        <w:t xml:space="preserve">have lost </w:t>
      </w:r>
      <w:r w:rsidRPr="005B7071">
        <w:t>their authority as authentic descriptions of the land settlers might encounter. The mislabeling sells the book’s central premise of available, fecund, Indian-free land. On the other hand, the mislabeling servers another purpose – it provides a forward-looking image of what Indian Territory could be under U</w:t>
      </w:r>
      <w:r w:rsidR="00601231">
        <w:t>.</w:t>
      </w:r>
      <w:r w:rsidRPr="005B7071">
        <w:t>S</w:t>
      </w:r>
      <w:r w:rsidR="00601231">
        <w:t>.</w:t>
      </w:r>
      <w:r w:rsidRPr="005B7071">
        <w:t xml:space="preserve"> rule – productive farm and ranch land under the protection of the </w:t>
      </w:r>
      <w:r w:rsidR="00E7417C">
        <w:t>U.S</w:t>
      </w:r>
      <w:r w:rsidR="00601231">
        <w:t>. military</w:t>
      </w:r>
      <w:r w:rsidRPr="005B7071">
        <w:t xml:space="preserve"> with minimal input or interference from Indians. From an ideological point of view, there was no downside to the deception. If readers accepted the images as authentic, they would easily accept the underlying premise the publishers wished to advance. If readers recognized the images as from other states, it would only reinforce their sense of the potential of Indian territory.</w:t>
      </w:r>
    </w:p>
    <w:p w14:paraId="52835467" w14:textId="0638B205" w:rsidR="00957FF3" w:rsidRDefault="00957FF3" w:rsidP="00957FF3">
      <w:pPr>
        <w:ind w:firstLine="720"/>
        <w:rPr>
          <w:bCs/>
        </w:rPr>
      </w:pPr>
      <w:r w:rsidRPr="005B7071">
        <w:t>Such borrowings underscored the transformative possibilities Boomers saw in opening the Territory. The ideological purpose of these im</w:t>
      </w:r>
      <w:r w:rsidR="00601231">
        <w:t>ages was reinforced by the book</w:t>
      </w:r>
      <w:r w:rsidRPr="005B7071">
        <w:t xml:space="preserve"> design. The images </w:t>
      </w:r>
      <w:r w:rsidR="001F6BB4">
        <w:t xml:space="preserve">focus on </w:t>
      </w:r>
      <w:r w:rsidRPr="005B7071">
        <w:rPr>
          <w:bCs/>
        </w:rPr>
        <w:t xml:space="preserve">single vignettes </w:t>
      </w:r>
      <w:r w:rsidR="001F6BB4">
        <w:rPr>
          <w:bCs/>
        </w:rPr>
        <w:t xml:space="preserve">of land </w:t>
      </w:r>
      <w:r w:rsidRPr="005B7071">
        <w:rPr>
          <w:bCs/>
        </w:rPr>
        <w:t xml:space="preserve">surrounded by oceans of text, separated physically from other images, surrounded by graphic frames, and </w:t>
      </w:r>
      <w:r w:rsidR="001F6BB4">
        <w:rPr>
          <w:bCs/>
        </w:rPr>
        <w:t xml:space="preserve">thus </w:t>
      </w:r>
      <w:r w:rsidRPr="005B7071">
        <w:rPr>
          <w:bCs/>
        </w:rPr>
        <w:t>presented as a discreet</w:t>
      </w:r>
      <w:r w:rsidR="001F6BB4">
        <w:rPr>
          <w:bCs/>
        </w:rPr>
        <w:t xml:space="preserve"> from each other. </w:t>
      </w:r>
      <w:r w:rsidR="00601231">
        <w:rPr>
          <w:bCs/>
        </w:rPr>
        <w:t xml:space="preserve">In this way, </w:t>
      </w:r>
      <w:r w:rsidRPr="005B7071">
        <w:rPr>
          <w:bCs/>
        </w:rPr>
        <w:t>the images offer a visual equivalency to allotment, the U.S. government policy that stripped Indian Nations of communally held lands, corroded Native sovereignty, cut up the land, and ultimately destroyed Nations.</w:t>
      </w:r>
      <w:r w:rsidRPr="005B7071">
        <w:rPr>
          <w:rStyle w:val="FootnoteReference"/>
        </w:rPr>
        <w:footnoteReference w:id="59"/>
      </w:r>
    </w:p>
    <w:p w14:paraId="1C86BDAC" w14:textId="3DF7DAEB" w:rsidR="00957FF3" w:rsidRPr="005B7071" w:rsidRDefault="00957FF3" w:rsidP="00260473">
      <w:pPr>
        <w:jc w:val="center"/>
        <w:rPr>
          <w:b/>
        </w:rPr>
      </w:pPr>
      <w:r w:rsidRPr="005B7071">
        <w:rPr>
          <w:b/>
        </w:rPr>
        <w:t>The Art of Resistance: Indian Territory Press and Silver Horn</w:t>
      </w:r>
    </w:p>
    <w:p w14:paraId="7827220F" w14:textId="7825C2C5" w:rsidR="00957FF3" w:rsidRPr="005B7071" w:rsidRDefault="00957FF3" w:rsidP="00957FF3">
      <w:pPr>
        <w:spacing w:after="200"/>
        <w:ind w:firstLine="720"/>
        <w:rPr>
          <w:shd w:val="clear" w:color="auto" w:fill="FFFFFF"/>
        </w:rPr>
      </w:pPr>
      <w:r w:rsidRPr="005B7071">
        <w:rPr>
          <w:shd w:val="clear" w:color="auto" w:fill="FFFFFF"/>
        </w:rPr>
        <w:t xml:space="preserve">The ideological claims made in </w:t>
      </w:r>
      <w:r w:rsidRPr="005B7071">
        <w:rPr>
          <w:i/>
          <w:shd w:val="clear" w:color="auto" w:fill="FFFFFF"/>
        </w:rPr>
        <w:t>Oklahoma</w:t>
      </w:r>
      <w:r w:rsidRPr="005B7071">
        <w:rPr>
          <w:shd w:val="clear" w:color="auto" w:fill="FFFFFF"/>
        </w:rPr>
        <w:t xml:space="preserve"> were by no means universally accepted</w:t>
      </w:r>
      <w:r w:rsidR="001F6BB4">
        <w:rPr>
          <w:shd w:val="clear" w:color="auto" w:fill="FFFFFF"/>
        </w:rPr>
        <w:t xml:space="preserve">. The </w:t>
      </w:r>
      <w:r w:rsidRPr="005B7071">
        <w:rPr>
          <w:shd w:val="clear" w:color="auto" w:fill="FFFFFF"/>
        </w:rPr>
        <w:t xml:space="preserve">seeming inevitability of white settlement was a tool used in the pursuit of colonialism. Pro-settler sentiment most often, and most forcefully, met resistance in the pages of Indian newspapers. By the mid-1880s, a number of Indian nations produced newspapers. Of these, the </w:t>
      </w:r>
      <w:r w:rsidRPr="005B7071">
        <w:rPr>
          <w:i/>
          <w:shd w:val="clear" w:color="auto" w:fill="FFFFFF"/>
        </w:rPr>
        <w:t>Cherokee Advocate</w:t>
      </w:r>
      <w:r w:rsidRPr="005B7071">
        <w:rPr>
          <w:shd w:val="clear" w:color="auto" w:fill="FFFFFF"/>
        </w:rPr>
        <w:t xml:space="preserve"> was the oldest and most influential. The </w:t>
      </w:r>
      <w:r w:rsidRPr="005B7071">
        <w:rPr>
          <w:i/>
          <w:shd w:val="clear" w:color="auto" w:fill="FFFFFF"/>
        </w:rPr>
        <w:t>Advocate</w:t>
      </w:r>
      <w:r w:rsidRPr="005B7071">
        <w:rPr>
          <w:shd w:val="clear" w:color="auto" w:fill="FFFFFF"/>
        </w:rPr>
        <w:t xml:space="preserve"> was the heir of the </w:t>
      </w:r>
      <w:r w:rsidRPr="005B7071">
        <w:rPr>
          <w:i/>
          <w:shd w:val="clear" w:color="auto" w:fill="FFFFFF"/>
        </w:rPr>
        <w:t>Cherokee Phoenix</w:t>
      </w:r>
      <w:r w:rsidRPr="005B7071">
        <w:rPr>
          <w:shd w:val="clear" w:color="auto" w:fill="FFFFFF"/>
        </w:rPr>
        <w:t>, first published in 1828 in pre-removal Cherokee lands in Georgia, and was a joint effort between Christian missionaries and the Cherokee Elias Boudinot, the first Native American newspaper publisher and editor</w:t>
      </w:r>
      <w:r w:rsidR="00E7417C">
        <w:rPr>
          <w:shd w:val="clear" w:color="auto" w:fill="FFFFFF"/>
        </w:rPr>
        <w:t xml:space="preserve"> in history</w:t>
      </w:r>
      <w:r w:rsidRPr="005B7071">
        <w:rPr>
          <w:shd w:val="clear" w:color="auto" w:fill="FFFFFF"/>
        </w:rPr>
        <w:t xml:space="preserve">. The </w:t>
      </w:r>
      <w:r w:rsidRPr="005B7071">
        <w:rPr>
          <w:i/>
          <w:shd w:val="clear" w:color="auto" w:fill="FFFFFF"/>
        </w:rPr>
        <w:t>Phoenix</w:t>
      </w:r>
      <w:r w:rsidRPr="005B7071">
        <w:rPr>
          <w:shd w:val="clear" w:color="auto" w:fill="FFFFFF"/>
        </w:rPr>
        <w:t xml:space="preserve"> masthead consisted of a phoenix rising from the ashes, an </w:t>
      </w:r>
      <w:r w:rsidRPr="00151CC9">
        <w:rPr>
          <w:shd w:val="clear" w:color="auto" w:fill="FFFFFF"/>
        </w:rPr>
        <w:t>apt allusion to Cherokee surv</w:t>
      </w:r>
      <w:r w:rsidR="007B2A00" w:rsidRPr="00151CC9">
        <w:rPr>
          <w:shd w:val="clear" w:color="auto" w:fill="FFFFFF"/>
        </w:rPr>
        <w:t>ival and r</w:t>
      </w:r>
      <w:r w:rsidR="00546B23" w:rsidRPr="00151CC9">
        <w:rPr>
          <w:shd w:val="clear" w:color="auto" w:fill="FFFFFF"/>
        </w:rPr>
        <w:t>ebirth amid hardships (fig. 2.1</w:t>
      </w:r>
      <w:r w:rsidR="00DE76A3">
        <w:rPr>
          <w:shd w:val="clear" w:color="auto" w:fill="FFFFFF"/>
        </w:rPr>
        <w:t>6</w:t>
      </w:r>
      <w:r w:rsidR="007B2A00" w:rsidRPr="00151CC9">
        <w:rPr>
          <w:shd w:val="clear" w:color="auto" w:fill="FFFFFF"/>
        </w:rPr>
        <w:t>).</w:t>
      </w:r>
      <w:r w:rsidRPr="00151CC9">
        <w:rPr>
          <w:shd w:val="clear" w:color="auto" w:fill="FFFFFF"/>
        </w:rPr>
        <w:t xml:space="preserve"> Like the newspaper, the iconography is bicultural; it relates both to the mythical regenerati</w:t>
      </w:r>
      <w:r w:rsidRPr="005B7071">
        <w:rPr>
          <w:shd w:val="clear" w:color="auto" w:fill="FFFFFF"/>
        </w:rPr>
        <w:t>ve Greco-Roman / Christian bird as well as to the sacred fire of the Cherokee origin story.</w:t>
      </w:r>
      <w:r w:rsidRPr="005B7071">
        <w:rPr>
          <w:rStyle w:val="FootnoteReference"/>
          <w:shd w:val="clear" w:color="auto" w:fill="FFFFFF"/>
        </w:rPr>
        <w:footnoteReference w:id="60"/>
      </w:r>
    </w:p>
    <w:p w14:paraId="10528A98" w14:textId="4B487714" w:rsidR="00957FF3" w:rsidRPr="005B7071" w:rsidRDefault="00957FF3" w:rsidP="00957FF3">
      <w:pPr>
        <w:spacing w:after="200"/>
        <w:ind w:firstLine="720"/>
      </w:pPr>
      <w:r w:rsidRPr="005B7071">
        <w:rPr>
          <w:shd w:val="clear" w:color="auto" w:fill="FFFFFF"/>
        </w:rPr>
        <w:t xml:space="preserve">Boudinot served as editor of the </w:t>
      </w:r>
      <w:r w:rsidRPr="005B7071">
        <w:rPr>
          <w:i/>
          <w:shd w:val="clear" w:color="auto" w:fill="FFFFFF"/>
        </w:rPr>
        <w:t>Phoenix</w:t>
      </w:r>
      <w:r w:rsidRPr="005B7071">
        <w:rPr>
          <w:shd w:val="clear" w:color="auto" w:fill="FFFFFF"/>
        </w:rPr>
        <w:t xml:space="preserve"> from 1828</w:t>
      </w:r>
      <w:r w:rsidR="00E7417C">
        <w:rPr>
          <w:shd w:val="clear" w:color="auto" w:fill="FFFFFF"/>
        </w:rPr>
        <w:t xml:space="preserve"> until </w:t>
      </w:r>
      <w:r w:rsidRPr="005B7071">
        <w:rPr>
          <w:shd w:val="clear" w:color="auto" w:fill="FFFFFF"/>
        </w:rPr>
        <w:t>1834</w:t>
      </w:r>
      <w:r w:rsidR="00E7417C">
        <w:rPr>
          <w:shd w:val="clear" w:color="auto" w:fill="FFFFFF"/>
        </w:rPr>
        <w:t>,</w:t>
      </w:r>
      <w:r w:rsidRPr="005B7071">
        <w:rPr>
          <w:shd w:val="clear" w:color="auto" w:fill="FFFFFF"/>
        </w:rPr>
        <w:t xml:space="preserve"> when the paper ceased production amid mounting pressure on the Cherokee nation to relocate to Indian Territory. Boudinot, a mixed-blood Cherokee who married into a prosperous Connecticut family, believed that Cherokee removal was inevitable, a position that put him in opposition with many Cherokee citizens, most notably Principal Chief John Ross. In 1835, Boudinot and other Cherokee leaders signed the Treaty of New Echota, which ceded all Cherokee lands in the Southeast to the United States, and ultimately became the legal basis for Cherokee removal and the subsequent Trail of Tears. </w:t>
      </w:r>
      <w:r w:rsidR="001F6BB4">
        <w:rPr>
          <w:shd w:val="clear" w:color="auto" w:fill="FFFFFF"/>
        </w:rPr>
        <w:t xml:space="preserve">That </w:t>
      </w:r>
      <w:r w:rsidRPr="005B7071">
        <w:rPr>
          <w:shd w:val="clear" w:color="auto" w:fill="FFFFFF"/>
        </w:rPr>
        <w:t xml:space="preserve">signature cost him his life. Shortly after relocating to Indian Territory, in 1839, </w:t>
      </w:r>
      <w:r w:rsidRPr="005B7071">
        <w:rPr>
          <w:rFonts w:cs="Arial"/>
          <w:color w:val="252525"/>
          <w:shd w:val="clear" w:color="auto" w:fill="FFFFFF"/>
        </w:rPr>
        <w:t>John Ridge, Major Ridge, and Elias Boudinot, three leaders of the Treaty Party, were a</w:t>
      </w:r>
      <w:r w:rsidRPr="005B7071">
        <w:rPr>
          <w:shd w:val="clear" w:color="auto" w:fill="FFFFFF"/>
        </w:rPr>
        <w:t>ssassinated by members of Ross’s National Party.</w:t>
      </w:r>
      <w:r w:rsidRPr="005B7071">
        <w:rPr>
          <w:rStyle w:val="FootnoteReference"/>
          <w:shd w:val="clear" w:color="auto" w:fill="FFFFFF"/>
        </w:rPr>
        <w:footnoteReference w:id="61"/>
      </w:r>
    </w:p>
    <w:p w14:paraId="499BA77C" w14:textId="53C90E75" w:rsidR="00957FF3" w:rsidRPr="005B7071" w:rsidRDefault="00957FF3" w:rsidP="00957FF3">
      <w:pPr>
        <w:spacing w:after="200"/>
        <w:ind w:firstLine="720"/>
      </w:pPr>
      <w:r w:rsidRPr="005B7071">
        <w:rPr>
          <w:shd w:val="clear" w:color="auto" w:fill="FFFFFF"/>
        </w:rPr>
        <w:t xml:space="preserve">In spite of his premature death, Boudinot had set in motion an important precedent with the </w:t>
      </w:r>
      <w:r w:rsidRPr="005B7071">
        <w:rPr>
          <w:i/>
          <w:shd w:val="clear" w:color="auto" w:fill="FFFFFF"/>
        </w:rPr>
        <w:t>Phoenix</w:t>
      </w:r>
      <w:r w:rsidRPr="005B7071">
        <w:rPr>
          <w:shd w:val="clear" w:color="auto" w:fill="FFFFFF"/>
        </w:rPr>
        <w:t xml:space="preserve">. In 1844, under the leadership of editor William Potter Ross, nephew of John Ross, the </w:t>
      </w:r>
      <w:r w:rsidRPr="005B7071">
        <w:rPr>
          <w:i/>
          <w:shd w:val="clear" w:color="auto" w:fill="FFFFFF"/>
        </w:rPr>
        <w:t>Cherokee Phoenix</w:t>
      </w:r>
      <w:r w:rsidRPr="005B7071">
        <w:rPr>
          <w:shd w:val="clear" w:color="auto" w:fill="FFFFFF"/>
        </w:rPr>
        <w:t xml:space="preserve"> was reborn as the </w:t>
      </w:r>
      <w:r w:rsidRPr="005B7071">
        <w:rPr>
          <w:i/>
          <w:shd w:val="clear" w:color="auto" w:fill="FFFFFF"/>
        </w:rPr>
        <w:t>Cherokee Advocate</w:t>
      </w:r>
      <w:r w:rsidRPr="005B7071">
        <w:rPr>
          <w:shd w:val="clear" w:color="auto" w:fill="FFFFFF"/>
        </w:rPr>
        <w:t xml:space="preserve">. </w:t>
      </w:r>
      <w:r w:rsidR="001F6BB4">
        <w:rPr>
          <w:shd w:val="clear" w:color="auto" w:fill="FFFFFF"/>
        </w:rPr>
        <w:t>W</w:t>
      </w:r>
      <w:r w:rsidRPr="005B7071">
        <w:rPr>
          <w:shd w:val="clear" w:color="auto" w:fill="FFFFFF"/>
        </w:rPr>
        <w:t xml:space="preserve">ritten in English and in </w:t>
      </w:r>
      <w:r w:rsidRPr="005B7071">
        <w:t>Sequoyah’s</w:t>
      </w:r>
      <w:r w:rsidRPr="005B7071">
        <w:rPr>
          <w:shd w:val="clear" w:color="auto" w:fill="FFFFFF"/>
        </w:rPr>
        <w:t xml:space="preserve"> Cherokee syllabary,</w:t>
      </w:r>
      <w:r w:rsidRPr="005B7071">
        <w:rPr>
          <w:rStyle w:val="FootnoteReference"/>
        </w:rPr>
        <w:t xml:space="preserve"> </w:t>
      </w:r>
      <w:r w:rsidRPr="005B7071">
        <w:rPr>
          <w:rStyle w:val="FootnoteReference"/>
        </w:rPr>
        <w:footnoteReference w:id="62"/>
      </w:r>
      <w:r w:rsidRPr="005B7071">
        <w:rPr>
          <w:shd w:val="clear" w:color="auto" w:fill="FFFFFF"/>
        </w:rPr>
        <w:t xml:space="preserve"> </w:t>
      </w:r>
      <w:r w:rsidRPr="005B7071">
        <w:t xml:space="preserve">a powerful symbol of national identity to Cherokees, </w:t>
      </w:r>
      <w:r w:rsidR="001F6BB4">
        <w:t xml:space="preserve">the </w:t>
      </w:r>
      <w:r w:rsidR="001F6BB4" w:rsidRPr="001F6BB4">
        <w:rPr>
          <w:i/>
        </w:rPr>
        <w:t>Advocate</w:t>
      </w:r>
      <w:r w:rsidR="001F6BB4">
        <w:t xml:space="preserve"> </w:t>
      </w:r>
      <w:r w:rsidRPr="005B7071">
        <w:t>was the primary way the Cherokee Nation shared information with its people for more than 60 years (1844-1906).</w:t>
      </w:r>
      <w:r w:rsidRPr="005B7071">
        <w:rPr>
          <w:rStyle w:val="FootnoteReference"/>
          <w:shd w:val="clear" w:color="auto" w:fill="FFFFFF"/>
        </w:rPr>
        <w:footnoteReference w:id="63"/>
      </w:r>
      <w:r w:rsidRPr="005B7071">
        <w:rPr>
          <w:shd w:val="clear" w:color="auto" w:fill="FFFFFF"/>
        </w:rPr>
        <w:t xml:space="preserve"> The</w:t>
      </w:r>
      <w:r w:rsidR="001F6BB4">
        <w:rPr>
          <w:shd w:val="clear" w:color="auto" w:fill="FFFFFF"/>
        </w:rPr>
        <w:t xml:space="preserve"> paper </w:t>
      </w:r>
      <w:r w:rsidRPr="00151CC9">
        <w:rPr>
          <w:shd w:val="clear" w:color="auto" w:fill="FFFFFF"/>
        </w:rPr>
        <w:t>covered many topics, from goods for sale to the law</w:t>
      </w:r>
      <w:r w:rsidR="00E7417C" w:rsidRPr="00151CC9">
        <w:rPr>
          <w:shd w:val="clear" w:color="auto" w:fill="FFFFFF"/>
        </w:rPr>
        <w:t xml:space="preserve">s of the </w:t>
      </w:r>
      <w:r w:rsidR="001F6BB4">
        <w:rPr>
          <w:shd w:val="clear" w:color="auto" w:fill="FFFFFF"/>
        </w:rPr>
        <w:t xml:space="preserve">Cherokee </w:t>
      </w:r>
      <w:r w:rsidR="00E7417C" w:rsidRPr="00151CC9">
        <w:rPr>
          <w:shd w:val="clear" w:color="auto" w:fill="FFFFFF"/>
        </w:rPr>
        <w:t>Nation to local gossip</w:t>
      </w:r>
      <w:r w:rsidRPr="00151CC9">
        <w:rPr>
          <w:shd w:val="clear" w:color="auto" w:fill="FFFFFF"/>
        </w:rPr>
        <w:t xml:space="preserve"> </w:t>
      </w:r>
      <w:r w:rsidR="00DE76A3">
        <w:rPr>
          <w:shd w:val="clear" w:color="auto" w:fill="FFFFFF"/>
        </w:rPr>
        <w:t>(fig. 2.17</w:t>
      </w:r>
      <w:r w:rsidR="00E7417C" w:rsidRPr="00151CC9">
        <w:rPr>
          <w:shd w:val="clear" w:color="auto" w:fill="FFFFFF"/>
        </w:rPr>
        <w:t xml:space="preserve">). </w:t>
      </w:r>
      <w:r w:rsidRPr="00151CC9">
        <w:rPr>
          <w:shd w:val="clear" w:color="auto" w:fill="FFFFFF"/>
        </w:rPr>
        <w:t>The newspaper</w:t>
      </w:r>
      <w:r w:rsidR="00E7417C" w:rsidRPr="00151CC9">
        <w:rPr>
          <w:shd w:val="clear" w:color="auto" w:fill="FFFFFF"/>
        </w:rPr>
        <w:t xml:space="preserve"> was </w:t>
      </w:r>
      <w:r w:rsidRPr="00151CC9">
        <w:rPr>
          <w:shd w:val="clear" w:color="auto" w:fill="FFFFFF"/>
        </w:rPr>
        <w:t xml:space="preserve">produced for </w:t>
      </w:r>
      <w:r w:rsidRPr="00151CC9">
        <w:t>two d</w:t>
      </w:r>
      <w:r w:rsidR="00E7417C" w:rsidRPr="00151CC9">
        <w:t xml:space="preserve">istinct publics, those at home, </w:t>
      </w:r>
      <w:r w:rsidRPr="00151CC9">
        <w:t>Chero</w:t>
      </w:r>
      <w:r w:rsidRPr="005B7071">
        <w:t>kees</w:t>
      </w:r>
      <w:r w:rsidR="00E7417C">
        <w:t>,</w:t>
      </w:r>
      <w:r w:rsidRPr="005B7071">
        <w:t xml:space="preserve"> and those at a distance, i.e., Euro-Americans.</w:t>
      </w:r>
      <w:r w:rsidRPr="005B7071">
        <w:rPr>
          <w:rStyle w:val="FootnoteReference"/>
        </w:rPr>
        <w:footnoteReference w:id="64"/>
      </w:r>
      <w:r w:rsidRPr="005B7071">
        <w:t xml:space="preserve"> The combination of Cherokee and Euro-American signatories printed side-by-side in a Native-published paper created a “bicultural public sphere” from which Cherokee editors hoped to shape and influence public opinion and defend and protect Cherokee rights.</w:t>
      </w:r>
      <w:r w:rsidRPr="005B7071">
        <w:rPr>
          <w:rStyle w:val="FootnoteReference"/>
        </w:rPr>
        <w:footnoteReference w:id="65"/>
      </w:r>
      <w:r w:rsidRPr="005B7071">
        <w:t xml:space="preserve"> Moreover, according to </w:t>
      </w:r>
      <w:r w:rsidR="001F6BB4">
        <w:t xml:space="preserve">historian </w:t>
      </w:r>
      <w:r w:rsidRPr="005B7071">
        <w:t>Phillip Round, print culture in the nineteenth century provided “Native authors and their communities with a much needed weapon in their battles against relocation, allotment, and cultural erasure.”</w:t>
      </w:r>
      <w:r w:rsidRPr="005B7071">
        <w:rPr>
          <w:rStyle w:val="FootnoteReference"/>
        </w:rPr>
        <w:footnoteReference w:id="66"/>
      </w:r>
    </w:p>
    <w:p w14:paraId="2AEBC4AF" w14:textId="77777777" w:rsidR="00614185" w:rsidRDefault="00614185" w:rsidP="00260473">
      <w:pPr>
        <w:jc w:val="center"/>
        <w:rPr>
          <w:b/>
        </w:rPr>
      </w:pPr>
    </w:p>
    <w:p w14:paraId="737517B6" w14:textId="7D7C76F0" w:rsidR="00957FF3" w:rsidRPr="005B7071" w:rsidRDefault="00957FF3" w:rsidP="00260473">
      <w:pPr>
        <w:jc w:val="center"/>
        <w:rPr>
          <w:b/>
        </w:rPr>
      </w:pPr>
      <w:r w:rsidRPr="005B7071">
        <w:rPr>
          <w:b/>
        </w:rPr>
        <w:t xml:space="preserve">The </w:t>
      </w:r>
      <w:r w:rsidRPr="005B7071">
        <w:rPr>
          <w:b/>
          <w:i/>
        </w:rPr>
        <w:t>Cherokee Advocate</w:t>
      </w:r>
      <w:r w:rsidRPr="005B7071">
        <w:rPr>
          <w:b/>
        </w:rPr>
        <w:t>: Shaping Public Opinion</w:t>
      </w:r>
    </w:p>
    <w:p w14:paraId="6E1B8EE2" w14:textId="062D9C85" w:rsidR="00957FF3" w:rsidRPr="005B7071" w:rsidRDefault="00957FF3" w:rsidP="00676C03">
      <w:pPr>
        <w:ind w:firstLine="720"/>
      </w:pPr>
      <w:r w:rsidRPr="005B7071">
        <w:t xml:space="preserve">One way the </w:t>
      </w:r>
      <w:r w:rsidRPr="005B7071">
        <w:rPr>
          <w:i/>
        </w:rPr>
        <w:t>Advocate</w:t>
      </w:r>
      <w:r w:rsidRPr="005B7071">
        <w:t xml:space="preserve"> tried to influence public opinion was by publishing the views of </w:t>
      </w:r>
      <w:r w:rsidR="001F6BB4">
        <w:t xml:space="preserve">individual </w:t>
      </w:r>
      <w:r w:rsidRPr="005B7071">
        <w:t xml:space="preserve">Cherokee citizens, many of whom expressed ideas that contradicted popular sentiment outside of Indian Territory. Many Cherokee used the </w:t>
      </w:r>
      <w:r w:rsidRPr="005B7071">
        <w:rPr>
          <w:i/>
        </w:rPr>
        <w:t>Advocate</w:t>
      </w:r>
      <w:r w:rsidRPr="005B7071">
        <w:t xml:space="preserve"> platform to argue that their society was the equal of American and European societies. In 1884, Edward A. Burke, the Director General of the 1884-1885 New Orleans World Cotton Centennial Fair, invited W.A. Duncan, a teacher from the Cherokee Nation, to submit Cherokee Nation educational displays</w:t>
      </w:r>
      <w:r w:rsidR="001F6BB4">
        <w:t>.</w:t>
      </w:r>
      <w:r w:rsidRPr="005B7071">
        <w:rPr>
          <w:rStyle w:val="FootnoteReference"/>
        </w:rPr>
        <w:footnoteReference w:id="67"/>
      </w:r>
      <w:r w:rsidRPr="005B7071">
        <w:t xml:space="preserve"> Burke’s invitation included a requirement that the Cherokee Nation appropriate some funds toward fabrication and transportation of the displays</w:t>
      </w:r>
      <w:r w:rsidR="001F6BB4">
        <w:t>, which were</w:t>
      </w:r>
      <w:r w:rsidRPr="005B7071">
        <w:t xml:space="preserve"> to </w:t>
      </w:r>
      <w:r w:rsidR="001F6BB4">
        <w:t xml:space="preserve">be exhibited </w:t>
      </w:r>
      <w:r w:rsidRPr="005B7071">
        <w:t>from Dec</w:t>
      </w:r>
      <w:r w:rsidR="00614185">
        <w:t>ember 16, 1884 to June 2, 1885.</w:t>
      </w:r>
    </w:p>
    <w:p w14:paraId="3245785A" w14:textId="32ECACB0" w:rsidR="00957FF3" w:rsidRPr="005B7071" w:rsidRDefault="00957FF3" w:rsidP="00957FF3">
      <w:pPr>
        <w:spacing w:after="200"/>
        <w:ind w:firstLine="720"/>
      </w:pPr>
      <w:r w:rsidRPr="005B7071">
        <w:t xml:space="preserve">Early in 1885, Duncan wrote a lengthy plea to the </w:t>
      </w:r>
      <w:r w:rsidRPr="005B7071">
        <w:rPr>
          <w:i/>
        </w:rPr>
        <w:t xml:space="preserve">Advocate </w:t>
      </w:r>
      <w:r w:rsidRPr="005B7071">
        <w:t>urging the Cherokee Nation to appropriate the nece</w:t>
      </w:r>
      <w:r w:rsidR="00614185">
        <w:t>ssary funds. Duncan argued that</w:t>
      </w:r>
    </w:p>
    <w:p w14:paraId="2E26DF1A" w14:textId="34DA0100" w:rsidR="00957FF3" w:rsidRPr="005B7071" w:rsidRDefault="00957FF3" w:rsidP="00546B23">
      <w:pPr>
        <w:pStyle w:val="NoSpacing"/>
        <w:ind w:left="720"/>
        <w:rPr>
          <w:szCs w:val="24"/>
        </w:rPr>
      </w:pPr>
      <w:r w:rsidRPr="005B7071">
        <w:t xml:space="preserve">it would be beneficial to the Cherokee Nation to have its educational exhibits displayed there by the side of those of those from all the states of the United States as well as from Europe and other parts of the world. Such a measure would have placed the Cherokee Nation in company with the great commonwealth of polite nations. </w:t>
      </w:r>
      <w:r w:rsidRPr="005B7071">
        <w:rPr>
          <w:i/>
        </w:rPr>
        <w:t>The moral effects of such association would, in the end, do more for the support and perpetuation of our national existence than can possibly be done by legislation, diplomacy or such defense as even the Chieftain may be able to make.</w:t>
      </w:r>
      <w:r w:rsidRPr="005B7071">
        <w:t xml:space="preserve"> [emphasis added]. Legislation is good, but without prevenient sentiment out of which to make law, law becomes gossamer. [. . . ] </w:t>
      </w:r>
      <w:r w:rsidRPr="005B7071">
        <w:rPr>
          <w:szCs w:val="24"/>
        </w:rPr>
        <w:t>It is a wall of sentiment which the Cherokee Nation needs for its protection, and, from the conditions of the case the Cherokee Nation is compelled to assist the civilization of the age in making that wall, or suffer the consequences of its own indiscreetness.</w:t>
      </w:r>
      <w:r w:rsidRPr="005B7071">
        <w:rPr>
          <w:rStyle w:val="FootnoteReference"/>
        </w:rPr>
        <w:footnoteReference w:id="68"/>
      </w:r>
    </w:p>
    <w:p w14:paraId="5C3BB4B7" w14:textId="77777777" w:rsidR="006E0E19" w:rsidRDefault="006E0E19" w:rsidP="006E0E19">
      <w:pPr>
        <w:pStyle w:val="NoSpacing"/>
      </w:pPr>
    </w:p>
    <w:p w14:paraId="390EC5F7" w14:textId="7E7026E5" w:rsidR="00957FF3" w:rsidRPr="005B7071" w:rsidRDefault="00957FF3" w:rsidP="007D753B">
      <w:pPr>
        <w:rPr>
          <w:b/>
        </w:rPr>
      </w:pPr>
      <w:r w:rsidRPr="005B7071">
        <w:t>That Duncan felt Cherokee educational displays at the World’s Fair “would, in the end, do more for the support and perpetuation of our national existence than can possibly be done by legislation (or)</w:t>
      </w:r>
      <w:r w:rsidR="00E3790B" w:rsidRPr="005B7071">
        <w:t xml:space="preserve"> </w:t>
      </w:r>
      <w:r w:rsidRPr="005B7071">
        <w:t>diplomacy” speaks volumes. Duncan understood that survival depended on more than laws and treaties, which become “gossamer.” Rather, the Cherokee needed “sentiment</w:t>
      </w:r>
      <w:r w:rsidR="001F6BB4">
        <w:t>,</w:t>
      </w:r>
      <w:r w:rsidRPr="005B7071">
        <w:t>” the basis of ideology, on their side.</w:t>
      </w:r>
    </w:p>
    <w:p w14:paraId="2882F715" w14:textId="7606E8ED" w:rsidR="007D753B" w:rsidRDefault="00957FF3" w:rsidP="00676C03">
      <w:pPr>
        <w:ind w:firstLine="720"/>
      </w:pPr>
      <w:r w:rsidRPr="005B7071">
        <w:t xml:space="preserve">The </w:t>
      </w:r>
      <w:r w:rsidRPr="005B7071">
        <w:rPr>
          <w:i/>
        </w:rPr>
        <w:t>Advocate</w:t>
      </w:r>
      <w:r w:rsidRPr="005B7071">
        <w:t xml:space="preserve"> also offered Cherokees a platform to defend their people and their culture from outsider attacks. In one such example, a Cherokee wrote to the </w:t>
      </w:r>
      <w:r w:rsidRPr="005B7071">
        <w:rPr>
          <w:i/>
        </w:rPr>
        <w:t>Advocate</w:t>
      </w:r>
      <w:r w:rsidRPr="005B7071">
        <w:t xml:space="preserve"> to expresses disappointment in an article written by Gen. Nathan Reaves published in the </w:t>
      </w:r>
      <w:r w:rsidRPr="005B7071">
        <w:rPr>
          <w:i/>
        </w:rPr>
        <w:t>New York Herald</w:t>
      </w:r>
      <w:r w:rsidRPr="005B7071">
        <w:t>. The author su</w:t>
      </w:r>
      <w:r w:rsidR="001F6BB4">
        <w:t>mmarized</w:t>
      </w:r>
      <w:r w:rsidR="00676C03">
        <w:t xml:space="preserve"> Reaves’ position</w:t>
      </w:r>
      <w:r w:rsidR="001F6BB4">
        <w:t xml:space="preserve"> in the following terms</w:t>
      </w:r>
      <w:r w:rsidR="00676C03">
        <w:t>:</w:t>
      </w:r>
    </w:p>
    <w:p w14:paraId="3A2E5161" w14:textId="312C4788" w:rsidR="00DD4FA7" w:rsidRDefault="00957FF3" w:rsidP="00DD4FA7">
      <w:pPr>
        <w:spacing w:line="240" w:lineRule="auto"/>
        <w:ind w:left="720"/>
      </w:pPr>
      <w:r w:rsidRPr="005B7071">
        <w:t xml:space="preserve">You [Indian] should not be that because it is not like me [white man], you should be like this, because it is exactly like me. With him [Reaves] civilization is simply the transformation of an Indian into a white man, instead of a </w:t>
      </w:r>
      <w:r w:rsidRPr="00DD4FA7">
        <w:rPr>
          <w:bCs/>
          <w:i/>
          <w:iCs/>
        </w:rPr>
        <w:t>true</w:t>
      </w:r>
      <w:r w:rsidRPr="005B7071">
        <w:t xml:space="preserve"> man</w:t>
      </w:r>
      <w:r w:rsidR="007D753B">
        <w:t>.</w:t>
      </w:r>
      <w:r w:rsidR="00DD4FA7" w:rsidRPr="005B7071">
        <w:rPr>
          <w:rStyle w:val="FootnoteReference"/>
        </w:rPr>
        <w:footnoteReference w:id="69"/>
      </w:r>
    </w:p>
    <w:p w14:paraId="511AC7B1" w14:textId="2638008C" w:rsidR="007D753B" w:rsidRDefault="007D753B" w:rsidP="00DD4FA7">
      <w:pPr>
        <w:spacing w:line="240" w:lineRule="auto"/>
        <w:ind w:left="720"/>
      </w:pPr>
    </w:p>
    <w:p w14:paraId="50B4BB5F" w14:textId="77777777" w:rsidR="007D753B" w:rsidRDefault="007D753B" w:rsidP="00DD4FA7">
      <w:pPr>
        <w:spacing w:line="240" w:lineRule="auto"/>
        <w:ind w:firstLine="720"/>
      </w:pPr>
    </w:p>
    <w:p w14:paraId="65BDA2C5" w14:textId="008CC523" w:rsidR="00DD4FA7" w:rsidRDefault="00DD4FA7" w:rsidP="007D753B">
      <w:pPr>
        <w:ind w:firstLine="720"/>
      </w:pPr>
      <w:r>
        <w:t xml:space="preserve">Later, the </w:t>
      </w:r>
      <w:r w:rsidR="001F6BB4">
        <w:t>writer derided</w:t>
      </w:r>
      <w:r w:rsidR="00957FF3" w:rsidRPr="005B7071">
        <w:t xml:space="preserve"> Reaves for capitalizing on the Cher</w:t>
      </w:r>
      <w:r>
        <w:t xml:space="preserve">okee “in the same way Duchahlu did the monkeys.” Invoking Duchahlu, </w:t>
      </w:r>
      <w:r w:rsidRPr="005B7071">
        <w:t>a naturalist famous for regaling N</w:t>
      </w:r>
      <w:r w:rsidR="001F6BB4">
        <w:t xml:space="preserve">ew York City </w:t>
      </w:r>
      <w:r w:rsidRPr="005B7071">
        <w:t>audiences</w:t>
      </w:r>
      <w:r>
        <w:t xml:space="preserve"> with tales of African monkeys, was uncalled for:</w:t>
      </w:r>
    </w:p>
    <w:p w14:paraId="38677609" w14:textId="3DDA6687" w:rsidR="00DD4FA7" w:rsidRDefault="00DD4FA7" w:rsidP="00DD4FA7">
      <w:pPr>
        <w:spacing w:line="240" w:lineRule="auto"/>
        <w:ind w:left="720"/>
      </w:pPr>
      <w:r>
        <w:t>[This is] a</w:t>
      </w:r>
      <w:r w:rsidRPr="005B7071">
        <w:t>n incident in real life which, for cruel absurdity, rivals anything to be found in the wildest fiction. People tend to hate Duchahlu's monkeys much as people will hate Reaves' Cherokees. The Indian problem is a moral question; it has nothing to do with t</w:t>
      </w:r>
      <w:r>
        <w:t>he subject of natural history.</w:t>
      </w:r>
    </w:p>
    <w:p w14:paraId="34100982" w14:textId="77777777" w:rsidR="00DD4FA7" w:rsidRDefault="00DD4FA7" w:rsidP="007D753B">
      <w:pPr>
        <w:ind w:firstLine="720"/>
      </w:pPr>
    </w:p>
    <w:p w14:paraId="06CD6283" w14:textId="48939ACE" w:rsidR="00957FF3" w:rsidRPr="00A81375" w:rsidRDefault="00957FF3" w:rsidP="00DD4FA7">
      <w:r w:rsidRPr="005B7071">
        <w:t xml:space="preserve">The author </w:t>
      </w:r>
      <w:r w:rsidR="006F16C8">
        <w:t>categorically rejects</w:t>
      </w:r>
      <w:r w:rsidRPr="005B7071">
        <w:t xml:space="preserve"> </w:t>
      </w:r>
      <w:r w:rsidR="006F16C8">
        <w:t xml:space="preserve">the implicit false equivalence </w:t>
      </w:r>
      <w:r w:rsidRPr="005B7071">
        <w:t>between Indians and wild animals. A few weeks later, the editors came to the defense of the letter writer</w:t>
      </w:r>
      <w:r w:rsidR="006F16C8">
        <w:t>’</w:t>
      </w:r>
      <w:r w:rsidRPr="005B7071">
        <w:t>s critique of Reaves: “The article of D.W.C.D.  . . . was simply a protest against harsh and unjust criticism of our people by gentlemen who get their confidence and abuse it intentionally or otherwise.”</w:t>
      </w:r>
      <w:r w:rsidRPr="005B7071">
        <w:rPr>
          <w:rStyle w:val="FootnoteReference"/>
        </w:rPr>
        <w:footnoteReference w:id="70"/>
      </w:r>
    </w:p>
    <w:p w14:paraId="3472B386" w14:textId="4B94B978" w:rsidR="007B485E" w:rsidRPr="00A81375" w:rsidRDefault="007B485E" w:rsidP="00676C03"/>
    <w:p w14:paraId="56678F1C" w14:textId="6BBFB43F" w:rsidR="00957FF3" w:rsidRPr="005B7071" w:rsidRDefault="00957FF3" w:rsidP="00260473">
      <w:pPr>
        <w:jc w:val="center"/>
        <w:rPr>
          <w:b/>
        </w:rPr>
      </w:pPr>
      <w:r w:rsidRPr="005B7071">
        <w:rPr>
          <w:b/>
        </w:rPr>
        <w:t>Boomers and Sooners, 1882-1885</w:t>
      </w:r>
    </w:p>
    <w:p w14:paraId="5DEA03CE" w14:textId="5CFBD9E2" w:rsidR="00957FF3" w:rsidRPr="005B7071" w:rsidRDefault="00957FF3" w:rsidP="00957FF3">
      <w:pPr>
        <w:spacing w:after="200"/>
        <w:ind w:firstLine="720"/>
      </w:pPr>
      <w:r w:rsidRPr="005B7071">
        <w:rPr>
          <w:shd w:val="clear" w:color="auto" w:fill="FFFFFF"/>
        </w:rPr>
        <w:t xml:space="preserve">After the emergence of the Boomer movement in the late 1870s, land, and who had the legal and moral right to own it, became one of the dominant themes of the newspaper. As early as 1882, the </w:t>
      </w:r>
      <w:r w:rsidRPr="005B7071">
        <w:rPr>
          <w:i/>
          <w:shd w:val="clear" w:color="auto" w:fill="FFFFFF"/>
        </w:rPr>
        <w:t>Advocate</w:t>
      </w:r>
      <w:r w:rsidRPr="005B7071">
        <w:rPr>
          <w:shd w:val="clear" w:color="auto" w:fill="FFFFFF"/>
        </w:rPr>
        <w:t xml:space="preserve"> covered land issues aggressively. As an example, the paper’s editors took exception to an </w:t>
      </w:r>
      <w:r w:rsidRPr="005B7071">
        <w:t xml:space="preserve">unconfirmed - and ultimately false - report that Captain Payne had re-entered Indian Territory. The Kansas-based paper that originally printed the report felt sure that Payne’s latest settlement efforts would lead, inevitably, to non-Native settlement of Indian Territory, </w:t>
      </w:r>
      <w:r w:rsidR="006F16C8">
        <w:t xml:space="preserve">concluding that </w:t>
      </w:r>
      <w:r w:rsidR="00494D03">
        <w:t>opening</w:t>
      </w:r>
      <w:r w:rsidRPr="005B7071">
        <w:t xml:space="preserve"> Oklahoma </w:t>
      </w:r>
      <w:r w:rsidR="00494D03">
        <w:t>for</w:t>
      </w:r>
      <w:r w:rsidRPr="005B7071">
        <w:t xml:space="preserve"> settlement </w:t>
      </w:r>
      <w:r w:rsidR="00494D03">
        <w:t>was</w:t>
      </w:r>
      <w:r w:rsidRPr="005B7071">
        <w:t xml:space="preserve"> settled.</w:t>
      </w:r>
      <w:r w:rsidRPr="005B7071">
        <w:rPr>
          <w:rStyle w:val="FootnoteReference"/>
        </w:rPr>
        <w:footnoteReference w:id="71"/>
      </w:r>
      <w:r w:rsidRPr="005B7071">
        <w:t xml:space="preserve"> The </w:t>
      </w:r>
      <w:r w:rsidRPr="005B7071">
        <w:rPr>
          <w:i/>
        </w:rPr>
        <w:t>Advocate</w:t>
      </w:r>
      <w:r w:rsidR="00494D03">
        <w:t xml:space="preserve"> editors shot back:</w:t>
      </w:r>
      <w:r w:rsidRPr="005B7071">
        <w:t xml:space="preserve"> “The entire statement is </w:t>
      </w:r>
      <w:r w:rsidR="00494D03">
        <w:t>false. Payne is not in Oklahoma</w:t>
      </w:r>
      <w:r w:rsidRPr="005B7071">
        <w:t xml:space="preserve">” </w:t>
      </w:r>
      <w:r w:rsidR="00494D03">
        <w:t xml:space="preserve">but </w:t>
      </w:r>
      <w:r w:rsidRPr="005B7071">
        <w:t>“probably bumming wherever he can get his grub for free and find a few loafers who will listen to his twaddle. The decision of the Secretary of the Interior, published in this issue, settles the Oklahoma business.”</w:t>
      </w:r>
      <w:r w:rsidRPr="005B7071">
        <w:rPr>
          <w:rStyle w:val="FootnoteReference"/>
        </w:rPr>
        <w:footnoteReference w:id="72"/>
      </w:r>
      <w:r w:rsidRPr="005B7071">
        <w:t xml:space="preserve"> The </w:t>
      </w:r>
      <w:r w:rsidRPr="005B7071">
        <w:rPr>
          <w:i/>
        </w:rPr>
        <w:t>Advocate</w:t>
      </w:r>
      <w:r w:rsidRPr="005B7071">
        <w:t xml:space="preserve"> editor set</w:t>
      </w:r>
      <w:r w:rsidR="00494D03">
        <w:t xml:space="preserve"> the record straight – Payne was</w:t>
      </w:r>
      <w:r w:rsidRPr="005B7071">
        <w:t xml:space="preserve"> not in Oklahoma – and offers a none-too-subtle critique of </w:t>
      </w:r>
      <w:r w:rsidR="00494D03">
        <w:t xml:space="preserve">him </w:t>
      </w:r>
      <w:r w:rsidRPr="005B7071">
        <w:t>and his followers as lazy and opportunistic. Finally, the author points to the decision of the Secretary of the Interior, printed in the very same issue of the paper, as proof that the pro-settlement article is meritless, cleverly, us</w:t>
      </w:r>
      <w:r w:rsidR="00494D03">
        <w:t>ing</w:t>
      </w:r>
      <w:r w:rsidRPr="005B7071">
        <w:t xml:space="preserve"> the same word – settled – to very different ends.</w:t>
      </w:r>
    </w:p>
    <w:p w14:paraId="75A0DF7B" w14:textId="31F62968" w:rsidR="00957FF3" w:rsidRPr="005B7071" w:rsidRDefault="00957FF3" w:rsidP="00957FF3">
      <w:pPr>
        <w:spacing w:after="200"/>
        <w:ind w:firstLine="720"/>
      </w:pPr>
      <w:r w:rsidRPr="005B7071">
        <w:rPr>
          <w:shd w:val="clear" w:color="auto" w:fill="FFFFFF"/>
        </w:rPr>
        <w:t xml:space="preserve">The </w:t>
      </w:r>
      <w:r w:rsidRPr="005B7071">
        <w:rPr>
          <w:i/>
          <w:shd w:val="clear" w:color="auto" w:fill="FFFFFF"/>
        </w:rPr>
        <w:t>Advocate</w:t>
      </w:r>
      <w:r w:rsidRPr="005B7071">
        <w:rPr>
          <w:shd w:val="clear" w:color="auto" w:fill="FFFFFF"/>
        </w:rPr>
        <w:t xml:space="preserve"> took positions on issues that threatened </w:t>
      </w:r>
      <w:r w:rsidR="00494D03">
        <w:rPr>
          <w:shd w:val="clear" w:color="auto" w:fill="FFFFFF"/>
        </w:rPr>
        <w:t xml:space="preserve">the </w:t>
      </w:r>
      <w:r w:rsidRPr="005B7071">
        <w:rPr>
          <w:shd w:val="clear" w:color="auto" w:fill="FFFFFF"/>
        </w:rPr>
        <w:t xml:space="preserve">sovereignty of </w:t>
      </w:r>
      <w:r w:rsidR="00494D03">
        <w:rPr>
          <w:shd w:val="clear" w:color="auto" w:fill="FFFFFF"/>
        </w:rPr>
        <w:t>all</w:t>
      </w:r>
      <w:r w:rsidRPr="005B7071">
        <w:rPr>
          <w:shd w:val="clear" w:color="auto" w:fill="FFFFFF"/>
        </w:rPr>
        <w:t xml:space="preserve"> tribal lands in Indian Territory</w:t>
      </w:r>
      <w:r w:rsidR="00494D03">
        <w:rPr>
          <w:shd w:val="clear" w:color="auto" w:fill="FFFFFF"/>
        </w:rPr>
        <w:t xml:space="preserve">. </w:t>
      </w:r>
      <w:r w:rsidRPr="005B7071">
        <w:rPr>
          <w:shd w:val="clear" w:color="auto" w:fill="FFFFFF"/>
        </w:rPr>
        <w:t xml:space="preserve">In the May 12, 1882 issue, the editors of the </w:t>
      </w:r>
      <w:r w:rsidRPr="005B7071">
        <w:rPr>
          <w:i/>
          <w:shd w:val="clear" w:color="auto" w:fill="FFFFFF"/>
        </w:rPr>
        <w:t>Advocate</w:t>
      </w:r>
      <w:r w:rsidRPr="005B7071">
        <w:rPr>
          <w:shd w:val="clear" w:color="auto" w:fill="FFFFFF"/>
        </w:rPr>
        <w:t xml:space="preserve"> </w:t>
      </w:r>
      <w:r w:rsidR="00494D03">
        <w:rPr>
          <w:shd w:val="clear" w:color="auto" w:fill="FFFFFF"/>
        </w:rPr>
        <w:t xml:space="preserve">went so far as to </w:t>
      </w:r>
      <w:r w:rsidR="00494D03" w:rsidRPr="005B7071">
        <w:rPr>
          <w:shd w:val="clear" w:color="auto" w:fill="FFFFFF"/>
        </w:rPr>
        <w:t>advocat</w:t>
      </w:r>
      <w:r w:rsidR="00494D03">
        <w:rPr>
          <w:shd w:val="clear" w:color="auto" w:fill="FFFFFF"/>
        </w:rPr>
        <w:t xml:space="preserve">ed </w:t>
      </w:r>
      <w:r w:rsidR="00494D03" w:rsidRPr="005B7071">
        <w:rPr>
          <w:shd w:val="clear" w:color="auto" w:fill="FFFFFF"/>
        </w:rPr>
        <w:t xml:space="preserve">for gubernatorial candidates </w:t>
      </w:r>
      <w:r w:rsidR="00494D03">
        <w:rPr>
          <w:shd w:val="clear" w:color="auto" w:fill="FFFFFF"/>
        </w:rPr>
        <w:t xml:space="preserve">in </w:t>
      </w:r>
      <w:r w:rsidRPr="005B7071">
        <w:rPr>
          <w:shd w:val="clear" w:color="auto" w:fill="FFFFFF"/>
        </w:rPr>
        <w:t>the upcoming Choctaw election. “</w:t>
      </w:r>
      <w:r w:rsidRPr="005B7071">
        <w:t xml:space="preserve">The </w:t>
      </w:r>
      <w:r w:rsidRPr="005B7071">
        <w:rPr>
          <w:i/>
          <w:iCs/>
        </w:rPr>
        <w:t>Advocate</w:t>
      </w:r>
      <w:r w:rsidRPr="005B7071">
        <w:t xml:space="preserve"> . . . must advise the Choctaws to vote for Smallwood for governor. McCurtain has shown the cloven foot by advocating a railroad scheme, that will, if not attacked . . . be the cause of total destruction of the whole five civilized tribes of the IT.” Smallwood, the editor claims, “is the man the Choctaws should support by all means if they propose to hold onto their homes and country. He is a man corporations cannot buy. He will not sell his country, or help to set a precedent such as McCurtain has done.”</w:t>
      </w:r>
      <w:r w:rsidRPr="005B7071">
        <w:rPr>
          <w:rStyle w:val="FootnoteReference"/>
        </w:rPr>
        <w:footnoteReference w:id="73"/>
      </w:r>
    </w:p>
    <w:p w14:paraId="37AA763C" w14:textId="3B4DE439" w:rsidR="00957FF3" w:rsidRPr="005B7071" w:rsidRDefault="00957FF3" w:rsidP="00957FF3">
      <w:pPr>
        <w:spacing w:after="200"/>
        <w:ind w:firstLine="720"/>
      </w:pPr>
      <w:r w:rsidRPr="005B7071">
        <w:t xml:space="preserve">By 1885, with Boomer sentiment on the ascendancy nationwide, the </w:t>
      </w:r>
      <w:r w:rsidRPr="005B7071">
        <w:rPr>
          <w:i/>
        </w:rPr>
        <w:t>Advocate</w:t>
      </w:r>
      <w:r w:rsidR="00C751F0">
        <w:t xml:space="preserve"> became an even</w:t>
      </w:r>
      <w:r w:rsidRPr="005B7071">
        <w:t xml:space="preserve"> more important tool against colonialist forces. </w:t>
      </w:r>
      <w:r w:rsidRPr="005B7071">
        <w:rPr>
          <w:shd w:val="clear" w:color="auto" w:fill="FFFFFF"/>
        </w:rPr>
        <w:t>In the first half of 1885, dozens of article deal</w:t>
      </w:r>
      <w:r w:rsidR="00494D03">
        <w:rPr>
          <w:shd w:val="clear" w:color="auto" w:fill="FFFFFF"/>
        </w:rPr>
        <w:t>t</w:t>
      </w:r>
      <w:r w:rsidRPr="005B7071">
        <w:rPr>
          <w:shd w:val="clear" w:color="auto" w:fill="FFFFFF"/>
        </w:rPr>
        <w:t xml:space="preserve"> directly with the Boomer crisis, cattle leases, and the deliberations of the U</w:t>
      </w:r>
      <w:r w:rsidR="00494D03">
        <w:rPr>
          <w:shd w:val="clear" w:color="auto" w:fill="FFFFFF"/>
        </w:rPr>
        <w:t>.</w:t>
      </w:r>
      <w:r w:rsidRPr="005B7071">
        <w:rPr>
          <w:shd w:val="clear" w:color="auto" w:fill="FFFFFF"/>
        </w:rPr>
        <w:t>S</w:t>
      </w:r>
      <w:r w:rsidR="00494D03">
        <w:rPr>
          <w:shd w:val="clear" w:color="auto" w:fill="FFFFFF"/>
        </w:rPr>
        <w:t>.</w:t>
      </w:r>
      <w:r w:rsidRPr="005B7071">
        <w:rPr>
          <w:shd w:val="clear" w:color="auto" w:fill="FFFFFF"/>
        </w:rPr>
        <w:t xml:space="preserve"> Congress regarding Indian Territory and the Cherokee Nation. By 1885, the debate over Oklahoma had reached a critical tipping point, as evidenced by the more than 330 newspaper stories about the Oklahoma Boomer movement in U.S. newspapers </w:t>
      </w:r>
      <w:r w:rsidR="00494D03">
        <w:rPr>
          <w:shd w:val="clear" w:color="auto" w:fill="FFFFFF"/>
        </w:rPr>
        <w:t xml:space="preserve">published, by my calculation, between </w:t>
      </w:r>
      <w:r w:rsidRPr="005B7071">
        <w:rPr>
          <w:shd w:val="clear" w:color="auto" w:fill="FFFFFF"/>
        </w:rPr>
        <w:t>1885 and 1886.</w:t>
      </w:r>
      <w:r w:rsidR="00C751F0">
        <w:rPr>
          <w:rStyle w:val="FootnoteReference"/>
          <w:shd w:val="clear" w:color="auto" w:fill="FFFFFF"/>
        </w:rPr>
        <w:footnoteReference w:id="74"/>
      </w:r>
      <w:r w:rsidRPr="005B7071">
        <w:rPr>
          <w:shd w:val="clear" w:color="auto" w:fill="FFFFFF"/>
        </w:rPr>
        <w:t xml:space="preserve"> In 1885, Payne, the primary fomenter of Boomer sentiment, was dead, and his top assistant, </w:t>
      </w:r>
      <w:r w:rsidR="00494D03">
        <w:rPr>
          <w:shd w:val="clear" w:color="auto" w:fill="FFFFFF"/>
        </w:rPr>
        <w:t xml:space="preserve">a </w:t>
      </w:r>
      <w:r w:rsidRPr="005B7071">
        <w:rPr>
          <w:shd w:val="clear" w:color="auto" w:fill="FFFFFF"/>
        </w:rPr>
        <w:t xml:space="preserve">Captain Crouch, had taken up the Boomer banner. A January 9, 1885 </w:t>
      </w:r>
      <w:r w:rsidRPr="005B7071">
        <w:rPr>
          <w:i/>
          <w:iCs/>
        </w:rPr>
        <w:t xml:space="preserve">Cherokee Advocate </w:t>
      </w:r>
      <w:r w:rsidRPr="005B7071">
        <w:rPr>
          <w:shd w:val="clear" w:color="auto" w:fill="FFFFFF"/>
        </w:rPr>
        <w:t xml:space="preserve">editorial titled </w:t>
      </w:r>
      <w:r w:rsidRPr="005B7071">
        <w:t xml:space="preserve">"Moving on Oklahoma Boomers" reports on the recent invasion </w:t>
      </w:r>
      <w:r w:rsidR="00C751F0">
        <w:t xml:space="preserve">by </w:t>
      </w:r>
      <w:r w:rsidRPr="005B7071">
        <w:t xml:space="preserve">Crouch and 300 would-be colonists, </w:t>
      </w:r>
      <w:r w:rsidR="00494D03">
        <w:t xml:space="preserve">subsequently </w:t>
      </w:r>
      <w:r w:rsidRPr="005B7071">
        <w:t>removed from the Stillwater area of Indian Territory by troops stationed at Fort Sill and Fort Reno under the command of General Edward Hatch. The writer fears the colonists “will obey Capt. Crouch’s orders implicitly and will resist the soldiers when he gives the word. They are all well-armed and prepared for a fight. They will not be removed except by superior numbers and force.”</w:t>
      </w:r>
      <w:r w:rsidRPr="005B7071">
        <w:rPr>
          <w:rStyle w:val="FootnoteReference"/>
        </w:rPr>
        <w:footnoteReference w:id="75"/>
      </w:r>
      <w:r w:rsidRPr="005B7071">
        <w:t xml:space="preserve"> In the end, the colonists, like those before them, left without a fight. Yet the belief that the Boomers might eventually engage U.S. troops in armed conflict was a real fear shared by many in Indian Territory</w:t>
      </w:r>
      <w:r w:rsidR="00494D03">
        <w:t xml:space="preserve">. </w:t>
      </w:r>
      <w:r w:rsidRPr="005B7071">
        <w:t>Many other article</w:t>
      </w:r>
      <w:r w:rsidR="00494D03">
        <w:t>s</w:t>
      </w:r>
      <w:r w:rsidRPr="005B7071">
        <w:t xml:space="preserve"> appeared, both in the </w:t>
      </w:r>
      <w:r w:rsidRPr="005B7071">
        <w:rPr>
          <w:i/>
        </w:rPr>
        <w:t>Advocate</w:t>
      </w:r>
      <w:r w:rsidRPr="005B7071">
        <w:t xml:space="preserve"> and in other America newspapers, regarding this a</w:t>
      </w:r>
      <w:r w:rsidR="00614185">
        <w:t>nd subsequent Boomer invasions.</w:t>
      </w:r>
    </w:p>
    <w:p w14:paraId="21869BB7" w14:textId="37EA165D" w:rsidR="00957FF3" w:rsidRPr="005B7071" w:rsidRDefault="00957FF3" w:rsidP="00957FF3">
      <w:pPr>
        <w:spacing w:after="200"/>
        <w:ind w:firstLine="720"/>
      </w:pPr>
      <w:r w:rsidRPr="005B7071">
        <w:t xml:space="preserve">While the Boomers were the proximate, and most visible, cause of distress, the real issue was the </w:t>
      </w:r>
      <w:r w:rsidR="00E7417C">
        <w:t>U.S. government</w:t>
      </w:r>
      <w:r w:rsidRPr="005B7071">
        <w:t xml:space="preserve">. In 1885 many Cherokees wrote eloquently and at length about the fate of Indian lands. One Cherokee author, T.S. Gilliland argued in an editorial titled “Oklahoma Land Question” that Indians bought, or rather traded for, their land in Indian Territory fair and square with prime lands in Southeast, and that the only ones with a right to settle </w:t>
      </w:r>
      <w:r w:rsidR="00C751F0">
        <w:t xml:space="preserve">in Indian Territory </w:t>
      </w:r>
      <w:r w:rsidRPr="005B7071">
        <w:t>were other Indian tribes per the 1866 treaty.</w:t>
      </w:r>
      <w:r w:rsidRPr="005B7071">
        <w:rPr>
          <w:rStyle w:val="FootnoteReference"/>
        </w:rPr>
        <w:footnoteReference w:id="76"/>
      </w:r>
      <w:r w:rsidRPr="005B7071">
        <w:t xml:space="preserve"> Gilliland rebuts the argument, popular among land agitators, that settlers could take land because I</w:t>
      </w:r>
      <w:r w:rsidR="00494D03">
        <w:t>ndians were not farming it</w:t>
      </w:r>
      <w:r w:rsidRPr="005B7071">
        <w:t xml:space="preserve">. Gilliland reasons if that were the case, any </w:t>
      </w:r>
      <w:r w:rsidR="009C13AD">
        <w:t xml:space="preserve">unfarmed </w:t>
      </w:r>
      <w:r w:rsidRPr="005B7071">
        <w:t xml:space="preserve">land in any state could be taken by settlers. Besides, Indians </w:t>
      </w:r>
      <w:r w:rsidR="009C13AD">
        <w:t xml:space="preserve">were </w:t>
      </w:r>
      <w:r w:rsidRPr="005B7071">
        <w:t>not “hunting vagabonds,” but rather “intelligent, peaceable citizens, self-supporting and independent. They have more schools to the number of inhabitants than any state in the Union and support them out of their own money. They have seminaries</w:t>
      </w:r>
      <w:r w:rsidR="009C13AD">
        <w:t>,” Gilliland explains, “</w:t>
      </w:r>
      <w:r w:rsidRPr="005B7071">
        <w:t>where the higher branches are taught that would be a cre</w:t>
      </w:r>
      <w:r w:rsidR="00614185">
        <w:t>dit to any state in the Union.”</w:t>
      </w:r>
    </w:p>
    <w:p w14:paraId="44106CA2" w14:textId="03ED6C30" w:rsidR="00957FF3" w:rsidRPr="005B7071" w:rsidRDefault="00957FF3" w:rsidP="00957FF3">
      <w:pPr>
        <w:spacing w:after="200"/>
        <w:ind w:firstLine="720"/>
      </w:pPr>
      <w:r w:rsidRPr="005B7071">
        <w:t xml:space="preserve">Gilliland, like many </w:t>
      </w:r>
      <w:r w:rsidR="009C13AD">
        <w:t xml:space="preserve">Native American </w:t>
      </w:r>
      <w:r w:rsidRPr="005B7071">
        <w:t xml:space="preserve">writers of the day, makes the argument that by any marker of civilization, Indians </w:t>
      </w:r>
      <w:r w:rsidR="009C13AD">
        <w:t xml:space="preserve">were </w:t>
      </w:r>
      <w:r w:rsidRPr="005B7071">
        <w:t xml:space="preserve">the equal of whites. This argument points out </w:t>
      </w:r>
      <w:r w:rsidR="009C13AD">
        <w:t xml:space="preserve">a central characteristic of the </w:t>
      </w:r>
      <w:r w:rsidRPr="005B7071">
        <w:t>American colonialist project</w:t>
      </w:r>
      <w:r w:rsidR="009C13AD">
        <w:t xml:space="preserve">: </w:t>
      </w:r>
      <w:r w:rsidRPr="005B7071">
        <w:t xml:space="preserve">most Americans saw </w:t>
      </w:r>
      <w:r w:rsidR="009C13AD">
        <w:t xml:space="preserve">Indians </w:t>
      </w:r>
      <w:r w:rsidRPr="005B7071">
        <w:t>as inherently inferior. No matter how logical the argument put forth and regardless of their accomplishments or progress toward white cultural standards, Indians were see</w:t>
      </w:r>
      <w:r w:rsidR="009C13AD">
        <w:t>n</w:t>
      </w:r>
      <w:r w:rsidRPr="005B7071">
        <w:t xml:space="preserve"> as less than human and unworthy of self-determination.</w:t>
      </w:r>
    </w:p>
    <w:p w14:paraId="452462AF" w14:textId="027B949E" w:rsidR="00957FF3" w:rsidRPr="005B7071" w:rsidRDefault="00957FF3" w:rsidP="00957FF3">
      <w:pPr>
        <w:spacing w:after="200"/>
        <w:ind w:firstLine="720"/>
      </w:pPr>
      <w:r w:rsidRPr="005B7071">
        <w:t>If land were given or sold to non-Indian settlers, the tribes understood perfectly well the consequences. W.A. Duncan, in an article title “The Great Question,” put the risk in blunt, stark terms, asking, rhetorically, “Are the Five Civilized Tribes Prepared to Dissolve T</w:t>
      </w:r>
      <w:r w:rsidR="00C751F0">
        <w:t>heir Nationality?” Duncan warns</w:t>
      </w:r>
      <w:r w:rsidR="00676C03">
        <w:t>:</w:t>
      </w:r>
    </w:p>
    <w:p w14:paraId="1FEAB9A1" w14:textId="70EB048B" w:rsidR="00957FF3" w:rsidRPr="005B7071" w:rsidRDefault="00957FF3" w:rsidP="006E0E19">
      <w:pPr>
        <w:pStyle w:val="NoSpacing"/>
        <w:ind w:left="720"/>
      </w:pPr>
      <w:r w:rsidRPr="005B7071">
        <w:t>There has never been a period in the history of the Cherokees, Choctaws, Chickasaws, Creeks and Seminoles where unanimity of feeling and purpose was so indispensable as at the present time. Clouds are on the horizon; and dangers gather thick on every side. I tremble for the consequences; I cannot give my consent to see our people destroyed.</w:t>
      </w:r>
    </w:p>
    <w:p w14:paraId="031A4734" w14:textId="77777777" w:rsidR="00B970CA" w:rsidRPr="005B7071" w:rsidRDefault="00B970CA" w:rsidP="00957FF3">
      <w:pPr>
        <w:pStyle w:val="NoSpacing"/>
        <w:ind w:left="1080"/>
      </w:pPr>
    </w:p>
    <w:p w14:paraId="52096347" w14:textId="61704ABF" w:rsidR="00957FF3" w:rsidRPr="005B7071" w:rsidRDefault="00614185" w:rsidP="00957FF3">
      <w:pPr>
        <w:pStyle w:val="NoSpacing"/>
      </w:pPr>
      <w:r>
        <w:t>Later, Duncan concludes:</w:t>
      </w:r>
    </w:p>
    <w:p w14:paraId="4D327FB9" w14:textId="77777777" w:rsidR="00957FF3" w:rsidRPr="005B7071" w:rsidRDefault="00957FF3" w:rsidP="00957FF3">
      <w:pPr>
        <w:pStyle w:val="NoSpacing"/>
        <w:ind w:left="1080"/>
      </w:pPr>
    </w:p>
    <w:p w14:paraId="255AA963" w14:textId="77777777" w:rsidR="00957FF3" w:rsidRPr="005B7071" w:rsidRDefault="00957FF3" w:rsidP="006E0E19">
      <w:pPr>
        <w:pStyle w:val="NoSpacing"/>
        <w:ind w:left="720"/>
      </w:pPr>
      <w:r w:rsidRPr="005B7071">
        <w:t xml:space="preserve">Selling land in any way, and to any extent, is absolutely incompatible with the continuance of our existence as people. To sell land is to dissolve our nationality. In vain may philosophy strive to find a solution of the paradox, as to the sale of lands and the existence of the Cherokee government. </w:t>
      </w:r>
      <w:r w:rsidRPr="005B7071">
        <w:rPr>
          <w:i/>
        </w:rPr>
        <w:t>The Cherokee government and Cherokee land must stand or fall together.</w:t>
      </w:r>
      <w:r w:rsidRPr="005B7071">
        <w:t xml:space="preserve"> [emphasis added] Better, by far, to part with all the funds we have in the hands of the United States Government, than to part with those lands lying west of Arkansas River, unless it be for occupancy by friendly Indians as provided in the Treaty of 1866. To that we could not object, nor have we a disposition to do so, since the treaty settles the point.</w:t>
      </w:r>
      <w:r w:rsidRPr="005B7071">
        <w:rPr>
          <w:rStyle w:val="FootnoteReference"/>
        </w:rPr>
        <w:footnoteReference w:id="77"/>
      </w:r>
    </w:p>
    <w:p w14:paraId="5DAF3791" w14:textId="77777777" w:rsidR="00957FF3" w:rsidRPr="005B7071" w:rsidRDefault="00957FF3" w:rsidP="00676C03">
      <w:pPr>
        <w:ind w:firstLine="720"/>
        <w:jc w:val="both"/>
      </w:pPr>
    </w:p>
    <w:p w14:paraId="1FDDF22B" w14:textId="77777777" w:rsidR="00A81375" w:rsidRDefault="00957FF3" w:rsidP="006E0E19">
      <w:pPr>
        <w:ind w:firstLine="720"/>
      </w:pPr>
      <w:r w:rsidRPr="005B7071">
        <w:t xml:space="preserve">Duncan and other Native contributors to the </w:t>
      </w:r>
      <w:r w:rsidRPr="005B7071">
        <w:rPr>
          <w:i/>
        </w:rPr>
        <w:t>Advocate</w:t>
      </w:r>
      <w:r w:rsidRPr="005B7071">
        <w:t xml:space="preserve"> around 1885 all seem to sense that the fate of Indian Territory was soon to be decided. Duncan’s pronouncement that the </w:t>
      </w:r>
      <w:r w:rsidRPr="00C751F0">
        <w:t>“Cherokee government and Cherokee land must stand or fall together” unders</w:t>
      </w:r>
      <w:r w:rsidRPr="005B7071">
        <w:t xml:space="preserve">cores the importance of the debate. The </w:t>
      </w:r>
      <w:r w:rsidRPr="005B7071">
        <w:rPr>
          <w:i/>
        </w:rPr>
        <w:t>Cherokee Advocate</w:t>
      </w:r>
      <w:r w:rsidRPr="005B7071">
        <w:t>, although limited by finite funding, audience, and reach, was an important arbiter and tool in colonial resistance.</w:t>
      </w:r>
    </w:p>
    <w:p w14:paraId="0CAD22EE" w14:textId="4D407AA1" w:rsidR="00957FF3" w:rsidRDefault="00957FF3" w:rsidP="006E0E19">
      <w:pPr>
        <w:ind w:firstLine="720"/>
      </w:pPr>
      <w:r w:rsidRPr="005B7071">
        <w:t xml:space="preserve">The efforts of the Cherokee press did not </w:t>
      </w:r>
      <w:r w:rsidR="00081DA0">
        <w:t>end there, however. P</w:t>
      </w:r>
      <w:r w:rsidRPr="005B7071">
        <w:t>rinted memorials, a genre of public writing uniquely able to express Indian grievances to the larger world</w:t>
      </w:r>
      <w:r w:rsidR="00081DA0">
        <w:t xml:space="preserve">, </w:t>
      </w:r>
      <w:r w:rsidRPr="005B7071">
        <w:t xml:space="preserve">often published in the </w:t>
      </w:r>
      <w:r w:rsidRPr="005B7071">
        <w:rPr>
          <w:i/>
        </w:rPr>
        <w:t>Congressional Record</w:t>
      </w:r>
      <w:r w:rsidRPr="005B7071">
        <w:t xml:space="preserve">, included personal biographies and tribal histories, and variously begged for help from U.S. government and asserted tribal sovereignty. Memorials played an important part in establishing what Philip Rounds </w:t>
      </w:r>
      <w:r w:rsidR="00081DA0">
        <w:t xml:space="preserve">terms </w:t>
      </w:r>
      <w:r w:rsidRPr="005B7071">
        <w:t xml:space="preserve">Print Constitutionalism among Southeast tribes. Memorials started orally in council houses. Only after years of consensus building did </w:t>
      </w:r>
      <w:r w:rsidR="00081DA0">
        <w:t>they appear in p</w:t>
      </w:r>
      <w:r w:rsidRPr="005B7071">
        <w:t>rint.</w:t>
      </w:r>
      <w:r w:rsidRPr="005B7071">
        <w:rPr>
          <w:rStyle w:val="FootnoteReference"/>
        </w:rPr>
        <w:footnoteReference w:id="78"/>
      </w:r>
      <w:r w:rsidRPr="005B7071">
        <w:t xml:space="preserve"> In this way, memorials worked to prese</w:t>
      </w:r>
      <w:r w:rsidR="00081DA0">
        <w:t>rve tribal consensus</w:t>
      </w:r>
      <w:r w:rsidRPr="005B7071">
        <w:t xml:space="preserve">, helped preserve a sense of “landedness” among Native people in spite of removals, and helped form a literate Indian public. </w:t>
      </w:r>
      <w:r w:rsidRPr="005B7071">
        <w:rPr>
          <w:i/>
        </w:rPr>
        <w:t>Memorial of the Indian Delegates from the Indian Territory</w:t>
      </w:r>
      <w:r w:rsidRPr="005B7071">
        <w:t xml:space="preserve"> (1880), printed in the </w:t>
      </w:r>
      <w:r w:rsidRPr="005B7071">
        <w:rPr>
          <w:i/>
        </w:rPr>
        <w:t>Congressional Record</w:t>
      </w:r>
      <w:r w:rsidRPr="005B7071">
        <w:t xml:space="preserve">, predicts and rejects the coming of allotment to Indian Territory. Here, the </w:t>
      </w:r>
      <w:r w:rsidRPr="005B7071">
        <w:rPr>
          <w:i/>
        </w:rPr>
        <w:t>tribe</w:t>
      </w:r>
      <w:r w:rsidRPr="005B7071">
        <w:t xml:space="preserve"> argue</w:t>
      </w:r>
      <w:r w:rsidR="00081DA0">
        <w:t>d</w:t>
      </w:r>
      <w:r w:rsidRPr="005B7071">
        <w:t xml:space="preserve"> that Cherokee needs </w:t>
      </w:r>
      <w:r w:rsidR="00081DA0">
        <w:t xml:space="preserve">were grounded </w:t>
      </w:r>
      <w:r w:rsidRPr="005B7071">
        <w:t>in tri</w:t>
      </w:r>
      <w:r w:rsidR="00081DA0">
        <w:t>bal polity, not individual need</w:t>
      </w:r>
      <w:r w:rsidRPr="005B7071">
        <w:t>. “We (Cherokee) hold our lands as Nations and not as indivi</w:t>
      </w:r>
      <w:r w:rsidR="00C751F0">
        <w:t xml:space="preserve">duals.” The place Cherokee spoke </w:t>
      </w:r>
      <w:r w:rsidRPr="005B7071">
        <w:t xml:space="preserve">from </w:t>
      </w:r>
      <w:r w:rsidR="00C751F0">
        <w:t>in print, both newspapers and memorials, was a newly f</w:t>
      </w:r>
      <w:r w:rsidR="00081DA0">
        <w:t>ormed public space that paralleled</w:t>
      </w:r>
      <w:r w:rsidR="00C751F0">
        <w:t xml:space="preserve"> older, l</w:t>
      </w:r>
      <w:r w:rsidR="00081DA0">
        <w:t xml:space="preserve">ocal </w:t>
      </w:r>
      <w:r w:rsidR="00C751F0">
        <w:t xml:space="preserve">tribal practices </w:t>
      </w:r>
      <w:r w:rsidR="00081DA0">
        <w:t>i</w:t>
      </w:r>
      <w:r w:rsidR="00C751F0">
        <w:t>n council house and other ceremonial places.</w:t>
      </w:r>
      <w:r w:rsidRPr="005B7071">
        <w:rPr>
          <w:rStyle w:val="FootnoteReference"/>
        </w:rPr>
        <w:footnoteReference w:id="79"/>
      </w:r>
    </w:p>
    <w:p w14:paraId="06DFE448" w14:textId="77777777" w:rsidR="00C95C64" w:rsidRPr="00A81375" w:rsidRDefault="00C95C64" w:rsidP="00676C03"/>
    <w:p w14:paraId="6921B550" w14:textId="6C9ABA09" w:rsidR="00957FF3" w:rsidRPr="005B7071" w:rsidRDefault="00957FF3" w:rsidP="00260473">
      <w:pPr>
        <w:jc w:val="center"/>
        <w:rPr>
          <w:b/>
        </w:rPr>
      </w:pPr>
      <w:r w:rsidRPr="005B7071">
        <w:rPr>
          <w:b/>
        </w:rPr>
        <w:t>Land and Race in Oklahoma: Allotment and the Dissolution of Indian Territory</w:t>
      </w:r>
    </w:p>
    <w:p w14:paraId="4D35A863" w14:textId="35C60CDC" w:rsidR="00957FF3" w:rsidRPr="005B7071" w:rsidRDefault="00957FF3" w:rsidP="00587B04">
      <w:pPr>
        <w:ind w:firstLine="720"/>
      </w:pPr>
      <w:r w:rsidRPr="005B7071">
        <w:t>One theme that runs through these texts is doom and foreboding. The</w:t>
      </w:r>
      <w:r w:rsidR="00081DA0">
        <w:t>se</w:t>
      </w:r>
      <w:r w:rsidRPr="005B7071">
        <w:t xml:space="preserve"> apocalyptic words that suggest the imminent dissolution of Indian nations cannot be </w:t>
      </w:r>
      <w:r w:rsidR="00C95C64">
        <w:t xml:space="preserve">fully </w:t>
      </w:r>
      <w:r w:rsidRPr="005B7071">
        <w:t>understood excep</w:t>
      </w:r>
      <w:r w:rsidR="00081DA0">
        <w:t>t in the context of allotment, b</w:t>
      </w:r>
      <w:r w:rsidRPr="005B7071">
        <w:t>y the mid-1880s</w:t>
      </w:r>
      <w:r w:rsidR="00081DA0">
        <w:t xml:space="preserve"> </w:t>
      </w:r>
      <w:r w:rsidRPr="005B7071">
        <w:t>an important and divisive issue in Indian Territory.</w:t>
      </w:r>
      <w:r w:rsidRPr="005B7071">
        <w:rPr>
          <w:rStyle w:val="FootnoteReference"/>
        </w:rPr>
        <w:footnoteReference w:id="80"/>
      </w:r>
      <w:r w:rsidRPr="005B7071">
        <w:t xml:space="preserve"> Although the land runs of the 1880s and 1890s transferred millions of acres from Indians to non-I</w:t>
      </w:r>
      <w:r w:rsidR="00C95C64">
        <w:t xml:space="preserve">ndian settlers, allotment was </w:t>
      </w:r>
      <w:r w:rsidRPr="005B7071">
        <w:t xml:space="preserve">far more ruinous to Native sovereignty. Through treaties and laws, the United States had been pursuing allotment of Indian lands since at least 1798. Indians generally held all lands in common, whereas Europeans and Euro-Americans practiced private landownership, at least </w:t>
      </w:r>
      <w:r w:rsidR="00614185">
        <w:t xml:space="preserve">for </w:t>
      </w:r>
      <w:r w:rsidR="00E457CE">
        <w:t xml:space="preserve">the </w:t>
      </w:r>
      <w:r w:rsidRPr="005B7071">
        <w:t>privileged classes.</w:t>
      </w:r>
    </w:p>
    <w:p w14:paraId="33D9D244" w14:textId="6F41CD15" w:rsidR="00356EA7" w:rsidRDefault="00957FF3" w:rsidP="00356EA7">
      <w:pPr>
        <w:ind w:firstLine="720"/>
      </w:pPr>
      <w:r w:rsidRPr="005B7071">
        <w:t xml:space="preserve">Although the </w:t>
      </w:r>
      <w:r w:rsidR="00E7417C">
        <w:t>U.S. government</w:t>
      </w:r>
      <w:r w:rsidRPr="005B7071">
        <w:t xml:space="preserve"> had pursued allotment of Native lands through treaties since colonial times, it was the Dawes Act of 1887, also known as the</w:t>
      </w:r>
      <w:r w:rsidRPr="005B7071">
        <w:rPr>
          <w:rStyle w:val="apple-converted-space"/>
          <w:rFonts w:cs="Arial"/>
          <w:color w:val="252525"/>
          <w:shd w:val="clear" w:color="auto" w:fill="FFFFFF"/>
        </w:rPr>
        <w:t> </w:t>
      </w:r>
      <w:r w:rsidRPr="005B7071">
        <w:rPr>
          <w:rFonts w:cs="Arial"/>
          <w:bCs/>
          <w:color w:val="252525"/>
          <w:shd w:val="clear" w:color="auto" w:fill="FFFFFF"/>
        </w:rPr>
        <w:t>General Allotment Act</w:t>
      </w:r>
      <w:r w:rsidRPr="005B7071">
        <w:t>, that put allotment into motion.</w:t>
      </w:r>
      <w:r w:rsidRPr="005B7071">
        <w:rPr>
          <w:rStyle w:val="FootnoteReference"/>
        </w:rPr>
        <w:footnoteReference w:id="81"/>
      </w:r>
      <w:r w:rsidRPr="005B7071">
        <w:t xml:space="preserve"> The Dawes Act gave the President of the United States the right to survey Indian lands and divide them into individual allotments of between 40 and 160 acres, to be held in trust by the </w:t>
      </w:r>
      <w:r w:rsidR="00E457CE">
        <w:t>federal</w:t>
      </w:r>
      <w:r w:rsidR="00E7417C">
        <w:t xml:space="preserve"> government</w:t>
      </w:r>
      <w:r w:rsidRPr="005B7071">
        <w:t xml:space="preserve"> for 25 years. In return, Indians who accepted allotment would be granted U</w:t>
      </w:r>
      <w:r w:rsidR="00E457CE">
        <w:t>.</w:t>
      </w:r>
      <w:r w:rsidRPr="005B7071">
        <w:t>S</w:t>
      </w:r>
      <w:r w:rsidR="00E457CE">
        <w:t>.</w:t>
      </w:r>
      <w:r w:rsidRPr="005B7071">
        <w:t xml:space="preserve"> citizenship. Objections from Indian Territory governments, who pointed to treaty provisions that prohibited allotment, provided a reprieve until 1893, the year Senator Henry L. Dawes led the allotment commission into Indian Territory. Dawes’ team began enrolling Indians in 1894. The Dawes Act was </w:t>
      </w:r>
      <w:r w:rsidR="00D02DBB">
        <w:t xml:space="preserve">supplemented by the Curtis Act in </w:t>
      </w:r>
      <w:r w:rsidRPr="005B7071">
        <w:t>1898</w:t>
      </w:r>
      <w:r w:rsidR="00D02DBB">
        <w:t xml:space="preserve">, which began the process of abolishing </w:t>
      </w:r>
      <w:r w:rsidRPr="005B7071">
        <w:t>tribal governments, compell</w:t>
      </w:r>
      <w:r w:rsidR="00D02DBB">
        <w:t xml:space="preserve">ing </w:t>
      </w:r>
      <w:r w:rsidRPr="005B7071">
        <w:t>allotment and the sale of surplus lan</w:t>
      </w:r>
      <w:r w:rsidR="00D02DBB">
        <w:t xml:space="preserve">d, and dissolving </w:t>
      </w:r>
      <w:r w:rsidR="00C95C64">
        <w:t>tribal courts. A</w:t>
      </w:r>
      <w:r w:rsidRPr="005B7071">
        <w:t xml:space="preserve">llotment of tribal lands began in 1899. All told, Indian tribes lost </w:t>
      </w:r>
      <w:r w:rsidR="00E457CE">
        <w:t xml:space="preserve">control over 90 million acres of </w:t>
      </w:r>
      <w:r w:rsidRPr="005B7071">
        <w:t xml:space="preserve">land </w:t>
      </w:r>
      <w:r w:rsidR="00E457CE">
        <w:t xml:space="preserve">due to allotment. </w:t>
      </w:r>
      <w:r w:rsidRPr="005B7071">
        <w:t xml:space="preserve">These lands were subsequently made available to non-Indian </w:t>
      </w:r>
      <w:r w:rsidR="00614185">
        <w:t>homesteaders and corporations.</w:t>
      </w:r>
    </w:p>
    <w:p w14:paraId="0A531E2D" w14:textId="110B4AE5" w:rsidR="003614BD" w:rsidRDefault="00957FF3" w:rsidP="00AC00BE">
      <w:pPr>
        <w:ind w:firstLine="720"/>
      </w:pPr>
      <w:r w:rsidRPr="005B7071">
        <w:t>Senator Dawes, who introduced the Act</w:t>
      </w:r>
      <w:r w:rsidR="00AC00BE">
        <w:t xml:space="preserve"> </w:t>
      </w:r>
      <w:r w:rsidRPr="005B7071">
        <w:t xml:space="preserve">believed, as did many </w:t>
      </w:r>
      <w:r w:rsidR="00AC00BE">
        <w:t xml:space="preserve">other </w:t>
      </w:r>
      <w:r w:rsidRPr="005B7071">
        <w:t>Americans, that lands held in common interrupted Indian “progress” b</w:t>
      </w:r>
      <w:r w:rsidR="00AC00BE">
        <w:t xml:space="preserve">y </w:t>
      </w:r>
      <w:r w:rsidRPr="005B7071">
        <w:t>inhibit</w:t>
      </w:r>
      <w:r w:rsidR="00AC00BE">
        <w:t xml:space="preserve">ing </w:t>
      </w:r>
      <w:r w:rsidRPr="005B7071">
        <w:t>selfishness and, therefore, Indians from becoming American.</w:t>
      </w:r>
      <w:r w:rsidRPr="005B7071">
        <w:rPr>
          <w:rStyle w:val="FootnoteReference"/>
        </w:rPr>
        <w:footnoteReference w:id="82"/>
      </w:r>
      <w:r w:rsidRPr="005B7071">
        <w:t xml:space="preserve"> Dawes understood that it was crucial to transform Indians into individual property owners because </w:t>
      </w:r>
      <w:r w:rsidR="00AC00BE">
        <w:t xml:space="preserve">doing so </w:t>
      </w:r>
      <w:r w:rsidRPr="005B7071">
        <w:t xml:space="preserve">would, in time, dissolve Indian Nations and make all Indians and all Indian lands part of America. </w:t>
      </w:r>
      <w:r w:rsidR="00587B04">
        <w:t xml:space="preserve">Dawes </w:t>
      </w:r>
      <w:r w:rsidR="00356EA7">
        <w:t xml:space="preserve">spoke for many </w:t>
      </w:r>
      <w:r w:rsidR="00587B04">
        <w:t>white would-be settlers</w:t>
      </w:r>
      <w:r w:rsidR="00356EA7">
        <w:t xml:space="preserve">, who </w:t>
      </w:r>
      <w:r w:rsidR="00587B04">
        <w:t>t</w:t>
      </w:r>
      <w:r w:rsidR="00356EA7">
        <w:t xml:space="preserve">alked about </w:t>
      </w:r>
      <w:r w:rsidR="00587B04">
        <w:t>allotment and taking Indian lands interchangeably</w:t>
      </w:r>
      <w:r w:rsidR="00356EA7">
        <w:t xml:space="preserve">. </w:t>
      </w:r>
      <w:r w:rsidR="00587B04">
        <w:t>White settlers saw America as a republic of white, landowning men</w:t>
      </w:r>
      <w:r w:rsidR="00356EA7">
        <w:t>, and so</w:t>
      </w:r>
      <w:r w:rsidR="00587B04">
        <w:t xml:space="preserve"> to transform Indians into the white American system, land had to be trans</w:t>
      </w:r>
      <w:r w:rsidR="00AC00BE">
        <w:t>ferred to individual landowners.</w:t>
      </w:r>
      <w:r w:rsidR="00356EA7">
        <w:rPr>
          <w:rStyle w:val="FootnoteReference"/>
        </w:rPr>
        <w:footnoteReference w:id="83"/>
      </w:r>
      <w:r w:rsidR="00AC00BE">
        <w:t xml:space="preserve"> </w:t>
      </w:r>
      <w:r w:rsidR="00356EA7">
        <w:t>I</w:t>
      </w:r>
      <w:r w:rsidRPr="005B7071">
        <w:t>ndian tribes understood all too well what was at stake</w:t>
      </w:r>
      <w:r w:rsidR="00AC00BE">
        <w:t>.</w:t>
      </w:r>
      <w:r w:rsidRPr="005B7071">
        <w:t xml:space="preserve"> The Creek Nation opposed allotment precisely because they underst</w:t>
      </w:r>
      <w:r w:rsidR="00AC00BE">
        <w:t xml:space="preserve">ood that their nation and </w:t>
      </w:r>
      <w:r w:rsidRPr="005B7071">
        <w:t>land were indivisible.</w:t>
      </w:r>
      <w:r w:rsidRPr="005B7071">
        <w:rPr>
          <w:rStyle w:val="FootnoteReference"/>
        </w:rPr>
        <w:footnoteReference w:id="84"/>
      </w:r>
      <w:r w:rsidRPr="005B7071">
        <w:t xml:space="preserve"> </w:t>
      </w:r>
      <w:r w:rsidR="00AC00BE">
        <w:t>According to historian David Chang, l</w:t>
      </w:r>
      <w:r w:rsidRPr="005B7071">
        <w:t>and to the Creeks “was homeland, inseparable from the polity of the nation. It was a means of defending the autonomy of Creek farmers and the sovereignty of the people as a whole.”</w:t>
      </w:r>
      <w:r w:rsidRPr="005B7071">
        <w:rPr>
          <w:rStyle w:val="FootnoteReference"/>
        </w:rPr>
        <w:footnoteReference w:id="85"/>
      </w:r>
    </w:p>
    <w:p w14:paraId="1548A98B" w14:textId="41EF274E" w:rsidR="003614BD" w:rsidRDefault="003614BD" w:rsidP="00356EA7">
      <w:pPr>
        <w:ind w:firstLine="720"/>
        <w:rPr>
          <w:shd w:val="clear" w:color="auto" w:fill="FFFFFF"/>
        </w:rPr>
      </w:pPr>
      <w:r>
        <w:rPr>
          <w:shd w:val="clear" w:color="auto" w:fill="FFFFFF"/>
        </w:rPr>
        <w:t xml:space="preserve">The </w:t>
      </w:r>
      <w:r w:rsidRPr="00C95C64">
        <w:rPr>
          <w:i/>
          <w:shd w:val="clear" w:color="auto" w:fill="FFFFFF"/>
        </w:rPr>
        <w:t>Cherokee Advocate</w:t>
      </w:r>
      <w:r>
        <w:rPr>
          <w:shd w:val="clear" w:color="auto" w:fill="FFFFFF"/>
        </w:rPr>
        <w:t xml:space="preserve"> provided a new, public sphere for Indians to protest the imminent loss of their sovereignty. It was also part of a wider web of print culture </w:t>
      </w:r>
      <w:r w:rsidR="00AC00BE">
        <w:rPr>
          <w:shd w:val="clear" w:color="auto" w:fill="FFFFFF"/>
        </w:rPr>
        <w:t xml:space="preserve">in </w:t>
      </w:r>
      <w:r>
        <w:rPr>
          <w:shd w:val="clear" w:color="auto" w:fill="FFFFFF"/>
        </w:rPr>
        <w:t>the United States</w:t>
      </w:r>
      <w:r w:rsidR="00AC00BE">
        <w:rPr>
          <w:shd w:val="clear" w:color="auto" w:fill="FFFFFF"/>
        </w:rPr>
        <w:t xml:space="preserve"> as a whole, not just</w:t>
      </w:r>
      <w:r>
        <w:rPr>
          <w:shd w:val="clear" w:color="auto" w:fill="FFFFFF"/>
        </w:rPr>
        <w:t xml:space="preserve"> within Indian Territory. The visual arts, on the other hand, did not circulate as widely, and fewer examples exist of Indian artists </w:t>
      </w:r>
      <w:r w:rsidR="00AC00BE">
        <w:rPr>
          <w:shd w:val="clear" w:color="auto" w:fill="FFFFFF"/>
        </w:rPr>
        <w:t xml:space="preserve">arguably </w:t>
      </w:r>
      <w:r>
        <w:rPr>
          <w:shd w:val="clear" w:color="auto" w:fill="FFFFFF"/>
        </w:rPr>
        <w:t xml:space="preserve">talking back though their art. Even so, one artist in particular, Silver Horn, </w:t>
      </w:r>
      <w:r w:rsidR="00AC00BE">
        <w:rPr>
          <w:shd w:val="clear" w:color="auto" w:fill="FFFFFF"/>
        </w:rPr>
        <w:t xml:space="preserve">who was prolific, </w:t>
      </w:r>
      <w:r>
        <w:rPr>
          <w:shd w:val="clear" w:color="auto" w:fill="FFFFFF"/>
        </w:rPr>
        <w:t>left a unique legacy of survivance</w:t>
      </w:r>
      <w:r w:rsidR="00DE76A3">
        <w:rPr>
          <w:rStyle w:val="FootnoteReference"/>
          <w:shd w:val="clear" w:color="auto" w:fill="FFFFFF"/>
        </w:rPr>
        <w:footnoteReference w:id="86"/>
      </w:r>
      <w:r>
        <w:rPr>
          <w:shd w:val="clear" w:color="auto" w:fill="FFFFFF"/>
        </w:rPr>
        <w:t xml:space="preserve"> and resistance in his art.</w:t>
      </w:r>
    </w:p>
    <w:p w14:paraId="6D0EB039" w14:textId="648EFBAE" w:rsidR="00957FF3" w:rsidRPr="005B7071" w:rsidRDefault="00957FF3" w:rsidP="003614BD">
      <w:pPr>
        <w:rPr>
          <w:shd w:val="clear" w:color="auto" w:fill="FFFFFF"/>
        </w:rPr>
      </w:pPr>
    </w:p>
    <w:p w14:paraId="678B610F" w14:textId="502DFD43" w:rsidR="00957FF3" w:rsidRPr="005B7071" w:rsidRDefault="00957FF3" w:rsidP="003614BD">
      <w:pPr>
        <w:jc w:val="center"/>
        <w:rPr>
          <w:b/>
          <w:shd w:val="clear" w:color="auto" w:fill="FFFFFF"/>
        </w:rPr>
      </w:pPr>
      <w:r w:rsidRPr="005B7071">
        <w:rPr>
          <w:b/>
          <w:shd w:val="clear" w:color="auto" w:fill="FFFFFF"/>
        </w:rPr>
        <w:t>Silver Horn</w:t>
      </w:r>
      <w:r w:rsidR="00676C03">
        <w:rPr>
          <w:b/>
          <w:shd w:val="clear" w:color="auto" w:fill="FFFFFF"/>
        </w:rPr>
        <w:t>: Survivance and Art</w:t>
      </w:r>
    </w:p>
    <w:p w14:paraId="2E5C15CF" w14:textId="443CBADC" w:rsidR="00D22BD0" w:rsidRPr="005B7071" w:rsidRDefault="00AC00BE" w:rsidP="00A751E6">
      <w:pPr>
        <w:ind w:firstLine="720"/>
      </w:pPr>
      <w:r>
        <w:rPr>
          <w:shd w:val="clear" w:color="auto" w:fill="FFFFFF"/>
        </w:rPr>
        <w:t>One of the most un</w:t>
      </w:r>
      <w:r w:rsidR="00A751E6">
        <w:rPr>
          <w:shd w:val="clear" w:color="auto" w:fill="FFFFFF"/>
        </w:rPr>
        <w:t xml:space="preserve">ique and powerful objects ever painted by </w:t>
      </w:r>
      <w:r>
        <w:rPr>
          <w:shd w:val="clear" w:color="auto" w:fill="FFFFFF"/>
        </w:rPr>
        <w:t>Silver Horn</w:t>
      </w:r>
      <w:r w:rsidR="00A751E6">
        <w:rPr>
          <w:shd w:val="clear" w:color="auto" w:fill="FFFFFF"/>
        </w:rPr>
        <w:t xml:space="preserve"> was </w:t>
      </w:r>
      <w:r w:rsidR="00A751E6" w:rsidRPr="00A751E6">
        <w:rPr>
          <w:i/>
          <w:shd w:val="clear" w:color="auto" w:fill="FFFFFF"/>
        </w:rPr>
        <w:t>Tipi with Battle Pictures</w:t>
      </w:r>
      <w:r w:rsidR="00A751E6">
        <w:rPr>
          <w:shd w:val="clear" w:color="auto" w:fill="FFFFFF"/>
        </w:rPr>
        <w:t>, an historic Kiowa tipi thought lost for almost a century. It came back to public consciousness in 2012, when the O</w:t>
      </w:r>
      <w:r w:rsidR="00D22BD0" w:rsidRPr="005B7071">
        <w:t xml:space="preserve">klahoma Historical Society announced that they had purchased the only known copy of </w:t>
      </w:r>
      <w:r w:rsidR="00D22BD0" w:rsidRPr="005B7071">
        <w:rPr>
          <w:i/>
          <w:shd w:val="clear" w:color="auto" w:fill="FFFFFF"/>
        </w:rPr>
        <w:t>Daughter of Dawn</w:t>
      </w:r>
      <w:r w:rsidR="00A751E6">
        <w:t>, a</w:t>
      </w:r>
      <w:r w:rsidR="00D22BD0" w:rsidRPr="005B7071">
        <w:t xml:space="preserve"> little-known silent film </w:t>
      </w:r>
      <w:r w:rsidR="00D22BD0" w:rsidRPr="005B7071">
        <w:rPr>
          <w:rFonts w:cs="Arial"/>
          <w:shd w:val="clear" w:color="auto" w:fill="FFFFFF"/>
        </w:rPr>
        <w:t>s</w:t>
      </w:r>
      <w:r w:rsidR="00D22BD0" w:rsidRPr="005B7071">
        <w:t xml:space="preserve">hot in 1920 </w:t>
      </w:r>
      <w:r w:rsidR="00A751E6">
        <w:t xml:space="preserve">that prominently features the tipi. Shot </w:t>
      </w:r>
      <w:r w:rsidR="00D22BD0" w:rsidRPr="005B7071">
        <w:t xml:space="preserve">on the grassy plains of Oklahoma in the Wichita Mountains Wildlife Reserve, </w:t>
      </w:r>
      <w:r w:rsidR="00A751E6">
        <w:t xml:space="preserve">the movie </w:t>
      </w:r>
      <w:r w:rsidR="00D22BD0" w:rsidRPr="005B7071">
        <w:t xml:space="preserve">featured, for the first time in history, an all Native cast. More than 300 Kiowa and Comanche Indians from the reservation near Lawton, Oklahoma, came to play the roles. As Jordan Wright of </w:t>
      </w:r>
      <w:r w:rsidR="00D22BD0" w:rsidRPr="005B7071">
        <w:rPr>
          <w:i/>
        </w:rPr>
        <w:t>Indian Country Today Media</w:t>
      </w:r>
      <w:r w:rsidR="00676C03">
        <w:t xml:space="preserve"> describes,</w:t>
      </w:r>
    </w:p>
    <w:p w14:paraId="1DBD6F08" w14:textId="797F518F" w:rsidR="00D22BD0" w:rsidRPr="005B7071" w:rsidRDefault="00D22BD0" w:rsidP="00676C03">
      <w:pPr>
        <w:pStyle w:val="BlockQuotation"/>
        <w:rPr>
          <w:rFonts w:asciiTheme="majorHAnsi" w:hAnsiTheme="majorHAnsi" w:cstheme="majorHAnsi"/>
        </w:rPr>
      </w:pPr>
      <w:r w:rsidRPr="005B7071">
        <w:t>The Indians, who had been on the reservation less than 50 years, brought with</w:t>
      </w:r>
      <w:r w:rsidR="00676C03">
        <w:t xml:space="preserve"> </w:t>
      </w:r>
      <w:r w:rsidRPr="005B7071">
        <w:t>them their own tipis, horses and gear. Featured in the film were White Par</w:t>
      </w:r>
      <w:r w:rsidRPr="005B7071">
        <w:rPr>
          <w:rFonts w:asciiTheme="majorHAnsi" w:hAnsiTheme="majorHAnsi" w:cstheme="majorHAnsi"/>
        </w:rPr>
        <w:t>ker,</w:t>
      </w:r>
      <w:r w:rsidR="00676C03">
        <w:rPr>
          <w:rFonts w:asciiTheme="majorHAnsi" w:hAnsiTheme="majorHAnsi" w:cstheme="majorHAnsi"/>
        </w:rPr>
        <w:t xml:space="preserve"> </w:t>
      </w:r>
      <w:r w:rsidRPr="005B7071">
        <w:rPr>
          <w:rFonts w:asciiTheme="majorHAnsi" w:hAnsiTheme="majorHAnsi" w:cstheme="majorHAnsi"/>
        </w:rPr>
        <w:t>Esther LeBarre, Hunting Horse, Jack Sankeydoty and Wanada Parker, daughter</w:t>
      </w:r>
      <w:r w:rsidR="00676C03">
        <w:rPr>
          <w:rFonts w:asciiTheme="majorHAnsi" w:hAnsiTheme="majorHAnsi" w:cstheme="majorHAnsi"/>
        </w:rPr>
        <w:t xml:space="preserve"> </w:t>
      </w:r>
      <w:r w:rsidRPr="005B7071">
        <w:rPr>
          <w:rFonts w:asciiTheme="majorHAnsi" w:hAnsiTheme="majorHAnsi" w:cstheme="majorHAnsi"/>
        </w:rPr>
        <w:t>of Quanah Parker, a Comanche chief</w:t>
      </w:r>
      <w:r w:rsidRPr="005B7071">
        <w:rPr>
          <w:rFonts w:asciiTheme="majorHAnsi" w:hAnsiTheme="majorHAnsi" w:cstheme="majorHAnsi"/>
        </w:rPr>
        <w:tab/>
        <w:t>and one of the founders of the Native</w:t>
      </w:r>
      <w:r w:rsidR="00676C03">
        <w:rPr>
          <w:rFonts w:asciiTheme="majorHAnsi" w:hAnsiTheme="majorHAnsi" w:cstheme="majorHAnsi"/>
        </w:rPr>
        <w:t xml:space="preserve"> </w:t>
      </w:r>
      <w:r w:rsidRPr="005B7071">
        <w:rPr>
          <w:rFonts w:asciiTheme="majorHAnsi" w:hAnsiTheme="majorHAnsi" w:cstheme="majorHAnsi"/>
        </w:rPr>
        <w:t>American Church movement. Among the 100 extras were Slim Tyebo, Old Man</w:t>
      </w:r>
      <w:r w:rsidR="00676C03">
        <w:rPr>
          <w:rFonts w:asciiTheme="majorHAnsi" w:hAnsiTheme="majorHAnsi" w:cstheme="majorHAnsi"/>
        </w:rPr>
        <w:t xml:space="preserve"> </w:t>
      </w:r>
      <w:r w:rsidRPr="005B7071">
        <w:rPr>
          <w:rFonts w:asciiTheme="majorHAnsi" w:hAnsiTheme="majorHAnsi" w:cstheme="majorHAnsi"/>
        </w:rPr>
        <w:t>Saupitty and Oscar Yellow Wolf.</w:t>
      </w:r>
    </w:p>
    <w:p w14:paraId="07594EAA" w14:textId="13562784" w:rsidR="00D22BD0" w:rsidRPr="005B7071" w:rsidRDefault="00D22BD0" w:rsidP="00676C03">
      <w:pPr>
        <w:pStyle w:val="BlockQuotation"/>
        <w:rPr>
          <w:rFonts w:asciiTheme="majorHAnsi" w:hAnsiTheme="majorHAnsi" w:cstheme="majorHAnsi"/>
        </w:rPr>
      </w:pPr>
      <w:r w:rsidRPr="005B7071">
        <w:rPr>
          <w:rFonts w:asciiTheme="majorHAnsi" w:hAnsiTheme="majorHAnsi" w:cstheme="majorHAnsi"/>
        </w:rPr>
        <w:t>To add verisimilitude, [director Norbert] Myles incorporated the tribe’s tipis,</w:t>
      </w:r>
      <w:r w:rsidR="00676C03">
        <w:rPr>
          <w:rFonts w:asciiTheme="majorHAnsi" w:hAnsiTheme="majorHAnsi" w:cstheme="majorHAnsi"/>
        </w:rPr>
        <w:t xml:space="preserve"> </w:t>
      </w:r>
      <w:r w:rsidRPr="005B7071">
        <w:rPr>
          <w:rFonts w:asciiTheme="majorHAnsi" w:hAnsiTheme="majorHAnsi" w:cstheme="majorHAnsi"/>
        </w:rPr>
        <w:t>horses, personal regalia and other artifacts, and shot scenes of the Comanches</w:t>
      </w:r>
      <w:r w:rsidR="00676C03">
        <w:rPr>
          <w:rFonts w:asciiTheme="majorHAnsi" w:hAnsiTheme="majorHAnsi" w:cstheme="majorHAnsi"/>
        </w:rPr>
        <w:t xml:space="preserve"> </w:t>
      </w:r>
      <w:r w:rsidRPr="005B7071">
        <w:rPr>
          <w:rFonts w:asciiTheme="majorHAnsi" w:hAnsiTheme="majorHAnsi" w:cstheme="majorHAnsi"/>
        </w:rPr>
        <w:t>using cross-tribal Plains Indian sign language. He also shot scenes of tribal</w:t>
      </w:r>
      <w:r w:rsidR="00676C03">
        <w:rPr>
          <w:rFonts w:asciiTheme="majorHAnsi" w:hAnsiTheme="majorHAnsi" w:cstheme="majorHAnsi"/>
        </w:rPr>
        <w:t xml:space="preserve"> </w:t>
      </w:r>
      <w:r w:rsidRPr="005B7071">
        <w:rPr>
          <w:rFonts w:asciiTheme="majorHAnsi" w:hAnsiTheme="majorHAnsi" w:cstheme="majorHAnsi"/>
        </w:rPr>
        <w:t>dancing while the women prepared buffalo for a celebratory meal.</w:t>
      </w:r>
      <w:r w:rsidR="00DE76A3">
        <w:rPr>
          <w:rStyle w:val="FootnoteReference"/>
          <w:rFonts w:asciiTheme="majorHAnsi" w:hAnsiTheme="majorHAnsi" w:cstheme="majorHAnsi"/>
        </w:rPr>
        <w:footnoteReference w:id="87"/>
      </w:r>
    </w:p>
    <w:p w14:paraId="082B918C" w14:textId="19FA68D7" w:rsidR="00D22BD0" w:rsidRPr="005B7071" w:rsidRDefault="00D22BD0" w:rsidP="00D22BD0">
      <w:pPr>
        <w:pStyle w:val="NoSpacing"/>
        <w:spacing w:line="480" w:lineRule="auto"/>
        <w:rPr>
          <w:rFonts w:asciiTheme="majorHAnsi" w:hAnsiTheme="majorHAnsi" w:cstheme="majorHAnsi"/>
          <w:szCs w:val="24"/>
        </w:rPr>
      </w:pPr>
      <w:r w:rsidRPr="005B7071">
        <w:rPr>
          <w:rFonts w:asciiTheme="majorHAnsi" w:hAnsiTheme="majorHAnsi" w:cstheme="majorHAnsi"/>
          <w:szCs w:val="24"/>
        </w:rPr>
        <w:t xml:space="preserve">The director gave the Indian actors great freedom, allowing the Kiowa and Comanche actors and extras to dictate the material culture items seen in the film, and even some dances and ceremonies depicted therein. The result did more than just “add verisimilitude” – it added an </w:t>
      </w:r>
      <w:r w:rsidR="00676C03">
        <w:rPr>
          <w:rFonts w:asciiTheme="majorHAnsi" w:hAnsiTheme="majorHAnsi" w:cstheme="majorHAnsi"/>
          <w:szCs w:val="24"/>
        </w:rPr>
        <w:t>element of cultural resistance.</w:t>
      </w:r>
    </w:p>
    <w:p w14:paraId="0A7B6DC5" w14:textId="517CEA4B" w:rsidR="00D22BD0" w:rsidRPr="005B7071" w:rsidRDefault="00D22BD0" w:rsidP="00D22BD0">
      <w:pPr>
        <w:ind w:firstLine="720"/>
        <w:rPr>
          <w:rFonts w:cs="Arial"/>
          <w:shd w:val="clear" w:color="auto" w:fill="FFFFFF"/>
        </w:rPr>
      </w:pPr>
      <w:r w:rsidRPr="005B7071">
        <w:t xml:space="preserve">Perhaps the best example of this is the prominent inclusion of </w:t>
      </w:r>
      <w:r w:rsidRPr="005B7071">
        <w:rPr>
          <w:i/>
        </w:rPr>
        <w:t>Tipi with Battle Picture</w:t>
      </w:r>
      <w:r w:rsidRPr="00975DA8">
        <w:rPr>
          <w:i/>
        </w:rPr>
        <w:t>s</w:t>
      </w:r>
      <w:r w:rsidRPr="00975DA8">
        <w:t>, an important and well-</w:t>
      </w:r>
      <w:r w:rsidR="00DE76A3">
        <w:t>documented Kiowa tipi (fig. 2.18</w:t>
      </w:r>
      <w:r w:rsidRPr="00975DA8">
        <w:t>)</w:t>
      </w:r>
      <w:r w:rsidR="00A751E6" w:rsidRPr="00975DA8">
        <w:t xml:space="preserve">, a gift </w:t>
      </w:r>
      <w:r w:rsidRPr="00975DA8">
        <w:rPr>
          <w:shd w:val="clear" w:color="auto" w:fill="FFFFFF"/>
        </w:rPr>
        <w:t>to the Kiowa Chief Dohasan by t</w:t>
      </w:r>
      <w:r w:rsidR="00A751E6" w:rsidRPr="00975DA8">
        <w:rPr>
          <w:shd w:val="clear" w:color="auto" w:fill="FFFFFF"/>
        </w:rPr>
        <w:t>he Cheyenne Chief Nikko-se-vast</w:t>
      </w:r>
      <w:r w:rsidRPr="00975DA8">
        <w:rPr>
          <w:shd w:val="clear" w:color="auto" w:fill="FFFFFF"/>
        </w:rPr>
        <w:t xml:space="preserve"> in the 1840s. </w:t>
      </w:r>
      <w:r w:rsidRPr="00975DA8">
        <w:rPr>
          <w:rFonts w:cs="Arial"/>
          <w:shd w:val="clear" w:color="auto" w:fill="FFFFFF"/>
        </w:rPr>
        <w:t xml:space="preserve">Dohasan (also spelled Teh-toot-sah), principal chief of Kiowa from 1833 to 1866, lived a colorful life full of the contradictions common in the reservation era. In 1834, a year after he consolidated the Kiowa, </w:t>
      </w:r>
      <w:r w:rsidRPr="00975DA8">
        <w:rPr>
          <w:shd w:val="clear" w:color="auto" w:fill="FFFFFF"/>
        </w:rPr>
        <w:t>Dohasan</w:t>
      </w:r>
      <w:r w:rsidRPr="00975DA8">
        <w:rPr>
          <w:rFonts w:cs="Arial"/>
          <w:shd w:val="clear" w:color="auto" w:fill="FFFFFF"/>
        </w:rPr>
        <w:t xml:space="preserve"> had his likeness pa</w:t>
      </w:r>
      <w:r w:rsidR="00DE76A3">
        <w:rPr>
          <w:rFonts w:cs="Arial"/>
          <w:shd w:val="clear" w:color="auto" w:fill="FFFFFF"/>
        </w:rPr>
        <w:t>inted by George Catlin (fig.2.19</w:t>
      </w:r>
      <w:r w:rsidRPr="00975DA8">
        <w:rPr>
          <w:rFonts w:cs="Arial"/>
          <w:shd w:val="clear" w:color="auto" w:fill="FFFFFF"/>
        </w:rPr>
        <w:t>)</w:t>
      </w:r>
      <w:r w:rsidR="00A751E6" w:rsidRPr="00975DA8">
        <w:rPr>
          <w:rFonts w:cs="Arial"/>
          <w:shd w:val="clear" w:color="auto" w:fill="FFFFFF"/>
        </w:rPr>
        <w:t xml:space="preserve">, who </w:t>
      </w:r>
      <w:r w:rsidRPr="00975DA8">
        <w:rPr>
          <w:rFonts w:cs="Arial"/>
          <w:shd w:val="clear" w:color="auto" w:fill="FFFFFF"/>
        </w:rPr>
        <w:t>cal</w:t>
      </w:r>
      <w:r w:rsidRPr="005B7071">
        <w:rPr>
          <w:rFonts w:cs="Arial"/>
          <w:shd w:val="clear" w:color="auto" w:fill="FFFFFF"/>
        </w:rPr>
        <w:t xml:space="preserve">led </w:t>
      </w:r>
      <w:r w:rsidR="00A751E6">
        <w:rPr>
          <w:rFonts w:cs="Arial"/>
          <w:shd w:val="clear" w:color="auto" w:fill="FFFFFF"/>
        </w:rPr>
        <w:t xml:space="preserve">his sitter </w:t>
      </w:r>
      <w:r w:rsidRPr="005B7071">
        <w:rPr>
          <w:rFonts w:cs="Arial"/>
          <w:shd w:val="clear" w:color="auto" w:fill="FFFFFF"/>
        </w:rPr>
        <w:t>“a very gentlemanly and high minded man, who treated the dragoons and officers with great kindness while in his country. His long hair, which was put up in several large clubs, and ornamented with a great many silver broaches, extended quite down to his knees.”</w:t>
      </w:r>
      <w:r w:rsidRPr="005B7071">
        <w:rPr>
          <w:rStyle w:val="FootnoteReference"/>
          <w:rFonts w:cs="Arial"/>
          <w:shd w:val="clear" w:color="auto" w:fill="FFFFFF"/>
        </w:rPr>
        <w:footnoteReference w:id="88"/>
      </w:r>
    </w:p>
    <w:p w14:paraId="3C2EE41A" w14:textId="035DE59A" w:rsidR="00D22BD0" w:rsidRPr="005B7071" w:rsidRDefault="00D22BD0" w:rsidP="00D22BD0">
      <w:pPr>
        <w:ind w:firstLine="720"/>
        <w:rPr>
          <w:rFonts w:cs="Arial"/>
          <w:shd w:val="clear" w:color="auto" w:fill="FFFFFF"/>
        </w:rPr>
      </w:pPr>
      <w:r w:rsidRPr="005B7071">
        <w:t xml:space="preserve">If Catlin’s words portray </w:t>
      </w:r>
      <w:r w:rsidR="00A751E6">
        <w:t xml:space="preserve">the Kiowa chief </w:t>
      </w:r>
      <w:r w:rsidRPr="005B7071">
        <w:t xml:space="preserve">in a positive light as an intelligent, kind, and noble man, the same cannot be said for his painted portrait. Dohasan is presented as an amalgamation of ethnographic details – the silver sash, bone necklace, gold armbands, body and face paint are realized in great detail, whereas his body is a mass of nearly shapeless clay, an indistinct container free of musculature meant only to carry ethnographic details. </w:t>
      </w:r>
      <w:r w:rsidR="00A751E6">
        <w:t xml:space="preserve">Heightening this effect, </w:t>
      </w:r>
      <w:r w:rsidRPr="005B7071">
        <w:t>Catlin placed Dohasan</w:t>
      </w:r>
      <w:r w:rsidR="00A751E6">
        <w:t xml:space="preserve"> before</w:t>
      </w:r>
      <w:r w:rsidRPr="005B7071">
        <w:t xml:space="preserve"> a typical Kiowa thatched hut. Not just an amalgamation of ethnographic details or a museum prop</w:t>
      </w:r>
      <w:r>
        <w:t>, but not fully a person, either</w:t>
      </w:r>
      <w:r w:rsidRPr="005B7071">
        <w:t xml:space="preserve">. </w:t>
      </w:r>
    </w:p>
    <w:p w14:paraId="6DF1827F" w14:textId="64EEE3A9" w:rsidR="00D22BD0" w:rsidRPr="005B7071" w:rsidRDefault="00D22BD0" w:rsidP="00D22BD0">
      <w:pPr>
        <w:ind w:firstLine="720"/>
      </w:pPr>
      <w:r w:rsidRPr="005B7071">
        <w:rPr>
          <w:rFonts w:cs="Arial"/>
          <w:shd w:val="clear" w:color="auto" w:fill="FFFFFF"/>
        </w:rPr>
        <w:t xml:space="preserve">At the time Catlin </w:t>
      </w:r>
      <w:r w:rsidR="00355E10">
        <w:rPr>
          <w:rFonts w:cs="Arial"/>
          <w:shd w:val="clear" w:color="auto" w:fill="FFFFFF"/>
        </w:rPr>
        <w:t xml:space="preserve">met </w:t>
      </w:r>
      <w:r w:rsidRPr="005B7071">
        <w:rPr>
          <w:rFonts w:cs="Arial"/>
          <w:shd w:val="clear" w:color="auto" w:fill="FFFFFF"/>
        </w:rPr>
        <w:t xml:space="preserve">him, </w:t>
      </w:r>
      <w:r w:rsidRPr="005B7071">
        <w:rPr>
          <w:shd w:val="clear" w:color="auto" w:fill="FFFFFF"/>
        </w:rPr>
        <w:t>Dohasan</w:t>
      </w:r>
      <w:r w:rsidRPr="005B7071">
        <w:rPr>
          <w:rFonts w:cs="Arial"/>
          <w:shd w:val="clear" w:color="auto" w:fill="FFFFFF"/>
        </w:rPr>
        <w:t xml:space="preserve"> was a warrior who led a confederation of free Kiowa that lived and hunted throughout the southwest. A staunch defender of Kiowa sovereignty, he nonetheless signed several treaties w</w:t>
      </w:r>
      <w:r w:rsidR="00355E10">
        <w:rPr>
          <w:rFonts w:cs="Arial"/>
          <w:shd w:val="clear" w:color="auto" w:fill="FFFFFF"/>
        </w:rPr>
        <w:t>ith the United States</w:t>
      </w:r>
      <w:r w:rsidRPr="005B7071">
        <w:rPr>
          <w:rFonts w:cs="Arial"/>
          <w:shd w:val="clear" w:color="auto" w:fill="FFFFFF"/>
        </w:rPr>
        <w:t>, including the Little Arkansas treaty that began the reservation era for the Kiowa.</w:t>
      </w:r>
      <w:r w:rsidRPr="005B7071">
        <w:rPr>
          <w:rStyle w:val="FootnoteReference"/>
          <w:rFonts w:cs="Arial"/>
          <w:shd w:val="clear" w:color="auto" w:fill="FFFFFF"/>
        </w:rPr>
        <w:footnoteReference w:id="89"/>
      </w:r>
      <w:r w:rsidRPr="005B7071">
        <w:rPr>
          <w:rFonts w:cs="Arial"/>
          <w:shd w:val="clear" w:color="auto" w:fill="FFFFFF"/>
        </w:rPr>
        <w:t xml:space="preserve"> </w:t>
      </w:r>
      <w:r w:rsidR="00355E10">
        <w:rPr>
          <w:rFonts w:cs="Arial"/>
          <w:shd w:val="clear" w:color="auto" w:fill="FFFFFF"/>
        </w:rPr>
        <w:t xml:space="preserve">His </w:t>
      </w:r>
      <w:r w:rsidRPr="005B7071">
        <w:rPr>
          <w:rFonts w:cs="Arial"/>
          <w:shd w:val="clear" w:color="auto" w:fill="FFFFFF"/>
        </w:rPr>
        <w:t>nephew, Agiati, became chief at Dohasan’s death. Agiati, too, fought a losing battle to re</w:t>
      </w:r>
      <w:r w:rsidR="00355E10">
        <w:rPr>
          <w:rFonts w:cs="Arial"/>
          <w:shd w:val="clear" w:color="auto" w:fill="FFFFFF"/>
        </w:rPr>
        <w:t xml:space="preserve">tain sovereignty for the Kiowa. </w:t>
      </w:r>
      <w:r w:rsidRPr="005B7071">
        <w:rPr>
          <w:rFonts w:cs="Arial"/>
          <w:shd w:val="clear" w:color="auto" w:fill="FFFFFF"/>
        </w:rPr>
        <w:t xml:space="preserve">Agiati’s son, Dohasan’s grandnephew, was Silver Horn. </w:t>
      </w:r>
      <w:r w:rsidRPr="005B7071">
        <w:t xml:space="preserve">When, in 1916, Silver Horn and his nephew </w:t>
      </w:r>
      <w:r w:rsidRPr="005B7071">
        <w:rPr>
          <w:shd w:val="clear" w:color="auto" w:fill="FFFFFF"/>
        </w:rPr>
        <w:t>Stephen Mopope</w:t>
      </w:r>
      <w:r w:rsidRPr="005B7071">
        <w:t xml:space="preserve"> </w:t>
      </w:r>
      <w:r w:rsidRPr="005B7071">
        <w:rPr>
          <w:shd w:val="clear" w:color="auto" w:fill="FFFFFF"/>
        </w:rPr>
        <w:t xml:space="preserve">renewed </w:t>
      </w:r>
      <w:r w:rsidR="00355E10">
        <w:rPr>
          <w:shd w:val="clear" w:color="auto" w:fill="FFFFFF"/>
        </w:rPr>
        <w:t xml:space="preserve">(i.e., repainted) </w:t>
      </w:r>
      <w:r w:rsidRPr="005B7071">
        <w:t xml:space="preserve">the </w:t>
      </w:r>
      <w:r w:rsidRPr="005B7071">
        <w:rPr>
          <w:i/>
        </w:rPr>
        <w:t>Tipi with Battle Pictures</w:t>
      </w:r>
      <w:r w:rsidRPr="005B7071">
        <w:t xml:space="preserve">, they were renewing the same tipi Silver Horn lived in as a child. By lending the tipi to be included in </w:t>
      </w:r>
      <w:r w:rsidRPr="005B7071">
        <w:rPr>
          <w:i/>
        </w:rPr>
        <w:t>Daughter of Dawn</w:t>
      </w:r>
      <w:r w:rsidRPr="005B7071">
        <w:t xml:space="preserve">, Silver Horn and his family lent a visual link to pre-reservation Kiowa life. Owned by the greatest Kiowa chief of all times and maintained through the difficulties of the transition to reservation life, </w:t>
      </w:r>
      <w:r w:rsidRPr="005B7071">
        <w:rPr>
          <w:i/>
        </w:rPr>
        <w:t>Tipi with Battle Pictures</w:t>
      </w:r>
      <w:r w:rsidR="00355E10">
        <w:t>, and Silver Horn, exemplified</w:t>
      </w:r>
      <w:r w:rsidRPr="005B7071">
        <w:t xml:space="preserve"> a deliberate and defiant act of cultural resistance.</w:t>
      </w:r>
      <w:r w:rsidRPr="005B7071">
        <w:rPr>
          <w:rStyle w:val="FootnoteReference"/>
          <w:rFonts w:cs="Arial"/>
          <w:shd w:val="clear" w:color="auto" w:fill="FFFFFF"/>
        </w:rPr>
        <w:footnoteReference w:id="90"/>
      </w:r>
    </w:p>
    <w:p w14:paraId="63F8B770" w14:textId="344B5F4F" w:rsidR="00FE462C" w:rsidRPr="005B7071" w:rsidRDefault="00D22BD0" w:rsidP="00FE462C">
      <w:pPr>
        <w:ind w:firstLine="720"/>
        <w:rPr>
          <w:shd w:val="clear" w:color="auto" w:fill="FFFFFF"/>
        </w:rPr>
      </w:pPr>
      <w:r>
        <w:t>S</w:t>
      </w:r>
      <w:r w:rsidR="00FE462C">
        <w:t>ilver Horn</w:t>
      </w:r>
      <w:r>
        <w:t>’s</w:t>
      </w:r>
      <w:r w:rsidR="00FE462C">
        <w:t xml:space="preserve"> </w:t>
      </w:r>
      <w:r>
        <w:t xml:space="preserve">resistance can profitably be </w:t>
      </w:r>
      <w:r w:rsidR="00FE462C">
        <w:t xml:space="preserve">understood </w:t>
      </w:r>
      <w:r w:rsidR="00355E10">
        <w:t xml:space="preserve">as </w:t>
      </w:r>
      <w:r>
        <w:t>a byproduct o</w:t>
      </w:r>
      <w:r w:rsidR="00FE462C">
        <w:t xml:space="preserve">f the colonial </w:t>
      </w:r>
      <w:r w:rsidR="00FE462C" w:rsidRPr="005B7071">
        <w:t>contact zone, an apartheid world defined by inequality and conflict.</w:t>
      </w:r>
      <w:r w:rsidR="00FE462C" w:rsidRPr="005B7071">
        <w:rPr>
          <w:rStyle w:val="FootnoteReference"/>
        </w:rPr>
        <w:footnoteReference w:id="91"/>
      </w:r>
      <w:r w:rsidR="00FE462C">
        <w:t xml:space="preserve"> His l</w:t>
      </w:r>
      <w:r w:rsidR="00FE462C" w:rsidRPr="005B7071">
        <w:t>ife and art were subject to contradictions</w:t>
      </w:r>
      <w:r w:rsidR="00FE462C">
        <w:t xml:space="preserve"> and accommodations to reality</w:t>
      </w:r>
      <w:r w:rsidR="00355E10">
        <w:t>. M</w:t>
      </w:r>
      <w:r w:rsidR="00FE462C">
        <w:t xml:space="preserve">any </w:t>
      </w:r>
      <w:r w:rsidR="00FE462C" w:rsidRPr="005B7071">
        <w:t>of Silver Horn’s patrons were white; he briefly serv</w:t>
      </w:r>
      <w:r w:rsidR="00355E10">
        <w:t>ed in the United States army</w:t>
      </w:r>
      <w:r w:rsidR="00FE462C">
        <w:t xml:space="preserve">; and he </w:t>
      </w:r>
      <w:r w:rsidR="00FE462C" w:rsidRPr="005B7071">
        <w:t xml:space="preserve">even experimented with Western, three-dimensional illusionism </w:t>
      </w:r>
      <w:r w:rsidR="00FE462C">
        <w:t>under the influence of E.A. Burbank</w:t>
      </w:r>
      <w:r w:rsidR="00355E10">
        <w:t>,</w:t>
      </w:r>
      <w:r w:rsidR="00FE462C">
        <w:t xml:space="preserve"> who painted Silver Horn’s likeness in almo</w:t>
      </w:r>
      <w:r w:rsidR="00FE462C" w:rsidRPr="00676C03">
        <w:t>st trompe-l’oei</w:t>
      </w:r>
      <w:r w:rsidR="00A81375">
        <w:t>l style in 1898. (fig. 2.20</w:t>
      </w:r>
      <w:r w:rsidR="00FE462C" w:rsidRPr="00676C03">
        <w:t>). Even so</w:t>
      </w:r>
      <w:r w:rsidR="00355E10">
        <w:t xml:space="preserve"> Silver Horn’s a</w:t>
      </w:r>
      <w:r w:rsidR="00FE462C" w:rsidRPr="00676C03">
        <w:t>rt and his life offer an important</w:t>
      </w:r>
      <w:r w:rsidR="00FE462C">
        <w:t xml:space="preserve"> c</w:t>
      </w:r>
      <w:r w:rsidR="00FE462C" w:rsidRPr="005B7071">
        <w:t>ounter-narrative</w:t>
      </w:r>
      <w:r w:rsidR="00FE462C">
        <w:t xml:space="preserve"> to </w:t>
      </w:r>
      <w:r>
        <w:t xml:space="preserve">white settlement of Indian lands. </w:t>
      </w:r>
      <w:r w:rsidR="0085767F">
        <w:t>A</w:t>
      </w:r>
      <w:r w:rsidR="00355E10">
        <w:t xml:space="preserve"> compromiser, he was </w:t>
      </w:r>
      <w:r w:rsidR="0085767F">
        <w:t>n</w:t>
      </w:r>
      <w:r w:rsidR="00FE462C" w:rsidRPr="005B7071">
        <w:t>either a hero nor a victim</w:t>
      </w:r>
      <w:r w:rsidR="0085767F">
        <w:t xml:space="preserve">. In this way, his art is </w:t>
      </w:r>
      <w:r w:rsidR="00FE462C" w:rsidRPr="005B7071">
        <w:t>an important example of what cultural theorist Gerald Visenor</w:t>
      </w:r>
      <w:r w:rsidR="00355E10">
        <w:t xml:space="preserve"> has described as </w:t>
      </w:r>
      <w:r w:rsidR="00FE462C" w:rsidRPr="005B7071">
        <w:t>survivance; it has “</w:t>
      </w:r>
      <w:r w:rsidR="00FE462C" w:rsidRPr="005B7071">
        <w:rPr>
          <w:shd w:val="clear" w:color="auto" w:fill="FFFFFF"/>
        </w:rPr>
        <w:t>an active sense of presence,” provides for “the continuance of native stories,” while offering a “renunciation of dominance, tragedy and victim</w:t>
      </w:r>
      <w:r w:rsidR="00FE462C">
        <w:rPr>
          <w:shd w:val="clear" w:color="auto" w:fill="FFFFFF"/>
        </w:rPr>
        <w:t>ry.”</w:t>
      </w:r>
      <w:r w:rsidR="00FE462C" w:rsidRPr="005B7071">
        <w:rPr>
          <w:rStyle w:val="FootnoteReference"/>
          <w:rFonts w:cs="Arial"/>
          <w:shd w:val="clear" w:color="auto" w:fill="FFFFFF"/>
        </w:rPr>
        <w:footnoteReference w:id="92"/>
      </w:r>
    </w:p>
    <w:p w14:paraId="00A4C89C" w14:textId="21A35A8D" w:rsidR="008F3AAA" w:rsidRDefault="00FE462C" w:rsidP="00FE462C">
      <w:pPr>
        <w:ind w:firstLine="720"/>
      </w:pPr>
      <w:r w:rsidRPr="005B7071">
        <w:t xml:space="preserve">Silver Horn was born in 1860 at a time when the Kiowa were still a nomadic warrior tribe engaged in buffalo hunting, horse raids, trade, and intertribal warfare. The grandnephew and son of great Kiowa chiefs, Silver Horn undoubtedly </w:t>
      </w:r>
      <w:r w:rsidR="00355E10">
        <w:t xml:space="preserve">might have </w:t>
      </w:r>
      <w:r w:rsidRPr="005B7071">
        <w:t>been expected to become a great warrior.</w:t>
      </w:r>
      <w:r w:rsidRPr="005B7071">
        <w:rPr>
          <w:rStyle w:val="FootnoteReference"/>
        </w:rPr>
        <w:footnoteReference w:id="93"/>
      </w:r>
      <w:r w:rsidRPr="005B7071">
        <w:t xml:space="preserve"> However, </w:t>
      </w:r>
      <w:r w:rsidR="00355E10">
        <w:t xml:space="preserve">when he was a </w:t>
      </w:r>
      <w:r w:rsidRPr="005B7071">
        <w:t>child, the Kiowa signed the Medicine Lodge treaty, which restricted the tribe to Indian Territory and forced them to give up all other lands. Even so, the conservative Guhale band, led by Silver Horn’s father, resisted reservation life until their 1874-75 surrender.</w:t>
      </w:r>
      <w:r w:rsidRPr="005B7071">
        <w:rPr>
          <w:rStyle w:val="FootnoteReference"/>
        </w:rPr>
        <w:footnoteReference w:id="94"/>
      </w:r>
      <w:r w:rsidRPr="005B7071">
        <w:t xml:space="preserve"> </w:t>
      </w:r>
      <w:r w:rsidR="008F3AAA">
        <w:t xml:space="preserve">In this and many other ways, </w:t>
      </w:r>
      <w:r w:rsidRPr="005B7071">
        <w:t>Silver Horn’s art and life mirror the fate of his tribe.</w:t>
      </w:r>
    </w:p>
    <w:p w14:paraId="01969440" w14:textId="162D1209" w:rsidR="00CB3789" w:rsidRDefault="00355E10" w:rsidP="000C4D05">
      <w:pPr>
        <w:ind w:firstLine="720"/>
      </w:pPr>
      <w:r>
        <w:t xml:space="preserve">Early in </w:t>
      </w:r>
      <w:r w:rsidR="008F3AAA">
        <w:t xml:space="preserve">life, </w:t>
      </w:r>
      <w:r w:rsidR="008F3AAA" w:rsidRPr="005B7071">
        <w:t xml:space="preserve">Silver Horn </w:t>
      </w:r>
      <w:r>
        <w:t xml:space="preserve">had </w:t>
      </w:r>
      <w:r w:rsidR="008F3AAA" w:rsidRPr="005B7071">
        <w:t xml:space="preserve">made a good deal of narrative hide art, a long-established form that served as a way to record and advertise various accomplishments in warfare, </w:t>
      </w:r>
      <w:r w:rsidR="0027202A">
        <w:t xml:space="preserve">granting the men responsible </w:t>
      </w:r>
      <w:r w:rsidR="008F3AAA" w:rsidRPr="005B7071">
        <w:t>social recognition and standing.</w:t>
      </w:r>
      <w:r w:rsidR="008F3AAA" w:rsidRPr="005B7071">
        <w:rPr>
          <w:rStyle w:val="FootnoteReference"/>
        </w:rPr>
        <w:footnoteReference w:id="95"/>
      </w:r>
      <w:r w:rsidR="008F3AAA" w:rsidRPr="005B7071">
        <w:t xml:space="preserve"> </w:t>
      </w:r>
      <w:r w:rsidR="00CB3789">
        <w:t xml:space="preserve">His hide art work was done primarily on </w:t>
      </w:r>
      <w:r w:rsidR="00CB3789" w:rsidRPr="005B7071">
        <w:t>tipi liners and muslins</w:t>
      </w:r>
      <w:r w:rsidR="00654C9B">
        <w:t xml:space="preserve"> and </w:t>
      </w:r>
      <w:r w:rsidR="00CB3789" w:rsidRPr="005B7071">
        <w:t xml:space="preserve">depicted </w:t>
      </w:r>
      <w:r w:rsidR="0027202A">
        <w:t xml:space="preserve">indigenous </w:t>
      </w:r>
      <w:r w:rsidR="00CB3789" w:rsidRPr="005B7071">
        <w:t>warrior narrative</w:t>
      </w:r>
      <w:r w:rsidR="00CB3789">
        <w:t>s</w:t>
      </w:r>
      <w:r w:rsidR="00654C9B">
        <w:t xml:space="preserve">. Tipi </w:t>
      </w:r>
      <w:r w:rsidR="00CB3789">
        <w:t xml:space="preserve">liners would have been </w:t>
      </w:r>
      <w:r w:rsidR="0027202A">
        <w:t xml:space="preserve">produced </w:t>
      </w:r>
      <w:r w:rsidR="00CB3789" w:rsidRPr="008F3AAA">
        <w:t>in public, open for review and critique</w:t>
      </w:r>
      <w:r w:rsidR="00654C9B">
        <w:t xml:space="preserve"> by other </w:t>
      </w:r>
      <w:r w:rsidR="00CB3789" w:rsidRPr="008F3AAA">
        <w:t>Kiowa</w:t>
      </w:r>
      <w:r w:rsidR="00654C9B">
        <w:t xml:space="preserve">. </w:t>
      </w:r>
      <w:r w:rsidR="00CB3789">
        <w:t xml:space="preserve">Silver Horn’s hide art nonetheless </w:t>
      </w:r>
      <w:r w:rsidR="00CB3789" w:rsidRPr="005B7071">
        <w:t>mark</w:t>
      </w:r>
      <w:r w:rsidR="0027202A">
        <w:t>s</w:t>
      </w:r>
      <w:r w:rsidR="00CB3789" w:rsidRPr="005B7071">
        <w:t xml:space="preserve"> an early adaptation to </w:t>
      </w:r>
      <w:r w:rsidR="00CB3789">
        <w:t xml:space="preserve">social </w:t>
      </w:r>
      <w:r w:rsidR="00CB3789" w:rsidRPr="005B7071">
        <w:t xml:space="preserve">modernity in that at least some </w:t>
      </w:r>
      <w:r w:rsidR="0027202A">
        <w:t xml:space="preserve">was </w:t>
      </w:r>
      <w:r w:rsidR="00CB3789" w:rsidRPr="005B7071">
        <w:t>made for sale.</w:t>
      </w:r>
      <w:r w:rsidR="00CB3789">
        <w:rPr>
          <w:rStyle w:val="FootnoteReference"/>
        </w:rPr>
        <w:footnoteReference w:id="96"/>
      </w:r>
      <w:r w:rsidR="00CB3789">
        <w:t xml:space="preserve"> </w:t>
      </w:r>
      <w:r w:rsidR="008F3AAA" w:rsidRPr="00D22BD0">
        <w:t>Hide art sometimes included visionary art, a genre that depicted encounters with the supernatural</w:t>
      </w:r>
      <w:r w:rsidR="0027202A">
        <w:t xml:space="preserve">, </w:t>
      </w:r>
      <w:r w:rsidR="008F3AAA" w:rsidRPr="00D22BD0">
        <w:t xml:space="preserve">associated with vision quests. Besides painted tipis, </w:t>
      </w:r>
      <w:r w:rsidR="0027202A">
        <w:t xml:space="preserve">such </w:t>
      </w:r>
      <w:r w:rsidR="008F3AAA" w:rsidRPr="00D22BD0">
        <w:t>visionary art was frequently used to decorate hide shields.</w:t>
      </w:r>
      <w:r w:rsidR="000C4D05">
        <w:t xml:space="preserve"> </w:t>
      </w:r>
      <w:r w:rsidR="008F3AAA" w:rsidRPr="00D22BD0">
        <w:t xml:space="preserve">Once Kiowa warriors were confined to the reservation and open warfare </w:t>
      </w:r>
      <w:r w:rsidR="000C4D05">
        <w:t xml:space="preserve">ended, </w:t>
      </w:r>
      <w:r w:rsidR="008F3AAA" w:rsidRPr="00D22BD0">
        <w:t xml:space="preserve">the primary uses for visionary art </w:t>
      </w:r>
      <w:r w:rsidR="000C4D05">
        <w:t>disappeared</w:t>
      </w:r>
      <w:r w:rsidR="008F3AAA" w:rsidRPr="00D22BD0">
        <w:t>.</w:t>
      </w:r>
    </w:p>
    <w:p w14:paraId="1384A845" w14:textId="1860582D" w:rsidR="00654C9B" w:rsidRDefault="00C96BD2" w:rsidP="00654C9B">
      <w:pPr>
        <w:ind w:firstLine="720"/>
      </w:pPr>
      <w:r w:rsidRPr="005B7071">
        <w:t>Hide art, which had been primarily concerned with male warrior life, understandably had less relevance during a time when male warriors had fewer and fewer chan</w:t>
      </w:r>
      <w:r w:rsidR="000C4D05">
        <w:t>ces to distinguish themselves in</w:t>
      </w:r>
      <w:r w:rsidRPr="005B7071">
        <w:t xml:space="preserve"> war.</w:t>
      </w:r>
      <w:r>
        <w:t xml:space="preserve"> </w:t>
      </w:r>
      <w:r w:rsidR="008F3AAA">
        <w:t xml:space="preserve">In time, </w:t>
      </w:r>
      <w:r>
        <w:t>Silver Horn’s artistic production reflected his tribe</w:t>
      </w:r>
      <w:r w:rsidR="000C4D05">
        <w:t>’</w:t>
      </w:r>
      <w:r>
        <w:t xml:space="preserve">s move to reservation life. </w:t>
      </w:r>
      <w:r w:rsidR="00CB3789" w:rsidRPr="005B7071">
        <w:t xml:space="preserve">Silver Horn </w:t>
      </w:r>
      <w:r w:rsidR="000C4D05">
        <w:t xml:space="preserve">later </w:t>
      </w:r>
      <w:r w:rsidR="00CB3789">
        <w:t xml:space="preserve">became </w:t>
      </w:r>
      <w:r w:rsidR="00CB3789" w:rsidRPr="005B7071">
        <w:t xml:space="preserve">known for his ledger art, an art form that derived </w:t>
      </w:r>
      <w:r w:rsidR="00CB3789">
        <w:t>stylistically from hide art yet</w:t>
      </w:r>
      <w:r w:rsidR="00CB3789" w:rsidRPr="005B7071">
        <w:t xml:space="preserve"> served a different purpose within Kiowa society and was often made for non-native audiences. Narrative ledger art in the reservation period shi</w:t>
      </w:r>
      <w:r w:rsidR="00CB3789">
        <w:t xml:space="preserve">fts media, from hide to paper, </w:t>
      </w:r>
      <w:r w:rsidR="00CB3789" w:rsidRPr="005B7071">
        <w:t>and subject</w:t>
      </w:r>
      <w:r w:rsidR="00CB3789">
        <w:t xml:space="preserve">, </w:t>
      </w:r>
      <w:r w:rsidR="00CB3789" w:rsidRPr="005B7071">
        <w:t>from current war deeds to past war scenes and genre scenes.</w:t>
      </w:r>
      <w:r w:rsidR="00CB3789" w:rsidRPr="005B7071">
        <w:rPr>
          <w:rStyle w:val="FootnoteReference"/>
        </w:rPr>
        <w:footnoteReference w:id="97"/>
      </w:r>
      <w:r w:rsidR="00CB3789" w:rsidRPr="005B7071">
        <w:t xml:space="preserve"> The shift in subject matter matched the shift in audiences. Ledger art, more portable, legible, and salable than hide art, quickly gained buyers among Indian agents and others connected to the burgeoning trade in Indian goods.</w:t>
      </w:r>
      <w:r w:rsidR="00CB3789" w:rsidRPr="005B7071">
        <w:rPr>
          <w:rStyle w:val="FootnoteReference"/>
        </w:rPr>
        <w:footnoteReference w:id="98"/>
      </w:r>
      <w:r w:rsidR="00CB3789">
        <w:t xml:space="preserve"> </w:t>
      </w:r>
      <w:r w:rsidR="00CB3789" w:rsidRPr="005B7071">
        <w:t>Ledger art flourished during the reservation period, a time when Kiowa were restricted to Indian Territory and no longer engaged in active warfare. The reservation period provided Silver Horn with new way</w:t>
      </w:r>
      <w:r w:rsidR="00CB3789">
        <w:t>s</w:t>
      </w:r>
      <w:r w:rsidR="00CB3789" w:rsidRPr="005B7071">
        <w:t xml:space="preserve"> to make art, new </w:t>
      </w:r>
      <w:r w:rsidR="000C4D05">
        <w:t xml:space="preserve">markets previously unknown, </w:t>
      </w:r>
      <w:r w:rsidR="00CB3789" w:rsidRPr="005B7071">
        <w:t xml:space="preserve">and new styles of representation </w:t>
      </w:r>
      <w:r w:rsidR="000C4D05">
        <w:t>to explore.</w:t>
      </w:r>
      <w:r w:rsidR="00CB3789" w:rsidRPr="005B7071">
        <w:rPr>
          <w:rStyle w:val="FootnoteReference"/>
        </w:rPr>
        <w:footnoteReference w:id="99"/>
      </w:r>
    </w:p>
    <w:p w14:paraId="75D7A992" w14:textId="2A943942" w:rsidR="00FE462C" w:rsidRDefault="00654C9B" w:rsidP="00FE462C">
      <w:pPr>
        <w:ind w:firstLine="720"/>
      </w:pPr>
      <w:r w:rsidRPr="005B7071">
        <w:t xml:space="preserve">Many of the drawing Silver Horn produced </w:t>
      </w:r>
      <w:r>
        <w:t xml:space="preserve">in </w:t>
      </w:r>
      <w:r w:rsidRPr="005B7071">
        <w:t xml:space="preserve">the 1880s </w:t>
      </w:r>
      <w:r>
        <w:t xml:space="preserve">were made </w:t>
      </w:r>
      <w:r w:rsidR="000C4D05">
        <w:t xml:space="preserve">for </w:t>
      </w:r>
      <w:r w:rsidRPr="005B7071">
        <w:t>Dudley Brown</w:t>
      </w:r>
      <w:r>
        <w:t>, whose patronage eventually led Silver Horn back to visionary art. For Brown, Silver Horn produced t</w:t>
      </w:r>
      <w:r w:rsidRPr="005B7071">
        <w:t xml:space="preserve">he </w:t>
      </w:r>
      <w:r w:rsidR="000C4D05">
        <w:t xml:space="preserve">so-called </w:t>
      </w:r>
      <w:r w:rsidRPr="005B7071">
        <w:t>Field Museum Books</w:t>
      </w:r>
      <w:r>
        <w:t xml:space="preserve">, quasi-personal </w:t>
      </w:r>
      <w:r w:rsidRPr="005B7071">
        <w:t>sketchbook</w:t>
      </w:r>
      <w:r>
        <w:t>s</w:t>
      </w:r>
      <w:r w:rsidRPr="005B7071">
        <w:t xml:space="preserve"> </w:t>
      </w:r>
      <w:r>
        <w:t xml:space="preserve">in which the artist </w:t>
      </w:r>
      <w:r w:rsidRPr="005B7071">
        <w:t>introduce</w:t>
      </w:r>
      <w:r>
        <w:t>d</w:t>
      </w:r>
      <w:r w:rsidRPr="005B7071">
        <w:t xml:space="preserve"> new topics – myths, histories, the peyote religion, the Ghost Dance, and abstract images derived from visions.</w:t>
      </w:r>
      <w:r>
        <w:t xml:space="preserve"> </w:t>
      </w:r>
      <w:r w:rsidR="00FE462C" w:rsidRPr="005B7071">
        <w:t xml:space="preserve">Silver Horn </w:t>
      </w:r>
      <w:r>
        <w:t xml:space="preserve">was uniquely positioned to bring visionary art back because he </w:t>
      </w:r>
      <w:r w:rsidR="00FE462C" w:rsidRPr="005B7071">
        <w:t xml:space="preserve">occupied a </w:t>
      </w:r>
      <w:r>
        <w:t xml:space="preserve">singular </w:t>
      </w:r>
      <w:r w:rsidR="00FE462C" w:rsidRPr="005B7071">
        <w:t>role within Kiowa society. He was a fully active participant</w:t>
      </w:r>
      <w:r w:rsidR="000C4D05">
        <w:t xml:space="preserve">, </w:t>
      </w:r>
      <w:r w:rsidR="00FE462C" w:rsidRPr="005B7071">
        <w:t xml:space="preserve">but also, as an artist, spent a great deal of time </w:t>
      </w:r>
      <w:r w:rsidR="000C4D05">
        <w:t xml:space="preserve">ethnographically </w:t>
      </w:r>
      <w:r w:rsidR="00FE462C" w:rsidRPr="005B7071">
        <w:t>observing and recording Kiowa lifeways.</w:t>
      </w:r>
      <w:r w:rsidR="00FE462C" w:rsidRPr="005B7071">
        <w:rPr>
          <w:rStyle w:val="FootnoteReference"/>
        </w:rPr>
        <w:footnoteReference w:id="100"/>
      </w:r>
      <w:r w:rsidR="00FE462C" w:rsidRPr="005B7071">
        <w:t xml:space="preserve"> This </w:t>
      </w:r>
      <w:r w:rsidR="000C4D05">
        <w:t xml:space="preserve">dual position, </w:t>
      </w:r>
      <w:r w:rsidR="00FE462C" w:rsidRPr="005B7071">
        <w:t xml:space="preserve">insider and outsider, </w:t>
      </w:r>
      <w:r>
        <w:t xml:space="preserve">allowed him </w:t>
      </w:r>
      <w:r w:rsidR="000C4D05">
        <w:t xml:space="preserve">to shape and </w:t>
      </w:r>
      <w:r>
        <w:t>record</w:t>
      </w:r>
      <w:r w:rsidR="000C4D05">
        <w:t xml:space="preserve"> the </w:t>
      </w:r>
      <w:r>
        <w:t>changing tribe</w:t>
      </w:r>
      <w:r w:rsidR="000C4D05">
        <w:t>, and lent his work a tremendous if ironic thematic richness</w:t>
      </w:r>
      <w:r>
        <w:t xml:space="preserve"> for </w:t>
      </w:r>
      <w:r w:rsidR="00614185">
        <w:t>various audiences.</w:t>
      </w:r>
    </w:p>
    <w:p w14:paraId="0B27F8EE" w14:textId="1C9987D1" w:rsidR="00654C9B" w:rsidRDefault="00654C9B" w:rsidP="00654C9B">
      <w:pPr>
        <w:ind w:firstLine="720"/>
      </w:pPr>
      <w:r>
        <w:t>I</w:t>
      </w:r>
      <w:r w:rsidRPr="005B7071">
        <w:t xml:space="preserve">n August 1891, Silver Horn enlisted in L Troop at Fort Sill, where he reported to Lt. Hugh Scott. </w:t>
      </w:r>
      <w:r>
        <w:t xml:space="preserve">At Fort Sill, Silver Horn’s subject matter shifted </w:t>
      </w:r>
      <w:r w:rsidR="000C4D05">
        <w:t xml:space="preserve">again </w:t>
      </w:r>
      <w:r>
        <w:t xml:space="preserve">to include </w:t>
      </w:r>
      <w:r w:rsidRPr="005B7071">
        <w:t>images of the Medicine Lodge dance</w:t>
      </w:r>
      <w:r>
        <w:t xml:space="preserve"> and </w:t>
      </w:r>
      <w:r w:rsidRPr="005B7071">
        <w:t>the Sun Dance Ceremony</w:t>
      </w:r>
      <w:r>
        <w:t xml:space="preserve">. </w:t>
      </w:r>
      <w:r w:rsidR="000C4D05">
        <w:t xml:space="preserve">He specialized in </w:t>
      </w:r>
      <w:r>
        <w:t>images of S</w:t>
      </w:r>
      <w:r w:rsidRPr="005B7071">
        <w:t>aynday</w:t>
      </w:r>
      <w:r>
        <w:t xml:space="preserve"> the </w:t>
      </w:r>
      <w:r w:rsidRPr="005B7071">
        <w:t>trickster</w:t>
      </w:r>
      <w:r>
        <w:t>, a transgressive figure who breaks the rules of normal behavior, uses secret knowledge and tricks to overcome larger, more powerful adversaries, and helps the Kiowa people, is useful way to understand Silver Horn’s life and career.</w:t>
      </w:r>
      <w:r>
        <w:rPr>
          <w:rStyle w:val="FootnoteReference"/>
        </w:rPr>
        <w:footnoteReference w:id="101"/>
      </w:r>
      <w:r>
        <w:t xml:space="preserve"> On many levels Silver Horn accommodated reservation life, yet he p</w:t>
      </w:r>
      <w:r w:rsidRPr="005B7071">
        <w:t xml:space="preserve">rotested treaties </w:t>
      </w:r>
      <w:r>
        <w:t xml:space="preserve">and laws that hurt Kiowa sovereignty, including the so-called </w:t>
      </w:r>
      <w:r w:rsidRPr="005B7071">
        <w:t xml:space="preserve">Jerome Amendment </w:t>
      </w:r>
      <w:r>
        <w:t>of 1889 that set allotment into motion in Indian Territory; painted scenes of the S</w:t>
      </w:r>
      <w:r w:rsidRPr="005B7071">
        <w:t>un Dance Medicine Lodge Ceremony</w:t>
      </w:r>
      <w:r>
        <w:t xml:space="preserve"> long after it was banned in 1891; and participated in the </w:t>
      </w:r>
      <w:r w:rsidRPr="005B7071">
        <w:t xml:space="preserve">Peyote </w:t>
      </w:r>
      <w:r>
        <w:t xml:space="preserve">religion and the </w:t>
      </w:r>
      <w:r w:rsidRPr="005B7071">
        <w:t>Ghost Dance</w:t>
      </w:r>
      <w:r>
        <w:t>.</w:t>
      </w:r>
      <w:r>
        <w:rPr>
          <w:rStyle w:val="FootnoteReference"/>
        </w:rPr>
        <w:footnoteReference w:id="102"/>
      </w:r>
      <w:r>
        <w:t xml:space="preserve"> Silver Horn also became </w:t>
      </w:r>
      <w:r w:rsidRPr="005B7071">
        <w:t>a medicine man</w:t>
      </w:r>
      <w:r>
        <w:t xml:space="preserve"> and a</w:t>
      </w:r>
      <w:r w:rsidRPr="005B7071">
        <w:t xml:space="preserve"> keeper of medicine bags</w:t>
      </w:r>
      <w:r>
        <w:t xml:space="preserve"> and sacred tribal knowledge.</w:t>
      </w:r>
      <w:r>
        <w:rPr>
          <w:rStyle w:val="FootnoteReference"/>
        </w:rPr>
        <w:footnoteReference w:id="103"/>
      </w:r>
    </w:p>
    <w:p w14:paraId="7070690B" w14:textId="77777777" w:rsidR="00975DA8" w:rsidRDefault="00975DA8" w:rsidP="00975DA8">
      <w:pPr>
        <w:ind w:firstLine="720"/>
        <w:jc w:val="center"/>
        <w:rPr>
          <w:b/>
        </w:rPr>
      </w:pPr>
    </w:p>
    <w:p w14:paraId="48FC1918" w14:textId="177F07B0" w:rsidR="00975DA8" w:rsidRDefault="00975DA8" w:rsidP="00975DA8">
      <w:pPr>
        <w:ind w:firstLine="720"/>
        <w:jc w:val="center"/>
        <w:rPr>
          <w:b/>
        </w:rPr>
      </w:pPr>
      <w:r w:rsidRPr="00975DA8">
        <w:rPr>
          <w:b/>
        </w:rPr>
        <w:t>Conclusion</w:t>
      </w:r>
    </w:p>
    <w:p w14:paraId="61FF55B8" w14:textId="49139668" w:rsidR="00157118" w:rsidRDefault="00B96146" w:rsidP="00B96146">
      <w:pPr>
        <w:ind w:firstLine="360"/>
        <w:rPr>
          <w:highlight w:val="yellow"/>
          <w:shd w:val="clear" w:color="auto" w:fill="FFFFFF"/>
        </w:rPr>
      </w:pPr>
      <w:r w:rsidRPr="00B96146">
        <w:rPr>
          <w:shd w:val="clear" w:color="auto" w:fill="FFFFFF"/>
        </w:rPr>
        <w:t>It fell to artists in service of scientific and military endeavors to create t</w:t>
      </w:r>
      <w:r w:rsidR="00157118" w:rsidRPr="00B96146">
        <w:rPr>
          <w:shd w:val="clear" w:color="auto" w:fill="FFFFFF"/>
        </w:rPr>
        <w:t>he earlies</w:t>
      </w:r>
      <w:r w:rsidR="00FF2B50">
        <w:rPr>
          <w:shd w:val="clear" w:color="auto" w:fill="FFFFFF"/>
        </w:rPr>
        <w:t>t</w:t>
      </w:r>
      <w:r w:rsidR="00157118" w:rsidRPr="00B96146">
        <w:rPr>
          <w:shd w:val="clear" w:color="auto" w:fill="FFFFFF"/>
        </w:rPr>
        <w:t xml:space="preserve"> </w:t>
      </w:r>
      <w:r w:rsidR="00FF2B50">
        <w:rPr>
          <w:shd w:val="clear" w:color="auto" w:fill="FFFFFF"/>
        </w:rPr>
        <w:t xml:space="preserve">images </w:t>
      </w:r>
      <w:r w:rsidR="00157118" w:rsidRPr="00B96146">
        <w:rPr>
          <w:shd w:val="clear" w:color="auto" w:fill="FFFFFF"/>
        </w:rPr>
        <w:t>of Indian Territory</w:t>
      </w:r>
      <w:r w:rsidRPr="00B96146">
        <w:rPr>
          <w:shd w:val="clear" w:color="auto" w:fill="FFFFFF"/>
        </w:rPr>
        <w:t xml:space="preserve">. </w:t>
      </w:r>
      <w:r w:rsidR="00FF2B50">
        <w:rPr>
          <w:shd w:val="clear" w:color="auto" w:fill="FFFFFF"/>
        </w:rPr>
        <w:t xml:space="preserve">Though these images were not explicitly concerned with colonial domination, </w:t>
      </w:r>
      <w:r w:rsidR="00157118" w:rsidRPr="00B96146">
        <w:rPr>
          <w:shd w:val="clear" w:color="auto" w:fill="FFFFFF"/>
        </w:rPr>
        <w:t xml:space="preserve">desire </w:t>
      </w:r>
      <w:r w:rsidRPr="00B96146">
        <w:rPr>
          <w:shd w:val="clear" w:color="auto" w:fill="FFFFFF"/>
        </w:rPr>
        <w:t xml:space="preserve">for Native land was never far from the </w:t>
      </w:r>
      <w:r w:rsidR="00157118" w:rsidRPr="00B96146">
        <w:rPr>
          <w:shd w:val="clear" w:color="auto" w:fill="FFFFFF"/>
        </w:rPr>
        <w:t>surface. In the 1830s</w:t>
      </w:r>
      <w:r w:rsidR="00FF2B50">
        <w:rPr>
          <w:shd w:val="clear" w:color="auto" w:fill="FFFFFF"/>
        </w:rPr>
        <w:t xml:space="preserve"> </w:t>
      </w:r>
      <w:r w:rsidR="00157118" w:rsidRPr="00B96146">
        <w:rPr>
          <w:shd w:val="clear" w:color="auto" w:fill="FFFFFF"/>
        </w:rPr>
        <w:t xml:space="preserve">and 1840s, Catlin and Stanley painted images full of the chaos characteristic </w:t>
      </w:r>
      <w:r w:rsidRPr="00B96146">
        <w:rPr>
          <w:shd w:val="clear" w:color="auto" w:fill="FFFFFF"/>
        </w:rPr>
        <w:t>of this</w:t>
      </w:r>
      <w:r w:rsidR="00157118" w:rsidRPr="00B96146">
        <w:rPr>
          <w:shd w:val="clear" w:color="auto" w:fill="FFFFFF"/>
        </w:rPr>
        <w:t xml:space="preserve"> </w:t>
      </w:r>
      <w:r w:rsidRPr="00B96146">
        <w:rPr>
          <w:shd w:val="clear" w:color="auto" w:fill="FFFFFF"/>
        </w:rPr>
        <w:t xml:space="preserve">particular </w:t>
      </w:r>
      <w:r w:rsidR="00157118" w:rsidRPr="00B96146">
        <w:rPr>
          <w:shd w:val="clear" w:color="auto" w:fill="FFFFFF"/>
        </w:rPr>
        <w:t xml:space="preserve">colonial situation. </w:t>
      </w:r>
      <w:r w:rsidR="00FF2B50">
        <w:rPr>
          <w:shd w:val="clear" w:color="auto" w:fill="FFFFFF"/>
        </w:rPr>
        <w:t xml:space="preserve">Even so, </w:t>
      </w:r>
      <w:r w:rsidRPr="00B96146">
        <w:rPr>
          <w:shd w:val="clear" w:color="auto" w:fill="FFFFFF"/>
        </w:rPr>
        <w:t>these artists did not portray Indian</w:t>
      </w:r>
      <w:r w:rsidR="00FF2B50">
        <w:rPr>
          <w:shd w:val="clear" w:color="auto" w:fill="FFFFFF"/>
        </w:rPr>
        <w:t xml:space="preserve"> </w:t>
      </w:r>
      <w:r w:rsidRPr="00B96146">
        <w:rPr>
          <w:shd w:val="clear" w:color="auto" w:fill="FFFFFF"/>
        </w:rPr>
        <w:t>Territory as a lost cause. Stanley’s work</w:t>
      </w:r>
      <w:r w:rsidR="00FF2B50">
        <w:rPr>
          <w:shd w:val="clear" w:color="auto" w:fill="FFFFFF"/>
        </w:rPr>
        <w:t xml:space="preserve"> especially </w:t>
      </w:r>
      <w:r w:rsidRPr="00B96146">
        <w:rPr>
          <w:shd w:val="clear" w:color="auto" w:fill="FFFFFF"/>
        </w:rPr>
        <w:t>suggest</w:t>
      </w:r>
      <w:r w:rsidR="00FF2B50">
        <w:rPr>
          <w:shd w:val="clear" w:color="auto" w:fill="FFFFFF"/>
        </w:rPr>
        <w:t>s</w:t>
      </w:r>
      <w:r w:rsidRPr="00B96146">
        <w:rPr>
          <w:shd w:val="clear" w:color="auto" w:fill="FFFFFF"/>
        </w:rPr>
        <w:t xml:space="preserve"> that perhaps Indian nations, left to their own devices, could survive, if not thrive, </w:t>
      </w:r>
      <w:r w:rsidR="00FF2B50">
        <w:rPr>
          <w:shd w:val="clear" w:color="auto" w:fill="FFFFFF"/>
        </w:rPr>
        <w:t xml:space="preserve">with </w:t>
      </w:r>
      <w:r w:rsidRPr="00B96146">
        <w:rPr>
          <w:shd w:val="clear" w:color="auto" w:fill="FFFFFF"/>
        </w:rPr>
        <w:t xml:space="preserve">limited sovereignty. Yet images made of Indian Territory after the Civil War, notably those made for the </w:t>
      </w:r>
      <w:r w:rsidRPr="00B96146">
        <w:rPr>
          <w:i/>
          <w:shd w:val="clear" w:color="auto" w:fill="FFFFFF"/>
        </w:rPr>
        <w:t>New South</w:t>
      </w:r>
      <w:r w:rsidRPr="00B96146">
        <w:rPr>
          <w:shd w:val="clear" w:color="auto" w:fill="FFFFFF"/>
        </w:rPr>
        <w:t xml:space="preserve"> travelogue and the Boomer booklet </w:t>
      </w:r>
      <w:r w:rsidRPr="00B96146">
        <w:rPr>
          <w:i/>
          <w:shd w:val="clear" w:color="auto" w:fill="FFFFFF"/>
        </w:rPr>
        <w:t>Oklahoma</w:t>
      </w:r>
      <w:r w:rsidRPr="00B96146">
        <w:rPr>
          <w:shd w:val="clear" w:color="auto" w:fill="FFFFFF"/>
        </w:rPr>
        <w:t xml:space="preserve">, reveal a new intra-colonial ideology that assumes, as a matter of course, that Indian Territory would </w:t>
      </w:r>
      <w:r w:rsidR="00FF2B50">
        <w:rPr>
          <w:shd w:val="clear" w:color="auto" w:fill="FFFFFF"/>
        </w:rPr>
        <w:t xml:space="preserve">soon </w:t>
      </w:r>
      <w:r w:rsidRPr="00B96146">
        <w:rPr>
          <w:shd w:val="clear" w:color="auto" w:fill="FFFFFF"/>
        </w:rPr>
        <w:t>be subsumed into America.</w:t>
      </w:r>
    </w:p>
    <w:p w14:paraId="2FA1408C" w14:textId="3CA5C179" w:rsidR="00157118" w:rsidRDefault="00FF2B50" w:rsidP="00B96146">
      <w:pPr>
        <w:ind w:firstLine="360"/>
        <w:rPr>
          <w:highlight w:val="yellow"/>
          <w:shd w:val="clear" w:color="auto" w:fill="FFFFFF"/>
        </w:rPr>
      </w:pPr>
      <w:r>
        <w:rPr>
          <w:shd w:val="clear" w:color="auto" w:fill="FFFFFF"/>
        </w:rPr>
        <w:t xml:space="preserve">After the </w:t>
      </w:r>
      <w:r w:rsidR="00B96146" w:rsidRPr="00FF2B50">
        <w:rPr>
          <w:shd w:val="clear" w:color="auto" w:fill="FFFFFF"/>
        </w:rPr>
        <w:t xml:space="preserve">Indian Wars </w:t>
      </w:r>
      <w:r>
        <w:rPr>
          <w:shd w:val="clear" w:color="auto" w:fill="FFFFFF"/>
        </w:rPr>
        <w:t xml:space="preserve">and just before the first Oklahoma land run, </w:t>
      </w:r>
      <w:r w:rsidR="00B96146" w:rsidRPr="00FF2B50">
        <w:rPr>
          <w:shd w:val="clear" w:color="auto" w:fill="FFFFFF"/>
        </w:rPr>
        <w:t xml:space="preserve">the fight for Indian Territory continued through cultural outlets. One, the </w:t>
      </w:r>
      <w:r w:rsidR="00B96146" w:rsidRPr="00FF2B50">
        <w:rPr>
          <w:i/>
          <w:shd w:val="clear" w:color="auto" w:fill="FFFFFF"/>
        </w:rPr>
        <w:t>Cherokee Advocate</w:t>
      </w:r>
      <w:r w:rsidR="00B96146" w:rsidRPr="00FF2B50">
        <w:rPr>
          <w:shd w:val="clear" w:color="auto" w:fill="FFFFFF"/>
        </w:rPr>
        <w:t xml:space="preserve">, </w:t>
      </w:r>
      <w:r w:rsidR="00157118" w:rsidRPr="00FF2B50">
        <w:rPr>
          <w:shd w:val="clear" w:color="auto" w:fill="FFFFFF"/>
        </w:rPr>
        <w:t xml:space="preserve">gave voice to </w:t>
      </w:r>
      <w:r w:rsidRPr="00FF2B50">
        <w:rPr>
          <w:shd w:val="clear" w:color="auto" w:fill="FFFFFF"/>
        </w:rPr>
        <w:t xml:space="preserve">Indian </w:t>
      </w:r>
      <w:r w:rsidR="00157118" w:rsidRPr="00FF2B50">
        <w:rPr>
          <w:shd w:val="clear" w:color="auto" w:fill="FFFFFF"/>
        </w:rPr>
        <w:t xml:space="preserve">decent </w:t>
      </w:r>
      <w:r w:rsidR="00B96146" w:rsidRPr="00FF2B50">
        <w:rPr>
          <w:shd w:val="clear" w:color="auto" w:fill="FFFFFF"/>
        </w:rPr>
        <w:t xml:space="preserve">and tried to </w:t>
      </w:r>
      <w:r w:rsidRPr="00FF2B50">
        <w:rPr>
          <w:shd w:val="clear" w:color="auto" w:fill="FFFFFF"/>
        </w:rPr>
        <w:t xml:space="preserve">delegitimize </w:t>
      </w:r>
      <w:r w:rsidR="00B96146" w:rsidRPr="00FF2B50">
        <w:rPr>
          <w:shd w:val="clear" w:color="auto" w:fill="FFFFFF"/>
        </w:rPr>
        <w:t xml:space="preserve">American </w:t>
      </w:r>
      <w:r w:rsidR="00157118" w:rsidRPr="00FF2B50">
        <w:rPr>
          <w:shd w:val="clear" w:color="auto" w:fill="FFFFFF"/>
        </w:rPr>
        <w:t>argument</w:t>
      </w:r>
      <w:r w:rsidR="00B96146" w:rsidRPr="00FF2B50">
        <w:rPr>
          <w:shd w:val="clear" w:color="auto" w:fill="FFFFFF"/>
        </w:rPr>
        <w:t>s</w:t>
      </w:r>
      <w:r w:rsidR="00157118" w:rsidRPr="00FF2B50">
        <w:rPr>
          <w:shd w:val="clear" w:color="auto" w:fill="FFFFFF"/>
        </w:rPr>
        <w:t xml:space="preserve"> for colonization of I</w:t>
      </w:r>
      <w:r w:rsidR="00B96146" w:rsidRPr="00FF2B50">
        <w:rPr>
          <w:shd w:val="clear" w:color="auto" w:fill="FFFFFF"/>
        </w:rPr>
        <w:t xml:space="preserve">ndian </w:t>
      </w:r>
      <w:r w:rsidR="00157118" w:rsidRPr="00FF2B50">
        <w:rPr>
          <w:shd w:val="clear" w:color="auto" w:fill="FFFFFF"/>
        </w:rPr>
        <w:t>T</w:t>
      </w:r>
      <w:r w:rsidR="00B96146" w:rsidRPr="00FF2B50">
        <w:rPr>
          <w:shd w:val="clear" w:color="auto" w:fill="FFFFFF"/>
        </w:rPr>
        <w:t>erritory. Likewise, Silver Horn</w:t>
      </w:r>
      <w:r w:rsidRPr="00FF2B50">
        <w:rPr>
          <w:shd w:val="clear" w:color="auto" w:fill="FFFFFF"/>
        </w:rPr>
        <w:t xml:space="preserve">, himself a </w:t>
      </w:r>
      <w:r w:rsidR="00B96146" w:rsidRPr="00FF2B50">
        <w:rPr>
          <w:shd w:val="clear" w:color="auto" w:fill="FFFFFF"/>
        </w:rPr>
        <w:t xml:space="preserve">product of </w:t>
      </w:r>
      <w:r>
        <w:rPr>
          <w:shd w:val="clear" w:color="auto" w:fill="FFFFFF"/>
        </w:rPr>
        <w:t xml:space="preserve">the </w:t>
      </w:r>
      <w:r w:rsidR="00B96146" w:rsidRPr="00FF2B50">
        <w:rPr>
          <w:shd w:val="clear" w:color="auto" w:fill="FFFFFF"/>
        </w:rPr>
        <w:t>contact zone</w:t>
      </w:r>
      <w:r w:rsidRPr="00FF2B50">
        <w:rPr>
          <w:shd w:val="clear" w:color="auto" w:fill="FFFFFF"/>
        </w:rPr>
        <w:t xml:space="preserve">, produced works from within the </w:t>
      </w:r>
      <w:r w:rsidR="00B96146" w:rsidRPr="00FF2B50">
        <w:rPr>
          <w:shd w:val="clear" w:color="auto" w:fill="FFFFFF"/>
        </w:rPr>
        <w:t>Kiowa</w:t>
      </w:r>
      <w:r w:rsidRPr="00FF2B50">
        <w:rPr>
          <w:shd w:val="clear" w:color="auto" w:fill="FFFFFF"/>
        </w:rPr>
        <w:t xml:space="preserve"> tribe that </w:t>
      </w:r>
      <w:r w:rsidR="00B96146" w:rsidRPr="00FF2B50">
        <w:rPr>
          <w:shd w:val="clear" w:color="auto" w:fill="FFFFFF"/>
        </w:rPr>
        <w:t>resist</w:t>
      </w:r>
      <w:r w:rsidRPr="00FF2B50">
        <w:rPr>
          <w:shd w:val="clear" w:color="auto" w:fill="FFFFFF"/>
        </w:rPr>
        <w:t>ed</w:t>
      </w:r>
      <w:r w:rsidR="00B96146" w:rsidRPr="00FF2B50">
        <w:rPr>
          <w:shd w:val="clear" w:color="auto" w:fill="FFFFFF"/>
        </w:rPr>
        <w:t xml:space="preserve"> </w:t>
      </w:r>
      <w:r w:rsidRPr="00FF2B50">
        <w:rPr>
          <w:shd w:val="clear" w:color="auto" w:fill="FFFFFF"/>
        </w:rPr>
        <w:t xml:space="preserve">American </w:t>
      </w:r>
      <w:r w:rsidR="00B96146" w:rsidRPr="00FF2B50">
        <w:rPr>
          <w:shd w:val="clear" w:color="auto" w:fill="FFFFFF"/>
        </w:rPr>
        <w:t>cultural hegemony</w:t>
      </w:r>
      <w:r w:rsidRPr="00FF2B50">
        <w:rPr>
          <w:shd w:val="clear" w:color="auto" w:fill="FFFFFF"/>
        </w:rPr>
        <w:t xml:space="preserve"> and provided visual re</w:t>
      </w:r>
      <w:r>
        <w:rPr>
          <w:shd w:val="clear" w:color="auto" w:fill="FFFFFF"/>
        </w:rPr>
        <w:t xml:space="preserve">ferences </w:t>
      </w:r>
      <w:r w:rsidRPr="00FF2B50">
        <w:rPr>
          <w:shd w:val="clear" w:color="auto" w:fill="FFFFFF"/>
        </w:rPr>
        <w:t>to pre-contact times.</w:t>
      </w:r>
      <w:r>
        <w:rPr>
          <w:shd w:val="clear" w:color="auto" w:fill="FFFFFF"/>
        </w:rPr>
        <w:t xml:space="preserve"> The ultimate fate of Indian Territory was never comp</w:t>
      </w:r>
      <w:r w:rsidR="00614185">
        <w:rPr>
          <w:shd w:val="clear" w:color="auto" w:fill="FFFFFF"/>
        </w:rPr>
        <w:t>letely abandoned by the tribes.</w:t>
      </w:r>
    </w:p>
    <w:p w14:paraId="17858599" w14:textId="3DB7F0F7" w:rsidR="00654C9B" w:rsidRDefault="00654C9B">
      <w:pPr>
        <w:spacing w:line="240" w:lineRule="auto"/>
        <w:rPr>
          <w:shd w:val="clear" w:color="auto" w:fill="FFFFFF"/>
        </w:rPr>
      </w:pPr>
      <w:r>
        <w:rPr>
          <w:shd w:val="clear" w:color="auto" w:fill="FFFFFF"/>
        </w:rPr>
        <w:br w:type="page"/>
      </w:r>
    </w:p>
    <w:p w14:paraId="6236D512" w14:textId="6945F57E" w:rsidR="00260473" w:rsidRDefault="0016758F" w:rsidP="008A5026">
      <w:pPr>
        <w:spacing w:line="240" w:lineRule="auto"/>
      </w:pPr>
      <w:r>
        <w:rPr>
          <w:noProof/>
          <w:lang w:bidi="ar-SA"/>
        </w:rPr>
        <w:drawing>
          <wp:inline distT="0" distB="0" distL="0" distR="0" wp14:anchorId="086D6758" wp14:editId="1D454574">
            <wp:extent cx="1463040" cy="2530139"/>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61441" t="26364" r="18885" b="13128"/>
                    <a:stretch/>
                  </pic:blipFill>
                  <pic:spPr bwMode="auto">
                    <a:xfrm rot="5400000">
                      <a:off x="0" y="0"/>
                      <a:ext cx="1463040" cy="2530139"/>
                    </a:xfrm>
                    <a:prstGeom prst="rect">
                      <a:avLst/>
                    </a:prstGeom>
                    <a:ln>
                      <a:noFill/>
                    </a:ln>
                    <a:extLst>
                      <a:ext uri="{53640926-AAD7-44D8-BBD7-CCE9431645EC}">
                        <a14:shadowObscured xmlns:a14="http://schemas.microsoft.com/office/drawing/2010/main"/>
                      </a:ext>
                    </a:extLst>
                  </pic:spPr>
                </pic:pic>
              </a:graphicData>
            </a:graphic>
          </wp:inline>
        </w:drawing>
      </w:r>
      <w:r w:rsidR="008D6DF5">
        <w:t xml:space="preserve">  </w:t>
      </w:r>
      <w:r w:rsidR="008D6DF5">
        <w:rPr>
          <w:noProof/>
          <w:lang w:bidi="ar-SA"/>
        </w:rPr>
        <w:drawing>
          <wp:inline distT="0" distB="0" distL="0" distR="0" wp14:anchorId="169D2824" wp14:editId="776C496F">
            <wp:extent cx="2560320" cy="146028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60320" cy="1460284"/>
                    </a:xfrm>
                    <a:prstGeom prst="rect">
                      <a:avLst/>
                    </a:prstGeom>
                  </pic:spPr>
                </pic:pic>
              </a:graphicData>
            </a:graphic>
          </wp:inline>
        </w:drawing>
      </w:r>
    </w:p>
    <w:p w14:paraId="6654AAEA" w14:textId="64680E94" w:rsidR="00DB2FD1" w:rsidRPr="00A220D3" w:rsidRDefault="002A38F4" w:rsidP="008A5026">
      <w:pPr>
        <w:spacing w:line="240" w:lineRule="auto"/>
      </w:pPr>
      <w:bookmarkStart w:id="19" w:name="_Toc464499069"/>
      <w:r w:rsidRPr="00A220D3">
        <w:t xml:space="preserve">Figure </w:t>
      </w:r>
      <w:r w:rsidR="00776DF3" w:rsidRPr="00A220D3">
        <w:t>2</w:t>
      </w:r>
      <w:r w:rsidR="00924C72" w:rsidRPr="00A220D3">
        <w:t>.</w:t>
      </w:r>
      <w:r w:rsidR="00B31D83">
        <w:fldChar w:fldCharType="begin"/>
      </w:r>
      <w:r w:rsidR="00B31D83">
        <w:instrText xml:space="preserve"> SEQ Figure \* ARABIC \s 1 </w:instrText>
      </w:r>
      <w:r w:rsidR="00B31D83">
        <w:fldChar w:fldCharType="separate"/>
      </w:r>
      <w:r w:rsidR="00FE5897">
        <w:rPr>
          <w:noProof/>
        </w:rPr>
        <w:t>1</w:t>
      </w:r>
      <w:r w:rsidR="00B31D83">
        <w:rPr>
          <w:noProof/>
        </w:rPr>
        <w:fldChar w:fldCharType="end"/>
      </w:r>
      <w:r w:rsidRPr="00A220D3">
        <w:t xml:space="preserve"> </w:t>
      </w:r>
      <w:r w:rsidR="0052421F">
        <w:t>–</w:t>
      </w:r>
      <w:r w:rsidR="00A220D3" w:rsidRPr="00A220D3">
        <w:t xml:space="preserve"> </w:t>
      </w:r>
      <w:r w:rsidRPr="00A220D3">
        <w:rPr>
          <w:i/>
        </w:rPr>
        <w:t>Scottish Ranch</w:t>
      </w:r>
      <w:r w:rsidR="008D6DF5" w:rsidRPr="00A220D3">
        <w:rPr>
          <w:i/>
        </w:rPr>
        <w:t xml:space="preserve"> </w:t>
      </w:r>
      <w:r w:rsidR="008D6DF5" w:rsidRPr="009F1AEC">
        <w:t>and</w:t>
      </w:r>
      <w:r w:rsidR="008D6DF5" w:rsidRPr="00A220D3">
        <w:rPr>
          <w:i/>
        </w:rPr>
        <w:t xml:space="preserve"> English Ranch</w:t>
      </w:r>
      <w:bookmarkEnd w:id="19"/>
    </w:p>
    <w:p w14:paraId="2ABA61F0" w14:textId="77777777" w:rsidR="008A5026" w:rsidRDefault="008A5026" w:rsidP="00EF025B">
      <w:pPr>
        <w:spacing w:line="240" w:lineRule="auto"/>
        <w:rPr>
          <w:rFonts w:ascii="Garamond" w:hAnsi="Garamond"/>
        </w:rPr>
      </w:pPr>
    </w:p>
    <w:p w14:paraId="12F3B39B" w14:textId="328CFF48" w:rsidR="00163AA3" w:rsidRDefault="00163AA3" w:rsidP="00EF025B">
      <w:pPr>
        <w:spacing w:line="240" w:lineRule="auto"/>
        <w:rPr>
          <w:rFonts w:ascii="Garamond" w:hAnsi="Garamond"/>
        </w:rPr>
      </w:pPr>
      <w:r w:rsidRPr="000E58A8">
        <w:rPr>
          <w:rFonts w:ascii="Garamond" w:hAnsi="Garamond"/>
        </w:rPr>
        <w:t xml:space="preserve">Henry Worrall (?), </w:t>
      </w:r>
      <w:r>
        <w:rPr>
          <w:rFonts w:ascii="Garamond" w:hAnsi="Garamond"/>
          <w:i/>
        </w:rPr>
        <w:t>Scottish Ranch</w:t>
      </w:r>
      <w:r w:rsidR="008D6DF5">
        <w:rPr>
          <w:rFonts w:ascii="Garamond" w:hAnsi="Garamond"/>
          <w:i/>
        </w:rPr>
        <w:t xml:space="preserve"> in Oklahoma</w:t>
      </w:r>
      <w:r w:rsidR="008D6DF5">
        <w:rPr>
          <w:rFonts w:ascii="Garamond" w:hAnsi="Garamond"/>
        </w:rPr>
        <w:t xml:space="preserve"> &amp; </w:t>
      </w:r>
      <w:r w:rsidR="008D6DF5" w:rsidRPr="008D6DF5">
        <w:rPr>
          <w:rFonts w:ascii="Garamond" w:hAnsi="Garamond"/>
          <w:i/>
        </w:rPr>
        <w:t>English Ranch</w:t>
      </w:r>
      <w:r w:rsidR="005A4CF0">
        <w:rPr>
          <w:rFonts w:ascii="Garamond" w:hAnsi="Garamond"/>
          <w:i/>
        </w:rPr>
        <w:t xml:space="preserve"> in Oklahoma</w:t>
      </w:r>
      <w:r w:rsidR="008D6DF5">
        <w:rPr>
          <w:rFonts w:ascii="Garamond" w:hAnsi="Garamond"/>
        </w:rPr>
        <w:t>,</w:t>
      </w:r>
      <w:r w:rsidRPr="000E58A8">
        <w:rPr>
          <w:rFonts w:ascii="Garamond" w:hAnsi="Garamond"/>
        </w:rPr>
        <w:t xml:space="preserve"> wood engraving, </w:t>
      </w:r>
      <w:r>
        <w:rPr>
          <w:rFonts w:ascii="Garamond" w:hAnsi="Garamond"/>
        </w:rPr>
        <w:t xml:space="preserve">3 ½ x 6 inches, illustration </w:t>
      </w:r>
      <w:r w:rsidRPr="000E58A8">
        <w:rPr>
          <w:rFonts w:ascii="Garamond" w:hAnsi="Garamond"/>
        </w:rPr>
        <w:t xml:space="preserve">from </w:t>
      </w:r>
      <w:r w:rsidRPr="000E58A8">
        <w:rPr>
          <w:rFonts w:ascii="Garamond" w:hAnsi="Garamond"/>
          <w:i/>
        </w:rPr>
        <w:t>Oklahoma! Politically and Topographically Described . . .</w:t>
      </w:r>
      <w:r>
        <w:rPr>
          <w:rFonts w:ascii="Garamond" w:hAnsi="Garamond"/>
        </w:rPr>
        <w:t xml:space="preserve"> Kansas City, MO</w:t>
      </w:r>
      <w:r w:rsidRPr="000E58A8">
        <w:rPr>
          <w:rFonts w:ascii="Garamond" w:hAnsi="Garamond"/>
        </w:rPr>
        <w:t>: Ramsey, Millett &amp; Hudson,</w:t>
      </w:r>
      <w:r>
        <w:rPr>
          <w:rFonts w:ascii="Garamond" w:hAnsi="Garamond"/>
        </w:rPr>
        <w:t xml:space="preserve"> 1885</w:t>
      </w:r>
      <w:r w:rsidRPr="000E58A8">
        <w:rPr>
          <w:rFonts w:ascii="Garamond" w:hAnsi="Garamond"/>
        </w:rPr>
        <w:t>.</w:t>
      </w:r>
    </w:p>
    <w:p w14:paraId="0516F4D1" w14:textId="77777777" w:rsidR="00260473" w:rsidRDefault="00260473" w:rsidP="00260473"/>
    <w:p w14:paraId="320D8F63" w14:textId="7ED67A18" w:rsidR="002A38F4" w:rsidRDefault="005903FF" w:rsidP="008A5026">
      <w:pPr>
        <w:spacing w:line="240" w:lineRule="auto"/>
      </w:pPr>
      <w:r>
        <w:rPr>
          <w:noProof/>
          <w:lang w:bidi="ar-SA"/>
        </w:rPr>
        <w:drawing>
          <wp:inline distT="0" distB="0" distL="0" distR="0" wp14:anchorId="185BA4DB" wp14:editId="4620AB88">
            <wp:extent cx="1951349" cy="2743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47199" t="26586" r="28437" b="12497"/>
                    <a:stretch/>
                  </pic:blipFill>
                  <pic:spPr bwMode="auto">
                    <a:xfrm>
                      <a:off x="0" y="0"/>
                      <a:ext cx="1951349" cy="2743200"/>
                    </a:xfrm>
                    <a:prstGeom prst="rect">
                      <a:avLst/>
                    </a:prstGeom>
                    <a:ln>
                      <a:noFill/>
                    </a:ln>
                    <a:extLst>
                      <a:ext uri="{53640926-AAD7-44D8-BBD7-CCE9431645EC}">
                        <a14:shadowObscured xmlns:a14="http://schemas.microsoft.com/office/drawing/2010/main"/>
                      </a:ext>
                    </a:extLst>
                  </pic:spPr>
                </pic:pic>
              </a:graphicData>
            </a:graphic>
          </wp:inline>
        </w:drawing>
      </w:r>
    </w:p>
    <w:p w14:paraId="486319D1" w14:textId="7BF3D0FD" w:rsidR="00440F1D" w:rsidRPr="00A220D3" w:rsidRDefault="002A38F4" w:rsidP="00776DF3">
      <w:pPr>
        <w:spacing w:line="240" w:lineRule="auto"/>
      </w:pPr>
      <w:bookmarkStart w:id="20" w:name="_Toc464499070"/>
      <w:r w:rsidRPr="00A220D3">
        <w:t xml:space="preserve">Figure </w:t>
      </w:r>
      <w:r w:rsidR="00776DF3" w:rsidRPr="00A220D3">
        <w:t>2</w:t>
      </w:r>
      <w:r w:rsidR="00924C72" w:rsidRPr="00A220D3">
        <w:t>.</w:t>
      </w:r>
      <w:r w:rsidR="00B31D83">
        <w:fldChar w:fldCharType="begin"/>
      </w:r>
      <w:r w:rsidR="00B31D83">
        <w:instrText xml:space="preserve"> SEQ Figure \* ARABIC \s 1 </w:instrText>
      </w:r>
      <w:r w:rsidR="00B31D83">
        <w:fldChar w:fldCharType="separate"/>
      </w:r>
      <w:r w:rsidR="00FE5897">
        <w:rPr>
          <w:noProof/>
        </w:rPr>
        <w:t>2</w:t>
      </w:r>
      <w:r w:rsidR="00B31D83">
        <w:rPr>
          <w:noProof/>
        </w:rPr>
        <w:fldChar w:fldCharType="end"/>
      </w:r>
      <w:r w:rsidRPr="00A220D3">
        <w:t xml:space="preserve"> </w:t>
      </w:r>
      <w:r w:rsidR="0052421F">
        <w:t>–</w:t>
      </w:r>
      <w:r w:rsidR="00A220D3" w:rsidRPr="00A220D3">
        <w:t xml:space="preserve"> </w:t>
      </w:r>
      <w:r w:rsidRPr="00A220D3">
        <w:t xml:space="preserve">Cover Illustration, </w:t>
      </w:r>
      <w:r w:rsidRPr="0052421F">
        <w:rPr>
          <w:i/>
        </w:rPr>
        <w:t>Oklahoma!</w:t>
      </w:r>
      <w:bookmarkEnd w:id="20"/>
    </w:p>
    <w:p w14:paraId="66D83FBB" w14:textId="353B0088" w:rsidR="00A07E39" w:rsidRPr="00776DF3" w:rsidRDefault="00A07E39" w:rsidP="00776DF3">
      <w:pPr>
        <w:spacing w:line="240" w:lineRule="auto"/>
      </w:pPr>
    </w:p>
    <w:p w14:paraId="74920D8A" w14:textId="5B8171DB" w:rsidR="0016758F" w:rsidRPr="0052421F" w:rsidRDefault="005903FF" w:rsidP="00776DF3">
      <w:pPr>
        <w:spacing w:line="240" w:lineRule="auto"/>
        <w:rPr>
          <w:rFonts w:asciiTheme="majorHAnsi" w:hAnsiTheme="majorHAnsi" w:cstheme="majorHAnsi"/>
        </w:rPr>
      </w:pPr>
      <w:r w:rsidRPr="0052421F">
        <w:rPr>
          <w:rFonts w:asciiTheme="majorHAnsi" w:hAnsiTheme="majorHAnsi" w:cstheme="majorHAnsi"/>
        </w:rPr>
        <w:t>Henry Worrall (?), Cover Illustration, wood engraving, 3 ½ x 6 inches, illustration from Oklahoma! Politically and Topographically Described . . . Kansas City, MO: Ramsey, Millett &amp; Hudson, 1885.</w:t>
      </w:r>
    </w:p>
    <w:p w14:paraId="520AE85C" w14:textId="2B5FA250" w:rsidR="002A38F4" w:rsidRDefault="00260473" w:rsidP="008A5026">
      <w:pPr>
        <w:spacing w:line="240" w:lineRule="auto"/>
      </w:pPr>
      <w:r>
        <w:rPr>
          <w:rFonts w:asciiTheme="majorHAnsi" w:eastAsia="Cambria" w:hAnsiTheme="majorHAnsi" w:cstheme="majorHAnsi"/>
          <w:noProof/>
          <w:color w:val="000000" w:themeColor="text1"/>
          <w:lang w:bidi="ar-SA"/>
        </w:rPr>
        <w:drawing>
          <wp:inline distT="0" distB="0" distL="0" distR="0" wp14:anchorId="0EE28E96" wp14:editId="2484DAD3">
            <wp:extent cx="2743200" cy="22546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985.66.353_1b.jpg"/>
                    <pic:cNvPicPr/>
                  </pic:nvPicPr>
                  <pic:blipFill>
                    <a:blip r:embed="rId12">
                      <a:extLst>
                        <a:ext uri="{28A0092B-C50C-407E-A947-70E740481C1C}">
                          <a14:useLocalDpi xmlns:a14="http://schemas.microsoft.com/office/drawing/2010/main" val="0"/>
                        </a:ext>
                      </a:extLst>
                    </a:blip>
                    <a:stretch>
                      <a:fillRect/>
                    </a:stretch>
                  </pic:blipFill>
                  <pic:spPr>
                    <a:xfrm>
                      <a:off x="0" y="0"/>
                      <a:ext cx="2743200" cy="2254681"/>
                    </a:xfrm>
                    <a:prstGeom prst="rect">
                      <a:avLst/>
                    </a:prstGeom>
                  </pic:spPr>
                </pic:pic>
              </a:graphicData>
            </a:graphic>
          </wp:inline>
        </w:drawing>
      </w:r>
    </w:p>
    <w:p w14:paraId="52199C0E" w14:textId="11ADA654" w:rsidR="00440F1D" w:rsidRPr="0052421F" w:rsidRDefault="002A38F4" w:rsidP="00776DF3">
      <w:pPr>
        <w:spacing w:line="240" w:lineRule="auto"/>
      </w:pPr>
      <w:bookmarkStart w:id="21" w:name="_Toc464499071"/>
      <w:r w:rsidRPr="0052421F">
        <w:t xml:space="preserve">Figure </w:t>
      </w:r>
      <w:r w:rsidR="00776DF3" w:rsidRPr="0052421F">
        <w:t>2</w:t>
      </w:r>
      <w:r w:rsidR="00924C72" w:rsidRPr="0052421F">
        <w:t>.</w:t>
      </w:r>
      <w:r w:rsidR="00B31D83">
        <w:fldChar w:fldCharType="begin"/>
      </w:r>
      <w:r w:rsidR="00B31D83">
        <w:instrText xml:space="preserve"> SEQ Figure \* ARABIC \s 1 </w:instrText>
      </w:r>
      <w:r w:rsidR="00B31D83">
        <w:fldChar w:fldCharType="separate"/>
      </w:r>
      <w:r w:rsidR="00FE5897">
        <w:rPr>
          <w:noProof/>
        </w:rPr>
        <w:t>3</w:t>
      </w:r>
      <w:r w:rsidR="00B31D83">
        <w:rPr>
          <w:noProof/>
        </w:rPr>
        <w:fldChar w:fldCharType="end"/>
      </w:r>
      <w:r w:rsidR="0052421F" w:rsidRPr="0052421F">
        <w:t xml:space="preserve"> – G</w:t>
      </w:r>
      <w:r w:rsidR="00A4025B" w:rsidRPr="0052421F">
        <w:t xml:space="preserve">eorge </w:t>
      </w:r>
      <w:r w:rsidRPr="0052421F">
        <w:t xml:space="preserve">Catlin, </w:t>
      </w:r>
      <w:r w:rsidRPr="0052421F">
        <w:rPr>
          <w:i/>
        </w:rPr>
        <w:t>Comanche Warriors with White Flag</w:t>
      </w:r>
      <w:bookmarkEnd w:id="21"/>
    </w:p>
    <w:p w14:paraId="7E96DC0E" w14:textId="77777777" w:rsidR="002A38F4" w:rsidRPr="0052421F" w:rsidRDefault="002A38F4" w:rsidP="00776DF3">
      <w:pPr>
        <w:spacing w:line="240" w:lineRule="auto"/>
        <w:rPr>
          <w:rFonts w:eastAsia="Calibri"/>
        </w:rPr>
      </w:pPr>
    </w:p>
    <w:p w14:paraId="10A16B4E" w14:textId="6B983195" w:rsidR="00785E11" w:rsidRDefault="005214EC" w:rsidP="00776DF3">
      <w:pPr>
        <w:spacing w:line="240" w:lineRule="auto"/>
        <w:rPr>
          <w:rFonts w:eastAsia="Calibri"/>
          <w:color w:val="000000" w:themeColor="text1"/>
        </w:rPr>
      </w:pPr>
      <w:r w:rsidRPr="0052421F">
        <w:rPr>
          <w:rFonts w:eastAsia="Calibri"/>
        </w:rPr>
        <w:t xml:space="preserve">George Catlin, </w:t>
      </w:r>
      <w:r w:rsidRPr="0052421F">
        <w:rPr>
          <w:rFonts w:eastAsia="Calibri"/>
          <w:i/>
        </w:rPr>
        <w:t xml:space="preserve">Comanche Warriors, with White Flag, Receiving the Dragoons, </w:t>
      </w:r>
      <w:r w:rsidRPr="0052421F">
        <w:rPr>
          <w:rFonts w:eastAsia="Calibri"/>
        </w:rPr>
        <w:t>1834. Oil on canvas, 24 × 29 1/8 inches. Smithsonian American Art Museum, Washington, D.C. Gift of Mrs. Joseph Harrison, Jr. (1985.66.353).</w:t>
      </w:r>
    </w:p>
    <w:p w14:paraId="5278956F" w14:textId="77777777" w:rsidR="002A38F4" w:rsidRDefault="002A38F4" w:rsidP="00193FDC">
      <w:pPr>
        <w:spacing w:line="240" w:lineRule="auto"/>
        <w:rPr>
          <w:rFonts w:asciiTheme="majorHAnsi" w:eastAsia="Cambria" w:hAnsiTheme="majorHAnsi" w:cstheme="majorHAnsi"/>
          <w:color w:val="000000" w:themeColor="text1"/>
          <w:lang w:bidi="ar-SA"/>
        </w:rPr>
      </w:pPr>
    </w:p>
    <w:p w14:paraId="0153CD2B" w14:textId="385AF2A7" w:rsidR="00785E11" w:rsidRDefault="00785E11" w:rsidP="00193FDC">
      <w:pPr>
        <w:spacing w:line="240" w:lineRule="auto"/>
        <w:rPr>
          <w:rFonts w:asciiTheme="majorHAnsi" w:eastAsia="Cambria" w:hAnsiTheme="majorHAnsi" w:cstheme="majorHAnsi"/>
          <w:color w:val="000000" w:themeColor="text1"/>
          <w:lang w:bidi="ar-SA"/>
        </w:rPr>
      </w:pPr>
    </w:p>
    <w:p w14:paraId="5BE28273" w14:textId="46F7879B" w:rsidR="002A38F4" w:rsidRDefault="00260473" w:rsidP="008A5026">
      <w:pPr>
        <w:spacing w:line="240" w:lineRule="auto"/>
      </w:pPr>
      <w:r>
        <w:rPr>
          <w:rFonts w:ascii="Garamond" w:hAnsi="Garamond"/>
          <w:noProof/>
          <w:lang w:bidi="ar-SA"/>
        </w:rPr>
        <w:drawing>
          <wp:inline distT="0" distB="0" distL="0" distR="0" wp14:anchorId="211A1808" wp14:editId="0118B2C4">
            <wp:extent cx="2800565" cy="228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985.66.488_1b.jpg"/>
                    <pic:cNvPicPr/>
                  </pic:nvPicPr>
                  <pic:blipFill>
                    <a:blip r:embed="rId13">
                      <a:extLst>
                        <a:ext uri="{28A0092B-C50C-407E-A947-70E740481C1C}">
                          <a14:useLocalDpi xmlns:a14="http://schemas.microsoft.com/office/drawing/2010/main" val="0"/>
                        </a:ext>
                      </a:extLst>
                    </a:blip>
                    <a:stretch>
                      <a:fillRect/>
                    </a:stretch>
                  </pic:blipFill>
                  <pic:spPr>
                    <a:xfrm>
                      <a:off x="0" y="0"/>
                      <a:ext cx="2800565" cy="2286000"/>
                    </a:xfrm>
                    <a:prstGeom prst="rect">
                      <a:avLst/>
                    </a:prstGeom>
                  </pic:spPr>
                </pic:pic>
              </a:graphicData>
            </a:graphic>
          </wp:inline>
        </w:drawing>
      </w:r>
    </w:p>
    <w:p w14:paraId="0049BD6D" w14:textId="62D678A1" w:rsidR="00440F1D" w:rsidRDefault="002A38F4" w:rsidP="00776DF3">
      <w:pPr>
        <w:spacing w:line="240" w:lineRule="auto"/>
      </w:pPr>
      <w:bookmarkStart w:id="22" w:name="_Toc464499072"/>
      <w:r>
        <w:t xml:space="preserve">Figure </w:t>
      </w:r>
      <w:r w:rsidR="00776DF3">
        <w:t>2</w:t>
      </w:r>
      <w:r w:rsidR="00924C72">
        <w:t>.</w:t>
      </w:r>
      <w:r w:rsidR="00B31D83">
        <w:fldChar w:fldCharType="begin"/>
      </w:r>
      <w:r w:rsidR="00B31D83">
        <w:instrText xml:space="preserve"> SEQ Figure \* ARABIC \s 1 </w:instrText>
      </w:r>
      <w:r w:rsidR="00B31D83">
        <w:fldChar w:fldCharType="separate"/>
      </w:r>
      <w:r w:rsidR="00FE5897">
        <w:rPr>
          <w:noProof/>
        </w:rPr>
        <w:t>4</w:t>
      </w:r>
      <w:r w:rsidR="00B31D83">
        <w:rPr>
          <w:noProof/>
        </w:rPr>
        <w:fldChar w:fldCharType="end"/>
      </w:r>
      <w:r>
        <w:t xml:space="preserve"> </w:t>
      </w:r>
      <w:r w:rsidR="00A4025B">
        <w:t xml:space="preserve">– George </w:t>
      </w:r>
      <w:r w:rsidRPr="002A38F4">
        <w:t xml:space="preserve">Catlin, </w:t>
      </w:r>
      <w:r w:rsidRPr="002A38F4">
        <w:rPr>
          <w:i/>
        </w:rPr>
        <w:t>Comanche Meeting the Dragoons</w:t>
      </w:r>
      <w:bookmarkEnd w:id="22"/>
    </w:p>
    <w:p w14:paraId="0BA6D1B9" w14:textId="5589D1E3" w:rsidR="00DB2FD1" w:rsidRPr="002A38F4" w:rsidRDefault="00DB2FD1" w:rsidP="00776DF3">
      <w:pPr>
        <w:spacing w:line="240" w:lineRule="auto"/>
      </w:pPr>
    </w:p>
    <w:p w14:paraId="153E0B25" w14:textId="6542BC20" w:rsidR="00785E11" w:rsidRDefault="00785E11" w:rsidP="00776DF3">
      <w:pPr>
        <w:spacing w:line="240" w:lineRule="auto"/>
        <w:rPr>
          <w:rFonts w:eastAsia="Cambria"/>
          <w:color w:val="000000" w:themeColor="text1"/>
        </w:rPr>
      </w:pPr>
      <w:r w:rsidRPr="000D41A3">
        <w:rPr>
          <w:rFonts w:eastAsia="Calibri"/>
          <w:color w:val="000000" w:themeColor="text1"/>
        </w:rPr>
        <w:t xml:space="preserve">George Catlin, </w:t>
      </w:r>
      <w:r w:rsidRPr="000D41A3">
        <w:rPr>
          <w:rFonts w:eastAsia="Calibri"/>
          <w:i/>
          <w:color w:val="000000" w:themeColor="text1"/>
        </w:rPr>
        <w:t xml:space="preserve">Comanche Meeting the Dragoons, </w:t>
      </w:r>
      <w:r w:rsidRPr="000D41A3">
        <w:rPr>
          <w:rFonts w:eastAsia="Calibri"/>
          <w:color w:val="000000" w:themeColor="text1"/>
        </w:rPr>
        <w:t>18</w:t>
      </w:r>
      <w:r w:rsidR="0052421F">
        <w:rPr>
          <w:rFonts w:eastAsia="Calibri"/>
          <w:color w:val="000000" w:themeColor="text1"/>
        </w:rPr>
        <w:t>34, o</w:t>
      </w:r>
      <w:r w:rsidRPr="000D41A3">
        <w:rPr>
          <w:rFonts w:eastAsia="Calibri"/>
          <w:color w:val="000000" w:themeColor="text1"/>
        </w:rPr>
        <w:t>il on canvas, 24 × 29 inches. Smithsonian American Ar</w:t>
      </w:r>
      <w:r w:rsidRPr="00ED74E7">
        <w:rPr>
          <w:rFonts w:eastAsia="Calibri"/>
        </w:rPr>
        <w:t>t Museum, Washington, D.C.</w:t>
      </w:r>
    </w:p>
    <w:p w14:paraId="3EFEE1E4" w14:textId="7E7280AB" w:rsidR="00785E11" w:rsidRDefault="00260473" w:rsidP="00EF025B">
      <w:pPr>
        <w:spacing w:line="240" w:lineRule="auto"/>
        <w:rPr>
          <w:rFonts w:eastAsia="Cambria"/>
          <w:color w:val="000000" w:themeColor="text1"/>
          <w:lang w:bidi="ar-SA"/>
        </w:rPr>
      </w:pPr>
      <w:r>
        <w:rPr>
          <w:rFonts w:eastAsia="Cambria"/>
          <w:noProof/>
          <w:color w:val="000000" w:themeColor="text1"/>
          <w:lang w:bidi="ar-SA"/>
        </w:rPr>
        <w:drawing>
          <wp:inline distT="0" distB="0" distL="0" distR="0" wp14:anchorId="09BF165D" wp14:editId="02C9932E">
            <wp:extent cx="2743200" cy="2147416"/>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isplay_image.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43200" cy="2147416"/>
                    </a:xfrm>
                    <a:prstGeom prst="rect">
                      <a:avLst/>
                    </a:prstGeom>
                  </pic:spPr>
                </pic:pic>
              </a:graphicData>
            </a:graphic>
          </wp:inline>
        </w:drawing>
      </w:r>
    </w:p>
    <w:p w14:paraId="12433471" w14:textId="3AA5EA78" w:rsidR="00440F1D" w:rsidRDefault="002A38F4" w:rsidP="00776DF3">
      <w:pPr>
        <w:spacing w:line="240" w:lineRule="auto"/>
      </w:pPr>
      <w:bookmarkStart w:id="23" w:name="_Toc464499073"/>
      <w:r>
        <w:t xml:space="preserve">Figure </w:t>
      </w:r>
      <w:r w:rsidR="00776DF3">
        <w:t>2</w:t>
      </w:r>
      <w:r w:rsidR="00924C72">
        <w:t>.</w:t>
      </w:r>
      <w:r w:rsidR="00B31D83">
        <w:fldChar w:fldCharType="begin"/>
      </w:r>
      <w:r w:rsidR="00B31D83">
        <w:instrText xml:space="preserve"> SEQ Figure \* ARABIC \s 1 </w:instrText>
      </w:r>
      <w:r w:rsidR="00B31D83">
        <w:fldChar w:fldCharType="separate"/>
      </w:r>
      <w:r w:rsidR="00FE5897">
        <w:rPr>
          <w:noProof/>
        </w:rPr>
        <w:t>5</w:t>
      </w:r>
      <w:r w:rsidR="00B31D83">
        <w:rPr>
          <w:noProof/>
        </w:rPr>
        <w:fldChar w:fldCharType="end"/>
      </w:r>
      <w:r w:rsidR="00A4025B">
        <w:t xml:space="preserve"> </w:t>
      </w:r>
      <w:r w:rsidR="0052421F">
        <w:t>–</w:t>
      </w:r>
      <w:r w:rsidR="00A4025B">
        <w:t xml:space="preserve"> </w:t>
      </w:r>
      <w:r>
        <w:t xml:space="preserve">Catlin, </w:t>
      </w:r>
      <w:r>
        <w:rPr>
          <w:i/>
        </w:rPr>
        <w:t>The 1st Regiment of Dragoons</w:t>
      </w:r>
      <w:bookmarkEnd w:id="23"/>
      <w:r>
        <w:t xml:space="preserve"> </w:t>
      </w:r>
    </w:p>
    <w:p w14:paraId="652FDA2A" w14:textId="3F32A4D8" w:rsidR="001603F0" w:rsidRDefault="001603F0" w:rsidP="00776DF3">
      <w:pPr>
        <w:spacing w:line="240" w:lineRule="auto"/>
      </w:pPr>
    </w:p>
    <w:p w14:paraId="18199EFF" w14:textId="4AC7D64D" w:rsidR="00EF025B" w:rsidRPr="000D41A3" w:rsidRDefault="00EF025B" w:rsidP="00776DF3">
      <w:pPr>
        <w:spacing w:line="240" w:lineRule="auto"/>
        <w:rPr>
          <w:rFonts w:eastAsia="Calibri"/>
          <w:color w:val="000000" w:themeColor="text1"/>
        </w:rPr>
      </w:pPr>
      <w:r w:rsidRPr="000D41A3">
        <w:rPr>
          <w:rFonts w:eastAsia="Calibri"/>
          <w:color w:val="000000" w:themeColor="text1"/>
        </w:rPr>
        <w:t xml:space="preserve">George Catlin, </w:t>
      </w:r>
      <w:r w:rsidRPr="000D41A3">
        <w:rPr>
          <w:rFonts w:eastAsia="Calibri"/>
          <w:i/>
          <w:iCs/>
          <w:color w:val="000000" w:themeColor="text1"/>
        </w:rPr>
        <w:t xml:space="preserve">The 1st Regiment of the United States Dragoons with Several Indian Hunters and Guides Meeting a Herd of Buffaloes in Texas, </w:t>
      </w:r>
      <w:r w:rsidRPr="000D41A3">
        <w:rPr>
          <w:rFonts w:eastAsia="Calibri"/>
          <w:color w:val="000000" w:themeColor="text1"/>
        </w:rPr>
        <w:t>1852</w:t>
      </w:r>
      <w:r w:rsidR="0052421F">
        <w:rPr>
          <w:rFonts w:eastAsia="Calibri"/>
          <w:color w:val="000000" w:themeColor="text1"/>
        </w:rPr>
        <w:t>, o</w:t>
      </w:r>
      <w:r w:rsidRPr="000D41A3">
        <w:rPr>
          <w:rFonts w:eastAsia="Calibri"/>
          <w:color w:val="000000" w:themeColor="text1"/>
        </w:rPr>
        <w:t>il on canvas, 13 13/16 × 3 × 17 inches. Gilcrease Museum, Tulsa, Oklahoma</w:t>
      </w:r>
      <w:r w:rsidR="006C3161">
        <w:rPr>
          <w:rFonts w:eastAsia="Calibri"/>
          <w:color w:val="000000" w:themeColor="text1"/>
        </w:rPr>
        <w:t>.</w:t>
      </w:r>
    </w:p>
    <w:p w14:paraId="28CC7ADB" w14:textId="77777777" w:rsidR="00B970CA" w:rsidRDefault="00B970CA" w:rsidP="00EF025B">
      <w:pPr>
        <w:spacing w:line="240" w:lineRule="auto"/>
        <w:rPr>
          <w:rFonts w:eastAsia="Calibri"/>
          <w:color w:val="000000" w:themeColor="text1"/>
        </w:rPr>
      </w:pPr>
    </w:p>
    <w:p w14:paraId="358E6E3C" w14:textId="1E907589" w:rsidR="00746CFD" w:rsidRDefault="00746CFD" w:rsidP="00EF025B">
      <w:pPr>
        <w:spacing w:line="240" w:lineRule="auto"/>
        <w:rPr>
          <w:rFonts w:eastAsia="Calibri"/>
          <w:color w:val="000000" w:themeColor="text1"/>
        </w:rPr>
      </w:pPr>
    </w:p>
    <w:p w14:paraId="0533F49E" w14:textId="44718392" w:rsidR="002A38F4" w:rsidRDefault="00260473" w:rsidP="00B970CA">
      <w:pPr>
        <w:spacing w:line="240" w:lineRule="auto"/>
      </w:pPr>
      <w:r>
        <w:rPr>
          <w:rFonts w:eastAsia="Calibri"/>
          <w:noProof/>
          <w:color w:val="000000" w:themeColor="text1"/>
          <w:lang w:bidi="ar-SA"/>
        </w:rPr>
        <w:drawing>
          <wp:inline distT="0" distB="0" distL="0" distR="0" wp14:anchorId="51D16057" wp14:editId="6869BD73">
            <wp:extent cx="2743200" cy="2109353"/>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985.66.248,934B_1c.jpg"/>
                    <pic:cNvPicPr/>
                  </pic:nvPicPr>
                  <pic:blipFill>
                    <a:blip r:embed="rId15">
                      <a:extLst>
                        <a:ext uri="{28A0092B-C50C-407E-A947-70E740481C1C}">
                          <a14:useLocalDpi xmlns:a14="http://schemas.microsoft.com/office/drawing/2010/main" val="0"/>
                        </a:ext>
                      </a:extLst>
                    </a:blip>
                    <a:stretch>
                      <a:fillRect/>
                    </a:stretch>
                  </pic:blipFill>
                  <pic:spPr>
                    <a:xfrm>
                      <a:off x="0" y="0"/>
                      <a:ext cx="2743200" cy="2109353"/>
                    </a:xfrm>
                    <a:prstGeom prst="rect">
                      <a:avLst/>
                    </a:prstGeom>
                  </pic:spPr>
                </pic:pic>
              </a:graphicData>
            </a:graphic>
          </wp:inline>
        </w:drawing>
      </w:r>
    </w:p>
    <w:p w14:paraId="798A6566" w14:textId="3833A4BB" w:rsidR="00440F1D" w:rsidRDefault="002A38F4" w:rsidP="00776DF3">
      <w:pPr>
        <w:spacing w:line="240" w:lineRule="auto"/>
      </w:pPr>
      <w:bookmarkStart w:id="24" w:name="_Toc464499074"/>
      <w:r>
        <w:t xml:space="preserve">Figure </w:t>
      </w:r>
      <w:r w:rsidR="00776DF3">
        <w:t>2</w:t>
      </w:r>
      <w:r w:rsidR="00924C72">
        <w:t>.</w:t>
      </w:r>
      <w:r w:rsidR="00B31D83">
        <w:fldChar w:fldCharType="begin"/>
      </w:r>
      <w:r w:rsidR="00B31D83">
        <w:instrText xml:space="preserve"> SEQ Figure \* ARABIC \s 1 </w:instrText>
      </w:r>
      <w:r w:rsidR="00B31D83">
        <w:fldChar w:fldCharType="separate"/>
      </w:r>
      <w:r w:rsidR="00FE5897">
        <w:rPr>
          <w:noProof/>
        </w:rPr>
        <w:t>6</w:t>
      </w:r>
      <w:r w:rsidR="00B31D83">
        <w:rPr>
          <w:noProof/>
        </w:rPr>
        <w:fldChar w:fldCharType="end"/>
      </w:r>
      <w:r>
        <w:t xml:space="preserve"> </w:t>
      </w:r>
      <w:r w:rsidR="00A4025B">
        <w:t xml:space="preserve">– John Mix </w:t>
      </w:r>
      <w:r w:rsidRPr="002A38F4">
        <w:t xml:space="preserve">Stanley, </w:t>
      </w:r>
      <w:r w:rsidRPr="002A38F4">
        <w:rPr>
          <w:i/>
        </w:rPr>
        <w:t>International Indian Council</w:t>
      </w:r>
      <w:bookmarkEnd w:id="24"/>
    </w:p>
    <w:p w14:paraId="3961828D" w14:textId="0D1A656E" w:rsidR="001603F0" w:rsidRPr="002A38F4" w:rsidRDefault="001603F0" w:rsidP="00776DF3">
      <w:pPr>
        <w:spacing w:line="240" w:lineRule="auto"/>
      </w:pPr>
    </w:p>
    <w:p w14:paraId="7CB875DB" w14:textId="4DB17453" w:rsidR="006C3161" w:rsidRPr="000D41A3" w:rsidRDefault="00746CFD" w:rsidP="00776DF3">
      <w:pPr>
        <w:spacing w:line="240" w:lineRule="auto"/>
        <w:rPr>
          <w:rFonts w:eastAsia="Calibri"/>
          <w:color w:val="000000" w:themeColor="text1"/>
        </w:rPr>
      </w:pPr>
      <w:r w:rsidRPr="000D41A3">
        <w:rPr>
          <w:rFonts w:eastAsia="Calibri"/>
          <w:color w:val="000000" w:themeColor="text1"/>
        </w:rPr>
        <w:t xml:space="preserve">John Mix Stanley, </w:t>
      </w:r>
      <w:r w:rsidRPr="000D41A3">
        <w:rPr>
          <w:rFonts w:eastAsia="Calibri"/>
          <w:i/>
          <w:color w:val="000000" w:themeColor="text1"/>
        </w:rPr>
        <w:t xml:space="preserve">International Indian Council (Held at Tahlequah, Indian Territory, in 1843), </w:t>
      </w:r>
      <w:r w:rsidR="0052421F">
        <w:rPr>
          <w:rFonts w:eastAsia="Calibri"/>
          <w:color w:val="000000" w:themeColor="text1"/>
        </w:rPr>
        <w:t>1843, o</w:t>
      </w:r>
      <w:r w:rsidRPr="000D41A3">
        <w:rPr>
          <w:rFonts w:eastAsia="Calibri"/>
          <w:color w:val="000000" w:themeColor="text1"/>
        </w:rPr>
        <w:t xml:space="preserve">il on canvas, 40 </w:t>
      </w:r>
      <w:r w:rsidRPr="00A81375">
        <w:rPr>
          <w:rFonts w:eastAsia="Calibri"/>
          <w:color w:val="000000" w:themeColor="text1"/>
          <w:vertAlign w:val="superscript"/>
        </w:rPr>
        <w:t>1/2</w:t>
      </w:r>
      <w:r w:rsidRPr="000D41A3">
        <w:rPr>
          <w:rFonts w:eastAsia="Calibri"/>
          <w:color w:val="000000" w:themeColor="text1"/>
        </w:rPr>
        <w:t xml:space="preserve"> × 31 </w:t>
      </w:r>
      <w:r w:rsidRPr="00A81375">
        <w:rPr>
          <w:rFonts w:eastAsia="Calibri"/>
          <w:color w:val="000000" w:themeColor="text1"/>
          <w:vertAlign w:val="superscript"/>
        </w:rPr>
        <w:t>1/2</w:t>
      </w:r>
      <w:r w:rsidRPr="000D41A3">
        <w:rPr>
          <w:rFonts w:eastAsia="Calibri"/>
          <w:color w:val="000000" w:themeColor="text1"/>
        </w:rPr>
        <w:t xml:space="preserve"> inches. Smithsonian American Art Museum, Washington, D.C.</w:t>
      </w:r>
    </w:p>
    <w:p w14:paraId="22BDE33E" w14:textId="5680D07C" w:rsidR="00EF025B" w:rsidRDefault="00EF025B" w:rsidP="00EF025B">
      <w:pPr>
        <w:spacing w:line="240" w:lineRule="auto"/>
        <w:rPr>
          <w:rFonts w:eastAsia="Calibri"/>
          <w:color w:val="000000" w:themeColor="text1"/>
        </w:rPr>
      </w:pPr>
    </w:p>
    <w:p w14:paraId="05D676BC" w14:textId="77777777" w:rsidR="00B970CA" w:rsidRDefault="00260473" w:rsidP="00B970CA">
      <w:pPr>
        <w:spacing w:line="240" w:lineRule="auto"/>
      </w:pPr>
      <w:r>
        <w:rPr>
          <w:rFonts w:eastAsia="Calibri"/>
          <w:noProof/>
          <w:color w:val="000000" w:themeColor="text1"/>
          <w:lang w:bidi="ar-SA"/>
        </w:rPr>
        <w:drawing>
          <wp:inline distT="0" distB="0" distL="0" distR="0" wp14:anchorId="0866D485" wp14:editId="6BF3A544">
            <wp:extent cx="2116943"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2024100874_3e35f6869b_b.jpg"/>
                    <pic:cNvPicPr/>
                  </pic:nvPicPr>
                  <pic:blipFill rotWithShape="1">
                    <a:blip r:embed="rId16" cstate="print">
                      <a:extLst>
                        <a:ext uri="{28A0092B-C50C-407E-A947-70E740481C1C}">
                          <a14:useLocalDpi xmlns:a14="http://schemas.microsoft.com/office/drawing/2010/main" val="0"/>
                        </a:ext>
                      </a:extLst>
                    </a:blip>
                    <a:srcRect l="18561" t="15566" r="19740" b="17366"/>
                    <a:stretch/>
                  </pic:blipFill>
                  <pic:spPr bwMode="auto">
                    <a:xfrm>
                      <a:off x="0" y="0"/>
                      <a:ext cx="2116943" cy="2743200"/>
                    </a:xfrm>
                    <a:prstGeom prst="rect">
                      <a:avLst/>
                    </a:prstGeom>
                    <a:ln>
                      <a:noFill/>
                    </a:ln>
                    <a:extLst>
                      <a:ext uri="{53640926-AAD7-44D8-BBD7-CCE9431645EC}">
                        <a14:shadowObscured xmlns:a14="http://schemas.microsoft.com/office/drawing/2010/main"/>
                      </a:ext>
                    </a:extLst>
                  </pic:spPr>
                </pic:pic>
              </a:graphicData>
            </a:graphic>
          </wp:inline>
        </w:drawing>
      </w:r>
    </w:p>
    <w:p w14:paraId="35614865" w14:textId="1C39F4FA" w:rsidR="00440F1D" w:rsidRDefault="002A38F4" w:rsidP="00B970CA">
      <w:bookmarkStart w:id="25" w:name="_Toc464499075"/>
      <w:r>
        <w:t xml:space="preserve">Figure </w:t>
      </w:r>
      <w:r w:rsidR="00776DF3">
        <w:t>2</w:t>
      </w:r>
      <w:r w:rsidR="00924C72">
        <w:t>.</w:t>
      </w:r>
      <w:r w:rsidR="00B31D83">
        <w:fldChar w:fldCharType="begin"/>
      </w:r>
      <w:r w:rsidR="00B31D83">
        <w:instrText xml:space="preserve"> SEQ Figure \* ARABIC \s 1 </w:instrText>
      </w:r>
      <w:r w:rsidR="00B31D83">
        <w:fldChar w:fldCharType="separate"/>
      </w:r>
      <w:r w:rsidR="00FE5897">
        <w:rPr>
          <w:noProof/>
        </w:rPr>
        <w:t>7</w:t>
      </w:r>
      <w:r w:rsidR="00B31D83">
        <w:rPr>
          <w:noProof/>
        </w:rPr>
        <w:fldChar w:fldCharType="end"/>
      </w:r>
      <w:r>
        <w:t xml:space="preserve"> </w:t>
      </w:r>
      <w:r w:rsidR="00A4025B">
        <w:t xml:space="preserve">– John </w:t>
      </w:r>
      <w:r w:rsidRPr="002A38F4">
        <w:t xml:space="preserve">Neagle, </w:t>
      </w:r>
      <w:r w:rsidRPr="002A38F4">
        <w:rPr>
          <w:i/>
        </w:rPr>
        <w:t>Portrait of John Ross</w:t>
      </w:r>
      <w:bookmarkEnd w:id="25"/>
    </w:p>
    <w:p w14:paraId="1399E8BF" w14:textId="74E754EF" w:rsidR="00473320" w:rsidRPr="00ED74E7" w:rsidRDefault="00473320" w:rsidP="00EF025B">
      <w:pPr>
        <w:spacing w:line="240" w:lineRule="auto"/>
        <w:rPr>
          <w:rFonts w:eastAsia="Calibri"/>
        </w:rPr>
      </w:pPr>
      <w:r>
        <w:rPr>
          <w:rFonts w:eastAsia="Calibri"/>
          <w:color w:val="000000" w:themeColor="text1"/>
        </w:rPr>
        <w:t xml:space="preserve">John Neagle, </w:t>
      </w:r>
      <w:r w:rsidRPr="00ED74E7">
        <w:rPr>
          <w:rFonts w:eastAsia="Calibri"/>
          <w:i/>
          <w:color w:val="000000" w:themeColor="text1"/>
        </w:rPr>
        <w:t>Portrait of John Ross (Chief of the Cherokees)</w:t>
      </w:r>
      <w:r w:rsidR="001B648A">
        <w:rPr>
          <w:rFonts w:eastAsia="Calibri"/>
          <w:color w:val="000000" w:themeColor="text1"/>
        </w:rPr>
        <w:t>, 1848, o</w:t>
      </w:r>
      <w:r>
        <w:rPr>
          <w:rFonts w:eastAsia="Calibri"/>
          <w:color w:val="000000" w:themeColor="text1"/>
        </w:rPr>
        <w:t>il on canvas</w:t>
      </w:r>
      <w:r w:rsidR="001B648A">
        <w:rPr>
          <w:rFonts w:eastAsia="Calibri"/>
          <w:color w:val="000000" w:themeColor="text1"/>
        </w:rPr>
        <w:t xml:space="preserve">. </w:t>
      </w:r>
      <w:r w:rsidRPr="00ED74E7">
        <w:rPr>
          <w:rFonts w:eastAsia="Calibri"/>
        </w:rPr>
        <w:t xml:space="preserve"> Phil</w:t>
      </w:r>
      <w:r w:rsidR="00614185">
        <w:rPr>
          <w:rFonts w:eastAsia="Calibri"/>
        </w:rPr>
        <w:t>brook Museum of Art, Tulsa, OK.</w:t>
      </w:r>
    </w:p>
    <w:p w14:paraId="7088C38C" w14:textId="77777777" w:rsidR="00473320" w:rsidRDefault="00473320" w:rsidP="00EF025B">
      <w:pPr>
        <w:spacing w:line="240" w:lineRule="auto"/>
        <w:rPr>
          <w:rFonts w:eastAsia="Calibri"/>
          <w:color w:val="000000" w:themeColor="text1"/>
        </w:rPr>
      </w:pPr>
    </w:p>
    <w:p w14:paraId="727B7ED0" w14:textId="5B775EFB" w:rsidR="00473320" w:rsidRDefault="00473320" w:rsidP="00EF025B">
      <w:pPr>
        <w:spacing w:line="240" w:lineRule="auto"/>
        <w:rPr>
          <w:rFonts w:eastAsia="Calibri"/>
          <w:color w:val="000000" w:themeColor="text1"/>
        </w:rPr>
      </w:pPr>
    </w:p>
    <w:p w14:paraId="0D839D8D" w14:textId="77777777" w:rsidR="00B970CA" w:rsidRDefault="00B970CA" w:rsidP="00EF025B">
      <w:pPr>
        <w:spacing w:line="240" w:lineRule="auto"/>
        <w:rPr>
          <w:rFonts w:eastAsia="Calibri"/>
          <w:color w:val="000000" w:themeColor="text1"/>
        </w:rPr>
      </w:pPr>
    </w:p>
    <w:p w14:paraId="3CC2B9FB" w14:textId="6F7CE25F" w:rsidR="002A38F4" w:rsidRDefault="00260473" w:rsidP="008A5026">
      <w:pPr>
        <w:spacing w:line="240" w:lineRule="auto"/>
      </w:pPr>
      <w:r>
        <w:rPr>
          <w:rFonts w:eastAsia="Calibri"/>
          <w:noProof/>
          <w:color w:val="000000" w:themeColor="text1"/>
          <w:lang w:bidi="ar-SA"/>
        </w:rPr>
        <w:drawing>
          <wp:inline distT="0" distB="0" distL="0" distR="0" wp14:anchorId="250553F2" wp14:editId="58722116">
            <wp:extent cx="2755650" cy="182880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 An Indian Territorial Mansion, p. 19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55650" cy="1828800"/>
                    </a:xfrm>
                    <a:prstGeom prst="rect">
                      <a:avLst/>
                    </a:prstGeom>
                  </pic:spPr>
                </pic:pic>
              </a:graphicData>
            </a:graphic>
          </wp:inline>
        </w:drawing>
      </w:r>
    </w:p>
    <w:p w14:paraId="5D1D4E74" w14:textId="4501A10F" w:rsidR="00A2518B" w:rsidRDefault="002A38F4" w:rsidP="00776DF3">
      <w:pPr>
        <w:spacing w:line="240" w:lineRule="auto"/>
      </w:pPr>
      <w:bookmarkStart w:id="26" w:name="_Toc464499076"/>
      <w:r>
        <w:t xml:space="preserve">Figure </w:t>
      </w:r>
      <w:r w:rsidR="00776DF3">
        <w:t>2</w:t>
      </w:r>
      <w:r w:rsidR="00924C72">
        <w:t>.</w:t>
      </w:r>
      <w:r w:rsidR="00B31D83">
        <w:fldChar w:fldCharType="begin"/>
      </w:r>
      <w:r w:rsidR="00B31D83">
        <w:instrText xml:space="preserve"> SEQ Figure \* ARABIC \s 1 </w:instrText>
      </w:r>
      <w:r w:rsidR="00B31D83">
        <w:fldChar w:fldCharType="separate"/>
      </w:r>
      <w:r w:rsidR="00FE5897">
        <w:rPr>
          <w:noProof/>
        </w:rPr>
        <w:t>8</w:t>
      </w:r>
      <w:r w:rsidR="00B31D83">
        <w:rPr>
          <w:noProof/>
        </w:rPr>
        <w:fldChar w:fldCharType="end"/>
      </w:r>
      <w:r>
        <w:t xml:space="preserve"> </w:t>
      </w:r>
      <w:r w:rsidR="00A4025B">
        <w:t xml:space="preserve">– James W. </w:t>
      </w:r>
      <w:r w:rsidRPr="002A38F4">
        <w:t>Champney,</w:t>
      </w:r>
      <w:r w:rsidRPr="002A38F4">
        <w:rPr>
          <w:i/>
        </w:rPr>
        <w:t xml:space="preserve"> An Indian Territorial Mansion</w:t>
      </w:r>
      <w:bookmarkEnd w:id="26"/>
    </w:p>
    <w:p w14:paraId="3FDEBD28" w14:textId="77777777" w:rsidR="002A38F4" w:rsidRDefault="002A38F4" w:rsidP="00776DF3">
      <w:pPr>
        <w:spacing w:line="240" w:lineRule="auto"/>
        <w:rPr>
          <w:rFonts w:eastAsia="Calibri"/>
          <w:color w:val="000000" w:themeColor="text1"/>
        </w:rPr>
      </w:pPr>
    </w:p>
    <w:p w14:paraId="5B2B36A2" w14:textId="605328DE" w:rsidR="00CB19DE" w:rsidRPr="00DA1E36" w:rsidRDefault="00CB19DE" w:rsidP="001B648A">
      <w:pPr>
        <w:spacing w:line="240" w:lineRule="auto"/>
        <w:rPr>
          <w:rFonts w:ascii="Times New Roman" w:hAnsi="Times New Roman"/>
        </w:rPr>
      </w:pPr>
      <w:r>
        <w:rPr>
          <w:rFonts w:eastAsia="Calibri"/>
          <w:color w:val="000000" w:themeColor="text1"/>
        </w:rPr>
        <w:t xml:space="preserve">James Wells Champney, </w:t>
      </w:r>
      <w:r w:rsidRPr="00CB19DE">
        <w:rPr>
          <w:rFonts w:eastAsia="Calibri"/>
          <w:i/>
          <w:color w:val="000000" w:themeColor="text1"/>
        </w:rPr>
        <w:t>An Indian Territorial Mansion</w:t>
      </w:r>
      <w:r>
        <w:rPr>
          <w:rFonts w:eastAsia="Calibri"/>
          <w:color w:val="000000" w:themeColor="text1"/>
        </w:rPr>
        <w:t xml:space="preserve">, </w:t>
      </w:r>
      <w:r w:rsidR="001B648A">
        <w:rPr>
          <w:rFonts w:eastAsia="Calibri"/>
          <w:color w:val="000000" w:themeColor="text1"/>
        </w:rPr>
        <w:t xml:space="preserve">wood engraving, </w:t>
      </w:r>
      <w:r>
        <w:rPr>
          <w:rFonts w:eastAsia="Calibri"/>
          <w:color w:val="000000" w:themeColor="text1"/>
        </w:rPr>
        <w:t xml:space="preserve">illustration from Edward King, </w:t>
      </w:r>
      <w:r w:rsidRPr="00DA1E36">
        <w:rPr>
          <w:rFonts w:ascii="Times New Roman" w:hAnsi="Times New Roman"/>
          <w:i/>
        </w:rPr>
        <w:t>The Great South: A Record of Journeys in Louisiana, Texas, the Indian</w:t>
      </w:r>
      <w:r>
        <w:rPr>
          <w:rFonts w:ascii="Times New Roman" w:hAnsi="Times New Roman"/>
          <w:i/>
        </w:rPr>
        <w:t xml:space="preserve"> </w:t>
      </w:r>
      <w:r w:rsidRPr="00DA1E36">
        <w:rPr>
          <w:rFonts w:ascii="Times New Roman" w:hAnsi="Times New Roman"/>
          <w:i/>
        </w:rPr>
        <w:t>Territory,</w:t>
      </w:r>
      <w:r>
        <w:rPr>
          <w:rFonts w:ascii="Times New Roman" w:hAnsi="Times New Roman"/>
          <w:i/>
        </w:rPr>
        <w:t xml:space="preserve"> </w:t>
      </w:r>
      <w:r w:rsidRPr="00DA1E36">
        <w:rPr>
          <w:rFonts w:ascii="Times New Roman" w:hAnsi="Times New Roman"/>
          <w:i/>
        </w:rPr>
        <w:t>Missouri, Arkansas, Mississip</w:t>
      </w:r>
      <w:r>
        <w:rPr>
          <w:rFonts w:ascii="Times New Roman" w:hAnsi="Times New Roman"/>
          <w:i/>
        </w:rPr>
        <w:t xml:space="preserve">pi, Alabama, Georgia, Florida, </w:t>
      </w:r>
      <w:r w:rsidRPr="00DA1E36">
        <w:rPr>
          <w:rFonts w:ascii="Times New Roman" w:hAnsi="Times New Roman"/>
          <w:i/>
        </w:rPr>
        <w:t>South</w:t>
      </w:r>
      <w:r>
        <w:rPr>
          <w:rFonts w:ascii="Times New Roman" w:hAnsi="Times New Roman"/>
          <w:i/>
        </w:rPr>
        <w:t xml:space="preserve"> </w:t>
      </w:r>
      <w:r w:rsidRPr="00DA1E36">
        <w:rPr>
          <w:rFonts w:ascii="Times New Roman" w:hAnsi="Times New Roman"/>
          <w:i/>
        </w:rPr>
        <w:t>Carolina, North Carolina,</w:t>
      </w:r>
      <w:r>
        <w:rPr>
          <w:rFonts w:ascii="Times New Roman" w:hAnsi="Times New Roman"/>
          <w:i/>
        </w:rPr>
        <w:t xml:space="preserve"> </w:t>
      </w:r>
      <w:r w:rsidRPr="00DA1E36">
        <w:rPr>
          <w:rFonts w:ascii="Times New Roman" w:hAnsi="Times New Roman"/>
          <w:i/>
        </w:rPr>
        <w:t>Kentucky, Tennessee, Virginia, West</w:t>
      </w:r>
      <w:r>
        <w:rPr>
          <w:rFonts w:ascii="Times New Roman" w:hAnsi="Times New Roman"/>
          <w:i/>
        </w:rPr>
        <w:t xml:space="preserve"> </w:t>
      </w:r>
      <w:r w:rsidRPr="00DA1E36">
        <w:rPr>
          <w:rFonts w:ascii="Times New Roman" w:hAnsi="Times New Roman"/>
          <w:i/>
        </w:rPr>
        <w:t>Virginia, and</w:t>
      </w:r>
      <w:r>
        <w:rPr>
          <w:rFonts w:ascii="Times New Roman" w:hAnsi="Times New Roman"/>
          <w:i/>
        </w:rPr>
        <w:t xml:space="preserve"> </w:t>
      </w:r>
      <w:r w:rsidRPr="00DA1E36">
        <w:rPr>
          <w:rFonts w:ascii="Times New Roman" w:hAnsi="Times New Roman"/>
          <w:i/>
        </w:rPr>
        <w:t>Maryland</w:t>
      </w:r>
      <w:r w:rsidRPr="00DA1E36">
        <w:rPr>
          <w:rFonts w:ascii="Times New Roman" w:hAnsi="Times New Roman"/>
        </w:rPr>
        <w:t>. Har</w:t>
      </w:r>
      <w:r>
        <w:rPr>
          <w:rFonts w:ascii="Times New Roman" w:hAnsi="Times New Roman"/>
        </w:rPr>
        <w:t xml:space="preserve">tford, CT: American Publishing </w:t>
      </w:r>
      <w:r w:rsidRPr="00DA1E36">
        <w:rPr>
          <w:rFonts w:ascii="Times New Roman" w:hAnsi="Times New Roman"/>
        </w:rPr>
        <w:t>Co., 1875.</w:t>
      </w:r>
    </w:p>
    <w:p w14:paraId="4D254662" w14:textId="1A6804EA" w:rsidR="00CB19DE" w:rsidRDefault="00CB19DE" w:rsidP="00EF025B">
      <w:pPr>
        <w:spacing w:line="240" w:lineRule="auto"/>
        <w:rPr>
          <w:rFonts w:eastAsia="Calibri"/>
          <w:color w:val="000000" w:themeColor="text1"/>
        </w:rPr>
      </w:pPr>
    </w:p>
    <w:p w14:paraId="2391551C" w14:textId="4637E37B" w:rsidR="00CB19DE" w:rsidRDefault="00CB19DE" w:rsidP="00EF025B">
      <w:pPr>
        <w:spacing w:line="240" w:lineRule="auto"/>
        <w:rPr>
          <w:rFonts w:eastAsia="Calibri"/>
          <w:color w:val="000000" w:themeColor="text1"/>
        </w:rPr>
      </w:pPr>
    </w:p>
    <w:p w14:paraId="691EAEE3" w14:textId="77777777" w:rsidR="00CB19DE" w:rsidRDefault="00CB19DE" w:rsidP="00EF025B">
      <w:pPr>
        <w:spacing w:line="240" w:lineRule="auto"/>
        <w:rPr>
          <w:rFonts w:eastAsia="Calibri"/>
          <w:color w:val="000000" w:themeColor="text1"/>
        </w:rPr>
      </w:pPr>
    </w:p>
    <w:p w14:paraId="627164C1" w14:textId="3361D2D7" w:rsidR="00473320" w:rsidRDefault="00473320" w:rsidP="00EF025B">
      <w:pPr>
        <w:spacing w:line="240" w:lineRule="auto"/>
        <w:rPr>
          <w:rFonts w:eastAsia="Calibri"/>
          <w:color w:val="000000" w:themeColor="text1"/>
        </w:rPr>
      </w:pPr>
    </w:p>
    <w:p w14:paraId="2FD72052" w14:textId="38B011BC" w:rsidR="002A38F4" w:rsidRDefault="00260473" w:rsidP="00B970CA">
      <w:pPr>
        <w:spacing w:line="240" w:lineRule="auto"/>
      </w:pPr>
      <w:r>
        <w:rPr>
          <w:rFonts w:eastAsia="Calibri"/>
          <w:noProof/>
          <w:color w:val="000000" w:themeColor="text1"/>
          <w:lang w:bidi="ar-SA"/>
        </w:rPr>
        <w:drawing>
          <wp:inline distT="0" distB="0" distL="0" distR="0" wp14:anchorId="55A519F6" wp14:editId="39E1C2D7">
            <wp:extent cx="2024684" cy="2743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3. Bridge Across the North Fork, p. 19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024684" cy="2743200"/>
                    </a:xfrm>
                    <a:prstGeom prst="rect">
                      <a:avLst/>
                    </a:prstGeom>
                  </pic:spPr>
                </pic:pic>
              </a:graphicData>
            </a:graphic>
          </wp:inline>
        </w:drawing>
      </w:r>
    </w:p>
    <w:p w14:paraId="0A79BBB6" w14:textId="3DA74DAA" w:rsidR="00A2518B" w:rsidRDefault="002A38F4" w:rsidP="00B055DA">
      <w:pPr>
        <w:spacing w:line="240" w:lineRule="auto"/>
      </w:pPr>
      <w:bookmarkStart w:id="27" w:name="_Toc464499077"/>
      <w:r>
        <w:t xml:space="preserve">Figure </w:t>
      </w:r>
      <w:r w:rsidR="00776DF3">
        <w:t>2</w:t>
      </w:r>
      <w:r w:rsidR="00924C72">
        <w:t>.</w:t>
      </w:r>
      <w:r w:rsidR="00B31D83">
        <w:fldChar w:fldCharType="begin"/>
      </w:r>
      <w:r w:rsidR="00B31D83">
        <w:instrText xml:space="preserve"> SEQ Figure \* ARABIC \s 1 </w:instrText>
      </w:r>
      <w:r w:rsidR="00B31D83">
        <w:fldChar w:fldCharType="separate"/>
      </w:r>
      <w:r w:rsidR="00FE5897">
        <w:rPr>
          <w:noProof/>
        </w:rPr>
        <w:t>9</w:t>
      </w:r>
      <w:r w:rsidR="00B31D83">
        <w:rPr>
          <w:noProof/>
        </w:rPr>
        <w:fldChar w:fldCharType="end"/>
      </w:r>
      <w:r>
        <w:t xml:space="preserve"> </w:t>
      </w:r>
      <w:r w:rsidR="00A4025B">
        <w:t xml:space="preserve">– James W. </w:t>
      </w:r>
      <w:r w:rsidRPr="002A38F4">
        <w:t xml:space="preserve">Champney, </w:t>
      </w:r>
      <w:r w:rsidRPr="002A38F4">
        <w:rPr>
          <w:i/>
        </w:rPr>
        <w:t xml:space="preserve">Bridge Across </w:t>
      </w:r>
      <w:r>
        <w:rPr>
          <w:i/>
        </w:rPr>
        <w:t xml:space="preserve">North Fork of </w:t>
      </w:r>
      <w:r w:rsidRPr="002A38F4">
        <w:rPr>
          <w:i/>
        </w:rPr>
        <w:t>Canadian River</w:t>
      </w:r>
      <w:bookmarkEnd w:id="27"/>
    </w:p>
    <w:p w14:paraId="4916C9C6" w14:textId="77777777" w:rsidR="002A38F4" w:rsidRDefault="002A38F4" w:rsidP="00B055DA">
      <w:pPr>
        <w:spacing w:line="240" w:lineRule="auto"/>
        <w:rPr>
          <w:rFonts w:eastAsia="Calibri"/>
          <w:color w:val="000000" w:themeColor="text1"/>
        </w:rPr>
      </w:pPr>
    </w:p>
    <w:p w14:paraId="2BA8A186" w14:textId="6A781AE9" w:rsidR="006C3161" w:rsidRDefault="006C3161" w:rsidP="00B055DA">
      <w:pPr>
        <w:spacing w:line="240" w:lineRule="auto"/>
        <w:rPr>
          <w:rFonts w:ascii="Times New Roman" w:hAnsi="Times New Roman"/>
        </w:rPr>
      </w:pPr>
      <w:r>
        <w:rPr>
          <w:rFonts w:eastAsia="Calibri"/>
          <w:color w:val="000000" w:themeColor="text1"/>
        </w:rPr>
        <w:t xml:space="preserve">James Wells Champney, </w:t>
      </w:r>
      <w:r w:rsidRPr="00473320">
        <w:rPr>
          <w:i/>
        </w:rPr>
        <w:t>Bridge Across North Fork of Canadian River, Indian Territory (M., K. &amp; T. Railway)</w:t>
      </w:r>
      <w:r>
        <w:rPr>
          <w:rFonts w:eastAsia="Calibri"/>
          <w:color w:val="000000" w:themeColor="text1"/>
        </w:rPr>
        <w:t xml:space="preserve">, </w:t>
      </w:r>
      <w:r w:rsidR="001B648A">
        <w:rPr>
          <w:rFonts w:eastAsia="Calibri"/>
          <w:color w:val="000000" w:themeColor="text1"/>
        </w:rPr>
        <w:t xml:space="preserve">wood engraving, </w:t>
      </w:r>
      <w:r>
        <w:rPr>
          <w:rFonts w:eastAsia="Calibri"/>
          <w:color w:val="000000" w:themeColor="text1"/>
        </w:rPr>
        <w:t xml:space="preserve">illustration from Edward King, </w:t>
      </w:r>
      <w:r w:rsidRPr="00DA1E36">
        <w:rPr>
          <w:rFonts w:ascii="Times New Roman" w:hAnsi="Times New Roman"/>
          <w:i/>
        </w:rPr>
        <w:t>The Great South: A Record of Journeys in Louisiana, Texas, the Indian</w:t>
      </w:r>
      <w:r>
        <w:rPr>
          <w:rFonts w:ascii="Times New Roman" w:hAnsi="Times New Roman"/>
          <w:i/>
        </w:rPr>
        <w:t xml:space="preserve"> </w:t>
      </w:r>
      <w:r w:rsidRPr="00DA1E36">
        <w:rPr>
          <w:rFonts w:ascii="Times New Roman" w:hAnsi="Times New Roman"/>
          <w:i/>
        </w:rPr>
        <w:t>Territory,</w:t>
      </w:r>
      <w:r>
        <w:rPr>
          <w:rFonts w:ascii="Times New Roman" w:hAnsi="Times New Roman"/>
          <w:i/>
        </w:rPr>
        <w:t xml:space="preserve"> </w:t>
      </w:r>
      <w:r w:rsidRPr="00DA1E36">
        <w:rPr>
          <w:rFonts w:ascii="Times New Roman" w:hAnsi="Times New Roman"/>
          <w:i/>
        </w:rPr>
        <w:t>Missouri, Arkansas, Mississip</w:t>
      </w:r>
      <w:r>
        <w:rPr>
          <w:rFonts w:ascii="Times New Roman" w:hAnsi="Times New Roman"/>
          <w:i/>
        </w:rPr>
        <w:t xml:space="preserve">pi, Alabama, Georgia, Florida, </w:t>
      </w:r>
      <w:r w:rsidRPr="00DA1E36">
        <w:rPr>
          <w:rFonts w:ascii="Times New Roman" w:hAnsi="Times New Roman"/>
          <w:i/>
        </w:rPr>
        <w:t>South</w:t>
      </w:r>
      <w:r>
        <w:rPr>
          <w:rFonts w:ascii="Times New Roman" w:hAnsi="Times New Roman"/>
          <w:i/>
        </w:rPr>
        <w:t xml:space="preserve"> </w:t>
      </w:r>
      <w:r w:rsidRPr="00DA1E36">
        <w:rPr>
          <w:rFonts w:ascii="Times New Roman" w:hAnsi="Times New Roman"/>
          <w:i/>
        </w:rPr>
        <w:t>Carolina, North Carolina,</w:t>
      </w:r>
      <w:r>
        <w:rPr>
          <w:rFonts w:ascii="Times New Roman" w:hAnsi="Times New Roman"/>
          <w:i/>
        </w:rPr>
        <w:t xml:space="preserve"> </w:t>
      </w:r>
      <w:r w:rsidRPr="00DA1E36">
        <w:rPr>
          <w:rFonts w:ascii="Times New Roman" w:hAnsi="Times New Roman"/>
          <w:i/>
        </w:rPr>
        <w:t>Kentucky, Tennessee, Virginia, West</w:t>
      </w:r>
      <w:r>
        <w:rPr>
          <w:rFonts w:ascii="Times New Roman" w:hAnsi="Times New Roman"/>
          <w:i/>
        </w:rPr>
        <w:t xml:space="preserve"> </w:t>
      </w:r>
      <w:r w:rsidRPr="00DA1E36">
        <w:rPr>
          <w:rFonts w:ascii="Times New Roman" w:hAnsi="Times New Roman"/>
          <w:i/>
        </w:rPr>
        <w:t>Virginia, and</w:t>
      </w:r>
      <w:r>
        <w:rPr>
          <w:rFonts w:ascii="Times New Roman" w:hAnsi="Times New Roman"/>
          <w:i/>
        </w:rPr>
        <w:t xml:space="preserve"> </w:t>
      </w:r>
      <w:r w:rsidRPr="00DA1E36">
        <w:rPr>
          <w:rFonts w:ascii="Times New Roman" w:hAnsi="Times New Roman"/>
          <w:i/>
        </w:rPr>
        <w:t>Maryland</w:t>
      </w:r>
      <w:r w:rsidRPr="00DA1E36">
        <w:rPr>
          <w:rFonts w:ascii="Times New Roman" w:hAnsi="Times New Roman"/>
        </w:rPr>
        <w:t>. Har</w:t>
      </w:r>
      <w:r>
        <w:rPr>
          <w:rFonts w:ascii="Times New Roman" w:hAnsi="Times New Roman"/>
        </w:rPr>
        <w:t xml:space="preserve">tford, CT: American Publishing </w:t>
      </w:r>
      <w:r w:rsidRPr="00DA1E36">
        <w:rPr>
          <w:rFonts w:ascii="Times New Roman" w:hAnsi="Times New Roman"/>
        </w:rPr>
        <w:t>Co., 1875.</w:t>
      </w:r>
    </w:p>
    <w:p w14:paraId="176CB426" w14:textId="77777777" w:rsidR="002A38F4" w:rsidRPr="00DA1E36" w:rsidRDefault="002A38F4" w:rsidP="006C3161">
      <w:pPr>
        <w:spacing w:line="240" w:lineRule="auto"/>
        <w:rPr>
          <w:rFonts w:ascii="Times New Roman" w:hAnsi="Times New Roman"/>
        </w:rPr>
      </w:pPr>
    </w:p>
    <w:p w14:paraId="0241B651" w14:textId="12AF2BCC" w:rsidR="002A38F4" w:rsidRDefault="00260473" w:rsidP="00776DF3">
      <w:pPr>
        <w:spacing w:line="240" w:lineRule="auto"/>
      </w:pPr>
      <w:r>
        <w:rPr>
          <w:rFonts w:eastAsia="Calibri"/>
          <w:noProof/>
          <w:color w:val="000000" w:themeColor="text1"/>
          <w:lang w:bidi="ar-SA"/>
        </w:rPr>
        <w:drawing>
          <wp:inline distT="0" distB="0" distL="0" distR="0" wp14:anchorId="652FDE37" wp14:editId="786CCB27">
            <wp:extent cx="2743200" cy="266807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8. Limestone Gap - Indian Territory, p. 20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200" cy="2668072"/>
                    </a:xfrm>
                    <a:prstGeom prst="rect">
                      <a:avLst/>
                    </a:prstGeom>
                  </pic:spPr>
                </pic:pic>
              </a:graphicData>
            </a:graphic>
          </wp:inline>
        </w:drawing>
      </w:r>
    </w:p>
    <w:p w14:paraId="0577E424" w14:textId="256762F5" w:rsidR="00A2518B" w:rsidRDefault="002A38F4" w:rsidP="00776DF3">
      <w:pPr>
        <w:spacing w:line="240" w:lineRule="auto"/>
      </w:pPr>
      <w:bookmarkStart w:id="28" w:name="_Toc464499078"/>
      <w:r>
        <w:t xml:space="preserve">Figure </w:t>
      </w:r>
      <w:r w:rsidR="00776DF3">
        <w:t>2</w:t>
      </w:r>
      <w:r w:rsidR="00924C72">
        <w:t>.</w:t>
      </w:r>
      <w:r w:rsidR="00B31D83">
        <w:fldChar w:fldCharType="begin"/>
      </w:r>
      <w:r w:rsidR="00B31D83">
        <w:instrText xml:space="preserve"> SEQ Figure \* ARABIC \s 1 </w:instrText>
      </w:r>
      <w:r w:rsidR="00B31D83">
        <w:fldChar w:fldCharType="separate"/>
      </w:r>
      <w:r w:rsidR="00FE5897">
        <w:rPr>
          <w:noProof/>
        </w:rPr>
        <w:t>10</w:t>
      </w:r>
      <w:r w:rsidR="00B31D83">
        <w:rPr>
          <w:noProof/>
        </w:rPr>
        <w:fldChar w:fldCharType="end"/>
      </w:r>
      <w:r w:rsidR="00A4025B">
        <w:t xml:space="preserve"> – James W. </w:t>
      </w:r>
      <w:r w:rsidRPr="002A38F4">
        <w:t>Champney,</w:t>
      </w:r>
      <w:r w:rsidRPr="002A38F4">
        <w:rPr>
          <w:i/>
        </w:rPr>
        <w:t xml:space="preserve"> Limestone Gap-Indian Territory</w:t>
      </w:r>
      <w:bookmarkEnd w:id="28"/>
    </w:p>
    <w:p w14:paraId="6AFF3462" w14:textId="77777777" w:rsidR="002A38F4" w:rsidRDefault="002A38F4" w:rsidP="00776DF3">
      <w:pPr>
        <w:spacing w:line="240" w:lineRule="auto"/>
        <w:rPr>
          <w:rFonts w:eastAsia="Calibri"/>
          <w:color w:val="000000" w:themeColor="text1"/>
        </w:rPr>
      </w:pPr>
    </w:p>
    <w:p w14:paraId="7FA90A00" w14:textId="511A4CEF" w:rsidR="00343A99" w:rsidRDefault="00343A99" w:rsidP="00776DF3">
      <w:pPr>
        <w:spacing w:line="240" w:lineRule="auto"/>
        <w:rPr>
          <w:rFonts w:ascii="Times New Roman" w:hAnsi="Times New Roman"/>
        </w:rPr>
      </w:pPr>
      <w:r>
        <w:rPr>
          <w:rFonts w:eastAsia="Calibri"/>
          <w:color w:val="000000" w:themeColor="text1"/>
        </w:rPr>
        <w:t xml:space="preserve">James Wells Champney, </w:t>
      </w:r>
      <w:r w:rsidRPr="003F1102">
        <w:rPr>
          <w:bCs/>
          <w:i/>
          <w:iCs/>
        </w:rPr>
        <w:t>Limestone Gap-Indian Territory</w:t>
      </w:r>
      <w:r>
        <w:rPr>
          <w:rFonts w:eastAsia="Calibri"/>
          <w:color w:val="000000" w:themeColor="text1"/>
        </w:rPr>
        <w:t xml:space="preserve">, </w:t>
      </w:r>
      <w:r w:rsidR="001B648A">
        <w:rPr>
          <w:rFonts w:eastAsia="Calibri"/>
          <w:color w:val="000000" w:themeColor="text1"/>
        </w:rPr>
        <w:t xml:space="preserve">wood engraving, </w:t>
      </w:r>
      <w:r>
        <w:rPr>
          <w:rFonts w:eastAsia="Calibri"/>
          <w:color w:val="000000" w:themeColor="text1"/>
        </w:rPr>
        <w:t xml:space="preserve">illustration from Edward King, </w:t>
      </w:r>
      <w:r w:rsidRPr="00DA1E36">
        <w:rPr>
          <w:rFonts w:ascii="Times New Roman" w:hAnsi="Times New Roman"/>
          <w:i/>
        </w:rPr>
        <w:t>The Great South: A Record of Journeys in Louisiana, Texas, the Indian</w:t>
      </w:r>
      <w:r>
        <w:rPr>
          <w:rFonts w:ascii="Times New Roman" w:hAnsi="Times New Roman"/>
          <w:i/>
        </w:rPr>
        <w:t xml:space="preserve"> </w:t>
      </w:r>
      <w:r w:rsidRPr="00DA1E36">
        <w:rPr>
          <w:rFonts w:ascii="Times New Roman" w:hAnsi="Times New Roman"/>
          <w:i/>
        </w:rPr>
        <w:t>Territory,</w:t>
      </w:r>
      <w:r>
        <w:rPr>
          <w:rFonts w:ascii="Times New Roman" w:hAnsi="Times New Roman"/>
          <w:i/>
        </w:rPr>
        <w:t xml:space="preserve"> </w:t>
      </w:r>
      <w:r w:rsidRPr="00DA1E36">
        <w:rPr>
          <w:rFonts w:ascii="Times New Roman" w:hAnsi="Times New Roman"/>
          <w:i/>
        </w:rPr>
        <w:t>Missouri, Arkansas, Mississip</w:t>
      </w:r>
      <w:r>
        <w:rPr>
          <w:rFonts w:ascii="Times New Roman" w:hAnsi="Times New Roman"/>
          <w:i/>
        </w:rPr>
        <w:t xml:space="preserve">pi, Alabama, Georgia, Florida, </w:t>
      </w:r>
      <w:r w:rsidRPr="00DA1E36">
        <w:rPr>
          <w:rFonts w:ascii="Times New Roman" w:hAnsi="Times New Roman"/>
          <w:i/>
        </w:rPr>
        <w:t>South</w:t>
      </w:r>
      <w:r>
        <w:rPr>
          <w:rFonts w:ascii="Times New Roman" w:hAnsi="Times New Roman"/>
          <w:i/>
        </w:rPr>
        <w:t xml:space="preserve"> </w:t>
      </w:r>
      <w:r w:rsidRPr="00DA1E36">
        <w:rPr>
          <w:rFonts w:ascii="Times New Roman" w:hAnsi="Times New Roman"/>
          <w:i/>
        </w:rPr>
        <w:t>Carolina, North Carolina,</w:t>
      </w:r>
      <w:r>
        <w:rPr>
          <w:rFonts w:ascii="Times New Roman" w:hAnsi="Times New Roman"/>
          <w:i/>
        </w:rPr>
        <w:t xml:space="preserve"> </w:t>
      </w:r>
      <w:r w:rsidRPr="00DA1E36">
        <w:rPr>
          <w:rFonts w:ascii="Times New Roman" w:hAnsi="Times New Roman"/>
          <w:i/>
        </w:rPr>
        <w:t>Kentucky, Tennessee, Virginia, West</w:t>
      </w:r>
      <w:r>
        <w:rPr>
          <w:rFonts w:ascii="Times New Roman" w:hAnsi="Times New Roman"/>
          <w:i/>
        </w:rPr>
        <w:t xml:space="preserve"> </w:t>
      </w:r>
      <w:r w:rsidRPr="00DA1E36">
        <w:rPr>
          <w:rFonts w:ascii="Times New Roman" w:hAnsi="Times New Roman"/>
          <w:i/>
        </w:rPr>
        <w:t>Virginia, and</w:t>
      </w:r>
      <w:r>
        <w:rPr>
          <w:rFonts w:ascii="Times New Roman" w:hAnsi="Times New Roman"/>
          <w:i/>
        </w:rPr>
        <w:t xml:space="preserve"> </w:t>
      </w:r>
      <w:r w:rsidRPr="00DA1E36">
        <w:rPr>
          <w:rFonts w:ascii="Times New Roman" w:hAnsi="Times New Roman"/>
          <w:i/>
        </w:rPr>
        <w:t>Maryland</w:t>
      </w:r>
      <w:r w:rsidRPr="00DA1E36">
        <w:rPr>
          <w:rFonts w:ascii="Times New Roman" w:hAnsi="Times New Roman"/>
        </w:rPr>
        <w:t>. Har</w:t>
      </w:r>
      <w:r>
        <w:rPr>
          <w:rFonts w:ascii="Times New Roman" w:hAnsi="Times New Roman"/>
        </w:rPr>
        <w:t xml:space="preserve">tford, CT: American Publishing </w:t>
      </w:r>
      <w:r w:rsidRPr="00DA1E36">
        <w:rPr>
          <w:rFonts w:ascii="Times New Roman" w:hAnsi="Times New Roman"/>
        </w:rPr>
        <w:t>Co., 1875.</w:t>
      </w:r>
    </w:p>
    <w:p w14:paraId="2EA86D23" w14:textId="28AA0E11" w:rsidR="002A38F4" w:rsidRDefault="00260473" w:rsidP="00B970CA">
      <w:pPr>
        <w:spacing w:line="240" w:lineRule="auto"/>
      </w:pPr>
      <w:r>
        <w:rPr>
          <w:rFonts w:eastAsia="Cambria"/>
          <w:noProof/>
          <w:color w:val="000000" w:themeColor="text1"/>
          <w:lang w:bidi="ar-SA"/>
        </w:rPr>
        <w:drawing>
          <wp:inline distT="0" distB="0" distL="0" distR="0" wp14:anchorId="1EEA6A2F" wp14:editId="21F855E8">
            <wp:extent cx="5186846" cy="16459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4.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186846" cy="1645920"/>
                    </a:xfrm>
                    <a:prstGeom prst="rect">
                      <a:avLst/>
                    </a:prstGeom>
                  </pic:spPr>
                </pic:pic>
              </a:graphicData>
            </a:graphic>
          </wp:inline>
        </w:drawing>
      </w:r>
    </w:p>
    <w:p w14:paraId="45EB90FB" w14:textId="2C034CF4" w:rsidR="00A2518B" w:rsidRDefault="002A38F4" w:rsidP="00B055DA">
      <w:pPr>
        <w:spacing w:line="240" w:lineRule="auto"/>
      </w:pPr>
      <w:bookmarkStart w:id="29" w:name="_Toc464499079"/>
      <w:r>
        <w:t xml:space="preserve">Figure </w:t>
      </w:r>
      <w:r w:rsidR="00776DF3">
        <w:t>2</w:t>
      </w:r>
      <w:r w:rsidR="00924C72">
        <w:t>.</w:t>
      </w:r>
      <w:r w:rsidR="00B31D83">
        <w:fldChar w:fldCharType="begin"/>
      </w:r>
      <w:r w:rsidR="00B31D83">
        <w:instrText xml:space="preserve"> SE</w:instrText>
      </w:r>
      <w:r w:rsidR="00B31D83">
        <w:instrText xml:space="preserve">Q Figure \* ARABIC \s 1 </w:instrText>
      </w:r>
      <w:r w:rsidR="00B31D83">
        <w:fldChar w:fldCharType="separate"/>
      </w:r>
      <w:r w:rsidR="00FE5897">
        <w:rPr>
          <w:noProof/>
        </w:rPr>
        <w:t>11</w:t>
      </w:r>
      <w:r w:rsidR="00B31D83">
        <w:rPr>
          <w:noProof/>
        </w:rPr>
        <w:fldChar w:fldCharType="end"/>
      </w:r>
      <w:r w:rsidR="00A4025B">
        <w:t xml:space="preserve"> </w:t>
      </w:r>
      <w:r w:rsidR="001B648A">
        <w:t>–</w:t>
      </w:r>
      <w:r w:rsidR="00A4025B">
        <w:t xml:space="preserve"> </w:t>
      </w:r>
      <w:r w:rsidRPr="002A38F4">
        <w:t>Bird’s Eye View of Tulsu</w:t>
      </w:r>
      <w:bookmarkEnd w:id="29"/>
    </w:p>
    <w:p w14:paraId="2D0BDB15" w14:textId="77777777" w:rsidR="002A38F4" w:rsidRDefault="002A38F4" w:rsidP="00B055DA">
      <w:pPr>
        <w:shd w:val="clear" w:color="auto" w:fill="FFFFFF"/>
        <w:spacing w:line="240" w:lineRule="auto"/>
        <w:rPr>
          <w:rFonts w:asciiTheme="majorHAnsi" w:eastAsia="Cambria" w:hAnsiTheme="majorHAnsi" w:cstheme="majorHAnsi"/>
          <w:lang w:bidi="ar-SA"/>
        </w:rPr>
      </w:pPr>
    </w:p>
    <w:p w14:paraId="776F7D91" w14:textId="74E18CF6" w:rsidR="001B648A" w:rsidRDefault="00100877" w:rsidP="00B055DA">
      <w:pPr>
        <w:shd w:val="clear" w:color="auto" w:fill="FFFFFF"/>
        <w:spacing w:line="240" w:lineRule="auto"/>
        <w:rPr>
          <w:rFonts w:asciiTheme="majorHAnsi" w:hAnsiTheme="majorHAnsi" w:cstheme="majorHAnsi"/>
          <w:lang w:bidi="ar-SA"/>
        </w:rPr>
      </w:pPr>
      <w:r>
        <w:rPr>
          <w:rFonts w:asciiTheme="majorHAnsi" w:eastAsia="Cambria" w:hAnsiTheme="majorHAnsi" w:cstheme="majorHAnsi"/>
          <w:lang w:bidi="ar-SA"/>
        </w:rPr>
        <w:t>“</w:t>
      </w:r>
      <w:r w:rsidR="007C4DDF" w:rsidRPr="007C4DDF">
        <w:rPr>
          <w:rFonts w:asciiTheme="majorHAnsi" w:eastAsia="Cambria" w:hAnsiTheme="majorHAnsi" w:cstheme="majorHAnsi"/>
          <w:lang w:bidi="ar-SA"/>
        </w:rPr>
        <w:t xml:space="preserve">Bird’s Eye View of Tulsu,” </w:t>
      </w:r>
      <w:r w:rsidR="001B648A">
        <w:rPr>
          <w:rFonts w:eastAsia="Calibri"/>
          <w:color w:val="000000" w:themeColor="text1"/>
        </w:rPr>
        <w:t xml:space="preserve">wood engraving, </w:t>
      </w:r>
      <w:r w:rsidR="007C4DDF" w:rsidRPr="007C4DDF">
        <w:rPr>
          <w:rFonts w:asciiTheme="majorHAnsi" w:eastAsia="Cambria" w:hAnsiTheme="majorHAnsi" w:cstheme="majorHAnsi"/>
          <w:lang w:bidi="ar-SA"/>
        </w:rPr>
        <w:t xml:space="preserve">illustration from </w:t>
      </w:r>
      <w:r w:rsidR="007C4DDF" w:rsidRPr="007C4DDF">
        <w:rPr>
          <w:rFonts w:asciiTheme="majorHAnsi" w:hAnsiTheme="majorHAnsi" w:cstheme="majorHAnsi"/>
          <w:lang w:bidi="ar-SA"/>
        </w:rPr>
        <w:t>George E. Fo</w:t>
      </w:r>
      <w:r w:rsidR="001B648A">
        <w:rPr>
          <w:rFonts w:asciiTheme="majorHAnsi" w:hAnsiTheme="majorHAnsi" w:cstheme="majorHAnsi"/>
          <w:lang w:bidi="ar-SA"/>
        </w:rPr>
        <w:t>ster,</w:t>
      </w:r>
      <w:r w:rsidR="007C4DDF" w:rsidRPr="007C4DDF">
        <w:rPr>
          <w:rFonts w:asciiTheme="majorHAnsi" w:hAnsiTheme="majorHAnsi" w:cstheme="majorHAnsi"/>
          <w:lang w:bidi="ar-SA"/>
        </w:rPr>
        <w:t xml:space="preserve"> "</w:t>
      </w:r>
      <w:r w:rsidR="0077581A">
        <w:rPr>
          <w:rFonts w:asciiTheme="majorHAnsi" w:hAnsiTheme="majorHAnsi" w:cstheme="majorHAnsi"/>
          <w:lang w:bidi="ar-SA"/>
        </w:rPr>
        <w:t xml:space="preserve">A </w:t>
      </w:r>
      <w:r w:rsidR="007C4DDF" w:rsidRPr="007C4DDF">
        <w:rPr>
          <w:rFonts w:asciiTheme="majorHAnsi" w:hAnsiTheme="majorHAnsi" w:cstheme="majorHAnsi"/>
          <w:lang w:bidi="ar-SA"/>
        </w:rPr>
        <w:t>Z</w:t>
      </w:r>
      <w:r w:rsidR="001B648A">
        <w:rPr>
          <w:rFonts w:asciiTheme="majorHAnsi" w:hAnsiTheme="majorHAnsi" w:cstheme="majorHAnsi"/>
          <w:lang w:bidi="ar-SA"/>
        </w:rPr>
        <w:t xml:space="preserve">ig-Zag Journey </w:t>
      </w:r>
      <w:r w:rsidR="0077581A">
        <w:rPr>
          <w:rFonts w:asciiTheme="majorHAnsi" w:hAnsiTheme="majorHAnsi" w:cstheme="majorHAnsi"/>
          <w:lang w:bidi="ar-SA"/>
        </w:rPr>
        <w:t xml:space="preserve">In </w:t>
      </w:r>
      <w:r w:rsidR="001B648A">
        <w:rPr>
          <w:rFonts w:asciiTheme="majorHAnsi" w:hAnsiTheme="majorHAnsi" w:cstheme="majorHAnsi"/>
          <w:lang w:bidi="ar-SA"/>
        </w:rPr>
        <w:t>Indian Territory,</w:t>
      </w:r>
      <w:r w:rsidR="007C4DDF" w:rsidRPr="007C4DDF">
        <w:rPr>
          <w:rFonts w:asciiTheme="majorHAnsi" w:hAnsiTheme="majorHAnsi" w:cstheme="majorHAnsi"/>
          <w:lang w:bidi="ar-SA"/>
        </w:rPr>
        <w:t>" </w:t>
      </w:r>
      <w:r w:rsidR="007C4DDF" w:rsidRPr="007C4DDF">
        <w:rPr>
          <w:rFonts w:asciiTheme="majorHAnsi" w:hAnsiTheme="majorHAnsi" w:cstheme="majorHAnsi"/>
          <w:i/>
          <w:iCs/>
          <w:lang w:bidi="ar-SA"/>
        </w:rPr>
        <w:t>Frank Leslie's Illustrated Newspaper</w:t>
      </w:r>
      <w:r w:rsidR="001B648A">
        <w:rPr>
          <w:rFonts w:asciiTheme="majorHAnsi" w:hAnsiTheme="majorHAnsi" w:cstheme="majorHAnsi"/>
          <w:lang w:bidi="ar-SA"/>
        </w:rPr>
        <w:t>,</w:t>
      </w:r>
      <w:r w:rsidR="007C4DDF" w:rsidRPr="007C4DDF">
        <w:rPr>
          <w:rFonts w:asciiTheme="majorHAnsi" w:hAnsiTheme="majorHAnsi" w:cstheme="majorHAnsi"/>
          <w:lang w:bidi="ar-SA"/>
        </w:rPr>
        <w:t xml:space="preserve"> Aug</w:t>
      </w:r>
      <w:r w:rsidR="001B648A">
        <w:rPr>
          <w:rFonts w:asciiTheme="majorHAnsi" w:hAnsiTheme="majorHAnsi" w:cstheme="majorHAnsi"/>
          <w:lang w:bidi="ar-SA"/>
        </w:rPr>
        <w:t xml:space="preserve">ust 11, </w:t>
      </w:r>
      <w:r w:rsidR="007C4DDF" w:rsidRPr="007C4DDF">
        <w:rPr>
          <w:rFonts w:asciiTheme="majorHAnsi" w:hAnsiTheme="majorHAnsi" w:cstheme="majorHAnsi"/>
          <w:lang w:bidi="ar-SA"/>
        </w:rPr>
        <w:t>1888: 417+.</w:t>
      </w:r>
    </w:p>
    <w:p w14:paraId="2B789B5E" w14:textId="25E0799F" w:rsidR="00C83A63" w:rsidRDefault="00C83A63" w:rsidP="00B055DA">
      <w:pPr>
        <w:shd w:val="clear" w:color="auto" w:fill="FFFFFF"/>
        <w:spacing w:line="240" w:lineRule="auto"/>
        <w:rPr>
          <w:rFonts w:asciiTheme="majorHAnsi" w:hAnsiTheme="majorHAnsi" w:cstheme="majorHAnsi"/>
          <w:lang w:bidi="ar-SA"/>
        </w:rPr>
      </w:pPr>
    </w:p>
    <w:p w14:paraId="2FA6866E" w14:textId="77777777" w:rsidR="00614185" w:rsidRPr="007C4DDF" w:rsidRDefault="00614185" w:rsidP="00B055DA">
      <w:pPr>
        <w:shd w:val="clear" w:color="auto" w:fill="FFFFFF"/>
        <w:spacing w:line="240" w:lineRule="auto"/>
        <w:rPr>
          <w:rFonts w:asciiTheme="majorHAnsi" w:hAnsiTheme="majorHAnsi" w:cstheme="majorHAnsi"/>
          <w:lang w:bidi="ar-SA"/>
        </w:rPr>
      </w:pPr>
    </w:p>
    <w:p w14:paraId="30F08F59" w14:textId="787BB659" w:rsidR="002B1022" w:rsidRDefault="0093745B" w:rsidP="00EF025B">
      <w:pPr>
        <w:spacing w:line="240" w:lineRule="auto"/>
        <w:rPr>
          <w:rFonts w:asciiTheme="majorHAnsi" w:eastAsia="Cambria" w:hAnsiTheme="majorHAnsi" w:cstheme="majorHAnsi"/>
          <w:lang w:bidi="ar-SA"/>
        </w:rPr>
      </w:pPr>
      <w:r>
        <w:rPr>
          <w:rFonts w:asciiTheme="majorHAnsi" w:eastAsia="Cambria" w:hAnsiTheme="majorHAnsi" w:cstheme="majorHAnsi"/>
          <w:noProof/>
          <w:lang w:bidi="ar-SA"/>
        </w:rPr>
        <w:drawing>
          <wp:inline distT="0" distB="0" distL="0" distR="0" wp14:anchorId="3D0F77E8" wp14:editId="386458F9">
            <wp:extent cx="3057308" cy="18288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Camp Alice book.jpg"/>
                    <pic:cNvPicPr/>
                  </pic:nvPicPr>
                  <pic:blipFill>
                    <a:blip r:embed="rId21">
                      <a:extLst>
                        <a:ext uri="{28A0092B-C50C-407E-A947-70E740481C1C}">
                          <a14:useLocalDpi xmlns:a14="http://schemas.microsoft.com/office/drawing/2010/main" val="0"/>
                        </a:ext>
                      </a:extLst>
                    </a:blip>
                    <a:stretch>
                      <a:fillRect/>
                    </a:stretch>
                  </pic:blipFill>
                  <pic:spPr>
                    <a:xfrm>
                      <a:off x="0" y="0"/>
                      <a:ext cx="3057308" cy="1828800"/>
                    </a:xfrm>
                    <a:prstGeom prst="rect">
                      <a:avLst/>
                    </a:prstGeom>
                  </pic:spPr>
                </pic:pic>
              </a:graphicData>
            </a:graphic>
          </wp:inline>
        </w:drawing>
      </w:r>
    </w:p>
    <w:p w14:paraId="038CA8F0" w14:textId="2DF022F9" w:rsidR="00A2518B" w:rsidRPr="001B648A" w:rsidRDefault="002A38F4" w:rsidP="00B055DA">
      <w:pPr>
        <w:spacing w:line="240" w:lineRule="auto"/>
        <w:rPr>
          <w:rFonts w:asciiTheme="majorHAnsi" w:hAnsiTheme="majorHAnsi" w:cstheme="majorHAnsi"/>
        </w:rPr>
      </w:pPr>
      <w:bookmarkStart w:id="30" w:name="_Toc464499080"/>
      <w:r w:rsidRPr="001B648A">
        <w:rPr>
          <w:rFonts w:asciiTheme="majorHAnsi" w:hAnsiTheme="majorHAnsi" w:cstheme="majorHAnsi"/>
        </w:rPr>
        <w:t>Figure</w:t>
      </w:r>
      <w:r w:rsidR="00B055DA" w:rsidRPr="001B648A">
        <w:rPr>
          <w:rFonts w:asciiTheme="majorHAnsi" w:hAnsiTheme="majorHAnsi" w:cstheme="majorHAnsi"/>
        </w:rPr>
        <w:t xml:space="preserve"> </w:t>
      </w:r>
      <w:r w:rsidR="00776DF3" w:rsidRPr="001B648A">
        <w:rPr>
          <w:rFonts w:asciiTheme="majorHAnsi" w:hAnsiTheme="majorHAnsi" w:cstheme="majorHAnsi"/>
        </w:rPr>
        <w:t>2</w:t>
      </w:r>
      <w:r w:rsidR="00924C72" w:rsidRPr="001B648A">
        <w:rPr>
          <w:rFonts w:asciiTheme="majorHAnsi" w:hAnsiTheme="majorHAnsi" w:cstheme="majorHAnsi"/>
        </w:rPr>
        <w:t>.</w:t>
      </w:r>
      <w:r w:rsidR="00E47A28" w:rsidRPr="001B648A">
        <w:rPr>
          <w:rFonts w:asciiTheme="majorHAnsi" w:hAnsiTheme="majorHAnsi" w:cstheme="majorHAnsi"/>
        </w:rPr>
        <w:fldChar w:fldCharType="begin"/>
      </w:r>
      <w:r w:rsidR="00E47A28" w:rsidRPr="001B648A">
        <w:rPr>
          <w:rFonts w:asciiTheme="majorHAnsi" w:hAnsiTheme="majorHAnsi" w:cstheme="majorHAnsi"/>
        </w:rPr>
        <w:instrText xml:space="preserve"> SEQ Figure \* ARABIC \s 1 </w:instrText>
      </w:r>
      <w:r w:rsidR="00E47A28" w:rsidRPr="001B648A">
        <w:rPr>
          <w:rFonts w:asciiTheme="majorHAnsi" w:hAnsiTheme="majorHAnsi" w:cstheme="majorHAnsi"/>
        </w:rPr>
        <w:fldChar w:fldCharType="separate"/>
      </w:r>
      <w:r w:rsidR="00FE5897">
        <w:rPr>
          <w:rFonts w:asciiTheme="majorHAnsi" w:hAnsiTheme="majorHAnsi" w:cstheme="majorHAnsi"/>
          <w:noProof/>
        </w:rPr>
        <w:t>12</w:t>
      </w:r>
      <w:r w:rsidR="00E47A28" w:rsidRPr="001B648A">
        <w:rPr>
          <w:rFonts w:asciiTheme="majorHAnsi" w:hAnsiTheme="majorHAnsi" w:cstheme="majorHAnsi"/>
        </w:rPr>
        <w:fldChar w:fldCharType="end"/>
      </w:r>
      <w:r w:rsidRPr="001B648A">
        <w:rPr>
          <w:rFonts w:asciiTheme="majorHAnsi" w:hAnsiTheme="majorHAnsi" w:cstheme="majorHAnsi"/>
        </w:rPr>
        <w:t xml:space="preserve"> </w:t>
      </w:r>
      <w:r w:rsidR="0093745B" w:rsidRPr="001B648A">
        <w:rPr>
          <w:rFonts w:asciiTheme="majorHAnsi" w:hAnsiTheme="majorHAnsi" w:cstheme="majorHAnsi"/>
        </w:rPr>
        <w:t>–</w:t>
      </w:r>
      <w:r w:rsidR="00A4025B" w:rsidRPr="001B648A">
        <w:rPr>
          <w:rFonts w:asciiTheme="majorHAnsi" w:hAnsiTheme="majorHAnsi" w:cstheme="majorHAnsi"/>
        </w:rPr>
        <w:t xml:space="preserve"> </w:t>
      </w:r>
      <w:r w:rsidR="0093745B" w:rsidRPr="001B648A">
        <w:rPr>
          <w:rFonts w:asciiTheme="majorHAnsi" w:hAnsiTheme="majorHAnsi" w:cstheme="majorHAnsi"/>
          <w:i/>
        </w:rPr>
        <w:t>Camp Alice / Payne and Party Arrested</w:t>
      </w:r>
      <w:bookmarkEnd w:id="30"/>
    </w:p>
    <w:p w14:paraId="39CA27A0" w14:textId="77777777" w:rsidR="0093745B" w:rsidRPr="001B648A" w:rsidRDefault="0093745B" w:rsidP="00B055DA">
      <w:pPr>
        <w:spacing w:line="240" w:lineRule="auto"/>
        <w:rPr>
          <w:rFonts w:asciiTheme="majorHAnsi" w:hAnsiTheme="majorHAnsi" w:cstheme="majorHAnsi"/>
        </w:rPr>
      </w:pPr>
    </w:p>
    <w:p w14:paraId="1EBCA43E" w14:textId="0A9FE5AB" w:rsidR="002B1022" w:rsidRPr="001B648A" w:rsidRDefault="002B1022" w:rsidP="00B055DA">
      <w:pPr>
        <w:spacing w:line="240" w:lineRule="auto"/>
        <w:rPr>
          <w:rFonts w:asciiTheme="majorHAnsi" w:eastAsia="Cambria" w:hAnsiTheme="majorHAnsi" w:cstheme="majorHAnsi"/>
          <w:color w:val="000000" w:themeColor="text1"/>
          <w:lang w:bidi="ar-SA"/>
        </w:rPr>
      </w:pPr>
      <w:r w:rsidRPr="001B648A">
        <w:rPr>
          <w:rFonts w:asciiTheme="majorHAnsi" w:hAnsiTheme="majorHAnsi" w:cstheme="majorHAnsi"/>
        </w:rPr>
        <w:t xml:space="preserve">Henry Worrall (?), </w:t>
      </w:r>
      <w:r w:rsidR="0093745B" w:rsidRPr="001B648A">
        <w:rPr>
          <w:rFonts w:asciiTheme="majorHAnsi" w:hAnsiTheme="majorHAnsi" w:cstheme="majorHAnsi"/>
          <w:i/>
        </w:rPr>
        <w:t xml:space="preserve">Camp Alice, On North Canadian, Where Capt. </w:t>
      </w:r>
      <w:r w:rsidRPr="001B648A">
        <w:rPr>
          <w:rFonts w:asciiTheme="majorHAnsi" w:hAnsiTheme="majorHAnsi" w:cstheme="majorHAnsi"/>
          <w:i/>
        </w:rPr>
        <w:t xml:space="preserve">Payne </w:t>
      </w:r>
      <w:r w:rsidR="0093745B" w:rsidRPr="001B648A">
        <w:rPr>
          <w:rFonts w:asciiTheme="majorHAnsi" w:hAnsiTheme="majorHAnsi" w:cstheme="majorHAnsi"/>
          <w:i/>
        </w:rPr>
        <w:t>and Party Were Arrested</w:t>
      </w:r>
      <w:r w:rsidR="0093745B" w:rsidRPr="001B648A">
        <w:rPr>
          <w:rFonts w:asciiTheme="majorHAnsi" w:hAnsiTheme="majorHAnsi" w:cstheme="majorHAnsi"/>
        </w:rPr>
        <w:t xml:space="preserve">, </w:t>
      </w:r>
      <w:r w:rsidRPr="001B648A">
        <w:rPr>
          <w:rFonts w:asciiTheme="majorHAnsi" w:hAnsiTheme="majorHAnsi" w:cstheme="majorHAnsi"/>
        </w:rPr>
        <w:t xml:space="preserve">3 ½ x 6 inches, </w:t>
      </w:r>
      <w:r w:rsidR="001B648A" w:rsidRPr="001B648A">
        <w:rPr>
          <w:rFonts w:asciiTheme="majorHAnsi" w:eastAsia="Calibri" w:hAnsiTheme="majorHAnsi" w:cstheme="majorHAnsi"/>
          <w:color w:val="000000" w:themeColor="text1"/>
        </w:rPr>
        <w:t xml:space="preserve">wood engraving, </w:t>
      </w:r>
      <w:r w:rsidRPr="001B648A">
        <w:rPr>
          <w:rFonts w:asciiTheme="majorHAnsi" w:hAnsiTheme="majorHAnsi" w:cstheme="majorHAnsi"/>
        </w:rPr>
        <w:t xml:space="preserve">illustration from </w:t>
      </w:r>
      <w:r w:rsidRPr="001B648A">
        <w:rPr>
          <w:rFonts w:asciiTheme="majorHAnsi" w:hAnsiTheme="majorHAnsi" w:cstheme="majorHAnsi"/>
          <w:i/>
        </w:rPr>
        <w:t>Oklahoma! Politically and Topographically Described . . .</w:t>
      </w:r>
      <w:r w:rsidRPr="001B648A">
        <w:rPr>
          <w:rFonts w:asciiTheme="majorHAnsi" w:hAnsiTheme="majorHAnsi" w:cstheme="majorHAnsi"/>
        </w:rPr>
        <w:t xml:space="preserve"> Kansas City, MO: Ramsey, Millett &amp; Hudson, 1885.</w:t>
      </w:r>
    </w:p>
    <w:p w14:paraId="0A060220" w14:textId="00B586B9" w:rsidR="00B970CA" w:rsidRDefault="00B970CA" w:rsidP="00EF025B">
      <w:pPr>
        <w:spacing w:line="240" w:lineRule="auto"/>
        <w:rPr>
          <w:rFonts w:eastAsia="Cambria"/>
          <w:color w:val="000000" w:themeColor="text1"/>
          <w:lang w:bidi="ar-SA"/>
        </w:rPr>
      </w:pPr>
    </w:p>
    <w:p w14:paraId="4EFE118B" w14:textId="3BAF7FE8" w:rsidR="00E7417C" w:rsidRDefault="00E7417C" w:rsidP="00EF025B">
      <w:pPr>
        <w:spacing w:line="240" w:lineRule="auto"/>
        <w:rPr>
          <w:rFonts w:eastAsia="Cambria"/>
          <w:color w:val="000000" w:themeColor="text1"/>
          <w:lang w:bidi="ar-SA"/>
        </w:rPr>
      </w:pPr>
    </w:p>
    <w:p w14:paraId="56CAC9A9" w14:textId="078BF053" w:rsidR="00E7417C" w:rsidRDefault="00E7417C" w:rsidP="00EF025B">
      <w:pPr>
        <w:spacing w:line="240" w:lineRule="auto"/>
        <w:rPr>
          <w:rFonts w:eastAsia="Cambria"/>
          <w:color w:val="000000" w:themeColor="text1"/>
          <w:lang w:bidi="ar-SA"/>
        </w:rPr>
      </w:pPr>
    </w:p>
    <w:p w14:paraId="1E8F5A39" w14:textId="77777777" w:rsidR="00E7417C" w:rsidRDefault="00E7417C" w:rsidP="00EF025B">
      <w:pPr>
        <w:spacing w:line="240" w:lineRule="auto"/>
        <w:rPr>
          <w:rFonts w:eastAsia="Cambria"/>
          <w:color w:val="000000" w:themeColor="text1"/>
          <w:lang w:bidi="ar-SA"/>
        </w:rPr>
      </w:pPr>
    </w:p>
    <w:p w14:paraId="3EE05B05" w14:textId="5CE6D0D7" w:rsidR="00B970CA" w:rsidRDefault="0093745B" w:rsidP="0093745B">
      <w:pPr>
        <w:spacing w:line="240" w:lineRule="auto"/>
        <w:rPr>
          <w:rFonts w:eastAsia="Cambria"/>
          <w:lang w:bidi="ar-SA"/>
        </w:rPr>
      </w:pPr>
      <w:r>
        <w:rPr>
          <w:rFonts w:eastAsia="Cambria"/>
          <w:noProof/>
          <w:lang w:bidi="ar-SA"/>
        </w:rPr>
        <w:drawing>
          <wp:inline distT="0" distB="0" distL="0" distR="0" wp14:anchorId="1DE6BDF8" wp14:editId="5F95F1E5">
            <wp:extent cx="2637375" cy="182880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CAMP ALICE WHERE PAYNE &amp; PARTY WERE ARRESTED PHOTO BY KARL P. WICKMILLER, March 1883.jpg"/>
                    <pic:cNvPicPr/>
                  </pic:nvPicPr>
                  <pic:blipFill>
                    <a:blip r:embed="rId22">
                      <a:extLst>
                        <a:ext uri="{28A0092B-C50C-407E-A947-70E740481C1C}">
                          <a14:useLocalDpi xmlns:a14="http://schemas.microsoft.com/office/drawing/2010/main" val="0"/>
                        </a:ext>
                      </a:extLst>
                    </a:blip>
                    <a:stretch>
                      <a:fillRect/>
                    </a:stretch>
                  </pic:blipFill>
                  <pic:spPr>
                    <a:xfrm>
                      <a:off x="0" y="0"/>
                      <a:ext cx="2637375" cy="1828800"/>
                    </a:xfrm>
                    <a:prstGeom prst="rect">
                      <a:avLst/>
                    </a:prstGeom>
                  </pic:spPr>
                </pic:pic>
              </a:graphicData>
            </a:graphic>
          </wp:inline>
        </w:drawing>
      </w:r>
    </w:p>
    <w:p w14:paraId="39BFE9F0" w14:textId="7AEEFB12" w:rsidR="00A2518B" w:rsidRDefault="002A38F4" w:rsidP="0093745B">
      <w:pPr>
        <w:spacing w:line="240" w:lineRule="auto"/>
        <w:rPr>
          <w:rFonts w:eastAsia="Cambria"/>
          <w:i/>
        </w:rPr>
      </w:pPr>
      <w:bookmarkStart w:id="31" w:name="_Toc464499081"/>
      <w:bookmarkStart w:id="32" w:name="_Toc463094818"/>
      <w:r>
        <w:t xml:space="preserve">Figure </w:t>
      </w:r>
      <w:r w:rsidR="00776DF3">
        <w:t>2</w:t>
      </w:r>
      <w:r w:rsidR="00924C72">
        <w:t>.</w:t>
      </w:r>
      <w:r w:rsidR="00B31D83">
        <w:fldChar w:fldCharType="begin"/>
      </w:r>
      <w:r w:rsidR="00B31D83">
        <w:instrText xml:space="preserve"> SEQ Figure \* ARABIC \s 1 </w:instrText>
      </w:r>
      <w:r w:rsidR="00B31D83">
        <w:fldChar w:fldCharType="separate"/>
      </w:r>
      <w:r w:rsidR="00FE5897">
        <w:rPr>
          <w:noProof/>
        </w:rPr>
        <w:t>13</w:t>
      </w:r>
      <w:r w:rsidR="00B31D83">
        <w:rPr>
          <w:noProof/>
        </w:rPr>
        <w:fldChar w:fldCharType="end"/>
      </w:r>
      <w:r w:rsidR="00A4025B">
        <w:t xml:space="preserve"> </w:t>
      </w:r>
      <w:r w:rsidR="001B648A">
        <w:t>–</w:t>
      </w:r>
      <w:r w:rsidR="00A4025B">
        <w:t xml:space="preserve"> </w:t>
      </w:r>
      <w:r w:rsidR="0093745B" w:rsidRPr="00B05136">
        <w:rPr>
          <w:rFonts w:eastAsia="Cambria"/>
        </w:rPr>
        <w:t>Camp Alice / Payne Arrested</w:t>
      </w:r>
      <w:r w:rsidR="00C83A63" w:rsidRPr="00B05136">
        <w:rPr>
          <w:rFonts w:eastAsia="Cambria"/>
        </w:rPr>
        <w:t xml:space="preserve"> Photo</w:t>
      </w:r>
      <w:bookmarkEnd w:id="31"/>
    </w:p>
    <w:p w14:paraId="213D63CE" w14:textId="77777777" w:rsidR="00E7417C" w:rsidRPr="00C83A63" w:rsidRDefault="00E7417C" w:rsidP="0093745B">
      <w:pPr>
        <w:spacing w:line="240" w:lineRule="auto"/>
      </w:pPr>
    </w:p>
    <w:bookmarkEnd w:id="32"/>
    <w:p w14:paraId="44A356C5" w14:textId="1995122B" w:rsidR="00E7417C" w:rsidRDefault="0093745B" w:rsidP="00B055DA">
      <w:pPr>
        <w:pStyle w:val="NoSpacing"/>
        <w:rPr>
          <w:rFonts w:asciiTheme="majorHAnsi" w:eastAsia="Cambria" w:hAnsiTheme="majorHAnsi" w:cstheme="majorHAnsi"/>
          <w:szCs w:val="24"/>
        </w:rPr>
      </w:pPr>
      <w:r w:rsidRPr="00C83A63">
        <w:rPr>
          <w:rFonts w:asciiTheme="majorHAnsi" w:eastAsia="Cambria" w:hAnsiTheme="majorHAnsi" w:cstheme="majorHAnsi"/>
          <w:szCs w:val="24"/>
        </w:rPr>
        <w:t xml:space="preserve">Karl P. Wickmiller, </w:t>
      </w:r>
      <w:r w:rsidRPr="00C83A63">
        <w:rPr>
          <w:rFonts w:asciiTheme="majorHAnsi" w:eastAsia="Cambria" w:hAnsiTheme="majorHAnsi" w:cstheme="majorHAnsi"/>
          <w:i/>
          <w:szCs w:val="24"/>
        </w:rPr>
        <w:t>Camp Alice Where Payne &amp; Party Were Arrested</w:t>
      </w:r>
      <w:r w:rsidR="001B648A">
        <w:rPr>
          <w:rFonts w:asciiTheme="majorHAnsi" w:eastAsia="Cambria" w:hAnsiTheme="majorHAnsi" w:cstheme="majorHAnsi"/>
          <w:szCs w:val="24"/>
        </w:rPr>
        <w:t xml:space="preserve">, </w:t>
      </w:r>
      <w:r w:rsidRPr="00C83A63">
        <w:rPr>
          <w:rFonts w:asciiTheme="majorHAnsi" w:eastAsia="Cambria" w:hAnsiTheme="majorHAnsi" w:cstheme="majorHAnsi"/>
          <w:szCs w:val="24"/>
        </w:rPr>
        <w:t>March 1883</w:t>
      </w:r>
      <w:r w:rsidR="001B648A">
        <w:rPr>
          <w:rFonts w:asciiTheme="majorHAnsi" w:eastAsia="Cambria" w:hAnsiTheme="majorHAnsi" w:cstheme="majorHAnsi"/>
          <w:szCs w:val="24"/>
        </w:rPr>
        <w:t>, p</w:t>
      </w:r>
      <w:r w:rsidR="001B648A" w:rsidRPr="00C83A63">
        <w:rPr>
          <w:rFonts w:asciiTheme="majorHAnsi" w:eastAsia="Cambria" w:hAnsiTheme="majorHAnsi" w:cstheme="majorHAnsi"/>
          <w:szCs w:val="24"/>
        </w:rPr>
        <w:t>hotograph</w:t>
      </w:r>
      <w:r w:rsidRPr="00C83A63">
        <w:rPr>
          <w:rFonts w:asciiTheme="majorHAnsi" w:eastAsia="Cambria" w:hAnsiTheme="majorHAnsi" w:cstheme="majorHAnsi"/>
          <w:szCs w:val="24"/>
        </w:rPr>
        <w:t xml:space="preserve">. </w:t>
      </w:r>
      <w:r w:rsidR="00C83A63" w:rsidRPr="00C83A63">
        <w:rPr>
          <w:rFonts w:asciiTheme="majorHAnsi" w:hAnsiTheme="majorHAnsi" w:cstheme="majorHAnsi"/>
          <w:bCs/>
          <w:szCs w:val="24"/>
          <w:shd w:val="clear" w:color="auto" w:fill="FFFFFF"/>
        </w:rPr>
        <w:t>Thomas N. Athey Collection</w:t>
      </w:r>
      <w:r w:rsidR="00C83A63" w:rsidRPr="00C83A63">
        <w:rPr>
          <w:rFonts w:asciiTheme="majorHAnsi" w:hAnsiTheme="majorHAnsi" w:cstheme="majorHAnsi"/>
          <w:szCs w:val="24"/>
          <w:shd w:val="clear" w:color="auto" w:fill="FFFFFF"/>
        </w:rPr>
        <w:t xml:space="preserve">. </w:t>
      </w:r>
      <w:r w:rsidRPr="00C83A63">
        <w:rPr>
          <w:rFonts w:asciiTheme="majorHAnsi" w:hAnsiTheme="majorHAnsi" w:cstheme="majorHAnsi"/>
          <w:szCs w:val="24"/>
          <w:shd w:val="clear" w:color="auto" w:fill="FFFFFF"/>
        </w:rPr>
        <w:t>Court</w:t>
      </w:r>
      <w:r w:rsidR="00C83A63" w:rsidRPr="00C83A63">
        <w:rPr>
          <w:rFonts w:asciiTheme="majorHAnsi" w:hAnsiTheme="majorHAnsi" w:cstheme="majorHAnsi"/>
          <w:szCs w:val="24"/>
          <w:shd w:val="clear" w:color="auto" w:fill="FFFFFF"/>
        </w:rPr>
        <w:t>e</w:t>
      </w:r>
      <w:r w:rsidRPr="00C83A63">
        <w:rPr>
          <w:rFonts w:asciiTheme="majorHAnsi" w:hAnsiTheme="majorHAnsi" w:cstheme="majorHAnsi"/>
          <w:szCs w:val="24"/>
          <w:shd w:val="clear" w:color="auto" w:fill="FFFFFF"/>
        </w:rPr>
        <w:t>sy</w:t>
      </w:r>
      <w:r w:rsidR="00C83A63">
        <w:rPr>
          <w:rFonts w:asciiTheme="majorHAnsi" w:hAnsiTheme="majorHAnsi" w:cstheme="majorHAnsi"/>
          <w:szCs w:val="24"/>
          <w:shd w:val="clear" w:color="auto" w:fill="FFFFFF"/>
        </w:rPr>
        <w:t xml:space="preserve">, </w:t>
      </w:r>
      <w:r w:rsidRPr="00C83A63">
        <w:rPr>
          <w:rFonts w:asciiTheme="majorHAnsi" w:hAnsiTheme="majorHAnsi" w:cstheme="majorHAnsi"/>
          <w:szCs w:val="24"/>
          <w:shd w:val="clear" w:color="auto" w:fill="FFFFFF"/>
        </w:rPr>
        <w:t>Oklahoma Historical Society</w:t>
      </w:r>
      <w:r w:rsidR="00614185">
        <w:rPr>
          <w:rFonts w:asciiTheme="majorHAnsi" w:eastAsia="Cambria" w:hAnsiTheme="majorHAnsi" w:cstheme="majorHAnsi"/>
          <w:szCs w:val="24"/>
        </w:rPr>
        <w:t>.</w:t>
      </w:r>
    </w:p>
    <w:p w14:paraId="3FEB3E98" w14:textId="77777777" w:rsidR="00E7417C" w:rsidRDefault="00E7417C" w:rsidP="00B055DA">
      <w:pPr>
        <w:pStyle w:val="NoSpacing"/>
        <w:rPr>
          <w:rFonts w:asciiTheme="majorHAnsi" w:eastAsia="Cambria" w:hAnsiTheme="majorHAnsi" w:cstheme="majorHAnsi"/>
          <w:szCs w:val="24"/>
        </w:rPr>
      </w:pPr>
    </w:p>
    <w:p w14:paraId="67B937C3" w14:textId="6B7A480E" w:rsidR="00B970CA" w:rsidRPr="00C83A63" w:rsidRDefault="00B970CA" w:rsidP="00B055DA">
      <w:pPr>
        <w:pStyle w:val="NoSpacing"/>
        <w:rPr>
          <w:rFonts w:asciiTheme="majorHAnsi" w:eastAsia="Cambria" w:hAnsiTheme="majorHAnsi" w:cstheme="majorHAnsi"/>
          <w:szCs w:val="24"/>
        </w:rPr>
      </w:pPr>
    </w:p>
    <w:p w14:paraId="65A3729D" w14:textId="3EAB6CBF" w:rsidR="002A38F4" w:rsidRDefault="00260473" w:rsidP="00B970CA">
      <w:pPr>
        <w:spacing w:line="240" w:lineRule="auto"/>
      </w:pPr>
      <w:r>
        <w:rPr>
          <w:rFonts w:eastAsia="Cambria"/>
          <w:noProof/>
          <w:lang w:bidi="ar-SA"/>
        </w:rPr>
        <w:drawing>
          <wp:inline distT="0" distB="0" distL="0" distR="0" wp14:anchorId="5177A5B7" wp14:editId="761D3E82">
            <wp:extent cx="3648467" cy="18288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o lo indian.jpg"/>
                    <pic:cNvPicPr/>
                  </pic:nvPicPr>
                  <pic:blipFill>
                    <a:blip r:embed="rId23">
                      <a:extLst>
                        <a:ext uri="{28A0092B-C50C-407E-A947-70E740481C1C}">
                          <a14:useLocalDpi xmlns:a14="http://schemas.microsoft.com/office/drawing/2010/main" val="0"/>
                        </a:ext>
                      </a:extLst>
                    </a:blip>
                    <a:stretch>
                      <a:fillRect/>
                    </a:stretch>
                  </pic:blipFill>
                  <pic:spPr>
                    <a:xfrm>
                      <a:off x="0" y="0"/>
                      <a:ext cx="3648467" cy="1828800"/>
                    </a:xfrm>
                    <a:prstGeom prst="rect">
                      <a:avLst/>
                    </a:prstGeom>
                  </pic:spPr>
                </pic:pic>
              </a:graphicData>
            </a:graphic>
          </wp:inline>
        </w:drawing>
      </w:r>
    </w:p>
    <w:p w14:paraId="405799E1" w14:textId="6AB691D1" w:rsidR="00A2518B" w:rsidRDefault="002A38F4" w:rsidP="00B055DA">
      <w:pPr>
        <w:spacing w:line="240" w:lineRule="auto"/>
      </w:pPr>
      <w:bookmarkStart w:id="33" w:name="_Toc464499082"/>
      <w:r>
        <w:t xml:space="preserve">Figure </w:t>
      </w:r>
      <w:r w:rsidR="00776DF3">
        <w:t>2</w:t>
      </w:r>
      <w:r w:rsidR="00924C72">
        <w:t>.</w:t>
      </w:r>
      <w:r w:rsidR="00B31D83">
        <w:fldChar w:fldCharType="begin"/>
      </w:r>
      <w:r w:rsidR="00B31D83">
        <w:instrText xml:space="preserve"> SEQ Figure \* ARABIC \s 1 </w:instrText>
      </w:r>
      <w:r w:rsidR="00B31D83">
        <w:fldChar w:fldCharType="separate"/>
      </w:r>
      <w:r w:rsidR="00FE5897">
        <w:rPr>
          <w:noProof/>
        </w:rPr>
        <w:t>14</w:t>
      </w:r>
      <w:r w:rsidR="00B31D83">
        <w:rPr>
          <w:noProof/>
        </w:rPr>
        <w:fldChar w:fldCharType="end"/>
      </w:r>
      <w:r>
        <w:t xml:space="preserve"> </w:t>
      </w:r>
      <w:r w:rsidR="00A4025B">
        <w:t xml:space="preserve">- </w:t>
      </w:r>
      <w:r w:rsidRPr="00B05136">
        <w:t>Uncle Sam Feeding “Poor Lo Indian”</w:t>
      </w:r>
      <w:bookmarkEnd w:id="33"/>
    </w:p>
    <w:p w14:paraId="0A67B99B" w14:textId="77777777" w:rsidR="00C83A63" w:rsidRDefault="00C83A63" w:rsidP="00B055DA">
      <w:pPr>
        <w:pStyle w:val="NoSpacing"/>
      </w:pPr>
    </w:p>
    <w:p w14:paraId="443E372D" w14:textId="5E93E840" w:rsidR="00290A99" w:rsidRPr="00290A99" w:rsidRDefault="00290A99" w:rsidP="00B055DA">
      <w:pPr>
        <w:pStyle w:val="NoSpacing"/>
        <w:rPr>
          <w:rFonts w:eastAsia="Cambria"/>
        </w:rPr>
      </w:pPr>
      <w:r w:rsidRPr="000E58A8">
        <w:t xml:space="preserve">Henry Worrall (?), </w:t>
      </w:r>
      <w:r w:rsidRPr="00290A99">
        <w:rPr>
          <w:rFonts w:eastAsia="Cambria"/>
          <w:i/>
        </w:rPr>
        <w:t>Uncle Sam Feeding “Poor Lo Indian</w:t>
      </w:r>
      <w:r w:rsidRPr="00290A99">
        <w:rPr>
          <w:i/>
        </w:rPr>
        <w:t>,</w:t>
      </w:r>
      <w:r>
        <w:t xml:space="preserve">” </w:t>
      </w:r>
      <w:r w:rsidRPr="000E58A8">
        <w:t xml:space="preserve">wood engraving, </w:t>
      </w:r>
      <w:r>
        <w:t xml:space="preserve">3 ½ x 6 inches, illustration </w:t>
      </w:r>
      <w:r w:rsidRPr="000E58A8">
        <w:t xml:space="preserve">from </w:t>
      </w:r>
      <w:r w:rsidRPr="000E58A8">
        <w:rPr>
          <w:i/>
        </w:rPr>
        <w:t>Oklahoma! Politically and Topographically Described</w:t>
      </w:r>
      <w:r w:rsidR="001B648A">
        <w:rPr>
          <w:i/>
        </w:rPr>
        <w:t xml:space="preserve"> </w:t>
      </w:r>
      <w:r w:rsidR="001B648A">
        <w:t>(</w:t>
      </w:r>
      <w:r>
        <w:t>Kansas City, MO</w:t>
      </w:r>
      <w:r w:rsidRPr="000E58A8">
        <w:t>: Ramsey, Millett &amp; Hudson</w:t>
      </w:r>
      <w:r w:rsidR="001B648A">
        <w:t>)</w:t>
      </w:r>
      <w:r w:rsidRPr="000E58A8">
        <w:t>,</w:t>
      </w:r>
      <w:r>
        <w:t xml:space="preserve"> 1885</w:t>
      </w:r>
      <w:r w:rsidRPr="000E58A8">
        <w:t>.</w:t>
      </w:r>
    </w:p>
    <w:p w14:paraId="6C1C2A21" w14:textId="1EFD2136" w:rsidR="007C4DDF" w:rsidRDefault="007C4DDF" w:rsidP="00EF025B">
      <w:pPr>
        <w:spacing w:line="240" w:lineRule="auto"/>
        <w:rPr>
          <w:rFonts w:eastAsia="Cambria"/>
          <w:color w:val="000000" w:themeColor="text1"/>
          <w:lang w:bidi="ar-SA"/>
        </w:rPr>
      </w:pPr>
    </w:p>
    <w:p w14:paraId="6FEFE16B" w14:textId="449E299A" w:rsidR="002A38F4" w:rsidRDefault="002A38F4" w:rsidP="00EF025B">
      <w:pPr>
        <w:spacing w:line="240" w:lineRule="auto"/>
        <w:rPr>
          <w:rFonts w:eastAsia="Cambria"/>
          <w:color w:val="000000" w:themeColor="text1"/>
          <w:lang w:bidi="ar-SA"/>
        </w:rPr>
      </w:pPr>
    </w:p>
    <w:p w14:paraId="325C230E" w14:textId="06350EC5" w:rsidR="00290A99" w:rsidRDefault="00290A99" w:rsidP="00EF025B">
      <w:pPr>
        <w:spacing w:line="240" w:lineRule="auto"/>
        <w:rPr>
          <w:rFonts w:eastAsia="Cambria"/>
          <w:color w:val="000000" w:themeColor="text1"/>
          <w:lang w:bidi="ar-SA"/>
        </w:rPr>
      </w:pPr>
    </w:p>
    <w:p w14:paraId="3C8453FD" w14:textId="47B9A33C" w:rsidR="00B970CA" w:rsidRDefault="00B970CA" w:rsidP="00EF025B">
      <w:pPr>
        <w:spacing w:line="240" w:lineRule="auto"/>
        <w:rPr>
          <w:rFonts w:eastAsia="Cambria"/>
          <w:color w:val="000000" w:themeColor="text1"/>
          <w:lang w:bidi="ar-SA"/>
        </w:rPr>
      </w:pPr>
    </w:p>
    <w:p w14:paraId="37B80100" w14:textId="47E8BDD9" w:rsidR="00B970CA" w:rsidRDefault="00B970CA" w:rsidP="00EF025B">
      <w:pPr>
        <w:spacing w:line="240" w:lineRule="auto"/>
        <w:rPr>
          <w:rFonts w:eastAsia="Cambria"/>
          <w:color w:val="000000" w:themeColor="text1"/>
          <w:lang w:bidi="ar-SA"/>
        </w:rPr>
      </w:pPr>
    </w:p>
    <w:p w14:paraId="46C8019A" w14:textId="77777777" w:rsidR="00B970CA" w:rsidRDefault="00B970CA" w:rsidP="00EF025B">
      <w:pPr>
        <w:spacing w:line="240" w:lineRule="auto"/>
        <w:rPr>
          <w:rFonts w:eastAsia="Cambria"/>
          <w:color w:val="000000" w:themeColor="text1"/>
          <w:lang w:bidi="ar-SA"/>
        </w:rPr>
      </w:pPr>
    </w:p>
    <w:p w14:paraId="39A707C6" w14:textId="4E1DC7DA" w:rsidR="002A38F4" w:rsidRDefault="00260473" w:rsidP="00B05136">
      <w:pPr>
        <w:spacing w:line="240" w:lineRule="auto"/>
      </w:pPr>
      <w:r>
        <w:rPr>
          <w:rFonts w:eastAsia="Cambria"/>
          <w:noProof/>
          <w:color w:val="000000" w:themeColor="text1"/>
          <w:lang w:bidi="ar-SA"/>
        </w:rPr>
        <w:drawing>
          <wp:inline distT="0" distB="0" distL="0" distR="0" wp14:anchorId="5308D578" wp14:editId="1925969B">
            <wp:extent cx="2723000" cy="1673352"/>
            <wp:effectExtent l="0" t="0" r="127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oyal Ranch Page 117 OK Book.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723000" cy="1673352"/>
                    </a:xfrm>
                    <a:prstGeom prst="rect">
                      <a:avLst/>
                    </a:prstGeom>
                  </pic:spPr>
                </pic:pic>
              </a:graphicData>
            </a:graphic>
          </wp:inline>
        </w:drawing>
      </w:r>
      <w:r w:rsidR="00717236">
        <w:t xml:space="preserve"> </w:t>
      </w:r>
      <w:r w:rsidR="00717236">
        <w:rPr>
          <w:noProof/>
          <w:lang w:bidi="ar-SA"/>
        </w:rPr>
        <w:drawing>
          <wp:inline distT="0" distB="0" distL="0" distR="0" wp14:anchorId="6788D0EE" wp14:editId="7DAF4A1E">
            <wp:extent cx="2560320" cy="1677571"/>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cattle.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60320" cy="1677571"/>
                    </a:xfrm>
                    <a:prstGeom prst="rect">
                      <a:avLst/>
                    </a:prstGeom>
                  </pic:spPr>
                </pic:pic>
              </a:graphicData>
            </a:graphic>
          </wp:inline>
        </w:drawing>
      </w:r>
    </w:p>
    <w:p w14:paraId="46158D69" w14:textId="1CB07B60" w:rsidR="00981F6D" w:rsidRPr="00717236" w:rsidRDefault="002A38F4" w:rsidP="00B05136">
      <w:pPr>
        <w:spacing w:line="240" w:lineRule="auto"/>
        <w:rPr>
          <w:i/>
        </w:rPr>
      </w:pPr>
      <w:bookmarkStart w:id="34" w:name="_Toc464499083"/>
      <w:r>
        <w:t>Figure</w:t>
      </w:r>
      <w:r w:rsidR="00B055DA">
        <w:t xml:space="preserve"> </w:t>
      </w:r>
      <w:r w:rsidR="00776DF3">
        <w:t>2</w:t>
      </w:r>
      <w:r w:rsidR="00924C72">
        <w:t>.</w:t>
      </w:r>
      <w:r w:rsidR="00B31D83">
        <w:fldChar w:fldCharType="begin"/>
      </w:r>
      <w:r w:rsidR="00B31D83">
        <w:instrText xml:space="preserve"> SEQ Figure \* ARABIC \s 1 </w:instrText>
      </w:r>
      <w:r w:rsidR="00B31D83">
        <w:fldChar w:fldCharType="separate"/>
      </w:r>
      <w:r w:rsidR="00FE5897">
        <w:rPr>
          <w:noProof/>
        </w:rPr>
        <w:t>15</w:t>
      </w:r>
      <w:r w:rsidR="00B31D83">
        <w:rPr>
          <w:noProof/>
        </w:rPr>
        <w:fldChar w:fldCharType="end"/>
      </w:r>
      <w:r>
        <w:t xml:space="preserve"> </w:t>
      </w:r>
      <w:r w:rsidR="007D24DE">
        <w:t>–</w:t>
      </w:r>
      <w:r w:rsidR="00A4025B">
        <w:t xml:space="preserve"> </w:t>
      </w:r>
      <w:r w:rsidRPr="00B05136">
        <w:t>Royal Ranch</w:t>
      </w:r>
      <w:r w:rsidR="00717236" w:rsidRPr="00B05136">
        <w:t xml:space="preserve"> / John Hittson’s Ranch</w:t>
      </w:r>
      <w:bookmarkEnd w:id="34"/>
    </w:p>
    <w:p w14:paraId="52C6F654" w14:textId="25D50F27" w:rsidR="001603F0" w:rsidRPr="002A38F4" w:rsidRDefault="001603F0" w:rsidP="00B05136">
      <w:pPr>
        <w:spacing w:line="240" w:lineRule="auto"/>
      </w:pPr>
    </w:p>
    <w:p w14:paraId="60B76A21" w14:textId="16F36CC1" w:rsidR="004F5103" w:rsidRDefault="00B05136" w:rsidP="00B05136">
      <w:pPr>
        <w:pStyle w:val="NoSpacing"/>
      </w:pPr>
      <w:r>
        <w:t>Henry Worrall</w:t>
      </w:r>
      <w:r w:rsidR="004F5103" w:rsidRPr="000E58A8">
        <w:t xml:space="preserve">, </w:t>
      </w:r>
      <w:r>
        <w:t>“</w:t>
      </w:r>
      <w:r w:rsidR="004F5103" w:rsidRPr="00B05136">
        <w:rPr>
          <w:rFonts w:eastAsia="Cambria"/>
        </w:rPr>
        <w:t>Royal Ranch in Oklahoma</w:t>
      </w:r>
      <w:r w:rsidR="004F5103" w:rsidRPr="00B05136">
        <w:t>,”</w:t>
      </w:r>
      <w:r w:rsidR="004F5103">
        <w:t xml:space="preserve"> </w:t>
      </w:r>
      <w:r w:rsidR="004F5103" w:rsidRPr="000E58A8">
        <w:t xml:space="preserve">wood engraving, </w:t>
      </w:r>
      <w:r w:rsidR="004F5103">
        <w:t xml:space="preserve">3 ½ x 6 inches, illustration </w:t>
      </w:r>
      <w:r w:rsidR="001B648A" w:rsidRPr="000E58A8">
        <w:t xml:space="preserve">from </w:t>
      </w:r>
      <w:r w:rsidR="001B648A" w:rsidRPr="000E58A8">
        <w:rPr>
          <w:i/>
        </w:rPr>
        <w:t>Oklahoma! Politically and Topographically Described</w:t>
      </w:r>
      <w:r w:rsidR="001B648A">
        <w:rPr>
          <w:i/>
        </w:rPr>
        <w:t xml:space="preserve"> </w:t>
      </w:r>
      <w:r w:rsidR="001B648A">
        <w:t>(Kansas City, MO</w:t>
      </w:r>
      <w:r w:rsidR="001B648A" w:rsidRPr="000E58A8">
        <w:t>: Ramsey, Millett &amp; Hudson</w:t>
      </w:r>
      <w:r w:rsidR="001B648A">
        <w:t>)</w:t>
      </w:r>
      <w:r w:rsidR="001B648A" w:rsidRPr="000E58A8">
        <w:t>,</w:t>
      </w:r>
      <w:r w:rsidR="001B648A">
        <w:t xml:space="preserve"> 1885</w:t>
      </w:r>
      <w:r w:rsidR="007D24DE">
        <w:t>, opposite 116</w:t>
      </w:r>
      <w:r w:rsidR="001B648A" w:rsidRPr="000E58A8">
        <w:t>.</w:t>
      </w:r>
    </w:p>
    <w:p w14:paraId="160EA18B" w14:textId="28E2DF62" w:rsidR="00717236" w:rsidRDefault="00717236" w:rsidP="00B055DA">
      <w:pPr>
        <w:pStyle w:val="NoSpacing"/>
      </w:pPr>
    </w:p>
    <w:p w14:paraId="26191EAA" w14:textId="03F95120" w:rsidR="00B05136" w:rsidRPr="00E67EF2" w:rsidRDefault="00717236" w:rsidP="00B05136">
      <w:pPr>
        <w:pStyle w:val="NoSpacing"/>
      </w:pPr>
      <w:r>
        <w:t xml:space="preserve">Henry Worrall, </w:t>
      </w:r>
      <w:r w:rsidR="00B05136">
        <w:t>“</w:t>
      </w:r>
      <w:r w:rsidRPr="00B05136">
        <w:t>John Hittson’s Ranch on the Bijou in Colorado,</w:t>
      </w:r>
      <w:r w:rsidR="00B05136">
        <w:t>”</w:t>
      </w:r>
      <w:r>
        <w:t xml:space="preserve"> </w:t>
      </w:r>
      <w:r w:rsidR="00B05136">
        <w:t>wood engraving</w:t>
      </w:r>
      <w:r w:rsidR="007D24DE">
        <w:t xml:space="preserve">, 4 x 7 iches, illustration from </w:t>
      </w:r>
      <w:r>
        <w:t xml:space="preserve">Joseph J. McCoy, </w:t>
      </w:r>
      <w:r w:rsidR="00B05136" w:rsidRPr="00B05136">
        <w:rPr>
          <w:i/>
        </w:rPr>
        <w:t>Historic Sketches from the Cattle Trade</w:t>
      </w:r>
      <w:r w:rsidR="00B05136">
        <w:t xml:space="preserve">. </w:t>
      </w:r>
      <w:r w:rsidR="00B05136" w:rsidRPr="00E67EF2">
        <w:t>Kansas City, MO: Ramsey, Millett, and Hudson, 1874</w:t>
      </w:r>
      <w:r w:rsidR="007D24DE">
        <w:t>, opposite 346</w:t>
      </w:r>
      <w:r w:rsidR="00B05136" w:rsidRPr="00E67EF2">
        <w:t>.</w:t>
      </w:r>
    </w:p>
    <w:p w14:paraId="22A081E1" w14:textId="49D69456" w:rsidR="00717236" w:rsidRDefault="00717236" w:rsidP="00B055DA">
      <w:pPr>
        <w:pStyle w:val="NoSpacing"/>
      </w:pPr>
    </w:p>
    <w:p w14:paraId="02EAF305" w14:textId="77777777" w:rsidR="00B970CA" w:rsidRPr="004F5103" w:rsidRDefault="00B970CA" w:rsidP="004F5103">
      <w:pPr>
        <w:pStyle w:val="NoSpacing"/>
        <w:rPr>
          <w:rFonts w:eastAsia="Cambria"/>
        </w:rPr>
      </w:pPr>
    </w:p>
    <w:p w14:paraId="565907CE" w14:textId="5F5E17E6" w:rsidR="007C4DDF" w:rsidRDefault="007C4DDF" w:rsidP="00EF025B">
      <w:pPr>
        <w:spacing w:line="240" w:lineRule="auto"/>
        <w:rPr>
          <w:rFonts w:eastAsia="Cambria"/>
          <w:color w:val="000000" w:themeColor="text1"/>
          <w:lang w:bidi="ar-SA"/>
        </w:rPr>
      </w:pPr>
    </w:p>
    <w:p w14:paraId="37C7B34A" w14:textId="25A115F0" w:rsidR="007B2A00" w:rsidRDefault="007B2A00" w:rsidP="00EF025B">
      <w:pPr>
        <w:spacing w:line="240" w:lineRule="auto"/>
        <w:rPr>
          <w:rFonts w:eastAsia="Cambria"/>
          <w:color w:val="000000" w:themeColor="text1"/>
          <w:lang w:bidi="ar-SA"/>
        </w:rPr>
      </w:pPr>
    </w:p>
    <w:p w14:paraId="7CE094C2" w14:textId="1ED586DE" w:rsidR="002A38F4" w:rsidRDefault="00260473" w:rsidP="00776DF3">
      <w:pPr>
        <w:spacing w:line="240" w:lineRule="auto"/>
      </w:pPr>
      <w:r>
        <w:rPr>
          <w:rFonts w:eastAsia="Cambria"/>
          <w:noProof/>
          <w:color w:val="000000" w:themeColor="text1"/>
          <w:lang w:bidi="ar-SA"/>
        </w:rPr>
        <w:drawing>
          <wp:inline distT="0" distB="0" distL="0" distR="0" wp14:anchorId="00A3C539" wp14:editId="25D1D5A1">
            <wp:extent cx="2743200" cy="25527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1.jpg"/>
                    <pic:cNvPicPr/>
                  </pic:nvPicPr>
                  <pic:blipFill rotWithShape="1">
                    <a:blip r:embed="rId26">
                      <a:extLst>
                        <a:ext uri="{28A0092B-C50C-407E-A947-70E740481C1C}">
                          <a14:useLocalDpi xmlns:a14="http://schemas.microsoft.com/office/drawing/2010/main" val="0"/>
                        </a:ext>
                      </a:extLst>
                    </a:blip>
                    <a:srcRect b="6944"/>
                    <a:stretch/>
                  </pic:blipFill>
                  <pic:spPr bwMode="auto">
                    <a:xfrm>
                      <a:off x="0" y="0"/>
                      <a:ext cx="2743200" cy="2552700"/>
                    </a:xfrm>
                    <a:prstGeom prst="rect">
                      <a:avLst/>
                    </a:prstGeom>
                    <a:ln>
                      <a:noFill/>
                    </a:ln>
                    <a:extLst>
                      <a:ext uri="{53640926-AAD7-44D8-BBD7-CCE9431645EC}">
                        <a14:shadowObscured xmlns:a14="http://schemas.microsoft.com/office/drawing/2010/main"/>
                      </a:ext>
                    </a:extLst>
                  </pic:spPr>
                </pic:pic>
              </a:graphicData>
            </a:graphic>
          </wp:inline>
        </w:drawing>
      </w:r>
    </w:p>
    <w:p w14:paraId="4A9B1FEB" w14:textId="5BB093C7" w:rsidR="00981F6D" w:rsidRDefault="002A38F4" w:rsidP="00776DF3">
      <w:pPr>
        <w:spacing w:line="240" w:lineRule="auto"/>
      </w:pPr>
      <w:bookmarkStart w:id="35" w:name="_Toc464499084"/>
      <w:r>
        <w:t xml:space="preserve">Figure </w:t>
      </w:r>
      <w:r w:rsidR="008D6DF5">
        <w:t>2</w:t>
      </w:r>
      <w:r w:rsidR="00924C72">
        <w:t>.</w:t>
      </w:r>
      <w:r w:rsidR="00B31D83">
        <w:fldChar w:fldCharType="begin"/>
      </w:r>
      <w:r w:rsidR="00B31D83">
        <w:instrText xml:space="preserve"> SEQ Figure \* ARABIC \s 1 </w:instrText>
      </w:r>
      <w:r w:rsidR="00B31D83">
        <w:fldChar w:fldCharType="separate"/>
      </w:r>
      <w:r w:rsidR="00FE5897">
        <w:rPr>
          <w:noProof/>
        </w:rPr>
        <w:t>16</w:t>
      </w:r>
      <w:r w:rsidR="00B31D83">
        <w:rPr>
          <w:noProof/>
        </w:rPr>
        <w:fldChar w:fldCharType="end"/>
      </w:r>
      <w:r>
        <w:t xml:space="preserve"> </w:t>
      </w:r>
      <w:r w:rsidR="007D24DE">
        <w:t>–</w:t>
      </w:r>
      <w:r w:rsidR="00A4025B">
        <w:t xml:space="preserve"> </w:t>
      </w:r>
      <w:r w:rsidRPr="002A38F4">
        <w:t>Cherokee Phoenix Masthead</w:t>
      </w:r>
      <w:bookmarkEnd w:id="35"/>
    </w:p>
    <w:p w14:paraId="29E85AC0" w14:textId="77777777" w:rsidR="002A38F4" w:rsidRDefault="002A38F4" w:rsidP="00776DF3">
      <w:pPr>
        <w:spacing w:line="240" w:lineRule="auto"/>
        <w:rPr>
          <w:rFonts w:eastAsia="Cambria"/>
          <w:lang w:bidi="ar-SA"/>
        </w:rPr>
      </w:pPr>
    </w:p>
    <w:p w14:paraId="2F2EF35A" w14:textId="09DC1BBE" w:rsidR="0000424F" w:rsidRPr="0000424F" w:rsidRDefault="0000424F" w:rsidP="00776DF3">
      <w:pPr>
        <w:spacing w:line="240" w:lineRule="auto"/>
        <w:rPr>
          <w:rFonts w:eastAsia="Cambria"/>
          <w:lang w:bidi="ar-SA"/>
        </w:rPr>
      </w:pPr>
      <w:r w:rsidRPr="00981F6D">
        <w:rPr>
          <w:rFonts w:eastAsia="Cambria"/>
          <w:lang w:bidi="ar-SA"/>
        </w:rPr>
        <w:t>Cherokee Phoenix Masthead</w:t>
      </w:r>
      <w:r w:rsidRPr="0000424F">
        <w:rPr>
          <w:rFonts w:eastAsia="Cambria"/>
          <w:lang w:bidi="ar-SA"/>
        </w:rPr>
        <w:t xml:space="preserve">. </w:t>
      </w:r>
      <w:r w:rsidR="007D24DE">
        <w:rPr>
          <w:rFonts w:eastAsia="Cambria"/>
          <w:lang w:bidi="ar-SA"/>
        </w:rPr>
        <w:t xml:space="preserve">Cherokee Phoenix Twitter, accessed </w:t>
      </w:r>
      <w:r w:rsidRPr="0000424F">
        <w:rPr>
          <w:rFonts w:eastAsia="Cambria"/>
          <w:lang w:bidi="ar-SA"/>
        </w:rPr>
        <w:t xml:space="preserve">September 29, 2016. </w:t>
      </w:r>
      <w:hyperlink r:id="rId27" w:history="1">
        <w:r w:rsidRPr="0000424F">
          <w:rPr>
            <w:rStyle w:val="Hyperlink"/>
            <w:rFonts w:eastAsia="Cambria"/>
            <w:color w:val="auto"/>
            <w:u w:val="none"/>
            <w:lang w:bidi="ar-SA"/>
          </w:rPr>
          <w:t>https://twitter.com</w:t>
        </w:r>
      </w:hyperlink>
      <w:r w:rsidR="007D24DE">
        <w:rPr>
          <w:rFonts w:eastAsia="Cambria"/>
          <w:lang w:bidi="ar-SA"/>
        </w:rPr>
        <w:t>/</w:t>
      </w:r>
      <w:r w:rsidRPr="0000424F">
        <w:rPr>
          <w:rFonts w:eastAsia="Cambria"/>
          <w:lang w:bidi="ar-SA"/>
        </w:rPr>
        <w:t xml:space="preserve">cherokeephoenix </w:t>
      </w:r>
    </w:p>
    <w:p w14:paraId="4E90AA45" w14:textId="5105DBA6" w:rsidR="0000424F" w:rsidRDefault="0000424F" w:rsidP="00EF025B">
      <w:pPr>
        <w:spacing w:line="240" w:lineRule="auto"/>
        <w:rPr>
          <w:rFonts w:eastAsia="Cambria"/>
          <w:color w:val="000000" w:themeColor="text1"/>
          <w:lang w:bidi="ar-SA"/>
        </w:rPr>
      </w:pPr>
    </w:p>
    <w:p w14:paraId="68C84399" w14:textId="6CAB6251" w:rsidR="00E7417C" w:rsidRDefault="00E7417C" w:rsidP="00EF025B">
      <w:pPr>
        <w:spacing w:line="240" w:lineRule="auto"/>
        <w:rPr>
          <w:rFonts w:eastAsia="Cambria"/>
          <w:color w:val="000000" w:themeColor="text1"/>
          <w:lang w:bidi="ar-SA"/>
        </w:rPr>
      </w:pPr>
    </w:p>
    <w:p w14:paraId="5502E5D7" w14:textId="77777777" w:rsidR="00E47A28" w:rsidRDefault="00E47A28" w:rsidP="00E47A28">
      <w:pPr>
        <w:spacing w:line="240" w:lineRule="auto"/>
      </w:pPr>
      <w:r>
        <w:rPr>
          <w:rFonts w:eastAsia="Cambria"/>
          <w:noProof/>
          <w:lang w:bidi="ar-SA"/>
        </w:rPr>
        <w:drawing>
          <wp:inline distT="0" distB="0" distL="0" distR="0" wp14:anchorId="183D47B8" wp14:editId="2DF06757">
            <wp:extent cx="2690207" cy="27432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dvocate.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90207" cy="2743200"/>
                    </a:xfrm>
                    <a:prstGeom prst="rect">
                      <a:avLst/>
                    </a:prstGeom>
                  </pic:spPr>
                </pic:pic>
              </a:graphicData>
            </a:graphic>
          </wp:inline>
        </w:drawing>
      </w:r>
    </w:p>
    <w:p w14:paraId="05E7A79A" w14:textId="698B7290" w:rsidR="00E7417C" w:rsidRDefault="00E47A28" w:rsidP="00E47A28">
      <w:pPr>
        <w:spacing w:line="240" w:lineRule="auto"/>
        <w:rPr>
          <w:rFonts w:eastAsia="Cambria"/>
          <w:lang w:bidi="ar-SA"/>
        </w:rPr>
      </w:pPr>
      <w:bookmarkStart w:id="36" w:name="_Toc464499085"/>
      <w:r>
        <w:t>Figure 2.</w:t>
      </w:r>
      <w:r w:rsidR="00B31D83">
        <w:fldChar w:fldCharType="begin"/>
      </w:r>
      <w:r w:rsidR="00B31D83">
        <w:instrText xml:space="preserve"> SEQ Figure \* ARABIC \s 1 </w:instrText>
      </w:r>
      <w:r w:rsidR="00B31D83">
        <w:fldChar w:fldCharType="separate"/>
      </w:r>
      <w:r w:rsidR="00FE5897">
        <w:rPr>
          <w:noProof/>
        </w:rPr>
        <w:t>17</w:t>
      </w:r>
      <w:r w:rsidR="00B31D83">
        <w:rPr>
          <w:noProof/>
        </w:rPr>
        <w:fldChar w:fldCharType="end"/>
      </w:r>
      <w:r>
        <w:t xml:space="preserve"> </w:t>
      </w:r>
      <w:r w:rsidR="007D24DE">
        <w:t xml:space="preserve">– </w:t>
      </w:r>
      <w:r w:rsidRPr="00E47A28">
        <w:rPr>
          <w:i/>
        </w:rPr>
        <w:t>Cherokee Advocate</w:t>
      </w:r>
      <w:r>
        <w:t xml:space="preserve"> front page</w:t>
      </w:r>
      <w:bookmarkEnd w:id="36"/>
    </w:p>
    <w:p w14:paraId="543E4657" w14:textId="55F09113" w:rsidR="00C16999" w:rsidRDefault="00C16999" w:rsidP="00E47A28">
      <w:pPr>
        <w:spacing w:line="240" w:lineRule="auto"/>
        <w:rPr>
          <w:rFonts w:cs="Arial"/>
          <w:shd w:val="clear" w:color="auto" w:fill="FFFFFF"/>
        </w:rPr>
      </w:pPr>
    </w:p>
    <w:p w14:paraId="08FA6CC8" w14:textId="06007EF0" w:rsidR="00E47A28" w:rsidRDefault="007D24DE" w:rsidP="00E47A28">
      <w:pPr>
        <w:spacing w:line="240" w:lineRule="auto"/>
        <w:rPr>
          <w:rFonts w:cs="Arial"/>
          <w:shd w:val="clear" w:color="auto" w:fill="FFFFFF"/>
        </w:rPr>
      </w:pPr>
      <w:r>
        <w:rPr>
          <w:rFonts w:cs="Arial"/>
          <w:shd w:val="clear" w:color="auto" w:fill="FFFFFF"/>
        </w:rPr>
        <w:t xml:space="preserve">Typical </w:t>
      </w:r>
      <w:r w:rsidR="00E47A28" w:rsidRPr="007D24DE">
        <w:rPr>
          <w:rFonts w:cs="Arial"/>
          <w:i/>
          <w:shd w:val="clear" w:color="auto" w:fill="FFFFFF"/>
        </w:rPr>
        <w:t>Cherokee Advocate</w:t>
      </w:r>
      <w:r w:rsidR="00E47A28">
        <w:rPr>
          <w:rFonts w:cs="Arial"/>
          <w:shd w:val="clear" w:color="auto" w:fill="FFFFFF"/>
        </w:rPr>
        <w:t xml:space="preserve"> front page, October 10, 1880.</w:t>
      </w:r>
    </w:p>
    <w:p w14:paraId="53434EF9" w14:textId="6D0CB63E" w:rsidR="007D24DE" w:rsidRDefault="007D24DE" w:rsidP="00E47A28">
      <w:pPr>
        <w:spacing w:line="240" w:lineRule="auto"/>
        <w:rPr>
          <w:rFonts w:cs="Arial"/>
          <w:shd w:val="clear" w:color="auto" w:fill="FFFFFF"/>
        </w:rPr>
      </w:pPr>
    </w:p>
    <w:p w14:paraId="1BB864FB" w14:textId="77777777" w:rsidR="007D24DE" w:rsidRDefault="007D24DE" w:rsidP="00E47A28">
      <w:pPr>
        <w:spacing w:line="240" w:lineRule="auto"/>
        <w:rPr>
          <w:rFonts w:cs="Arial"/>
          <w:shd w:val="clear" w:color="auto" w:fill="FFFFFF"/>
        </w:rPr>
      </w:pPr>
    </w:p>
    <w:p w14:paraId="04E91367" w14:textId="77777777" w:rsidR="00E47A28" w:rsidRDefault="006E0E19" w:rsidP="00E47A28">
      <w:pPr>
        <w:keepNext/>
        <w:spacing w:line="240" w:lineRule="auto"/>
      </w:pPr>
      <w:r>
        <w:rPr>
          <w:noProof/>
          <w:lang w:bidi="ar-SA"/>
        </w:rPr>
        <w:drawing>
          <wp:inline distT="0" distB="0" distL="0" distR="0" wp14:anchorId="5733998B" wp14:editId="71963C84">
            <wp:extent cx="1998469" cy="2743200"/>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ipiokc1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998469" cy="2743200"/>
                    </a:xfrm>
                    <a:prstGeom prst="rect">
                      <a:avLst/>
                    </a:prstGeom>
                  </pic:spPr>
                </pic:pic>
              </a:graphicData>
            </a:graphic>
          </wp:inline>
        </w:drawing>
      </w:r>
    </w:p>
    <w:p w14:paraId="3935265E" w14:textId="11D78E81" w:rsidR="006E0E19" w:rsidRDefault="00E47A28" w:rsidP="00E47A28">
      <w:pPr>
        <w:spacing w:line="240" w:lineRule="auto"/>
        <w:rPr>
          <w:i/>
        </w:rPr>
      </w:pPr>
      <w:bookmarkStart w:id="37" w:name="_Toc464499086"/>
      <w:r>
        <w:t>Figure 2.</w:t>
      </w:r>
      <w:r w:rsidR="00B31D83">
        <w:fldChar w:fldCharType="begin"/>
      </w:r>
      <w:r w:rsidR="00B31D83">
        <w:instrText xml:space="preserve"> SEQ Figure \* ARABIC \s 1 </w:instrText>
      </w:r>
      <w:r w:rsidR="00B31D83">
        <w:fldChar w:fldCharType="separate"/>
      </w:r>
      <w:r w:rsidR="00FE5897">
        <w:rPr>
          <w:noProof/>
        </w:rPr>
        <w:t>18</w:t>
      </w:r>
      <w:r w:rsidR="00B31D83">
        <w:rPr>
          <w:noProof/>
        </w:rPr>
        <w:fldChar w:fldCharType="end"/>
      </w:r>
      <w:r>
        <w:t xml:space="preserve"> – </w:t>
      </w:r>
      <w:r>
        <w:rPr>
          <w:i/>
        </w:rPr>
        <w:t>Tipi w</w:t>
      </w:r>
      <w:r w:rsidRPr="002A38F4">
        <w:rPr>
          <w:i/>
        </w:rPr>
        <w:t>ith Battle Pictures</w:t>
      </w:r>
      <w:bookmarkEnd w:id="37"/>
    </w:p>
    <w:p w14:paraId="70BD3F82" w14:textId="77777777" w:rsidR="00E47A28" w:rsidRPr="00E47A28" w:rsidRDefault="00E47A28" w:rsidP="00E47A28">
      <w:pPr>
        <w:spacing w:line="240" w:lineRule="auto"/>
      </w:pPr>
    </w:p>
    <w:p w14:paraId="724980A9" w14:textId="1F996A67" w:rsidR="006E0E19" w:rsidRDefault="006E0E19" w:rsidP="00FE3B7A">
      <w:pPr>
        <w:spacing w:line="240" w:lineRule="auto"/>
        <w:rPr>
          <w:rFonts w:cstheme="majorHAnsi"/>
        </w:rPr>
      </w:pPr>
      <w:r w:rsidRPr="00E47A28">
        <w:rPr>
          <w:rFonts w:cstheme="majorHAnsi"/>
          <w:i/>
        </w:rPr>
        <w:t xml:space="preserve">Tipi with </w:t>
      </w:r>
      <w:r w:rsidRPr="00E47A28">
        <w:rPr>
          <w:rStyle w:val="NoSpacingChar"/>
          <w:i/>
        </w:rPr>
        <w:t>Battle Pictures</w:t>
      </w:r>
      <w:r w:rsidRPr="00E47A28">
        <w:rPr>
          <w:rStyle w:val="NoSpacingChar"/>
        </w:rPr>
        <w:t>, c. 1830s</w:t>
      </w:r>
      <w:r w:rsidR="00FE3B7A">
        <w:rPr>
          <w:rStyle w:val="NoSpacingChar"/>
        </w:rPr>
        <w:t>, pigment on fabric</w:t>
      </w:r>
      <w:r w:rsidRPr="00E47A28">
        <w:rPr>
          <w:rStyle w:val="NoSpacingChar"/>
        </w:rPr>
        <w:t>. Oklahoma Historical Society</w:t>
      </w:r>
      <w:r w:rsidR="00E47A28" w:rsidRPr="00E47A28">
        <w:rPr>
          <w:rStyle w:val="NoSpacingChar"/>
        </w:rPr>
        <w:t>,</w:t>
      </w:r>
      <w:r w:rsidR="00FE3B7A">
        <w:rPr>
          <w:rStyle w:val="NoSpacingChar"/>
        </w:rPr>
        <w:t xml:space="preserve"> a</w:t>
      </w:r>
      <w:r w:rsidR="00FE3B7A" w:rsidRPr="00E47A28">
        <w:rPr>
          <w:rStyle w:val="NoSpacingChar"/>
        </w:rPr>
        <w:t>ccessed September 28, 2016</w:t>
      </w:r>
      <w:r w:rsidR="005617CE">
        <w:rPr>
          <w:rStyle w:val="NoSpacingChar"/>
        </w:rPr>
        <w:t>.</w:t>
      </w:r>
      <w:r w:rsidR="00FE3B7A">
        <w:rPr>
          <w:rStyle w:val="NoSpacingChar"/>
        </w:rPr>
        <w:t xml:space="preserve"> </w:t>
      </w:r>
      <w:r w:rsidR="00FE3B7A" w:rsidRPr="00FE3B7A">
        <w:rPr>
          <w:rStyle w:val="NoSpacingChar"/>
        </w:rPr>
        <w:t>http://www.okhistory.org/blog/?p=214</w:t>
      </w:r>
      <w:r>
        <w:rPr>
          <w:rFonts w:cstheme="majorHAnsi"/>
        </w:rPr>
        <w:t xml:space="preserve"> </w:t>
      </w:r>
    </w:p>
    <w:p w14:paraId="53B9FE7D" w14:textId="77777777" w:rsidR="00E47A28" w:rsidRDefault="00260473" w:rsidP="00E47A28">
      <w:pPr>
        <w:spacing w:line="240" w:lineRule="auto"/>
      </w:pPr>
      <w:r>
        <w:rPr>
          <w:noProof/>
          <w:lang w:bidi="ar-SA"/>
        </w:rPr>
        <w:drawing>
          <wp:inline distT="0" distB="0" distL="0" distR="0" wp14:anchorId="3AAF9937" wp14:editId="7D95B775">
            <wp:extent cx="2479906" cy="2743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0226.1491_SHARPENED_o6.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479906" cy="2743200"/>
                    </a:xfrm>
                    <a:prstGeom prst="rect">
                      <a:avLst/>
                    </a:prstGeom>
                  </pic:spPr>
                </pic:pic>
              </a:graphicData>
            </a:graphic>
          </wp:inline>
        </w:drawing>
      </w:r>
    </w:p>
    <w:p w14:paraId="24E5093E" w14:textId="7A0E440D" w:rsidR="00981F6D" w:rsidRDefault="00E47A28" w:rsidP="00E47A28">
      <w:pPr>
        <w:spacing w:line="240" w:lineRule="auto"/>
      </w:pPr>
      <w:bookmarkStart w:id="38" w:name="_Toc464499087"/>
      <w:r>
        <w:t>Figure 2.</w:t>
      </w:r>
      <w:r w:rsidR="00B31D83">
        <w:fldChar w:fldCharType="begin"/>
      </w:r>
      <w:r w:rsidR="00B31D83">
        <w:instrText xml:space="preserve"> SEQ Figure \* ARABIC \s 1 </w:instrText>
      </w:r>
      <w:r w:rsidR="00B31D83">
        <w:fldChar w:fldCharType="separate"/>
      </w:r>
      <w:r w:rsidR="00FE5897">
        <w:rPr>
          <w:noProof/>
        </w:rPr>
        <w:t>19</w:t>
      </w:r>
      <w:r w:rsidR="00B31D83">
        <w:rPr>
          <w:noProof/>
        </w:rPr>
        <w:fldChar w:fldCharType="end"/>
      </w:r>
      <w:r>
        <w:t xml:space="preserve"> </w:t>
      </w:r>
      <w:r w:rsidR="00A4025B">
        <w:t xml:space="preserve">– George </w:t>
      </w:r>
      <w:r w:rsidR="002A38F4" w:rsidRPr="002A38F4">
        <w:t xml:space="preserve">Catlin, </w:t>
      </w:r>
      <w:r w:rsidR="002A38F4" w:rsidRPr="002A38F4">
        <w:rPr>
          <w:i/>
        </w:rPr>
        <w:t>Teh-toot-sah (Dohasan)</w:t>
      </w:r>
      <w:bookmarkEnd w:id="38"/>
    </w:p>
    <w:p w14:paraId="04938512" w14:textId="712BF1B4" w:rsidR="001603F0" w:rsidRPr="002A38F4" w:rsidRDefault="00981F6D" w:rsidP="00E47A28">
      <w:pPr>
        <w:spacing w:line="240" w:lineRule="auto"/>
      </w:pPr>
      <w:r w:rsidRPr="002A38F4">
        <w:t xml:space="preserve"> </w:t>
      </w:r>
    </w:p>
    <w:p w14:paraId="2F8BE6B5" w14:textId="0F5FF089" w:rsidR="00E3790B" w:rsidRPr="00425D57" w:rsidRDefault="00C16999" w:rsidP="00E47A28">
      <w:pPr>
        <w:spacing w:line="240" w:lineRule="auto"/>
        <w:rPr>
          <w:rFonts w:cs="Arial"/>
          <w:shd w:val="clear" w:color="auto" w:fill="FFFFFF"/>
        </w:rPr>
      </w:pPr>
      <w:r w:rsidRPr="00425D57">
        <w:rPr>
          <w:rFonts w:cstheme="majorHAnsi"/>
          <w:shd w:val="clear" w:color="auto" w:fill="FFFFFF"/>
        </w:rPr>
        <w:t xml:space="preserve">George Catlin, </w:t>
      </w:r>
      <w:r w:rsidRPr="00425D57">
        <w:rPr>
          <w:rFonts w:cstheme="majorHAnsi"/>
          <w:i/>
          <w:shd w:val="clear" w:color="auto" w:fill="FFFFFF"/>
        </w:rPr>
        <w:t>Teh-toot-sah (Dohasan)</w:t>
      </w:r>
      <w:r w:rsidRPr="00425D57">
        <w:rPr>
          <w:rFonts w:cstheme="majorHAnsi"/>
          <w:shd w:val="clear" w:color="auto" w:fill="FFFFFF"/>
        </w:rPr>
        <w:t>, 1836</w:t>
      </w:r>
      <w:r w:rsidR="00FE3B7A">
        <w:rPr>
          <w:rFonts w:cstheme="majorHAnsi"/>
          <w:shd w:val="clear" w:color="auto" w:fill="FFFFFF"/>
        </w:rPr>
        <w:t>, w</w:t>
      </w:r>
      <w:r w:rsidRPr="00425D57">
        <w:rPr>
          <w:rFonts w:cstheme="majorHAnsi"/>
          <w:shd w:val="clear" w:color="auto" w:fill="FFFFFF"/>
        </w:rPr>
        <w:t>atercolor on paper</w:t>
      </w:r>
      <w:r w:rsidR="00425D57" w:rsidRPr="00425D57">
        <w:rPr>
          <w:rFonts w:cstheme="majorHAnsi"/>
          <w:shd w:val="clear" w:color="auto" w:fill="FFFFFF"/>
        </w:rPr>
        <w:t>,</w:t>
      </w:r>
      <w:r w:rsidRPr="00425D57">
        <w:rPr>
          <w:rFonts w:cstheme="majorHAnsi"/>
          <w:shd w:val="clear" w:color="auto" w:fill="FFFFFF"/>
        </w:rPr>
        <w:t xml:space="preserve"> </w:t>
      </w:r>
      <w:r w:rsidRPr="00425D57">
        <w:rPr>
          <w:rFonts w:cstheme="majorHAnsi"/>
        </w:rPr>
        <w:t xml:space="preserve">7 </w:t>
      </w:r>
      <w:r w:rsidRPr="00FE3B7A">
        <w:rPr>
          <w:rFonts w:cstheme="majorHAnsi"/>
          <w:vertAlign w:val="superscript"/>
        </w:rPr>
        <w:t>3/4</w:t>
      </w:r>
      <w:r w:rsidRPr="00425D57">
        <w:rPr>
          <w:rFonts w:cstheme="majorHAnsi"/>
        </w:rPr>
        <w:t xml:space="preserve"> x 7 in</w:t>
      </w:r>
      <w:r w:rsidR="00425D57" w:rsidRPr="00425D57">
        <w:rPr>
          <w:rFonts w:cstheme="majorHAnsi"/>
        </w:rPr>
        <w:t>ches</w:t>
      </w:r>
      <w:r w:rsidRPr="00425D57">
        <w:rPr>
          <w:rFonts w:cstheme="majorHAnsi"/>
        </w:rPr>
        <w:t xml:space="preserve">. </w:t>
      </w:r>
      <w:r w:rsidR="00A81375">
        <w:rPr>
          <w:rFonts w:cstheme="majorHAnsi"/>
        </w:rPr>
        <w:t>Gilcrease Museum, Tulsa, OK.</w:t>
      </w:r>
    </w:p>
    <w:p w14:paraId="06FC75FD" w14:textId="76A6B640" w:rsidR="00C16999" w:rsidRPr="00425D57" w:rsidRDefault="00C16999" w:rsidP="00776DF3">
      <w:pPr>
        <w:spacing w:line="240" w:lineRule="auto"/>
        <w:rPr>
          <w:rFonts w:cs="Arial"/>
          <w:shd w:val="clear" w:color="auto" w:fill="FFFFFF"/>
        </w:rPr>
      </w:pPr>
    </w:p>
    <w:p w14:paraId="74AA9F6C" w14:textId="77777777" w:rsidR="00C16999" w:rsidRDefault="00C16999" w:rsidP="00EF025B">
      <w:pPr>
        <w:spacing w:line="240" w:lineRule="auto"/>
        <w:rPr>
          <w:rFonts w:cs="Arial"/>
          <w:shd w:val="clear" w:color="auto" w:fill="FFFFFF"/>
        </w:rPr>
      </w:pPr>
    </w:p>
    <w:p w14:paraId="0236687E" w14:textId="77777777" w:rsidR="00E47A28" w:rsidRDefault="00260473" w:rsidP="00E47A28">
      <w:pPr>
        <w:keepNext/>
        <w:spacing w:line="240" w:lineRule="auto"/>
      </w:pPr>
      <w:r>
        <w:rPr>
          <w:rFonts w:cs="Arial"/>
          <w:noProof/>
          <w:shd w:val="clear" w:color="auto" w:fill="FFFFFF"/>
          <w:lang w:bidi="ar-SA"/>
        </w:rPr>
        <w:drawing>
          <wp:inline distT="0" distB="0" distL="0" distR="0" wp14:anchorId="0A42AF64" wp14:editId="3B4F3E89">
            <wp:extent cx="1783512" cy="2743200"/>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Hawgone_-_Silver_Horn_-_Kiowa_chief.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83512" cy="2743200"/>
                    </a:xfrm>
                    <a:prstGeom prst="rect">
                      <a:avLst/>
                    </a:prstGeom>
                  </pic:spPr>
                </pic:pic>
              </a:graphicData>
            </a:graphic>
          </wp:inline>
        </w:drawing>
      </w:r>
    </w:p>
    <w:p w14:paraId="2BF7715C" w14:textId="7652C915" w:rsidR="00981F6D" w:rsidRDefault="00E47A28" w:rsidP="00E47A28">
      <w:pPr>
        <w:spacing w:line="240" w:lineRule="auto"/>
      </w:pPr>
      <w:bookmarkStart w:id="39" w:name="_Toc464499088"/>
      <w:r>
        <w:t>Figure 2.</w:t>
      </w:r>
      <w:r w:rsidR="00B31D83">
        <w:fldChar w:fldCharType="begin"/>
      </w:r>
      <w:r w:rsidR="00B31D83">
        <w:instrText xml:space="preserve"> SEQ Figure \* ARABIC \s 1 </w:instrText>
      </w:r>
      <w:r w:rsidR="00B31D83">
        <w:fldChar w:fldCharType="separate"/>
      </w:r>
      <w:r w:rsidR="00FE5897">
        <w:rPr>
          <w:noProof/>
        </w:rPr>
        <w:t>20</w:t>
      </w:r>
      <w:r w:rsidR="00B31D83">
        <w:rPr>
          <w:noProof/>
        </w:rPr>
        <w:fldChar w:fldCharType="end"/>
      </w:r>
      <w:r w:rsidR="002A38F4">
        <w:t xml:space="preserve"> </w:t>
      </w:r>
      <w:r w:rsidR="00A4025B">
        <w:t xml:space="preserve">– E.A. </w:t>
      </w:r>
      <w:r w:rsidR="002A38F4" w:rsidRPr="002A38F4">
        <w:t xml:space="preserve">Burbank, </w:t>
      </w:r>
      <w:r w:rsidR="002A38F4" w:rsidRPr="002A38F4">
        <w:rPr>
          <w:i/>
        </w:rPr>
        <w:t>Portrait of Silver Horn</w:t>
      </w:r>
      <w:bookmarkEnd w:id="39"/>
    </w:p>
    <w:p w14:paraId="13DA1B41" w14:textId="77777777" w:rsidR="002A38F4" w:rsidRPr="008A5026" w:rsidRDefault="002A38F4" w:rsidP="00E47A28">
      <w:pPr>
        <w:spacing w:line="240" w:lineRule="auto"/>
      </w:pPr>
    </w:p>
    <w:p w14:paraId="77FA4BBF" w14:textId="2926DF5D" w:rsidR="00864FDF" w:rsidRPr="008A5026" w:rsidRDefault="00864FDF" w:rsidP="00E47A28">
      <w:pPr>
        <w:spacing w:line="240" w:lineRule="auto"/>
      </w:pPr>
      <w:r w:rsidRPr="008A5026">
        <w:t xml:space="preserve">Elbridge Ayer Burbank, </w:t>
      </w:r>
      <w:r w:rsidRPr="008A5026">
        <w:rPr>
          <w:i/>
        </w:rPr>
        <w:t>Portrait of Silver Horn</w:t>
      </w:r>
      <w:r w:rsidRPr="008A5026">
        <w:t>, c. 1898</w:t>
      </w:r>
      <w:r w:rsidR="00FE3B7A">
        <w:t>, o</w:t>
      </w:r>
      <w:r w:rsidRPr="008A5026">
        <w:t>il on canvas. The Newberry Library, Chicago, IL.</w:t>
      </w:r>
    </w:p>
    <w:p w14:paraId="7CFD788E" w14:textId="3B45A4FF" w:rsidR="0066138B" w:rsidRDefault="0066138B" w:rsidP="00E47A28">
      <w:pPr>
        <w:spacing w:line="240" w:lineRule="auto"/>
      </w:pPr>
    </w:p>
    <w:p w14:paraId="195679AD" w14:textId="6128A938" w:rsidR="00864FDF" w:rsidRPr="00864FDF" w:rsidRDefault="00864FDF" w:rsidP="00776DF3">
      <w:pPr>
        <w:pStyle w:val="NoSpacing"/>
        <w:rPr>
          <w:rFonts w:asciiTheme="majorHAnsi" w:hAnsiTheme="majorHAnsi" w:cstheme="majorHAnsi"/>
          <w:szCs w:val="24"/>
        </w:rPr>
      </w:pPr>
    </w:p>
    <w:p w14:paraId="795B0353" w14:textId="56E2169B" w:rsidR="00C16999" w:rsidRDefault="00C16999" w:rsidP="00EF025B">
      <w:pPr>
        <w:spacing w:line="240" w:lineRule="auto"/>
        <w:rPr>
          <w:rFonts w:cs="Arial"/>
          <w:shd w:val="clear" w:color="auto" w:fill="FFFFFF"/>
        </w:rPr>
      </w:pPr>
    </w:p>
    <w:p w14:paraId="60C35A39" w14:textId="77777777" w:rsidR="00771EAA" w:rsidRDefault="00771EAA">
      <w:pPr>
        <w:spacing w:line="240" w:lineRule="auto"/>
        <w:rPr>
          <w:rFonts w:cs="Arial"/>
          <w:shd w:val="clear" w:color="auto" w:fill="FFFFFF"/>
        </w:rPr>
        <w:sectPr w:rsidR="00771EAA" w:rsidSect="008260C6">
          <w:footnotePr>
            <w:numRestart w:val="eachSect"/>
          </w:footnotePr>
          <w:endnotePr>
            <w:numFmt w:val="decimal"/>
          </w:endnotePr>
          <w:pgSz w:w="12240" w:h="15840" w:code="1"/>
          <w:pgMar w:top="1440" w:right="1440" w:bottom="1440" w:left="2304" w:header="720" w:footer="720" w:gutter="0"/>
          <w:cols w:space="720"/>
          <w:docGrid w:linePitch="360"/>
        </w:sectPr>
      </w:pPr>
    </w:p>
    <w:p w14:paraId="74C24CB7" w14:textId="547A4E01" w:rsidR="00B36BA8" w:rsidRPr="00662936" w:rsidRDefault="00771EAA" w:rsidP="00D33940">
      <w:pPr>
        <w:pStyle w:val="Heading1"/>
      </w:pPr>
      <w:bookmarkStart w:id="40" w:name="_Toc462940481"/>
      <w:bookmarkStart w:id="41" w:name="_Toc468379261"/>
      <w:r>
        <w:t>Chapter 3</w:t>
      </w:r>
      <w:r w:rsidR="00353131">
        <w:t xml:space="preserve">- </w:t>
      </w:r>
      <w:r w:rsidR="00E321EC">
        <w:t>Kilauea Volcano</w:t>
      </w:r>
      <w:r w:rsidR="00B36BA8" w:rsidRPr="00662936">
        <w:t>:</w:t>
      </w:r>
      <w:bookmarkEnd w:id="40"/>
      <w:r w:rsidR="00306827" w:rsidRPr="00662936">
        <w:t xml:space="preserve"> </w:t>
      </w:r>
      <w:r w:rsidR="00B36BA8" w:rsidRPr="00662936">
        <w:t>Colonial Desire</w:t>
      </w:r>
      <w:r w:rsidR="005B7071">
        <w:t xml:space="preserve"> and </w:t>
      </w:r>
      <w:r w:rsidR="00B36BA8" w:rsidRPr="00662936">
        <w:t xml:space="preserve">Displacement </w:t>
      </w:r>
      <w:r w:rsidR="005B7071">
        <w:t>in Hawai’i</w:t>
      </w:r>
      <w:bookmarkEnd w:id="41"/>
    </w:p>
    <w:p w14:paraId="4CE0E3CD" w14:textId="42124888" w:rsidR="00B36BA8" w:rsidRPr="00527722" w:rsidRDefault="00B36BA8" w:rsidP="003E215C">
      <w:pPr>
        <w:pStyle w:val="Standard"/>
        <w:spacing w:line="480" w:lineRule="auto"/>
        <w:ind w:firstLine="720"/>
        <w:rPr>
          <w:rFonts w:cs="Times New Roman"/>
        </w:rPr>
      </w:pPr>
      <w:r w:rsidRPr="00527722">
        <w:rPr>
          <w:rFonts w:cs="Times New Roman"/>
        </w:rPr>
        <w:t xml:space="preserve">In </w:t>
      </w:r>
      <w:r w:rsidR="00E321EC">
        <w:rPr>
          <w:rFonts w:cs="Times New Roman"/>
          <w:i/>
        </w:rPr>
        <w:t>View of Kilauea Volcano a</w:t>
      </w:r>
      <w:r w:rsidRPr="00527722">
        <w:rPr>
          <w:rFonts w:cs="Times New Roman"/>
          <w:i/>
        </w:rPr>
        <w:t>t Night</w:t>
      </w:r>
      <w:r w:rsidRPr="00527722">
        <w:rPr>
          <w:rFonts w:cs="Times New Roman"/>
        </w:rPr>
        <w:t xml:space="preserve"> of </w:t>
      </w:r>
      <w:r w:rsidR="00975DA8">
        <w:rPr>
          <w:rFonts w:cs="Times New Roman"/>
        </w:rPr>
        <w:t>1885, Jules Tavernier constructed</w:t>
      </w:r>
      <w:r w:rsidRPr="00527722">
        <w:rPr>
          <w:rFonts w:cs="Times New Roman"/>
        </w:rPr>
        <w:t xml:space="preserve"> an image of Kilauea Volcano </w:t>
      </w:r>
      <w:r w:rsidR="00975DA8">
        <w:rPr>
          <w:rFonts w:cs="Times New Roman"/>
        </w:rPr>
        <w:t>as dramatic as it wa</w:t>
      </w:r>
      <w:r w:rsidRPr="00527722">
        <w:rPr>
          <w:rFonts w:cs="Times New Roman"/>
        </w:rPr>
        <w:t>s improbable</w:t>
      </w:r>
      <w:r w:rsidR="00353131">
        <w:rPr>
          <w:rFonts w:cs="Times New Roman"/>
        </w:rPr>
        <w:t xml:space="preserve"> </w:t>
      </w:r>
      <w:r w:rsidR="00353131" w:rsidRPr="00E321EC">
        <w:rPr>
          <w:rFonts w:cs="Times New Roman"/>
        </w:rPr>
        <w:t>(fig. 3.1)</w:t>
      </w:r>
      <w:r w:rsidRPr="00527722">
        <w:rPr>
          <w:rFonts w:cs="Times New Roman"/>
        </w:rPr>
        <w:t xml:space="preserve">. The viewer is placed at a precarious point inside the crater of the volcano. Yet the artist, whose view we share, is absent. We are given no clue as to how the artist/viewer ended up in the fiery pit, or how they might get out. The artist is a displaced presence that has sunk like a stone into water; we are left with just ripples to examine. Further scrutiny of these ripples reveals that </w:t>
      </w:r>
      <w:r w:rsidR="00E321EC">
        <w:rPr>
          <w:rFonts w:cs="Times New Roman"/>
          <w:i/>
        </w:rPr>
        <w:t>View of Kilauea Volcano a</w:t>
      </w:r>
      <w:r w:rsidRPr="00527722">
        <w:rPr>
          <w:rFonts w:cs="Times New Roman"/>
          <w:i/>
        </w:rPr>
        <w:t>t Night</w:t>
      </w:r>
      <w:r w:rsidRPr="00527722">
        <w:rPr>
          <w:rFonts w:cs="Times New Roman"/>
        </w:rPr>
        <w:t xml:space="preserve"> thematizes profound changes in </w:t>
      </w:r>
      <w:r>
        <w:rPr>
          <w:rFonts w:cs="Times New Roman"/>
        </w:rPr>
        <w:t>Hawai’i</w:t>
      </w:r>
      <w:r w:rsidRPr="00527722">
        <w:rPr>
          <w:rFonts w:cs="Times New Roman"/>
        </w:rPr>
        <w:t xml:space="preserve">’s colonial situation over the course of the </w:t>
      </w:r>
      <w:r w:rsidR="00975DA8">
        <w:rPr>
          <w:rFonts w:cs="Times New Roman"/>
        </w:rPr>
        <w:t xml:space="preserve">nineteenth </w:t>
      </w:r>
      <w:r w:rsidR="00046E97">
        <w:rPr>
          <w:rFonts w:cs="Times New Roman"/>
        </w:rPr>
        <w:t>century.</w:t>
      </w:r>
    </w:p>
    <w:p w14:paraId="6A901406" w14:textId="40B83863" w:rsidR="00B36BA8" w:rsidRPr="00105EC0" w:rsidRDefault="00B36BA8" w:rsidP="003E215C">
      <w:pPr>
        <w:pStyle w:val="Standard"/>
        <w:spacing w:line="480" w:lineRule="auto"/>
        <w:ind w:firstLine="720"/>
        <w:rPr>
          <w:rFonts w:asciiTheme="majorHAnsi" w:hAnsiTheme="majorHAnsi" w:cstheme="majorHAnsi"/>
        </w:rPr>
      </w:pPr>
      <w:r w:rsidRPr="008E333A">
        <w:rPr>
          <w:rFonts w:cs="Times New Roman"/>
        </w:rPr>
        <w:t xml:space="preserve">The displaced artist and the subtle formal choices he made harken back to an older narrative tradition, in prose and in paint, of colonial travels to the volcano and through the lava field. Earlier written travel accounts and paintings </w:t>
      </w:r>
      <w:r>
        <w:rPr>
          <w:rFonts w:cs="Times New Roman"/>
        </w:rPr>
        <w:t xml:space="preserve">that </w:t>
      </w:r>
      <w:r w:rsidRPr="008E333A">
        <w:rPr>
          <w:rFonts w:cs="Times New Roman"/>
        </w:rPr>
        <w:t>describe the “discovery”</w:t>
      </w:r>
      <w:r>
        <w:rPr>
          <w:rFonts w:cs="Times New Roman"/>
        </w:rPr>
        <w:t xml:space="preserve"> of </w:t>
      </w:r>
      <w:r w:rsidRPr="008E333A">
        <w:rPr>
          <w:rFonts w:cs="Times New Roman"/>
        </w:rPr>
        <w:t>Kilauea</w:t>
      </w:r>
      <w:r>
        <w:rPr>
          <w:rFonts w:cs="Times New Roman"/>
        </w:rPr>
        <w:t xml:space="preserve"> focus on the central role played by the non-Native explorer. </w:t>
      </w:r>
      <w:r w:rsidRPr="008E333A">
        <w:rPr>
          <w:rFonts w:cs="Times New Roman"/>
        </w:rPr>
        <w:t>This Euro-American narrative, in which the volcano is described as an object of both scientific study and of sublime beauty, came</w:t>
      </w:r>
      <w:r w:rsidR="00105EC0">
        <w:rPr>
          <w:rFonts w:cs="Times New Roman"/>
        </w:rPr>
        <w:t xml:space="preserve"> to dominate, and displace, a </w:t>
      </w:r>
      <w:r w:rsidRPr="008E333A">
        <w:rPr>
          <w:rFonts w:cs="Times New Roman"/>
        </w:rPr>
        <w:t xml:space="preserve">centuries-old native </w:t>
      </w:r>
      <w:r w:rsidR="00105EC0">
        <w:rPr>
          <w:rFonts w:cs="Times New Roman"/>
        </w:rPr>
        <w:t>traditional figure, v</w:t>
      </w:r>
      <w:r w:rsidRPr="008E333A">
        <w:rPr>
          <w:rFonts w:cs="Times New Roman"/>
        </w:rPr>
        <w:t xml:space="preserve">olcano as Pele, a powerful </w:t>
      </w:r>
      <w:r w:rsidRPr="00521886">
        <w:rPr>
          <w:rFonts w:cs="Times New Roman"/>
          <w:i/>
        </w:rPr>
        <w:t>atua</w:t>
      </w:r>
      <w:r w:rsidRPr="008E333A">
        <w:rPr>
          <w:rFonts w:cs="Times New Roman"/>
        </w:rPr>
        <w:t>, honored and feared</w:t>
      </w:r>
      <w:r>
        <w:rPr>
          <w:rFonts w:cs="Times New Roman"/>
        </w:rPr>
        <w:t>,</w:t>
      </w:r>
      <w:r w:rsidRPr="008E333A">
        <w:rPr>
          <w:rFonts w:cs="Times New Roman"/>
        </w:rPr>
        <w:t xml:space="preserve"> “with powers and qualities of the same kind as t</w:t>
      </w:r>
      <w:r>
        <w:rPr>
          <w:rFonts w:cs="Times New Roman"/>
        </w:rPr>
        <w:t>hose of living men, but greater.</w:t>
      </w:r>
      <w:r w:rsidRPr="008E333A">
        <w:rPr>
          <w:rFonts w:cs="Times New Roman"/>
        </w:rPr>
        <w:t>”</w:t>
      </w:r>
      <w:r>
        <w:rPr>
          <w:rStyle w:val="FootnoteReference"/>
          <w:rFonts w:cs="Times New Roman"/>
        </w:rPr>
        <w:footnoteReference w:id="104"/>
      </w:r>
      <w:r w:rsidRPr="008E333A">
        <w:rPr>
          <w:rFonts w:cs="Times New Roman"/>
        </w:rPr>
        <w:t xml:space="preserve"> Rhetorically, these volcano discovery narratives positioned the volcano, the </w:t>
      </w:r>
      <w:r>
        <w:rPr>
          <w:rFonts w:cs="Times New Roman"/>
        </w:rPr>
        <w:t>Hawaiian</w:t>
      </w:r>
      <w:r w:rsidR="004427E0">
        <w:rPr>
          <w:rStyle w:val="FootnoteReference"/>
          <w:rFonts w:cs="Times New Roman"/>
        </w:rPr>
        <w:footnoteReference w:id="105"/>
      </w:r>
      <w:r w:rsidRPr="008E333A">
        <w:rPr>
          <w:rFonts w:cs="Times New Roman"/>
        </w:rPr>
        <w:t xml:space="preserve"> Islands, and the </w:t>
      </w:r>
      <w:r>
        <w:rPr>
          <w:rFonts w:cs="Times New Roman"/>
        </w:rPr>
        <w:t>Hawaiian</w:t>
      </w:r>
      <w:r w:rsidRPr="008E333A">
        <w:rPr>
          <w:rFonts w:cs="Times New Roman"/>
        </w:rPr>
        <w:t xml:space="preserve"> people within a Euro-American epistemology. </w:t>
      </w:r>
      <w:r>
        <w:rPr>
          <w:rFonts w:cs="Times New Roman"/>
        </w:rPr>
        <w:t>The d</w:t>
      </w:r>
      <w:r w:rsidRPr="008E333A">
        <w:rPr>
          <w:rFonts w:cs="Times New Roman"/>
        </w:rPr>
        <w:t>isplaced artist</w:t>
      </w:r>
      <w:r>
        <w:rPr>
          <w:rFonts w:cs="Times New Roman"/>
        </w:rPr>
        <w:t>,</w:t>
      </w:r>
      <w:r w:rsidRPr="008E333A">
        <w:rPr>
          <w:rFonts w:cs="Times New Roman"/>
        </w:rPr>
        <w:t xml:space="preserve"> and the subtle formal choices</w:t>
      </w:r>
      <w:r w:rsidRPr="00527722">
        <w:rPr>
          <w:rFonts w:cs="Times New Roman"/>
        </w:rPr>
        <w:t xml:space="preserve"> </w:t>
      </w:r>
      <w:r>
        <w:rPr>
          <w:rFonts w:cs="Times New Roman"/>
        </w:rPr>
        <w:t xml:space="preserve">he made, </w:t>
      </w:r>
      <w:r w:rsidR="00105EC0">
        <w:rPr>
          <w:rFonts w:cs="Times New Roman"/>
        </w:rPr>
        <w:t>spoke</w:t>
      </w:r>
      <w:r w:rsidRPr="00527722">
        <w:rPr>
          <w:rFonts w:cs="Times New Roman"/>
        </w:rPr>
        <w:t xml:space="preserve"> </w:t>
      </w:r>
      <w:r>
        <w:rPr>
          <w:rFonts w:cs="Times New Roman"/>
        </w:rPr>
        <w:t xml:space="preserve">also </w:t>
      </w:r>
      <w:r w:rsidRPr="00527722">
        <w:rPr>
          <w:rFonts w:cs="Times New Roman"/>
        </w:rPr>
        <w:t xml:space="preserve">to the volcano’s appeal as a dramatic touristic spectacle in the 1880s. Tavernier’s painting places viewers in direct confrontation with Kilauea’s fiery lava. This new aesthetic, which emphasized spectacle and appealed primarily to tourists, </w:t>
      </w:r>
      <w:r w:rsidR="00105EC0">
        <w:rPr>
          <w:rFonts w:cs="Times New Roman"/>
        </w:rPr>
        <w:t xml:space="preserve">challenged </w:t>
      </w:r>
      <w:r w:rsidRPr="00527722">
        <w:rPr>
          <w:rFonts w:cs="Times New Roman"/>
        </w:rPr>
        <w:t xml:space="preserve">the old Native </w:t>
      </w:r>
      <w:r>
        <w:rPr>
          <w:rFonts w:cs="Times New Roman"/>
        </w:rPr>
        <w:t>Hawaiian</w:t>
      </w:r>
      <w:r w:rsidRPr="00527722">
        <w:rPr>
          <w:rFonts w:cs="Times New Roman"/>
        </w:rPr>
        <w:t xml:space="preserve"> way</w:t>
      </w:r>
      <w:r w:rsidR="00105EC0">
        <w:rPr>
          <w:rFonts w:cs="Times New Roman"/>
        </w:rPr>
        <w:t>s</w:t>
      </w:r>
      <w:r w:rsidRPr="00527722">
        <w:rPr>
          <w:rFonts w:cs="Times New Roman"/>
        </w:rPr>
        <w:t xml:space="preserve"> of </w:t>
      </w:r>
      <w:r w:rsidRPr="00105EC0">
        <w:rPr>
          <w:rFonts w:asciiTheme="majorHAnsi" w:hAnsiTheme="majorHAnsi" w:cstheme="majorHAnsi"/>
        </w:rPr>
        <w:t xml:space="preserve">knowing the volcano as Pele. Yet Native Hawaiian’s resisted this foreign </w:t>
      </w:r>
      <w:r w:rsidR="00105EC0" w:rsidRPr="00105EC0">
        <w:rPr>
          <w:rFonts w:asciiTheme="majorHAnsi" w:hAnsiTheme="majorHAnsi" w:cstheme="majorHAnsi"/>
        </w:rPr>
        <w:t xml:space="preserve">rescription. </w:t>
      </w:r>
      <w:r w:rsidRPr="00105EC0">
        <w:rPr>
          <w:rFonts w:asciiTheme="majorHAnsi" w:hAnsiTheme="majorHAnsi" w:cstheme="majorHAnsi"/>
        </w:rPr>
        <w:t>Th</w:t>
      </w:r>
      <w:r w:rsidR="00105EC0" w:rsidRPr="00105EC0">
        <w:rPr>
          <w:rFonts w:asciiTheme="majorHAnsi" w:hAnsiTheme="majorHAnsi" w:cstheme="majorHAnsi"/>
        </w:rPr>
        <w:t xml:space="preserve">rough </w:t>
      </w:r>
      <w:r w:rsidRPr="00105EC0">
        <w:rPr>
          <w:rFonts w:asciiTheme="majorHAnsi" w:hAnsiTheme="majorHAnsi" w:cstheme="majorHAnsi"/>
        </w:rPr>
        <w:t xml:space="preserve">the press, and through hula, </w:t>
      </w:r>
      <w:r w:rsidR="00105EC0" w:rsidRPr="00105EC0">
        <w:rPr>
          <w:rFonts w:asciiTheme="majorHAnsi" w:hAnsiTheme="majorHAnsi" w:cstheme="majorHAnsi"/>
          <w:color w:val="252525"/>
          <w:shd w:val="clear" w:color="auto" w:fill="FFFFFF"/>
        </w:rPr>
        <w:t xml:space="preserve">a Polynesian dance form </w:t>
      </w:r>
      <w:r w:rsidR="00105EC0">
        <w:rPr>
          <w:rFonts w:asciiTheme="majorHAnsi" w:hAnsiTheme="majorHAnsi" w:cstheme="majorHAnsi"/>
          <w:color w:val="252525"/>
          <w:shd w:val="clear" w:color="auto" w:fill="FFFFFF"/>
        </w:rPr>
        <w:t xml:space="preserve">that </w:t>
      </w:r>
      <w:r w:rsidR="00105EC0" w:rsidRPr="00105EC0">
        <w:rPr>
          <w:rFonts w:asciiTheme="majorHAnsi" w:hAnsiTheme="majorHAnsi" w:cstheme="majorHAnsi"/>
          <w:color w:val="252525"/>
          <w:shd w:val="clear" w:color="auto" w:fill="FFFFFF"/>
        </w:rPr>
        <w:t xml:space="preserve">dramatizes or portrays the accompanying </w:t>
      </w:r>
      <w:r w:rsidR="00105EC0">
        <w:rPr>
          <w:rFonts w:asciiTheme="majorHAnsi" w:hAnsiTheme="majorHAnsi" w:cstheme="majorHAnsi"/>
          <w:color w:val="252525"/>
          <w:shd w:val="clear" w:color="auto" w:fill="FFFFFF"/>
        </w:rPr>
        <w:t xml:space="preserve">chants, </w:t>
      </w:r>
      <w:r w:rsidR="00105EC0" w:rsidRPr="00105EC0">
        <w:rPr>
          <w:rFonts w:asciiTheme="majorHAnsi" w:hAnsiTheme="majorHAnsi" w:cstheme="majorHAnsi"/>
          <w:color w:val="252525"/>
          <w:shd w:val="clear" w:color="auto" w:fill="FFFFFF"/>
        </w:rPr>
        <w:t>H</w:t>
      </w:r>
      <w:r w:rsidRPr="00105EC0">
        <w:rPr>
          <w:rFonts w:asciiTheme="majorHAnsi" w:hAnsiTheme="majorHAnsi" w:cstheme="majorHAnsi"/>
        </w:rPr>
        <w:t xml:space="preserve">awaiians actively worked to save their way of knowing Kilauea, home of Pele, the central figure in the creation story of </w:t>
      </w:r>
      <w:r w:rsidR="004427E0" w:rsidRPr="00105EC0">
        <w:rPr>
          <w:rFonts w:asciiTheme="majorHAnsi" w:hAnsiTheme="majorHAnsi" w:cstheme="majorHAnsi"/>
        </w:rPr>
        <w:t xml:space="preserve">the </w:t>
      </w:r>
      <w:r w:rsidRPr="00105EC0">
        <w:rPr>
          <w:rFonts w:asciiTheme="majorHAnsi" w:hAnsiTheme="majorHAnsi" w:cstheme="majorHAnsi"/>
        </w:rPr>
        <w:t>Hawaiian</w:t>
      </w:r>
      <w:r w:rsidR="00676C03" w:rsidRPr="00105EC0">
        <w:rPr>
          <w:rFonts w:asciiTheme="majorHAnsi" w:hAnsiTheme="majorHAnsi" w:cstheme="majorHAnsi"/>
        </w:rPr>
        <w:t xml:space="preserve"> Islands.</w:t>
      </w:r>
    </w:p>
    <w:p w14:paraId="54ECD0D0" w14:textId="77777777" w:rsidR="003E215C" w:rsidRPr="00105EC0" w:rsidRDefault="003E215C" w:rsidP="00676C03">
      <w:pPr>
        <w:pStyle w:val="Standard"/>
        <w:spacing w:line="480" w:lineRule="auto"/>
        <w:jc w:val="both"/>
        <w:rPr>
          <w:rFonts w:asciiTheme="majorHAnsi" w:hAnsiTheme="majorHAnsi" w:cstheme="majorHAnsi"/>
        </w:rPr>
      </w:pPr>
    </w:p>
    <w:p w14:paraId="345D213E" w14:textId="18265338" w:rsidR="00B36BA8" w:rsidRPr="00527722" w:rsidRDefault="00B36BA8" w:rsidP="00676C03">
      <w:pPr>
        <w:pStyle w:val="Standard"/>
        <w:spacing w:line="480" w:lineRule="auto"/>
        <w:jc w:val="center"/>
        <w:rPr>
          <w:rFonts w:cs="Times New Roman"/>
        </w:rPr>
      </w:pPr>
      <w:r w:rsidRPr="00527722">
        <w:rPr>
          <w:rFonts w:cs="Times New Roman"/>
          <w:b/>
        </w:rPr>
        <w:t>Jules Tavernier: An Itinerant Artist Discovers Kilauea</w:t>
      </w:r>
    </w:p>
    <w:p w14:paraId="73D1130C" w14:textId="341979D1" w:rsidR="00B36BA8" w:rsidRPr="00527722" w:rsidRDefault="00B36BA8" w:rsidP="003E215C">
      <w:pPr>
        <w:pStyle w:val="Standard"/>
        <w:spacing w:line="480" w:lineRule="auto"/>
        <w:ind w:firstLine="720"/>
        <w:rPr>
          <w:rFonts w:cs="Times New Roman"/>
        </w:rPr>
      </w:pPr>
      <w:r w:rsidRPr="00527722">
        <w:rPr>
          <w:rFonts w:cs="Times New Roman"/>
        </w:rPr>
        <w:t xml:space="preserve"> Jules Tavernier</w:t>
      </w:r>
      <w:r>
        <w:rPr>
          <w:rFonts w:cs="Times New Roman"/>
        </w:rPr>
        <w:t xml:space="preserve">’s </w:t>
      </w:r>
      <w:r w:rsidRPr="00527722">
        <w:rPr>
          <w:rFonts w:cs="Times New Roman"/>
        </w:rPr>
        <w:t xml:space="preserve">life story reflects the westward movement of </w:t>
      </w:r>
      <w:r w:rsidR="00105EC0">
        <w:rPr>
          <w:rFonts w:cs="Times New Roman"/>
        </w:rPr>
        <w:t xml:space="preserve">nineteenth century </w:t>
      </w:r>
      <w:r w:rsidRPr="00527722">
        <w:rPr>
          <w:rFonts w:cs="Times New Roman"/>
        </w:rPr>
        <w:t>Euro-American colonialism and A</w:t>
      </w:r>
      <w:r w:rsidR="006A25ED">
        <w:rPr>
          <w:rFonts w:cs="Times New Roman"/>
        </w:rPr>
        <w:t>merican Manifest Destiny.</w:t>
      </w:r>
      <w:r w:rsidRPr="00527722">
        <w:rPr>
          <w:rStyle w:val="FootnoteReference"/>
          <w:rFonts w:cs="Times New Roman"/>
        </w:rPr>
        <w:footnoteReference w:id="106"/>
      </w:r>
      <w:r w:rsidRPr="00527722">
        <w:rPr>
          <w:rFonts w:cs="Times New Roman"/>
        </w:rPr>
        <w:t xml:space="preserve"> Born in Paris in 1844 to a French father and English mother, Tavernier first trained as an artist in the </w:t>
      </w:r>
      <w:r w:rsidRPr="00527722">
        <w:rPr>
          <w:rFonts w:cs="Times New Roman"/>
          <w:i/>
        </w:rPr>
        <w:t>atelier</w:t>
      </w:r>
      <w:r w:rsidRPr="00527722">
        <w:rPr>
          <w:rFonts w:cs="Times New Roman"/>
        </w:rPr>
        <w:t xml:space="preserve"> of the academic artist Félix Barrias, under whose tutelage he exhibited several paintings at the annual Salon.</w:t>
      </w:r>
      <w:r w:rsidRPr="00527722">
        <w:rPr>
          <w:rStyle w:val="FootnoteReference"/>
          <w:rFonts w:cs="Times New Roman"/>
        </w:rPr>
        <w:footnoteReference w:id="107"/>
      </w:r>
      <w:r w:rsidRPr="00527722">
        <w:rPr>
          <w:rFonts w:cs="Times New Roman"/>
        </w:rPr>
        <w:t xml:space="preserve"> In 1871, he left Paris for London, where he worked briefly as an illustrator for the </w:t>
      </w:r>
      <w:r w:rsidRPr="00527722">
        <w:rPr>
          <w:rFonts w:cs="Times New Roman"/>
          <w:i/>
        </w:rPr>
        <w:t>London Graphic</w:t>
      </w:r>
      <w:r w:rsidRPr="00527722">
        <w:rPr>
          <w:rFonts w:cs="Times New Roman"/>
        </w:rPr>
        <w:t xml:space="preserve">. A few months later, Tavernier sailed for New York, where he became a regular contributing illustrator to </w:t>
      </w:r>
      <w:r w:rsidRPr="00527722">
        <w:rPr>
          <w:rFonts w:cs="Times New Roman"/>
          <w:i/>
        </w:rPr>
        <w:t>Harper’s Weekly</w:t>
      </w:r>
      <w:r w:rsidRPr="00527722">
        <w:rPr>
          <w:rFonts w:cs="Times New Roman"/>
        </w:rPr>
        <w:t xml:space="preserve"> and several other illustrated magazines. In 1873-1874, </w:t>
      </w:r>
      <w:r w:rsidR="006A25ED">
        <w:rPr>
          <w:rFonts w:cs="Times New Roman"/>
          <w:i/>
        </w:rPr>
        <w:t xml:space="preserve">Harper’s </w:t>
      </w:r>
      <w:r w:rsidRPr="00527722">
        <w:rPr>
          <w:rFonts w:cs="Times New Roman"/>
        </w:rPr>
        <w:t xml:space="preserve">sent Tavernier on assignment to the western territory. </w:t>
      </w:r>
      <w:r w:rsidR="006A25ED">
        <w:rPr>
          <w:rFonts w:cs="Times New Roman"/>
        </w:rPr>
        <w:t>T</w:t>
      </w:r>
      <w:r w:rsidR="00213EC6">
        <w:rPr>
          <w:rFonts w:cs="Times New Roman"/>
        </w:rPr>
        <w:t xml:space="preserve">he artist </w:t>
      </w:r>
      <w:r w:rsidRPr="00527722">
        <w:rPr>
          <w:rFonts w:cs="Times New Roman"/>
        </w:rPr>
        <w:t xml:space="preserve">traveled through Missouri, Kansas, Indian Territory, Colorado, Wyoming, Nebraska, Utah, and California, sending illustrations back </w:t>
      </w:r>
      <w:r w:rsidR="00213EC6">
        <w:rPr>
          <w:rFonts w:cs="Times New Roman"/>
        </w:rPr>
        <w:t xml:space="preserve">to New York </w:t>
      </w:r>
      <w:r w:rsidRPr="00527722">
        <w:rPr>
          <w:rFonts w:cs="Times New Roman"/>
        </w:rPr>
        <w:t>for publication.</w:t>
      </w:r>
      <w:r w:rsidRPr="00527722">
        <w:rPr>
          <w:rStyle w:val="FootnoteReference"/>
          <w:rFonts w:cs="Times New Roman"/>
        </w:rPr>
        <w:footnoteReference w:id="108"/>
      </w:r>
      <w:r w:rsidRPr="00527722">
        <w:rPr>
          <w:rFonts w:cs="Times New Roman"/>
        </w:rPr>
        <w:t xml:space="preserve"> In 1874, he settled first in San Francisco, then Monterey, where he reestablished himself as a fine artist. Tavernier left California a decade later, sailing for the </w:t>
      </w:r>
      <w:r>
        <w:rPr>
          <w:rFonts w:cs="Times New Roman"/>
        </w:rPr>
        <w:t>Hawaiian</w:t>
      </w:r>
      <w:r w:rsidRPr="00527722">
        <w:rPr>
          <w:rFonts w:cs="Times New Roman"/>
        </w:rPr>
        <w:t xml:space="preserve"> Islands in December 1884. He settled in Honolulu and gained recognition in </w:t>
      </w:r>
      <w:r>
        <w:rPr>
          <w:rFonts w:cs="Times New Roman"/>
        </w:rPr>
        <w:t>Hawai’i</w:t>
      </w:r>
      <w:r w:rsidRPr="00527722">
        <w:rPr>
          <w:rFonts w:cs="Times New Roman"/>
        </w:rPr>
        <w:t>, and to a lesser degree in California, primarily for dramatic volcano paintings</w:t>
      </w:r>
      <w:r w:rsidR="006A25ED">
        <w:rPr>
          <w:rFonts w:cs="Times New Roman"/>
        </w:rPr>
        <w:t xml:space="preserve"> like the one we have been considering</w:t>
      </w:r>
      <w:r w:rsidRPr="00527722">
        <w:rPr>
          <w:rFonts w:cs="Times New Roman"/>
        </w:rPr>
        <w:t>. Tavernier died May 18, 1889 in Honolulu.</w:t>
      </w:r>
    </w:p>
    <w:p w14:paraId="36D4B729" w14:textId="1BD4FB4F" w:rsidR="00B36BA8" w:rsidRPr="008125F6" w:rsidRDefault="00B36BA8" w:rsidP="003E215C">
      <w:pPr>
        <w:pStyle w:val="Standard"/>
        <w:spacing w:line="480" w:lineRule="auto"/>
        <w:ind w:firstLine="720"/>
        <w:rPr>
          <w:rFonts w:cs="Times New Roman"/>
        </w:rPr>
      </w:pPr>
      <w:r w:rsidRPr="00527722">
        <w:rPr>
          <w:rFonts w:cs="Times New Roman"/>
        </w:rPr>
        <w:t xml:space="preserve">Tavernier’s idea to paint Kilauea Volcano preceded his arrival in </w:t>
      </w:r>
      <w:r>
        <w:rPr>
          <w:rFonts w:cs="Times New Roman"/>
        </w:rPr>
        <w:t>Hawai’i</w:t>
      </w:r>
      <w:r w:rsidRPr="00527722">
        <w:rPr>
          <w:rFonts w:cs="Times New Roman"/>
        </w:rPr>
        <w:t xml:space="preserve"> in several ways. Artistically, many of his Western paintings </w:t>
      </w:r>
      <w:r>
        <w:rPr>
          <w:rFonts w:cs="Times New Roman"/>
        </w:rPr>
        <w:t xml:space="preserve">are </w:t>
      </w:r>
      <w:r w:rsidRPr="00527722">
        <w:rPr>
          <w:rFonts w:cs="Times New Roman"/>
        </w:rPr>
        <w:t>visual precursor</w:t>
      </w:r>
      <w:r>
        <w:rPr>
          <w:rFonts w:cs="Times New Roman"/>
        </w:rPr>
        <w:t>s</w:t>
      </w:r>
      <w:r w:rsidRPr="00527722">
        <w:rPr>
          <w:rFonts w:cs="Times New Roman"/>
        </w:rPr>
        <w:t xml:space="preserve"> to his volcano paintings. In </w:t>
      </w:r>
      <w:r w:rsidRPr="00527722">
        <w:rPr>
          <w:rFonts w:cs="Times New Roman"/>
          <w:i/>
        </w:rPr>
        <w:t>A</w:t>
      </w:r>
      <w:r w:rsidRPr="00527722">
        <w:rPr>
          <w:rFonts w:cs="Times New Roman"/>
        </w:rPr>
        <w:t xml:space="preserve"> </w:t>
      </w:r>
      <w:r w:rsidRPr="00527722">
        <w:rPr>
          <w:rFonts w:cs="Times New Roman"/>
          <w:i/>
        </w:rPr>
        <w:t>Disputed Passage</w:t>
      </w:r>
      <w:r w:rsidRPr="00527722">
        <w:rPr>
          <w:rFonts w:cs="Times New Roman"/>
        </w:rPr>
        <w:t xml:space="preserve"> (1876), </w:t>
      </w:r>
      <w:r>
        <w:rPr>
          <w:rFonts w:cs="Times New Roman"/>
        </w:rPr>
        <w:t xml:space="preserve">painted during his time in Northern California, </w:t>
      </w:r>
      <w:r w:rsidRPr="00527722">
        <w:rPr>
          <w:rFonts w:cs="Times New Roman"/>
        </w:rPr>
        <w:t>a horse-drawn wagon ap</w:t>
      </w:r>
      <w:r w:rsidR="00353131">
        <w:rPr>
          <w:rFonts w:cs="Times New Roman"/>
        </w:rPr>
        <w:t>proaches a narrow, wooded tra</w:t>
      </w:r>
      <w:r w:rsidR="00353131" w:rsidRPr="00213EC6">
        <w:rPr>
          <w:rFonts w:cs="Times New Roman"/>
        </w:rPr>
        <w:t>il</w:t>
      </w:r>
      <w:r w:rsidRPr="00213EC6">
        <w:rPr>
          <w:rFonts w:cs="Times New Roman"/>
        </w:rPr>
        <w:t xml:space="preserve"> </w:t>
      </w:r>
      <w:r w:rsidR="00353131" w:rsidRPr="00213EC6">
        <w:rPr>
          <w:rFonts w:cs="Times New Roman"/>
        </w:rPr>
        <w:t>(fig. 3.2).</w:t>
      </w:r>
      <w:r w:rsidRPr="00213EC6">
        <w:rPr>
          <w:rFonts w:cs="Times New Roman"/>
        </w:rPr>
        <w:t xml:space="preserve"> T</w:t>
      </w:r>
      <w:r w:rsidRPr="00527722">
        <w:rPr>
          <w:rFonts w:cs="Times New Roman"/>
        </w:rPr>
        <w:t>he trail, blocked by a felled tree, is framed by large evergreen trees in the mid-ground. Further back, a V-shaped aperture rises between two distant mountains. The tall, vertical</w:t>
      </w:r>
      <w:r w:rsidR="006A25ED">
        <w:rPr>
          <w:rFonts w:cs="Times New Roman"/>
        </w:rPr>
        <w:t xml:space="preserve"> opening</w:t>
      </w:r>
      <w:r w:rsidRPr="00527722">
        <w:rPr>
          <w:rFonts w:cs="Times New Roman"/>
        </w:rPr>
        <w:t xml:space="preserve"> is framed twice – once by the evergreens and again by the mountainous aperture. </w:t>
      </w:r>
      <w:r>
        <w:rPr>
          <w:rFonts w:cs="Times New Roman"/>
        </w:rPr>
        <w:t>A</w:t>
      </w:r>
      <w:r w:rsidRPr="00527722">
        <w:rPr>
          <w:rFonts w:cs="Times New Roman"/>
        </w:rPr>
        <w:t xml:space="preserve"> glowing sunset </w:t>
      </w:r>
      <w:r>
        <w:rPr>
          <w:rFonts w:cs="Times New Roman"/>
        </w:rPr>
        <w:t xml:space="preserve">occupied the </w:t>
      </w:r>
      <w:r w:rsidRPr="00527722">
        <w:rPr>
          <w:rFonts w:cs="Times New Roman"/>
        </w:rPr>
        <w:t>center of the aperture</w:t>
      </w:r>
      <w:r>
        <w:rPr>
          <w:rFonts w:cs="Times New Roman"/>
        </w:rPr>
        <w:t xml:space="preserve">. The title, </w:t>
      </w:r>
      <w:r w:rsidRPr="008125F6">
        <w:rPr>
          <w:rFonts w:cs="Times New Roman"/>
          <w:i/>
        </w:rPr>
        <w:t>A Disputed Passage</w:t>
      </w:r>
      <w:r>
        <w:rPr>
          <w:rFonts w:cs="Times New Roman"/>
        </w:rPr>
        <w:t xml:space="preserve">, </w:t>
      </w:r>
      <w:r w:rsidR="006A25ED">
        <w:rPr>
          <w:rFonts w:cs="Times New Roman"/>
        </w:rPr>
        <w:t>recalls</w:t>
      </w:r>
      <w:r>
        <w:rPr>
          <w:rFonts w:cs="Times New Roman"/>
        </w:rPr>
        <w:t xml:space="preserve"> </w:t>
      </w:r>
      <w:r w:rsidR="006A25ED">
        <w:rPr>
          <w:rFonts w:cs="Times New Roman"/>
        </w:rPr>
        <w:t>t</w:t>
      </w:r>
      <w:r>
        <w:rPr>
          <w:rFonts w:cs="Times New Roman"/>
        </w:rPr>
        <w:t>he days of the great California migration of 1849 and suggests the real subject of the painting is the struggle between white settlers and Natives. L</w:t>
      </w:r>
      <w:r w:rsidRPr="00527722">
        <w:rPr>
          <w:rFonts w:cs="Times New Roman"/>
        </w:rPr>
        <w:t xml:space="preserve">ike </w:t>
      </w:r>
      <w:r w:rsidR="00E321EC">
        <w:rPr>
          <w:rFonts w:cs="Times New Roman"/>
          <w:i/>
        </w:rPr>
        <w:t>Kilauea a</w:t>
      </w:r>
      <w:r w:rsidRPr="008125F6">
        <w:rPr>
          <w:rFonts w:cs="Times New Roman"/>
          <w:i/>
        </w:rPr>
        <w:t>t Night</w:t>
      </w:r>
      <w:r w:rsidRPr="00527722">
        <w:rPr>
          <w:rFonts w:cs="Times New Roman"/>
        </w:rPr>
        <w:t xml:space="preserve">, the viewer is focused on a </w:t>
      </w:r>
      <w:r>
        <w:rPr>
          <w:rFonts w:cs="Times New Roman"/>
        </w:rPr>
        <w:t>confrontation with a sublime fire on land</w:t>
      </w:r>
      <w:r w:rsidR="00676C03">
        <w:rPr>
          <w:rFonts w:cs="Times New Roman"/>
        </w:rPr>
        <w:t xml:space="preserve"> that once belonged to Natives.</w:t>
      </w:r>
    </w:p>
    <w:p w14:paraId="198366DB" w14:textId="717C093B" w:rsidR="00B36BA8" w:rsidRPr="00527722" w:rsidRDefault="00B36BA8" w:rsidP="003E215C">
      <w:pPr>
        <w:pStyle w:val="Standard"/>
        <w:spacing w:line="480" w:lineRule="auto"/>
        <w:ind w:firstLine="720"/>
        <w:rPr>
          <w:rFonts w:cs="Times New Roman"/>
        </w:rPr>
      </w:pPr>
      <w:r w:rsidRPr="00527722">
        <w:rPr>
          <w:rFonts w:cs="Times New Roman"/>
        </w:rPr>
        <w:t xml:space="preserve">Another painting, </w:t>
      </w:r>
      <w:r w:rsidRPr="00527722">
        <w:rPr>
          <w:rFonts w:cs="Times New Roman"/>
          <w:i/>
        </w:rPr>
        <w:t>Artist’s Reverie, Dreams at Twilight</w:t>
      </w:r>
      <w:r w:rsidR="006A25ED">
        <w:rPr>
          <w:rFonts w:cs="Times New Roman"/>
          <w:b/>
        </w:rPr>
        <w:t xml:space="preserve">, </w:t>
      </w:r>
      <w:r w:rsidRPr="003350B5">
        <w:rPr>
          <w:rFonts w:cs="Times New Roman"/>
        </w:rPr>
        <w:t>more fully anticipates Tavernier’s</w:t>
      </w:r>
      <w:r>
        <w:rPr>
          <w:rFonts w:cs="Times New Roman"/>
          <w:b/>
        </w:rPr>
        <w:t xml:space="preserve"> </w:t>
      </w:r>
      <w:r>
        <w:rPr>
          <w:rFonts w:cs="Times New Roman"/>
        </w:rPr>
        <w:t>Hawaiian themes</w:t>
      </w:r>
      <w:r w:rsidR="00213EC6">
        <w:rPr>
          <w:rFonts w:cs="Times New Roman"/>
        </w:rPr>
        <w:t xml:space="preserve"> </w:t>
      </w:r>
      <w:r w:rsidR="00213EC6" w:rsidRPr="00E321EC">
        <w:rPr>
          <w:rFonts w:cs="Times New Roman"/>
        </w:rPr>
        <w:t>(fig. 3.3)</w:t>
      </w:r>
      <w:r>
        <w:rPr>
          <w:rFonts w:cs="Times New Roman"/>
        </w:rPr>
        <w:t xml:space="preserve">. In this </w:t>
      </w:r>
      <w:r w:rsidRPr="00527722">
        <w:rPr>
          <w:rFonts w:cs="Times New Roman"/>
        </w:rPr>
        <w:t>somewhat grandiose self-portrait from 1876, the artist confronts fire to gain artistic inspiration. Tavernier sits directly in front of a camp fire, smoking a pipe. He mostly ignores the literal fire in front of him, instead focusing on the more figurative fire in the distance – the blood-red sunset.</w:t>
      </w:r>
      <w:r>
        <w:rPr>
          <w:rFonts w:cs="Times New Roman"/>
        </w:rPr>
        <w:t xml:space="preserve"> The artist</w:t>
      </w:r>
      <w:r w:rsidRPr="00527722">
        <w:rPr>
          <w:rFonts w:cs="Times New Roman"/>
        </w:rPr>
        <w:t xml:space="preserve"> </w:t>
      </w:r>
      <w:r w:rsidR="006A25ED">
        <w:rPr>
          <w:rFonts w:cs="Times New Roman"/>
        </w:rPr>
        <w:t xml:space="preserve">reinterprets </w:t>
      </w:r>
      <w:r w:rsidRPr="00527722">
        <w:rPr>
          <w:rFonts w:cs="Times New Roman"/>
        </w:rPr>
        <w:t xml:space="preserve">his direct confrontation with these fires as catalyst for the creative process. The </w:t>
      </w:r>
      <w:r w:rsidR="006A25ED">
        <w:rPr>
          <w:rFonts w:cs="Times New Roman"/>
        </w:rPr>
        <w:t xml:space="preserve">immediate </w:t>
      </w:r>
      <w:r w:rsidRPr="00527722">
        <w:rPr>
          <w:rFonts w:cs="Times New Roman"/>
        </w:rPr>
        <w:t xml:space="preserve">result </w:t>
      </w:r>
      <w:r w:rsidR="006A25ED">
        <w:rPr>
          <w:rFonts w:cs="Times New Roman"/>
        </w:rPr>
        <w:t xml:space="preserve">can be seen </w:t>
      </w:r>
      <w:r>
        <w:rPr>
          <w:rFonts w:cs="Times New Roman"/>
        </w:rPr>
        <w:t xml:space="preserve">in the </w:t>
      </w:r>
      <w:r w:rsidRPr="00527722">
        <w:rPr>
          <w:rFonts w:cs="Times New Roman"/>
        </w:rPr>
        <w:t>small painting behind Tavernier</w:t>
      </w:r>
      <w:r>
        <w:rPr>
          <w:rFonts w:cs="Times New Roman"/>
        </w:rPr>
        <w:t xml:space="preserve">, in which the artist </w:t>
      </w:r>
      <w:r w:rsidR="006A25ED">
        <w:rPr>
          <w:rFonts w:cs="Times New Roman"/>
        </w:rPr>
        <w:t xml:space="preserve">has </w:t>
      </w:r>
      <w:r w:rsidRPr="00527722">
        <w:rPr>
          <w:rFonts w:cs="Times New Roman"/>
        </w:rPr>
        <w:t>reduc</w:t>
      </w:r>
      <w:r w:rsidR="006A25ED">
        <w:rPr>
          <w:rFonts w:cs="Times New Roman"/>
        </w:rPr>
        <w:t>ed</w:t>
      </w:r>
      <w:r>
        <w:rPr>
          <w:rFonts w:cs="Times New Roman"/>
        </w:rPr>
        <w:t xml:space="preserve"> </w:t>
      </w:r>
      <w:r w:rsidRPr="00527722">
        <w:rPr>
          <w:rFonts w:cs="Times New Roman"/>
        </w:rPr>
        <w:t xml:space="preserve">and </w:t>
      </w:r>
      <w:r w:rsidR="006A25ED">
        <w:rPr>
          <w:rFonts w:cs="Times New Roman"/>
        </w:rPr>
        <w:t xml:space="preserve">transferred </w:t>
      </w:r>
      <w:r w:rsidRPr="00527722">
        <w:rPr>
          <w:rFonts w:cs="Times New Roman"/>
        </w:rPr>
        <w:t>this wild, untamed land into</w:t>
      </w:r>
      <w:r>
        <w:rPr>
          <w:rFonts w:cs="Times New Roman"/>
        </w:rPr>
        <w:t xml:space="preserve"> the conventions of landscape painting. </w:t>
      </w:r>
      <w:r w:rsidRPr="00527722">
        <w:rPr>
          <w:rFonts w:cs="Times New Roman"/>
          <w:i/>
        </w:rPr>
        <w:t>Artist’s Reverie, Dreams at Twilight</w:t>
      </w:r>
      <w:r>
        <w:rPr>
          <w:rFonts w:cs="Times New Roman"/>
        </w:rPr>
        <w:t xml:space="preserve"> functions as a metanarrative;</w:t>
      </w:r>
      <w:r w:rsidRPr="00527722">
        <w:rPr>
          <w:rFonts w:cs="Times New Roman"/>
        </w:rPr>
        <w:t xml:space="preserve"> </w:t>
      </w:r>
      <w:r>
        <w:rPr>
          <w:rFonts w:cs="Times New Roman"/>
        </w:rPr>
        <w:t xml:space="preserve">Tavernier tames various creative fires and translates </w:t>
      </w:r>
      <w:r w:rsidR="006A25ED">
        <w:rPr>
          <w:rFonts w:cs="Times New Roman"/>
        </w:rPr>
        <w:t xml:space="preserve">his confrontation with the sublime into </w:t>
      </w:r>
      <w:r>
        <w:rPr>
          <w:rFonts w:cs="Times New Roman"/>
        </w:rPr>
        <w:t>art. In Hawai’i, Tavernier discovered the perfect subject for such artistic metaphors.</w:t>
      </w:r>
    </w:p>
    <w:p w14:paraId="610D938F" w14:textId="4E8EC71F" w:rsidR="00B36BA8" w:rsidRPr="00527722" w:rsidRDefault="00B36BA8" w:rsidP="003E215C">
      <w:pPr>
        <w:pStyle w:val="Standard"/>
        <w:spacing w:line="480" w:lineRule="auto"/>
        <w:ind w:firstLine="720"/>
        <w:rPr>
          <w:rFonts w:cs="Times New Roman"/>
        </w:rPr>
      </w:pPr>
      <w:r w:rsidRPr="00527722">
        <w:rPr>
          <w:rFonts w:cs="Times New Roman"/>
        </w:rPr>
        <w:t>At the same time Tavernier’s art was moving thematically and formally toward confrontations with the sublime, his</w:t>
      </w:r>
      <w:r w:rsidR="003E0F74">
        <w:rPr>
          <w:rFonts w:cs="Times New Roman"/>
        </w:rPr>
        <w:t xml:space="preserve"> life was moving him ever closer to</w:t>
      </w:r>
      <w:r w:rsidRPr="00527722">
        <w:rPr>
          <w:rFonts w:cs="Times New Roman"/>
        </w:rPr>
        <w:t xml:space="preserve"> </w:t>
      </w:r>
      <w:r>
        <w:rPr>
          <w:rFonts w:cs="Times New Roman"/>
        </w:rPr>
        <w:t>Hawai’i</w:t>
      </w:r>
      <w:r w:rsidRPr="00527722">
        <w:rPr>
          <w:rFonts w:cs="Times New Roman"/>
        </w:rPr>
        <w:t xml:space="preserve">. His long association, in San Francisco and Monterey, with Charles Warren Stoddard would have predisposed him favorably to </w:t>
      </w:r>
      <w:r>
        <w:rPr>
          <w:rFonts w:cs="Times New Roman"/>
        </w:rPr>
        <w:t>Hawaiian</w:t>
      </w:r>
      <w:r w:rsidRPr="00527722">
        <w:rPr>
          <w:rFonts w:cs="Times New Roman"/>
        </w:rPr>
        <w:t xml:space="preserve"> subjects. Stoddard, a travel-writer who had sailed to </w:t>
      </w:r>
      <w:r>
        <w:rPr>
          <w:rFonts w:cs="Times New Roman"/>
        </w:rPr>
        <w:t>Hawai’i</w:t>
      </w:r>
      <w:r w:rsidRPr="00527722">
        <w:rPr>
          <w:rFonts w:cs="Times New Roman"/>
        </w:rPr>
        <w:t xml:space="preserve"> several times in the 1860s and 1870s, authored the travel-journal </w:t>
      </w:r>
      <w:r w:rsidRPr="00527722">
        <w:rPr>
          <w:rFonts w:cs="Times New Roman"/>
          <w:i/>
        </w:rPr>
        <w:t>South Sea Idylls</w:t>
      </w:r>
      <w:r>
        <w:rPr>
          <w:rFonts w:cs="Times New Roman"/>
        </w:rPr>
        <w:t xml:space="preserve"> and</w:t>
      </w:r>
      <w:r w:rsidRPr="00527722">
        <w:rPr>
          <w:rFonts w:cs="Times New Roman"/>
        </w:rPr>
        <w:t xml:space="preserve"> founded the Monterey artist’s colony. </w:t>
      </w:r>
      <w:r w:rsidR="00213EC6">
        <w:rPr>
          <w:rFonts w:cs="Times New Roman"/>
        </w:rPr>
        <w:t>Perhaps more</w:t>
      </w:r>
      <w:r>
        <w:rPr>
          <w:rFonts w:cs="Times New Roman"/>
        </w:rPr>
        <w:t xml:space="preserve"> </w:t>
      </w:r>
      <w:r w:rsidRPr="00527722">
        <w:rPr>
          <w:rFonts w:cs="Times New Roman"/>
        </w:rPr>
        <w:t xml:space="preserve">important </w:t>
      </w:r>
      <w:r>
        <w:rPr>
          <w:rFonts w:cs="Times New Roman"/>
        </w:rPr>
        <w:t xml:space="preserve">to </w:t>
      </w:r>
      <w:r w:rsidR="00213EC6">
        <w:rPr>
          <w:rFonts w:cs="Times New Roman"/>
        </w:rPr>
        <w:t xml:space="preserve">nurturing </w:t>
      </w:r>
      <w:r>
        <w:rPr>
          <w:rFonts w:cs="Times New Roman"/>
        </w:rPr>
        <w:t xml:space="preserve">Tavernier’s fascination with Hawai’i, </w:t>
      </w:r>
      <w:r w:rsidRPr="00527722">
        <w:rPr>
          <w:rFonts w:cs="Times New Roman"/>
        </w:rPr>
        <w:t>tho</w:t>
      </w:r>
      <w:r>
        <w:rPr>
          <w:rFonts w:cs="Times New Roman"/>
        </w:rPr>
        <w:t>ugh, w</w:t>
      </w:r>
      <w:r w:rsidR="00213EC6">
        <w:rPr>
          <w:rFonts w:cs="Times New Roman"/>
        </w:rPr>
        <w:t xml:space="preserve">as </w:t>
      </w:r>
      <w:r>
        <w:rPr>
          <w:rFonts w:cs="Times New Roman"/>
        </w:rPr>
        <w:t>the counsel</w:t>
      </w:r>
      <w:r w:rsidRPr="00527722">
        <w:rPr>
          <w:rFonts w:cs="Times New Roman"/>
        </w:rPr>
        <w:t xml:space="preserve"> of fellow artist Joseph Strong, with whom Tavernier shared a Monterey studio for several years.</w:t>
      </w:r>
      <w:r w:rsidRPr="00527722">
        <w:rPr>
          <w:rStyle w:val="FootnoteReference"/>
          <w:rFonts w:cs="Times New Roman"/>
        </w:rPr>
        <w:footnoteReference w:id="109"/>
      </w:r>
      <w:r w:rsidRPr="00527722">
        <w:rPr>
          <w:rFonts w:cs="Times New Roman"/>
        </w:rPr>
        <w:t xml:space="preserve"> Strong </w:t>
      </w:r>
      <w:r w:rsidR="006A25ED">
        <w:rPr>
          <w:rFonts w:cs="Times New Roman"/>
        </w:rPr>
        <w:t xml:space="preserve">had </w:t>
      </w:r>
      <w:r w:rsidRPr="00527722">
        <w:rPr>
          <w:rFonts w:cs="Times New Roman"/>
        </w:rPr>
        <w:t xml:space="preserve">lived in </w:t>
      </w:r>
      <w:r>
        <w:rPr>
          <w:rFonts w:cs="Times New Roman"/>
        </w:rPr>
        <w:t>Hawai’i</w:t>
      </w:r>
      <w:r w:rsidRPr="00527722">
        <w:rPr>
          <w:rFonts w:cs="Times New Roman"/>
        </w:rPr>
        <w:t xml:space="preserve"> with his missionary parents as a child. In 1882, Strong left Monterey to return to </w:t>
      </w:r>
      <w:r>
        <w:rPr>
          <w:rFonts w:cs="Times New Roman"/>
        </w:rPr>
        <w:t>Hawai’i</w:t>
      </w:r>
      <w:r w:rsidRPr="00527722">
        <w:rPr>
          <w:rFonts w:cs="Times New Roman"/>
        </w:rPr>
        <w:t xml:space="preserve">, where he and his wife, Isobel, settled for </w:t>
      </w:r>
      <w:r w:rsidR="00213EC6">
        <w:rPr>
          <w:rFonts w:cs="Times New Roman"/>
        </w:rPr>
        <w:t xml:space="preserve">a </w:t>
      </w:r>
      <w:r w:rsidRPr="00527722">
        <w:rPr>
          <w:rFonts w:cs="Times New Roman"/>
        </w:rPr>
        <w:t>decade.</w:t>
      </w:r>
      <w:r w:rsidRPr="00527722">
        <w:rPr>
          <w:rStyle w:val="FootnoteReference"/>
          <w:rFonts w:cs="Times New Roman"/>
        </w:rPr>
        <w:footnoteReference w:id="110"/>
      </w:r>
      <w:r w:rsidRPr="00527722">
        <w:rPr>
          <w:rFonts w:cs="Times New Roman"/>
        </w:rPr>
        <w:t xml:space="preserve"> Almost immediately, the Strongs began writing to Tavernier, urging him and his wife to join them. Late in 1883, Tavernier </w:t>
      </w:r>
      <w:r w:rsidR="006A25ED">
        <w:rPr>
          <w:rFonts w:cs="Times New Roman"/>
        </w:rPr>
        <w:t xml:space="preserve">acceded, </w:t>
      </w:r>
      <w:r w:rsidRPr="00527722">
        <w:rPr>
          <w:rFonts w:cs="Times New Roman"/>
        </w:rPr>
        <w:t>at least in principle</w:t>
      </w:r>
      <w:r w:rsidR="006A25ED">
        <w:rPr>
          <w:rFonts w:cs="Times New Roman"/>
        </w:rPr>
        <w:t>, and, in l</w:t>
      </w:r>
      <w:r w:rsidR="006A25ED" w:rsidRPr="00527722">
        <w:rPr>
          <w:rFonts w:cs="Times New Roman"/>
        </w:rPr>
        <w:t xml:space="preserve">ate in 1884, he got his first chance to paint a </w:t>
      </w:r>
      <w:r w:rsidR="006A25ED">
        <w:rPr>
          <w:rFonts w:cs="Times New Roman"/>
        </w:rPr>
        <w:t>Hawaiian</w:t>
      </w:r>
      <w:r w:rsidR="006A25ED" w:rsidRPr="00527722">
        <w:rPr>
          <w:rFonts w:cs="Times New Roman"/>
        </w:rPr>
        <w:t xml:space="preserve"> volcano scene.</w:t>
      </w:r>
      <w:r w:rsidRPr="00527722">
        <w:rPr>
          <w:rStyle w:val="FootnoteReference"/>
          <w:rFonts w:cs="Times New Roman"/>
        </w:rPr>
        <w:footnoteReference w:id="111"/>
      </w:r>
      <w:r w:rsidR="006A25ED">
        <w:rPr>
          <w:rFonts w:cs="Times New Roman"/>
        </w:rPr>
        <w:t xml:space="preserve"> </w:t>
      </w:r>
      <w:r w:rsidRPr="00527722">
        <w:rPr>
          <w:rFonts w:cs="Times New Roman"/>
        </w:rPr>
        <w:t xml:space="preserve">While still in California, Tavernier received a commission from Edward Macfarlane, owner of the San Francisco newspaper </w:t>
      </w:r>
      <w:r w:rsidRPr="00527722">
        <w:rPr>
          <w:rFonts w:cs="Times New Roman"/>
          <w:i/>
        </w:rPr>
        <w:t>The</w:t>
      </w:r>
      <w:r w:rsidRPr="00527722">
        <w:rPr>
          <w:rFonts w:cs="Times New Roman"/>
        </w:rPr>
        <w:t xml:space="preserve"> </w:t>
      </w:r>
      <w:r w:rsidRPr="00527722">
        <w:rPr>
          <w:rFonts w:cs="Times New Roman"/>
          <w:i/>
        </w:rPr>
        <w:t>Wasp</w:t>
      </w:r>
      <w:r w:rsidRPr="00527722">
        <w:rPr>
          <w:rFonts w:cs="Times New Roman"/>
        </w:rPr>
        <w:t>, for two volcano paintings, works based on oral, written, and photographic descriptions.</w:t>
      </w:r>
      <w:r w:rsidRPr="00527722">
        <w:rPr>
          <w:rStyle w:val="FootnoteReference"/>
          <w:rFonts w:cs="Times New Roman"/>
        </w:rPr>
        <w:footnoteReference w:id="112"/>
      </w:r>
      <w:r w:rsidRPr="00527722">
        <w:rPr>
          <w:rFonts w:cs="Times New Roman"/>
        </w:rPr>
        <w:t xml:space="preserve"> In November, he displayed these works at the Monterey Palette Club,</w:t>
      </w:r>
      <w:r w:rsidRPr="00527722">
        <w:rPr>
          <w:rStyle w:val="FootnoteReference"/>
          <w:rFonts w:cs="Times New Roman"/>
        </w:rPr>
        <w:footnoteReference w:id="113"/>
      </w:r>
      <w:r w:rsidRPr="00527722">
        <w:rPr>
          <w:rFonts w:cs="Times New Roman"/>
        </w:rPr>
        <w:t xml:space="preserve"> and in December, </w:t>
      </w:r>
      <w:r w:rsidRPr="00527722">
        <w:rPr>
          <w:rFonts w:cs="Times New Roman"/>
          <w:i/>
        </w:rPr>
        <w:t>The</w:t>
      </w:r>
      <w:r w:rsidRPr="00527722">
        <w:rPr>
          <w:rFonts w:cs="Times New Roman"/>
        </w:rPr>
        <w:t xml:space="preserve"> </w:t>
      </w:r>
      <w:r w:rsidRPr="00527722">
        <w:rPr>
          <w:rFonts w:cs="Times New Roman"/>
          <w:i/>
        </w:rPr>
        <w:t>Wasp</w:t>
      </w:r>
      <w:r w:rsidRPr="00527722">
        <w:rPr>
          <w:rFonts w:cs="Times New Roman"/>
        </w:rPr>
        <w:t xml:space="preserve"> published an illustration of them, a “grand and realistic picture of the burning lake at Kilauea . . . done in fourteen colors,”</w:t>
      </w:r>
      <w:r w:rsidRPr="00527722">
        <w:rPr>
          <w:rStyle w:val="FootnoteReference"/>
          <w:rFonts w:cs="Times New Roman"/>
        </w:rPr>
        <w:footnoteReference w:id="114"/>
      </w:r>
      <w:r w:rsidRPr="00527722">
        <w:rPr>
          <w:rFonts w:cs="Times New Roman"/>
        </w:rPr>
        <w:t xml:space="preserve"> in its Christmas edition. Joseph and Isobel Strong greeted Tavernier on December 23, 1884, at the dock in Honolulu.</w:t>
      </w:r>
      <w:r w:rsidRPr="00527722">
        <w:rPr>
          <w:rStyle w:val="FootnoteReference"/>
          <w:rFonts w:cs="Times New Roman"/>
        </w:rPr>
        <w:footnoteReference w:id="115"/>
      </w:r>
    </w:p>
    <w:p w14:paraId="60E2B109" w14:textId="44192362" w:rsidR="00B36BA8" w:rsidRPr="00527722" w:rsidRDefault="00B36BA8" w:rsidP="003E215C">
      <w:pPr>
        <w:pStyle w:val="Standard"/>
        <w:spacing w:line="480" w:lineRule="auto"/>
        <w:ind w:firstLine="720"/>
        <w:rPr>
          <w:rFonts w:cs="Times New Roman"/>
        </w:rPr>
      </w:pPr>
      <w:r w:rsidRPr="00527722">
        <w:rPr>
          <w:rFonts w:cs="Times New Roman"/>
        </w:rPr>
        <w:t>Whatever his motivation</w:t>
      </w:r>
      <w:r>
        <w:rPr>
          <w:rFonts w:cs="Times New Roman"/>
        </w:rPr>
        <w:t xml:space="preserve"> for sailing to the Pacific</w:t>
      </w:r>
      <w:r w:rsidRPr="00527722">
        <w:rPr>
          <w:rFonts w:cs="Times New Roman"/>
        </w:rPr>
        <w:t xml:space="preserve">, Tavernier could not have picked a more propitious moment to travel to </w:t>
      </w:r>
      <w:r>
        <w:rPr>
          <w:rFonts w:cs="Times New Roman"/>
        </w:rPr>
        <w:t>Hawai’i</w:t>
      </w:r>
      <w:r w:rsidR="00A77641">
        <w:rPr>
          <w:rFonts w:cs="Times New Roman"/>
        </w:rPr>
        <w:t>.</w:t>
      </w:r>
      <w:r w:rsidRPr="00527722">
        <w:rPr>
          <w:rFonts w:cs="Times New Roman"/>
        </w:rPr>
        <w:t xml:space="preserve"> </w:t>
      </w:r>
      <w:r>
        <w:rPr>
          <w:rFonts w:cs="Times New Roman"/>
        </w:rPr>
        <w:t xml:space="preserve">From the </w:t>
      </w:r>
      <w:r w:rsidRPr="00527722">
        <w:rPr>
          <w:rFonts w:cs="Times New Roman"/>
        </w:rPr>
        <w:t xml:space="preserve">1880s </w:t>
      </w:r>
      <w:r>
        <w:rPr>
          <w:rFonts w:cs="Times New Roman"/>
        </w:rPr>
        <w:t xml:space="preserve">until the </w:t>
      </w:r>
      <w:r w:rsidRPr="00527722">
        <w:rPr>
          <w:rFonts w:cs="Times New Roman"/>
        </w:rPr>
        <w:t xml:space="preserve">early twentieth century, </w:t>
      </w:r>
      <w:r>
        <w:rPr>
          <w:rFonts w:cs="Times New Roman"/>
        </w:rPr>
        <w:t xml:space="preserve">the lava vent </w:t>
      </w:r>
      <w:r w:rsidRPr="00527722">
        <w:rPr>
          <w:rFonts w:cs="Times New Roman"/>
        </w:rPr>
        <w:t xml:space="preserve">in the </w:t>
      </w:r>
      <w:r>
        <w:rPr>
          <w:rFonts w:cs="Times New Roman"/>
        </w:rPr>
        <w:t xml:space="preserve">caldera </w:t>
      </w:r>
      <w:r w:rsidRPr="00527722">
        <w:rPr>
          <w:rFonts w:cs="Times New Roman"/>
        </w:rPr>
        <w:t>floor</w:t>
      </w:r>
      <w:r>
        <w:rPr>
          <w:rFonts w:cs="Times New Roman"/>
        </w:rPr>
        <w:t xml:space="preserve"> </w:t>
      </w:r>
      <w:r w:rsidRPr="00527722">
        <w:rPr>
          <w:rFonts w:cs="Times New Roman"/>
        </w:rPr>
        <w:t>of Kilauea</w:t>
      </w:r>
      <w:r>
        <w:rPr>
          <w:rFonts w:cs="Times New Roman"/>
        </w:rPr>
        <w:t xml:space="preserve"> </w:t>
      </w:r>
      <w:r w:rsidRPr="00527722">
        <w:rPr>
          <w:rFonts w:cs="Times New Roman"/>
        </w:rPr>
        <w:t>experienced near-continuous volcanic activity.</w:t>
      </w:r>
      <w:r w:rsidRPr="00527722">
        <w:rPr>
          <w:rStyle w:val="FootnoteReference"/>
          <w:rFonts w:cs="Times New Roman"/>
        </w:rPr>
        <w:footnoteReference w:id="116"/>
      </w:r>
      <w:r w:rsidR="00213EC6">
        <w:rPr>
          <w:rFonts w:cs="Times New Roman"/>
        </w:rPr>
        <w:t xml:space="preserve"> </w:t>
      </w:r>
      <w:r w:rsidRPr="00527722">
        <w:rPr>
          <w:rFonts w:cs="Times New Roman"/>
        </w:rPr>
        <w:t xml:space="preserve">Tavernier </w:t>
      </w:r>
      <w:r>
        <w:rPr>
          <w:rFonts w:cs="Times New Roman"/>
        </w:rPr>
        <w:t xml:space="preserve">and other </w:t>
      </w:r>
      <w:r w:rsidRPr="00527722">
        <w:rPr>
          <w:rFonts w:cs="Times New Roman"/>
        </w:rPr>
        <w:t>Volcano School</w:t>
      </w:r>
      <w:r>
        <w:rPr>
          <w:rFonts w:cs="Times New Roman"/>
        </w:rPr>
        <w:t xml:space="preserve"> artists </w:t>
      </w:r>
      <w:r w:rsidRPr="00527722">
        <w:rPr>
          <w:rFonts w:cs="Times New Roman"/>
        </w:rPr>
        <w:t xml:space="preserve">traveled to the volcano </w:t>
      </w:r>
      <w:r>
        <w:rPr>
          <w:rFonts w:cs="Times New Roman"/>
        </w:rPr>
        <w:t xml:space="preserve">regularly </w:t>
      </w:r>
      <w:r w:rsidRPr="00527722">
        <w:rPr>
          <w:rFonts w:cs="Times New Roman"/>
        </w:rPr>
        <w:t>to sketch and paint from life</w:t>
      </w:r>
      <w:r>
        <w:rPr>
          <w:rFonts w:cs="Times New Roman"/>
        </w:rPr>
        <w:t xml:space="preserve">, </w:t>
      </w:r>
      <w:r w:rsidRPr="00527722">
        <w:rPr>
          <w:rFonts w:cs="Times New Roman"/>
        </w:rPr>
        <w:t>produc</w:t>
      </w:r>
      <w:r>
        <w:rPr>
          <w:rFonts w:cs="Times New Roman"/>
        </w:rPr>
        <w:t>ing</w:t>
      </w:r>
      <w:r w:rsidRPr="00527722">
        <w:rPr>
          <w:rFonts w:cs="Times New Roman"/>
        </w:rPr>
        <w:t xml:space="preserve"> hundreds of </w:t>
      </w:r>
      <w:r w:rsidR="00A77641">
        <w:rPr>
          <w:rFonts w:cs="Times New Roman"/>
        </w:rPr>
        <w:t>pa</w:t>
      </w:r>
      <w:r w:rsidRPr="00527722">
        <w:rPr>
          <w:rFonts w:cs="Times New Roman"/>
        </w:rPr>
        <w:t>intings, all of which centered on the confron</w:t>
      </w:r>
      <w:r w:rsidR="003E0F74">
        <w:rPr>
          <w:rFonts w:cs="Times New Roman"/>
        </w:rPr>
        <w:t xml:space="preserve">tation between viewer and lava </w:t>
      </w:r>
      <w:r w:rsidR="003E0F74" w:rsidRPr="00E321EC">
        <w:rPr>
          <w:rFonts w:cs="Times New Roman"/>
        </w:rPr>
        <w:t>(fig. 3</w:t>
      </w:r>
      <w:r w:rsidR="003E0F74" w:rsidRPr="00213EC6">
        <w:rPr>
          <w:rFonts w:cs="Times New Roman"/>
        </w:rPr>
        <w:t>.4). T</w:t>
      </w:r>
      <w:r w:rsidR="003E0F74" w:rsidRPr="003E0F74">
        <w:rPr>
          <w:rFonts w:cs="Times New Roman"/>
        </w:rPr>
        <w:t xml:space="preserve">he </w:t>
      </w:r>
      <w:r w:rsidRPr="00527722">
        <w:rPr>
          <w:rFonts w:cs="Times New Roman"/>
        </w:rPr>
        <w:t xml:space="preserve">paintings produced by these artists share so many common characteristics </w:t>
      </w:r>
      <w:r w:rsidR="00213EC6">
        <w:rPr>
          <w:rFonts w:cs="Times New Roman"/>
        </w:rPr>
        <w:t xml:space="preserve">as to </w:t>
      </w:r>
      <w:r w:rsidRPr="00527722">
        <w:rPr>
          <w:rFonts w:cs="Times New Roman"/>
        </w:rPr>
        <w:t xml:space="preserve">border on formulaic. Typical volcano paintings of the 1880s focus on a close-up view of the crater of Kilauea seen through </w:t>
      </w:r>
      <w:r>
        <w:rPr>
          <w:rFonts w:cs="Times New Roman"/>
        </w:rPr>
        <w:t xml:space="preserve">a frame of </w:t>
      </w:r>
      <w:r w:rsidRPr="00527722">
        <w:rPr>
          <w:rFonts w:cs="Times New Roman"/>
        </w:rPr>
        <w:t>jagged lava rocks. Most are set at night, which allows the artists to explore tenebristic contrasts of light and dark, provid</w:t>
      </w:r>
      <w:r w:rsidR="00213EC6">
        <w:rPr>
          <w:rFonts w:cs="Times New Roman"/>
        </w:rPr>
        <w:t>ing</w:t>
      </w:r>
      <w:r w:rsidRPr="00527722">
        <w:rPr>
          <w:rFonts w:cs="Times New Roman"/>
        </w:rPr>
        <w:t xml:space="preserve"> built-in drama. </w:t>
      </w:r>
      <w:r w:rsidR="00213EC6">
        <w:rPr>
          <w:rFonts w:cs="Times New Roman"/>
        </w:rPr>
        <w:t>T</w:t>
      </w:r>
      <w:r w:rsidRPr="00527722">
        <w:rPr>
          <w:rFonts w:cs="Times New Roman"/>
        </w:rPr>
        <w:t xml:space="preserve">he lava field </w:t>
      </w:r>
      <w:r w:rsidR="00213EC6">
        <w:rPr>
          <w:rFonts w:cs="Times New Roman"/>
        </w:rPr>
        <w:t>is show</w:t>
      </w:r>
      <w:r w:rsidR="003941EB">
        <w:rPr>
          <w:rFonts w:cs="Times New Roman"/>
        </w:rPr>
        <w:t>n</w:t>
      </w:r>
      <w:r w:rsidR="00213EC6">
        <w:rPr>
          <w:rFonts w:cs="Times New Roman"/>
        </w:rPr>
        <w:t xml:space="preserve"> </w:t>
      </w:r>
      <w:r w:rsidRPr="00527722">
        <w:rPr>
          <w:rFonts w:cs="Times New Roman"/>
        </w:rPr>
        <w:t>in a st</w:t>
      </w:r>
      <w:r w:rsidR="00213EC6">
        <w:rPr>
          <w:rFonts w:cs="Times New Roman"/>
        </w:rPr>
        <w:t>ate of flux, contrasting white-and-</w:t>
      </w:r>
      <w:r w:rsidRPr="00527722">
        <w:rPr>
          <w:rFonts w:cs="Times New Roman"/>
        </w:rPr>
        <w:t>yellow eruptions of lava with the yellow-red and crimson-red majority of the lava field, which in turn gives way to cooler browns and blacks of crusted-over lava. Clouds are often featured immediately above the crater, obscuring the sky above except for a silvery moon shining through a small break in the clouds.</w:t>
      </w:r>
    </w:p>
    <w:p w14:paraId="73AE892C" w14:textId="63C20D53" w:rsidR="00B36BA8" w:rsidRDefault="00B36BA8" w:rsidP="003E215C">
      <w:pPr>
        <w:pStyle w:val="Standard"/>
        <w:spacing w:line="480" w:lineRule="auto"/>
        <w:ind w:firstLine="720"/>
        <w:rPr>
          <w:rFonts w:cs="Times New Roman"/>
        </w:rPr>
      </w:pPr>
      <w:r>
        <w:rPr>
          <w:rFonts w:cs="Times New Roman"/>
        </w:rPr>
        <w:t xml:space="preserve">Volcano School </w:t>
      </w:r>
      <w:r w:rsidRPr="00527722">
        <w:rPr>
          <w:rFonts w:cs="Times New Roman"/>
        </w:rPr>
        <w:t xml:space="preserve">paintings focus the viewer on the </w:t>
      </w:r>
      <w:r>
        <w:rPr>
          <w:rFonts w:cs="Times New Roman"/>
        </w:rPr>
        <w:t xml:space="preserve">singular, static </w:t>
      </w:r>
      <w:r w:rsidRPr="00527722">
        <w:rPr>
          <w:rFonts w:cs="Times New Roman"/>
        </w:rPr>
        <w:t xml:space="preserve">moment </w:t>
      </w:r>
      <w:r>
        <w:rPr>
          <w:rFonts w:cs="Times New Roman"/>
        </w:rPr>
        <w:t>when the traveler / artist “</w:t>
      </w:r>
      <w:r w:rsidRPr="00527722">
        <w:rPr>
          <w:rFonts w:cs="Times New Roman"/>
        </w:rPr>
        <w:t>discover</w:t>
      </w:r>
      <w:r w:rsidR="00A77641">
        <w:rPr>
          <w:rFonts w:cs="Times New Roman"/>
        </w:rPr>
        <w:t>s” the crater</w:t>
      </w:r>
      <w:r>
        <w:rPr>
          <w:rFonts w:cs="Times New Roman"/>
        </w:rPr>
        <w:t xml:space="preserve">. The viewer is dropped into the </w:t>
      </w:r>
      <w:r w:rsidR="00A77641">
        <w:rPr>
          <w:rFonts w:cs="Times New Roman"/>
        </w:rPr>
        <w:t xml:space="preserve">scene </w:t>
      </w:r>
      <w:r w:rsidR="00DE3EE9">
        <w:rPr>
          <w:rFonts w:cs="Times New Roman"/>
        </w:rPr>
        <w:t>with no reference to travel</w:t>
      </w:r>
      <w:r>
        <w:rPr>
          <w:rFonts w:cs="Times New Roman"/>
        </w:rPr>
        <w:t xml:space="preserve"> or time; the moment of discovery exists alone and separate from history. </w:t>
      </w:r>
      <w:r w:rsidRPr="00527722">
        <w:rPr>
          <w:rFonts w:cs="Times New Roman"/>
        </w:rPr>
        <w:t xml:space="preserve">Yet </w:t>
      </w:r>
      <w:r>
        <w:rPr>
          <w:rFonts w:cs="Times New Roman"/>
        </w:rPr>
        <w:t xml:space="preserve">on closer inspection, </w:t>
      </w:r>
      <w:r w:rsidR="00A77641">
        <w:rPr>
          <w:rFonts w:cs="Times New Roman"/>
        </w:rPr>
        <w:t xml:space="preserve">Tavernier’s </w:t>
      </w:r>
      <w:r w:rsidR="00E321EC">
        <w:rPr>
          <w:rFonts w:cs="Times New Roman"/>
          <w:i/>
        </w:rPr>
        <w:t>View of Kilauea Volcano a</w:t>
      </w:r>
      <w:r w:rsidRPr="00527722">
        <w:rPr>
          <w:rFonts w:cs="Times New Roman"/>
          <w:i/>
        </w:rPr>
        <w:t>t Night</w:t>
      </w:r>
      <w:r>
        <w:rPr>
          <w:rFonts w:cs="Times New Roman"/>
        </w:rPr>
        <w:t xml:space="preserve"> </w:t>
      </w:r>
      <w:r w:rsidR="00A77641">
        <w:rPr>
          <w:rFonts w:cs="Times New Roman"/>
        </w:rPr>
        <w:t xml:space="preserve">does </w:t>
      </w:r>
      <w:r w:rsidRPr="00527722">
        <w:rPr>
          <w:rFonts w:cs="Times New Roman"/>
        </w:rPr>
        <w:t xml:space="preserve">subtly suggest </w:t>
      </w:r>
      <w:r>
        <w:rPr>
          <w:rFonts w:cs="Times New Roman"/>
        </w:rPr>
        <w:t>movement to, and through, the crater</w:t>
      </w:r>
      <w:r w:rsidRPr="00527722">
        <w:rPr>
          <w:rFonts w:cs="Times New Roman"/>
        </w:rPr>
        <w:t>. The horizon line echoes the concave aperture through which the viewer sees the crater. This echo effectively compresses the visual field, making the immense space seem more manageable. At the top of the crater the suggestion of a road or path circl</w:t>
      </w:r>
      <w:r w:rsidR="00A77641">
        <w:rPr>
          <w:rFonts w:cs="Times New Roman"/>
        </w:rPr>
        <w:t xml:space="preserve">es </w:t>
      </w:r>
      <w:r w:rsidRPr="00527722">
        <w:rPr>
          <w:rFonts w:cs="Times New Roman"/>
        </w:rPr>
        <w:t>the caldron</w:t>
      </w:r>
      <w:r w:rsidR="00A77641">
        <w:rPr>
          <w:rFonts w:cs="Times New Roman"/>
        </w:rPr>
        <w:t xml:space="preserve">, </w:t>
      </w:r>
      <w:r w:rsidRPr="00527722">
        <w:rPr>
          <w:rFonts w:cs="Times New Roman"/>
        </w:rPr>
        <w:t>encourag</w:t>
      </w:r>
      <w:r w:rsidR="00A77641">
        <w:rPr>
          <w:rFonts w:cs="Times New Roman"/>
        </w:rPr>
        <w:t xml:space="preserve">ing </w:t>
      </w:r>
      <w:r w:rsidRPr="00527722">
        <w:rPr>
          <w:rFonts w:cs="Times New Roman"/>
        </w:rPr>
        <w:t>an imaginative circumnavigat</w:t>
      </w:r>
      <w:r w:rsidR="00A77641">
        <w:rPr>
          <w:rFonts w:cs="Times New Roman"/>
        </w:rPr>
        <w:t xml:space="preserve">ion </w:t>
      </w:r>
      <w:r w:rsidRPr="00527722">
        <w:rPr>
          <w:rFonts w:cs="Times New Roman"/>
        </w:rPr>
        <w:t xml:space="preserve">of </w:t>
      </w:r>
      <w:r w:rsidR="00A77641">
        <w:rPr>
          <w:rFonts w:cs="Times New Roman"/>
        </w:rPr>
        <w:t>that s</w:t>
      </w:r>
      <w:r>
        <w:rPr>
          <w:rFonts w:cs="Times New Roman"/>
        </w:rPr>
        <w:t>uggests a way into and out of the immense crater</w:t>
      </w:r>
      <w:r w:rsidRPr="00527722">
        <w:rPr>
          <w:rFonts w:cs="Times New Roman"/>
        </w:rPr>
        <w:t>.</w:t>
      </w:r>
    </w:p>
    <w:p w14:paraId="09D15433" w14:textId="79545745" w:rsidR="00B36BA8" w:rsidRPr="00527722" w:rsidRDefault="00B36BA8" w:rsidP="003E215C">
      <w:pPr>
        <w:pStyle w:val="Standard"/>
        <w:spacing w:line="480" w:lineRule="auto"/>
        <w:ind w:firstLine="720"/>
        <w:rPr>
          <w:rFonts w:cs="Times New Roman"/>
        </w:rPr>
      </w:pPr>
      <w:r w:rsidRPr="00527722">
        <w:rPr>
          <w:rFonts w:cs="Times New Roman"/>
        </w:rPr>
        <w:t xml:space="preserve">Above the level of the crater rim, the sky resolves into various hues of gray, blue, brown, and black, the colors of the smoke rising from the fiery lava bed below. The dark colors and lack of light lend a funereal mood to the painting </w:t>
      </w:r>
      <w:r>
        <w:rPr>
          <w:rFonts w:cs="Times New Roman"/>
        </w:rPr>
        <w:t xml:space="preserve">while providing </w:t>
      </w:r>
      <w:r w:rsidRPr="00527722">
        <w:rPr>
          <w:rFonts w:cs="Times New Roman"/>
        </w:rPr>
        <w:t>a ceiling for the cauldron, insulating the scene and sending the viewer’s eye back into the crater. The convex lines offered</w:t>
      </w:r>
      <w:r w:rsidR="00A77641">
        <w:rPr>
          <w:rFonts w:cs="Times New Roman"/>
        </w:rPr>
        <w:t xml:space="preserve"> by the crater and horizon </w:t>
      </w:r>
      <w:r w:rsidRPr="00527722">
        <w:rPr>
          <w:rFonts w:cs="Times New Roman"/>
        </w:rPr>
        <w:t xml:space="preserve">add to this insularity by leading the eye, circularly, from the depths of the lava field, back up through the crater/horizon lines, and up to the sky. This circularity leads the viewer’s eye up, down, and around the oval shape formed by the lines of the crater, suggesting movement around </w:t>
      </w:r>
      <w:r w:rsidR="00A77641">
        <w:rPr>
          <w:rFonts w:cs="Times New Roman"/>
        </w:rPr>
        <w:t xml:space="preserve">its </w:t>
      </w:r>
      <w:r w:rsidRPr="00527722">
        <w:rPr>
          <w:rFonts w:cs="Times New Roman"/>
        </w:rPr>
        <w:t xml:space="preserve">perimeter. The circularity, too, leads the eye continuously back to the lava field, the focal point of the </w:t>
      </w:r>
      <w:r w:rsidR="00A77641">
        <w:rPr>
          <w:rFonts w:cs="Times New Roman"/>
        </w:rPr>
        <w:t xml:space="preserve">image. </w:t>
      </w:r>
      <w:r w:rsidRPr="00527722">
        <w:rPr>
          <w:rFonts w:cs="Times New Roman"/>
        </w:rPr>
        <w:t xml:space="preserve">The lava bed’s brilliant, saturated reds, red-oranges, and yellows give way to browns and blacks, stable “furrows” made of cooler colors indicating </w:t>
      </w:r>
      <w:r w:rsidR="00A77641">
        <w:rPr>
          <w:rFonts w:cs="Times New Roman"/>
        </w:rPr>
        <w:t xml:space="preserve">that </w:t>
      </w:r>
      <w:r w:rsidRPr="00527722">
        <w:rPr>
          <w:rFonts w:cs="Times New Roman"/>
        </w:rPr>
        <w:t>some level of crust has formed. These cooler colors provide the viewer a path through the lava field. To the left and the right, white-yellow molten lava flares burst through the semi-stable crust, shooting</w:t>
      </w:r>
      <w:r w:rsidR="00676C03">
        <w:rPr>
          <w:rFonts w:cs="Times New Roman"/>
        </w:rPr>
        <w:t xml:space="preserve"> vertically up through the air.</w:t>
      </w:r>
    </w:p>
    <w:p w14:paraId="3E97DBB4" w14:textId="26C3B3B5" w:rsidR="00B36BA8" w:rsidRPr="00527722" w:rsidRDefault="00B36BA8" w:rsidP="003E215C">
      <w:pPr>
        <w:pStyle w:val="Standard"/>
        <w:spacing w:line="480" w:lineRule="auto"/>
        <w:ind w:firstLine="720"/>
        <w:rPr>
          <w:rFonts w:cs="Times New Roman"/>
        </w:rPr>
      </w:pPr>
      <w:r>
        <w:rPr>
          <w:rFonts w:cs="Times New Roman"/>
        </w:rPr>
        <w:t xml:space="preserve">The </w:t>
      </w:r>
      <w:r w:rsidR="00A77641">
        <w:rPr>
          <w:rFonts w:cs="Times New Roman"/>
        </w:rPr>
        <w:t xml:space="preserve">centrality </w:t>
      </w:r>
      <w:r>
        <w:rPr>
          <w:rFonts w:cs="Times New Roman"/>
        </w:rPr>
        <w:t xml:space="preserve">of the lava field is important because in many </w:t>
      </w:r>
      <w:r w:rsidRPr="00527722">
        <w:rPr>
          <w:rFonts w:cs="Times New Roman"/>
        </w:rPr>
        <w:t xml:space="preserve">volcano discovery narrative texts, crossing </w:t>
      </w:r>
      <w:r>
        <w:rPr>
          <w:rFonts w:cs="Times New Roman"/>
        </w:rPr>
        <w:t xml:space="preserve">the lava field </w:t>
      </w:r>
      <w:r w:rsidRPr="00527722">
        <w:rPr>
          <w:rFonts w:cs="Times New Roman"/>
        </w:rPr>
        <w:t xml:space="preserve">serves as the climax of the expedition. </w:t>
      </w:r>
      <w:r w:rsidR="00DE3EE9">
        <w:rPr>
          <w:rFonts w:cs="Times New Roman"/>
        </w:rPr>
        <w:t>I</w:t>
      </w:r>
      <w:r w:rsidRPr="00527722">
        <w:rPr>
          <w:rFonts w:cs="Times New Roman"/>
        </w:rPr>
        <w:t xml:space="preserve">n Mark Twain’s </w:t>
      </w:r>
      <w:r w:rsidR="00A77641">
        <w:rPr>
          <w:rFonts w:cs="Times New Roman"/>
        </w:rPr>
        <w:t>version</w:t>
      </w:r>
      <w:r w:rsidRPr="00527722">
        <w:rPr>
          <w:rFonts w:cs="Times New Roman"/>
        </w:rPr>
        <w:t xml:space="preserve">, first recounted in letters sent back to the </w:t>
      </w:r>
      <w:r w:rsidRPr="00527722">
        <w:rPr>
          <w:rFonts w:cs="Times New Roman"/>
          <w:i/>
        </w:rPr>
        <w:t>Sacramento Union</w:t>
      </w:r>
      <w:r w:rsidRPr="00527722">
        <w:rPr>
          <w:rFonts w:cs="Times New Roman"/>
        </w:rPr>
        <w:t xml:space="preserve"> in 1866 and subsequently retold in </w:t>
      </w:r>
      <w:r w:rsidRPr="00527722">
        <w:rPr>
          <w:rFonts w:cs="Times New Roman"/>
          <w:i/>
        </w:rPr>
        <w:t>Roughing It</w:t>
      </w:r>
      <w:r w:rsidRPr="00527722">
        <w:rPr>
          <w:rFonts w:cs="Times New Roman"/>
        </w:rPr>
        <w:t xml:space="preserve"> (1872), </w:t>
      </w:r>
      <w:r w:rsidR="00A77641">
        <w:rPr>
          <w:rFonts w:cs="Times New Roman"/>
        </w:rPr>
        <w:t xml:space="preserve">he </w:t>
      </w:r>
      <w:r w:rsidRPr="00527722">
        <w:rPr>
          <w:rFonts w:cs="Times New Roman"/>
        </w:rPr>
        <w:t>describes how, after spending a night at the Volcano House, a small guest house</w:t>
      </w:r>
      <w:r w:rsidR="00A77641">
        <w:rPr>
          <w:rFonts w:cs="Times New Roman"/>
        </w:rPr>
        <w:t xml:space="preserve">, </w:t>
      </w:r>
      <w:r w:rsidRPr="00527722">
        <w:rPr>
          <w:rFonts w:cs="Times New Roman"/>
        </w:rPr>
        <w:t>he descended into the crater and crossed the lava field</w:t>
      </w:r>
      <w:r>
        <w:rPr>
          <w:rFonts w:cs="Times New Roman"/>
        </w:rPr>
        <w:t xml:space="preserve">. </w:t>
      </w:r>
      <w:r w:rsidR="00A77641">
        <w:rPr>
          <w:rFonts w:cs="Times New Roman"/>
        </w:rPr>
        <w:t>G</w:t>
      </w:r>
      <w:r>
        <w:rPr>
          <w:rFonts w:cs="Times New Roman"/>
        </w:rPr>
        <w:t>uided by</w:t>
      </w:r>
      <w:r w:rsidRPr="00527722">
        <w:rPr>
          <w:rFonts w:cs="Times New Roman"/>
        </w:rPr>
        <w:t xml:space="preserve"> Marlette, </w:t>
      </w:r>
      <w:r>
        <w:rPr>
          <w:rFonts w:cs="Times New Roman"/>
        </w:rPr>
        <w:t>a mysterious stranger</w:t>
      </w:r>
      <w:r w:rsidR="00A77641">
        <w:rPr>
          <w:rFonts w:cs="Times New Roman"/>
        </w:rPr>
        <w:t>,</w:t>
      </w:r>
      <w:r w:rsidR="00A77641" w:rsidRPr="00A77641">
        <w:rPr>
          <w:rStyle w:val="FootnoteReference"/>
          <w:rFonts w:cs="Times New Roman"/>
        </w:rPr>
        <w:t xml:space="preserve"> </w:t>
      </w:r>
      <w:r w:rsidR="00A77641" w:rsidRPr="00527722">
        <w:rPr>
          <w:rStyle w:val="FootnoteReference"/>
          <w:rFonts w:cs="Times New Roman"/>
        </w:rPr>
        <w:footnoteReference w:id="117"/>
      </w:r>
      <w:r w:rsidR="00A77641" w:rsidRPr="00527722">
        <w:rPr>
          <w:rFonts w:cs="Times New Roman"/>
        </w:rPr>
        <w:t xml:space="preserve"> </w:t>
      </w:r>
      <w:r w:rsidR="00A77641">
        <w:rPr>
          <w:rFonts w:cs="Times New Roman"/>
        </w:rPr>
        <w:t xml:space="preserve">the pair </w:t>
      </w:r>
      <w:r w:rsidRPr="00527722">
        <w:rPr>
          <w:rFonts w:cs="Times New Roman"/>
        </w:rPr>
        <w:t>“skipped over the hot floor and over the red crevices with brisk dispatch and reached the cold lava safe but with pretty warm feet.”</w:t>
      </w:r>
      <w:r w:rsidR="00DE3EE9" w:rsidRPr="00527722">
        <w:rPr>
          <w:rStyle w:val="FootnoteReference"/>
          <w:rFonts w:cs="Times New Roman"/>
        </w:rPr>
        <w:footnoteReference w:id="118"/>
      </w:r>
      <w:r w:rsidRPr="00527722">
        <w:rPr>
          <w:rFonts w:cs="Times New Roman"/>
        </w:rPr>
        <w:t xml:space="preserve"> Marlette saves Twain from the lava several times, finding the p</w:t>
      </w:r>
      <w:r w:rsidR="00A77641">
        <w:rPr>
          <w:rFonts w:cs="Times New Roman"/>
        </w:rPr>
        <w:t>ath not by lantern light, but with</w:t>
      </w:r>
      <w:r w:rsidRPr="00527722">
        <w:rPr>
          <w:rFonts w:cs="Times New Roman"/>
        </w:rPr>
        <w:t xml:space="preserve"> his feet. Marlette</w:t>
      </w:r>
      <w:r>
        <w:rPr>
          <w:rFonts w:cs="Times New Roman"/>
        </w:rPr>
        <w:t xml:space="preserve">, </w:t>
      </w:r>
      <w:r w:rsidRPr="00527722">
        <w:rPr>
          <w:rFonts w:cs="Times New Roman"/>
        </w:rPr>
        <w:t>well versed in the crossing</w:t>
      </w:r>
      <w:r>
        <w:rPr>
          <w:rFonts w:cs="Times New Roman"/>
        </w:rPr>
        <w:t>,</w:t>
      </w:r>
      <w:r w:rsidRPr="00527722">
        <w:rPr>
          <w:rFonts w:cs="Times New Roman"/>
        </w:rPr>
        <w:t xml:space="preserve"> could differentiate between the old, worn lava trail and the newer, more brittle lava by feel and by the</w:t>
      </w:r>
      <w:r w:rsidR="00676C03">
        <w:rPr>
          <w:rFonts w:cs="Times New Roman"/>
        </w:rPr>
        <w:t xml:space="preserve"> </w:t>
      </w:r>
      <w:r w:rsidR="00A77641">
        <w:rPr>
          <w:rFonts w:cs="Times New Roman"/>
        </w:rPr>
        <w:t xml:space="preserve">changing </w:t>
      </w:r>
      <w:r w:rsidR="00676C03">
        <w:rPr>
          <w:rFonts w:cs="Times New Roman"/>
        </w:rPr>
        <w:t>sounds underfoot.</w:t>
      </w:r>
    </w:p>
    <w:p w14:paraId="62D4648D" w14:textId="5F4BE390" w:rsidR="00B36BA8" w:rsidRPr="00527722" w:rsidRDefault="00B36BA8" w:rsidP="003E215C">
      <w:pPr>
        <w:pStyle w:val="Standard"/>
        <w:spacing w:line="480" w:lineRule="auto"/>
        <w:ind w:firstLine="720"/>
        <w:rPr>
          <w:rFonts w:cs="Times New Roman"/>
        </w:rPr>
      </w:pPr>
      <w:r w:rsidRPr="00527722">
        <w:rPr>
          <w:rFonts w:cs="Times New Roman"/>
        </w:rPr>
        <w:t>The conclusion of Twai</w:t>
      </w:r>
      <w:r w:rsidRPr="00DE3EE9">
        <w:t>n’s adventure comes when he and Marlette reach the far end of the cauldron. The trip, “a long tr</w:t>
      </w:r>
      <w:r w:rsidR="00A77641">
        <w:t>amp, but an exciting one,” ends</w:t>
      </w:r>
      <w:r w:rsidRPr="00DE3EE9">
        <w:t xml:space="preserve"> with Twain’s assessment:</w:t>
      </w:r>
    </w:p>
    <w:p w14:paraId="09225F1A" w14:textId="77777777" w:rsidR="00B36BA8" w:rsidRPr="00527722" w:rsidRDefault="00B36BA8" w:rsidP="00DE3EE9">
      <w:pPr>
        <w:pStyle w:val="BlockQuotation"/>
      </w:pPr>
      <w:r w:rsidRPr="00527722">
        <w:t>The spectacle presented was worth coming double the distance to see. Under us, and stretching away before us, was a heaving sea of molten fire of seemingly limitless extent. The glare from it was so blinding that it was some time before we could bear to look upon it steadily. [. . . ] At unequal distances all around the shores of the lake were nearly white-hot chimneys or hollow drums of lava, four or five feet high, and up through them were bursting gorgeous sprays of lava-gouts and gem spangles, some white, some red and some golden – a ceaseless bombardment, and one that fascinated the eye with its unapproachable splendor.</w:t>
      </w:r>
      <w:r w:rsidRPr="00527722">
        <w:rPr>
          <w:rStyle w:val="FootnoteReference"/>
        </w:rPr>
        <w:footnoteReference w:id="119"/>
      </w:r>
    </w:p>
    <w:p w14:paraId="3341643B" w14:textId="7C9924BC" w:rsidR="00676C03" w:rsidRDefault="00B36BA8" w:rsidP="00676C03">
      <w:pPr>
        <w:pStyle w:val="Standard"/>
        <w:spacing w:line="480" w:lineRule="auto"/>
        <w:rPr>
          <w:rFonts w:cs="Times New Roman"/>
        </w:rPr>
      </w:pPr>
      <w:r w:rsidRPr="00527722">
        <w:rPr>
          <w:rFonts w:cs="Times New Roman"/>
        </w:rPr>
        <w:t xml:space="preserve">Twain goes on to describe the heaving and crashing environment all around him and his guide: “a . . . sudden red dome of lava,” the size of a house “would heave itself aloft like an escaping balloon, then burst asunder.” Crashing, seething, jarring – are the words Twain uses to describe his exhilarating experience. Though perhaps </w:t>
      </w:r>
      <w:r w:rsidR="00954E6F">
        <w:rPr>
          <w:rFonts w:cs="Times New Roman"/>
        </w:rPr>
        <w:t xml:space="preserve">exaggerating </w:t>
      </w:r>
      <w:r>
        <w:rPr>
          <w:rFonts w:cs="Times New Roman"/>
        </w:rPr>
        <w:t>somewhat</w:t>
      </w:r>
      <w:r w:rsidR="00954E6F">
        <w:rPr>
          <w:rFonts w:cs="Times New Roman"/>
        </w:rPr>
        <w:t xml:space="preserve">, </w:t>
      </w:r>
      <w:r w:rsidRPr="00527722">
        <w:rPr>
          <w:rFonts w:cs="Times New Roman"/>
        </w:rPr>
        <w:t xml:space="preserve">Twain offers a fair description of what travelers might have faced </w:t>
      </w:r>
      <w:r w:rsidR="00676C03">
        <w:rPr>
          <w:rFonts w:cs="Times New Roman"/>
        </w:rPr>
        <w:t>on a particularly active night.</w:t>
      </w:r>
    </w:p>
    <w:p w14:paraId="7D98524D" w14:textId="09453A90" w:rsidR="00B36BA8" w:rsidRPr="00676C03" w:rsidRDefault="00B36BA8" w:rsidP="00676C03">
      <w:pPr>
        <w:pStyle w:val="Standard"/>
        <w:spacing w:line="480" w:lineRule="auto"/>
        <w:ind w:firstLine="720"/>
        <w:rPr>
          <w:rFonts w:cs="Times New Roman"/>
          <w:b/>
        </w:rPr>
      </w:pPr>
      <w:r w:rsidRPr="00E771B8">
        <w:t xml:space="preserve">In </w:t>
      </w:r>
      <w:r w:rsidR="00954E6F">
        <w:t>fact, t</w:t>
      </w:r>
      <w:r w:rsidRPr="00E771B8">
        <w:t>h</w:t>
      </w:r>
      <w:r>
        <w:t xml:space="preserve">e visual path Tavernier provides through the lava field in </w:t>
      </w:r>
      <w:r w:rsidRPr="00E771B8">
        <w:rPr>
          <w:i/>
        </w:rPr>
        <w:t>View of Kilauea at Night</w:t>
      </w:r>
      <w:r>
        <w:t xml:space="preserve"> </w:t>
      </w:r>
      <w:r w:rsidR="00954E6F">
        <w:t xml:space="preserve">might be imagined </w:t>
      </w:r>
      <w:r>
        <w:t>as an illustration of Twain’s nighttime volcano adventure. Yet the aesthetics of the 1880s differed from the 1860s. Whereas the trip to the volcano had once been as important as the descent into and th</w:t>
      </w:r>
      <w:r w:rsidR="00954E6F">
        <w:t xml:space="preserve">rough the crater, by the 1880s </w:t>
      </w:r>
      <w:r>
        <w:t>only the direct confrontation with the lava remains central. All of which</w:t>
      </w:r>
      <w:r w:rsidR="00954E6F">
        <w:t xml:space="preserve"> serves as an index </w:t>
      </w:r>
      <w:r>
        <w:t xml:space="preserve">to the diminution of Kilauea as a site of Native authority and </w:t>
      </w:r>
      <w:r w:rsidR="00954E6F">
        <w:t xml:space="preserve">to </w:t>
      </w:r>
      <w:r>
        <w:t>the rise of the volca</w:t>
      </w:r>
      <w:r w:rsidR="00DE3EE9">
        <w:t>no as a sublime tourist site</w:t>
      </w:r>
      <w:r w:rsidR="00046E97">
        <w:t>.</w:t>
      </w:r>
    </w:p>
    <w:p w14:paraId="30BD71EE" w14:textId="77777777" w:rsidR="00DE3EE9" w:rsidRDefault="00DE3EE9" w:rsidP="00DE3EE9">
      <w:pPr>
        <w:pStyle w:val="Standard"/>
        <w:spacing w:line="480" w:lineRule="auto"/>
        <w:jc w:val="center"/>
        <w:rPr>
          <w:rFonts w:cs="Times New Roman"/>
          <w:b/>
        </w:rPr>
      </w:pPr>
    </w:p>
    <w:p w14:paraId="568AD4DF" w14:textId="60762D87" w:rsidR="00B36BA8" w:rsidRPr="00527722" w:rsidRDefault="00B36BA8" w:rsidP="00DE3EE9">
      <w:pPr>
        <w:pStyle w:val="Standard"/>
        <w:spacing w:line="480" w:lineRule="auto"/>
        <w:jc w:val="center"/>
        <w:rPr>
          <w:rFonts w:cs="Times New Roman"/>
        </w:rPr>
      </w:pPr>
      <w:r w:rsidRPr="00527722">
        <w:rPr>
          <w:rFonts w:cs="Times New Roman"/>
          <w:b/>
        </w:rPr>
        <w:t>Lord Byron Discovers the Volcano</w:t>
      </w:r>
    </w:p>
    <w:p w14:paraId="271541BC" w14:textId="52FB3D65" w:rsidR="00B36BA8" w:rsidRDefault="00B36BA8" w:rsidP="003E215C">
      <w:pPr>
        <w:pStyle w:val="Standard"/>
        <w:spacing w:line="480" w:lineRule="auto"/>
        <w:ind w:firstLine="720"/>
        <w:rPr>
          <w:rFonts w:cs="Times New Roman"/>
        </w:rPr>
      </w:pPr>
      <w:r w:rsidRPr="00527722">
        <w:rPr>
          <w:rFonts w:cs="Times New Roman"/>
        </w:rPr>
        <w:t>Twain’s travel log, taken in its entirety, bridges two traditions. The wr</w:t>
      </w:r>
      <w:r w:rsidR="00954E6F">
        <w:rPr>
          <w:rFonts w:cs="Times New Roman"/>
        </w:rPr>
        <w:t>itten narrative, which stretches</w:t>
      </w:r>
      <w:r w:rsidRPr="00527722">
        <w:rPr>
          <w:rFonts w:cs="Times New Roman"/>
        </w:rPr>
        <w:t xml:space="preserve"> out over an entire chapter, is the offspring of older discover</w:t>
      </w:r>
      <w:r w:rsidR="003941EB">
        <w:rPr>
          <w:rFonts w:cs="Times New Roman"/>
        </w:rPr>
        <w:t>y</w:t>
      </w:r>
      <w:r w:rsidRPr="00527722">
        <w:rPr>
          <w:rFonts w:cs="Times New Roman"/>
        </w:rPr>
        <w:t xml:space="preserve"> narratives. Yet Twain’s story </w:t>
      </w:r>
      <w:r w:rsidR="00954E6F">
        <w:rPr>
          <w:rFonts w:cs="Times New Roman"/>
        </w:rPr>
        <w:t xml:space="preserve">was accompanied by </w:t>
      </w:r>
      <w:r w:rsidRPr="00527722">
        <w:rPr>
          <w:rFonts w:cs="Times New Roman"/>
        </w:rPr>
        <w:t>illustrat</w:t>
      </w:r>
      <w:r w:rsidR="00954E6F">
        <w:rPr>
          <w:rFonts w:cs="Times New Roman"/>
        </w:rPr>
        <w:t xml:space="preserve">ions including </w:t>
      </w:r>
      <w:r w:rsidRPr="00527722">
        <w:rPr>
          <w:rFonts w:cs="Times New Roman"/>
        </w:rPr>
        <w:t xml:space="preserve">a dramatic view of the author and </w:t>
      </w:r>
      <w:r w:rsidR="00DE3EE9">
        <w:rPr>
          <w:rFonts w:cs="Times New Roman"/>
        </w:rPr>
        <w:t>his</w:t>
      </w:r>
      <w:r w:rsidRPr="00527722">
        <w:rPr>
          <w:rFonts w:cs="Times New Roman"/>
        </w:rPr>
        <w:t xml:space="preserve"> comp</w:t>
      </w:r>
      <w:r>
        <w:rPr>
          <w:rFonts w:cs="Times New Roman"/>
        </w:rPr>
        <w:t xml:space="preserve">anion looking out in awe at the </w:t>
      </w:r>
      <w:r w:rsidRPr="00527722">
        <w:rPr>
          <w:rFonts w:cs="Times New Roman"/>
        </w:rPr>
        <w:t>lava field that anticipates the aesthetic of the 188</w:t>
      </w:r>
      <w:r w:rsidR="00E321EC">
        <w:rPr>
          <w:rFonts w:cs="Times New Roman"/>
        </w:rPr>
        <w:t>0s</w:t>
      </w:r>
      <w:r w:rsidRPr="00527722">
        <w:rPr>
          <w:rFonts w:cs="Times New Roman"/>
        </w:rPr>
        <w:t xml:space="preserve"> </w:t>
      </w:r>
      <w:r w:rsidR="003E0F74" w:rsidRPr="00E321EC">
        <w:rPr>
          <w:rFonts w:cs="Times New Roman"/>
        </w:rPr>
        <w:t>(fig. 3.5)</w:t>
      </w:r>
      <w:r w:rsidR="003E0F74">
        <w:rPr>
          <w:rFonts w:cs="Times New Roman"/>
        </w:rPr>
        <w:t>.</w:t>
      </w:r>
      <w:r>
        <w:rPr>
          <w:rFonts w:cs="Times New Roman"/>
        </w:rPr>
        <w:t xml:space="preserve"> </w:t>
      </w:r>
      <w:r w:rsidRPr="00527722">
        <w:rPr>
          <w:rFonts w:cs="Times New Roman"/>
        </w:rPr>
        <w:t xml:space="preserve">The older tradition </w:t>
      </w:r>
      <w:r w:rsidR="003941EB">
        <w:rPr>
          <w:rFonts w:cs="Times New Roman"/>
        </w:rPr>
        <w:t>was informed by early travelogue</w:t>
      </w:r>
      <w:r w:rsidRPr="00527722">
        <w:rPr>
          <w:rFonts w:cs="Times New Roman"/>
        </w:rPr>
        <w:t xml:space="preserve"> accounts such as </w:t>
      </w:r>
      <w:r w:rsidR="00954E6F">
        <w:rPr>
          <w:rFonts w:cs="Times New Roman"/>
        </w:rPr>
        <w:t xml:space="preserve">those </w:t>
      </w:r>
      <w:r w:rsidRPr="00527722">
        <w:rPr>
          <w:rFonts w:cs="Times New Roman"/>
        </w:rPr>
        <w:t xml:space="preserve">published by missionaries William Ellis in 1823 and C.S. Stewart in 1828. </w:t>
      </w:r>
      <w:r>
        <w:rPr>
          <w:rFonts w:cs="Times New Roman"/>
        </w:rPr>
        <w:t>Of the</w:t>
      </w:r>
      <w:r w:rsidR="00954E6F">
        <w:rPr>
          <w:rFonts w:cs="Times New Roman"/>
        </w:rPr>
        <w:t xml:space="preserve">se previous </w:t>
      </w:r>
      <w:r>
        <w:rPr>
          <w:rFonts w:cs="Times New Roman"/>
        </w:rPr>
        <w:t xml:space="preserve">narratives, </w:t>
      </w:r>
      <w:r w:rsidRPr="00527722">
        <w:rPr>
          <w:rFonts w:cs="Times New Roman"/>
        </w:rPr>
        <w:t xml:space="preserve">Lord Byron’s account was </w:t>
      </w:r>
      <w:r>
        <w:rPr>
          <w:rFonts w:cs="Times New Roman"/>
        </w:rPr>
        <w:t xml:space="preserve">the </w:t>
      </w:r>
      <w:r w:rsidRPr="00527722">
        <w:rPr>
          <w:rFonts w:cs="Times New Roman"/>
        </w:rPr>
        <w:t>most widely distributed and read.</w:t>
      </w:r>
      <w:r w:rsidRPr="00527722">
        <w:rPr>
          <w:rStyle w:val="FootnoteReference"/>
          <w:rFonts w:cs="Times New Roman"/>
        </w:rPr>
        <w:footnoteReference w:id="120"/>
      </w:r>
      <w:r w:rsidRPr="00527722">
        <w:rPr>
          <w:rFonts w:cs="Times New Roman"/>
        </w:rPr>
        <w:t xml:space="preserve"> </w:t>
      </w:r>
    </w:p>
    <w:p w14:paraId="75879126" w14:textId="0AC291B2" w:rsidR="00B36BA8" w:rsidRDefault="00B36BA8" w:rsidP="003E215C">
      <w:pPr>
        <w:pStyle w:val="Standard"/>
        <w:spacing w:line="480" w:lineRule="auto"/>
        <w:ind w:firstLine="720"/>
        <w:rPr>
          <w:rFonts w:cs="Times New Roman"/>
        </w:rPr>
      </w:pPr>
      <w:r w:rsidRPr="00527722">
        <w:rPr>
          <w:rFonts w:cs="Times New Roman"/>
        </w:rPr>
        <w:t>British Admiral George Anson Byron, 7</w:t>
      </w:r>
      <w:r w:rsidRPr="00527722">
        <w:rPr>
          <w:rFonts w:cs="Times New Roman"/>
          <w:vertAlign w:val="superscript"/>
        </w:rPr>
        <w:t>th</w:t>
      </w:r>
      <w:r w:rsidRPr="00527722">
        <w:rPr>
          <w:rFonts w:cs="Times New Roman"/>
        </w:rPr>
        <w:t xml:space="preserve"> Baron Byron, sailed to </w:t>
      </w:r>
      <w:r>
        <w:rPr>
          <w:rFonts w:cs="Times New Roman"/>
        </w:rPr>
        <w:t>Hawai’i</w:t>
      </w:r>
      <w:r w:rsidRPr="00527722">
        <w:rPr>
          <w:rFonts w:cs="Times New Roman"/>
        </w:rPr>
        <w:t>, then known to Westerners as the Sandwich Islands, to return the bodies of King Kamehameha II and Queen Kamāmalu, who had died of measles during a state visit to England.</w:t>
      </w:r>
      <w:r w:rsidRPr="00527722">
        <w:rPr>
          <w:rStyle w:val="FootnoteReference"/>
          <w:rFonts w:cs="Times New Roman"/>
        </w:rPr>
        <w:footnoteReference w:id="121"/>
      </w:r>
      <w:r w:rsidRPr="00527722">
        <w:rPr>
          <w:rFonts w:cs="Times New Roman"/>
        </w:rPr>
        <w:t xml:space="preserve"> </w:t>
      </w:r>
      <w:r w:rsidRPr="00DE3EE9">
        <w:rPr>
          <w:rStyle w:val="gb-title-box-title"/>
          <w:rFonts w:cs="Times New Roman"/>
          <w:i/>
        </w:rPr>
        <w:t>Voyage of H. M. S. Blonde to the Sandwich Islands, in the Years 1824-1825</w:t>
      </w:r>
      <w:r w:rsidRPr="00527722">
        <w:rPr>
          <w:rStyle w:val="gb-title-box-title"/>
          <w:rFonts w:cs="Times New Roman"/>
        </w:rPr>
        <w:t xml:space="preserve"> </w:t>
      </w:r>
      <w:r>
        <w:rPr>
          <w:rStyle w:val="gb-title-box-title"/>
          <w:rFonts w:cs="Times New Roman"/>
        </w:rPr>
        <w:t xml:space="preserve">was </w:t>
      </w:r>
      <w:r w:rsidRPr="00527722">
        <w:rPr>
          <w:rStyle w:val="gb-title-box-title"/>
          <w:rFonts w:cs="Times New Roman"/>
        </w:rPr>
        <w:t xml:space="preserve">compiled by travel writer Maria Callcott from the various journals and notes made by </w:t>
      </w:r>
      <w:r w:rsidR="00DE3EE9">
        <w:rPr>
          <w:rStyle w:val="gb-title-box-title"/>
          <w:rFonts w:cs="Times New Roman"/>
        </w:rPr>
        <w:t xml:space="preserve">Byron and </w:t>
      </w:r>
      <w:r w:rsidRPr="00527722">
        <w:rPr>
          <w:rStyle w:val="gb-title-box-title"/>
          <w:rFonts w:cs="Times New Roman"/>
        </w:rPr>
        <w:t xml:space="preserve">some of the officers and others who </w:t>
      </w:r>
      <w:r w:rsidR="00DE3EE9">
        <w:rPr>
          <w:rStyle w:val="gb-title-box-title"/>
          <w:rFonts w:cs="Times New Roman"/>
        </w:rPr>
        <w:t>made the journey</w:t>
      </w:r>
      <w:r>
        <w:rPr>
          <w:rStyle w:val="gb-title-box-title"/>
          <w:rFonts w:cs="Times New Roman"/>
        </w:rPr>
        <w:t>.</w:t>
      </w:r>
      <w:r w:rsidRPr="00527722">
        <w:rPr>
          <w:rStyle w:val="FootnoteReference"/>
          <w:rFonts w:cs="Times New Roman"/>
        </w:rPr>
        <w:footnoteReference w:id="122"/>
      </w:r>
      <w:r w:rsidRPr="00527722">
        <w:rPr>
          <w:rFonts w:cs="Times New Roman"/>
        </w:rPr>
        <w:t xml:space="preserve"> In Callcott’s retelling, Byron and a dozen Englishmen, accompanied and assisted by nearly 200 Native </w:t>
      </w:r>
      <w:r>
        <w:rPr>
          <w:rFonts w:cs="Times New Roman"/>
        </w:rPr>
        <w:t>Hawaiian</w:t>
      </w:r>
      <w:r w:rsidRPr="00527722">
        <w:rPr>
          <w:rFonts w:cs="Times New Roman"/>
        </w:rPr>
        <w:t xml:space="preserve">s, traveled overland from Hilo Bay to visit the crater of Kilauea. The trip took two days, covering 25 miles the first day and at least 12 </w:t>
      </w:r>
      <w:r w:rsidR="00954E6F">
        <w:rPr>
          <w:rFonts w:cs="Times New Roman"/>
        </w:rPr>
        <w:t>t</w:t>
      </w:r>
      <w:r w:rsidRPr="00527722">
        <w:rPr>
          <w:rFonts w:cs="Times New Roman"/>
        </w:rPr>
        <w:t>he second day.</w:t>
      </w:r>
      <w:r w:rsidRPr="00527722">
        <w:rPr>
          <w:rStyle w:val="FootnoteReference"/>
          <w:rFonts w:cs="Times New Roman"/>
        </w:rPr>
        <w:footnoteReference w:id="123"/>
      </w:r>
      <w:r w:rsidRPr="00527722">
        <w:rPr>
          <w:rFonts w:cs="Times New Roman"/>
        </w:rPr>
        <w:t xml:space="preserve"> On the surface, the Byron narrative is a straightforward account of progress toward Kilauea. Yet travel narratives produced in the colonial situation </w:t>
      </w:r>
      <w:r w:rsidR="00954E6F">
        <w:rPr>
          <w:rFonts w:cs="Times New Roman"/>
        </w:rPr>
        <w:t xml:space="preserve">were </w:t>
      </w:r>
      <w:r w:rsidRPr="00527722">
        <w:rPr>
          <w:rFonts w:cs="Times New Roman"/>
        </w:rPr>
        <w:t xml:space="preserve">never innocent or free of ideology. Within the narrative, two interrelated </w:t>
      </w:r>
      <w:r w:rsidR="00954E6F">
        <w:rPr>
          <w:rFonts w:cs="Times New Roman"/>
        </w:rPr>
        <w:t>ideological arguments are put forward</w:t>
      </w:r>
      <w:r w:rsidRPr="00527722">
        <w:rPr>
          <w:rFonts w:cs="Times New Roman"/>
        </w:rPr>
        <w:t xml:space="preserve">. First, </w:t>
      </w:r>
      <w:r w:rsidR="00954E6F">
        <w:rPr>
          <w:rFonts w:cs="Times New Roman"/>
        </w:rPr>
        <w:t xml:space="preserve">Byron’s crew is eager to submit </w:t>
      </w:r>
      <w:r w:rsidRPr="00527722">
        <w:rPr>
          <w:rFonts w:cs="Times New Roman"/>
        </w:rPr>
        <w:t xml:space="preserve">the land to scientific research and study; second, </w:t>
      </w:r>
      <w:r>
        <w:rPr>
          <w:rFonts w:cs="Times New Roman"/>
        </w:rPr>
        <w:t xml:space="preserve">native Hawaiian histories, especially those concerning </w:t>
      </w:r>
      <w:r w:rsidRPr="00527722">
        <w:rPr>
          <w:rFonts w:cs="Times New Roman"/>
        </w:rPr>
        <w:t>Pele</w:t>
      </w:r>
      <w:r>
        <w:rPr>
          <w:rFonts w:cs="Times New Roman"/>
        </w:rPr>
        <w:t xml:space="preserve">, </w:t>
      </w:r>
      <w:r w:rsidRPr="00527722">
        <w:rPr>
          <w:rFonts w:cs="Times New Roman"/>
        </w:rPr>
        <w:t xml:space="preserve">are </w:t>
      </w:r>
      <w:r>
        <w:rPr>
          <w:rFonts w:cs="Times New Roman"/>
        </w:rPr>
        <w:t xml:space="preserve">diminished and </w:t>
      </w:r>
      <w:r w:rsidRPr="00527722">
        <w:rPr>
          <w:rFonts w:cs="Times New Roman"/>
        </w:rPr>
        <w:t>dismissed. Both themes, ultimat</w:t>
      </w:r>
      <w:r w:rsidR="00676C03">
        <w:rPr>
          <w:rFonts w:cs="Times New Roman"/>
        </w:rPr>
        <w:t>ely, diminish native authority.</w:t>
      </w:r>
    </w:p>
    <w:p w14:paraId="6CD8666C" w14:textId="35516120" w:rsidR="00B36BA8" w:rsidRPr="00527722" w:rsidRDefault="00B36BA8" w:rsidP="003E215C">
      <w:pPr>
        <w:pStyle w:val="Standard"/>
        <w:spacing w:line="480" w:lineRule="auto"/>
        <w:ind w:firstLine="720"/>
        <w:rPr>
          <w:rFonts w:cs="Times New Roman"/>
        </w:rPr>
      </w:pPr>
      <w:r w:rsidRPr="00527722">
        <w:rPr>
          <w:rFonts w:cs="Times New Roman"/>
        </w:rPr>
        <w:t>Byron</w:t>
      </w:r>
      <w:r w:rsidR="00954E6F">
        <w:rPr>
          <w:rFonts w:cs="Times New Roman"/>
        </w:rPr>
        <w:t xml:space="preserve"> gives great </w:t>
      </w:r>
      <w:r w:rsidRPr="00527722">
        <w:rPr>
          <w:rFonts w:cs="Times New Roman"/>
        </w:rPr>
        <w:t xml:space="preserve">attention </w:t>
      </w:r>
      <w:r w:rsidR="00954E6F">
        <w:rPr>
          <w:rFonts w:cs="Times New Roman"/>
        </w:rPr>
        <w:t xml:space="preserve">to </w:t>
      </w:r>
      <w:r w:rsidRPr="00527722">
        <w:rPr>
          <w:rFonts w:cs="Times New Roman"/>
        </w:rPr>
        <w:t xml:space="preserve">measurements. </w:t>
      </w:r>
      <w:r w:rsidR="00954E6F">
        <w:rPr>
          <w:rFonts w:cs="Times New Roman"/>
        </w:rPr>
        <w:t xml:space="preserve">He describes one of the </w:t>
      </w:r>
      <w:r>
        <w:rPr>
          <w:rFonts w:cs="Times New Roman"/>
        </w:rPr>
        <w:t>lava craters as 900 feet deep</w:t>
      </w:r>
      <w:r w:rsidRPr="00527722">
        <w:rPr>
          <w:rFonts w:cs="Times New Roman"/>
        </w:rPr>
        <w:t xml:space="preserve"> and the lava plain </w:t>
      </w:r>
      <w:r>
        <w:rPr>
          <w:rFonts w:cs="Times New Roman"/>
        </w:rPr>
        <w:t xml:space="preserve">within the </w:t>
      </w:r>
      <w:r w:rsidRPr="00527722">
        <w:rPr>
          <w:rFonts w:cs="Times New Roman"/>
        </w:rPr>
        <w:t xml:space="preserve">crater as fifteen or sixteen miles in circumference, </w:t>
      </w:r>
      <w:r w:rsidR="00954E6F">
        <w:rPr>
          <w:rFonts w:cs="Times New Roman"/>
        </w:rPr>
        <w:t xml:space="preserve">calculating </w:t>
      </w:r>
      <w:r w:rsidRPr="00527722">
        <w:rPr>
          <w:rFonts w:cs="Times New Roman"/>
        </w:rPr>
        <w:t xml:space="preserve">the crater, from brink to bottom, at more than thirteen hundred feet. In a similar vein, </w:t>
      </w:r>
      <w:r w:rsidR="00954E6F">
        <w:rPr>
          <w:rFonts w:cs="Times New Roman"/>
        </w:rPr>
        <w:t xml:space="preserve">in </w:t>
      </w:r>
      <w:r w:rsidRPr="00527722">
        <w:rPr>
          <w:rFonts w:cs="Times New Roman"/>
        </w:rPr>
        <w:t>a long footnote</w:t>
      </w:r>
      <w:r w:rsidR="00954E6F">
        <w:rPr>
          <w:rFonts w:cs="Times New Roman"/>
        </w:rPr>
        <w:t>, Byron</w:t>
      </w:r>
      <w:r w:rsidRPr="00527722">
        <w:rPr>
          <w:rFonts w:cs="Times New Roman"/>
        </w:rPr>
        <w:t xml:space="preserve"> provides various measurements</w:t>
      </w:r>
      <w:r w:rsidR="00954E6F">
        <w:rPr>
          <w:rFonts w:cs="Times New Roman"/>
        </w:rPr>
        <w:t xml:space="preserve"> (</w:t>
      </w:r>
      <w:r w:rsidRPr="00527722">
        <w:rPr>
          <w:rFonts w:cs="Times New Roman"/>
        </w:rPr>
        <w:t xml:space="preserve">the crater’s height from sea level - 3,000 feet; </w:t>
      </w:r>
      <w:r w:rsidR="00954E6F">
        <w:rPr>
          <w:rFonts w:cs="Times New Roman"/>
        </w:rPr>
        <w:t xml:space="preserve">the </w:t>
      </w:r>
      <w:r w:rsidRPr="00527722">
        <w:rPr>
          <w:rFonts w:cs="Times New Roman"/>
        </w:rPr>
        <w:t>distance from Hilo Bay - about 28 English miles</w:t>
      </w:r>
      <w:r w:rsidR="00954E6F">
        <w:rPr>
          <w:rFonts w:cs="Times New Roman"/>
        </w:rPr>
        <w:t xml:space="preserve">) </w:t>
      </w:r>
      <w:r w:rsidRPr="00527722">
        <w:rPr>
          <w:rFonts w:cs="Times New Roman"/>
        </w:rPr>
        <w:t xml:space="preserve">along with mathematical proofs and a brief etymology of the word </w:t>
      </w:r>
      <w:r w:rsidRPr="00527722">
        <w:rPr>
          <w:rFonts w:cs="Times New Roman"/>
          <w:i/>
        </w:rPr>
        <w:t>Peli</w:t>
      </w:r>
      <w:r w:rsidRPr="00527722">
        <w:rPr>
          <w:rFonts w:cs="Times New Roman"/>
        </w:rPr>
        <w:t xml:space="preserve">. </w:t>
      </w:r>
      <w:r>
        <w:rPr>
          <w:rFonts w:cs="Times New Roman"/>
        </w:rPr>
        <w:t xml:space="preserve">These measurements and descriptions </w:t>
      </w:r>
      <w:r w:rsidR="00E8661E">
        <w:rPr>
          <w:rFonts w:cs="Times New Roman"/>
        </w:rPr>
        <w:t xml:space="preserve">contribute implicitly </w:t>
      </w:r>
      <w:r w:rsidR="00E646AB">
        <w:rPr>
          <w:rFonts w:cs="Times New Roman"/>
        </w:rPr>
        <w:t xml:space="preserve">to the account’s success in </w:t>
      </w:r>
      <w:r>
        <w:rPr>
          <w:rFonts w:cs="Times New Roman"/>
        </w:rPr>
        <w:t>explaining Hawai’i, and Kilauea, to a Western audience familiar with similar travel narratives of exotic, far-off places.</w:t>
      </w:r>
    </w:p>
    <w:p w14:paraId="44DE34BF" w14:textId="56FAE435" w:rsidR="00B36BA8" w:rsidRDefault="00B36BA8" w:rsidP="003E215C">
      <w:pPr>
        <w:pStyle w:val="Standard"/>
        <w:spacing w:line="480" w:lineRule="auto"/>
        <w:ind w:firstLine="720"/>
        <w:rPr>
          <w:rFonts w:cs="Times New Roman"/>
        </w:rPr>
      </w:pPr>
      <w:r>
        <w:rPr>
          <w:rFonts w:cs="Times New Roman"/>
        </w:rPr>
        <w:t>Dismissing Native histories and religious beliefs</w:t>
      </w:r>
      <w:r w:rsidR="00DE3EE9">
        <w:rPr>
          <w:rFonts w:cs="Times New Roman"/>
        </w:rPr>
        <w:t xml:space="preserve"> is another major theme in the </w:t>
      </w:r>
      <w:r w:rsidR="00EF2140">
        <w:rPr>
          <w:rFonts w:cs="Times New Roman"/>
        </w:rPr>
        <w:t xml:space="preserve">account. </w:t>
      </w:r>
      <w:r w:rsidRPr="00527722">
        <w:rPr>
          <w:rFonts w:cs="Times New Roman"/>
        </w:rPr>
        <w:t xml:space="preserve">Upon reaching the floor of the crater, Byron retells the story of Kapiolani, the descendant of an important </w:t>
      </w:r>
      <w:r w:rsidR="00EF2140">
        <w:rPr>
          <w:rFonts w:cs="Times New Roman"/>
        </w:rPr>
        <w:t>Hawaiian</w:t>
      </w:r>
      <w:r w:rsidRPr="00527722">
        <w:rPr>
          <w:rFonts w:cs="Times New Roman"/>
        </w:rPr>
        <w:t xml:space="preserve"> chief who converted to C</w:t>
      </w:r>
      <w:r w:rsidR="00EF2140">
        <w:rPr>
          <w:rFonts w:cs="Times New Roman"/>
        </w:rPr>
        <w:t xml:space="preserve">hristianity. </w:t>
      </w:r>
      <w:r>
        <w:rPr>
          <w:rFonts w:cs="Times New Roman"/>
        </w:rPr>
        <w:t>Hawaiian</w:t>
      </w:r>
      <w:r w:rsidRPr="00527722">
        <w:rPr>
          <w:rFonts w:cs="Times New Roman"/>
        </w:rPr>
        <w:t xml:space="preserve">’s believed that anyone who descended into Pele’s fiery cauldron without offering a sacrifice and proper respect would be consumed by the lava. In an attempt to convince other </w:t>
      </w:r>
      <w:r>
        <w:rPr>
          <w:rFonts w:cs="Times New Roman"/>
        </w:rPr>
        <w:t>Hawaiian</w:t>
      </w:r>
      <w:r w:rsidRPr="00527722">
        <w:rPr>
          <w:rFonts w:cs="Times New Roman"/>
        </w:rPr>
        <w:t xml:space="preserve">s to convert to Christianity, Kapiolani descended into the crater of Pele without first offering a sacrifice. After </w:t>
      </w:r>
      <w:r w:rsidR="00EF2140">
        <w:rPr>
          <w:rFonts w:cs="Times New Roman"/>
        </w:rPr>
        <w:t>she</w:t>
      </w:r>
      <w:r w:rsidRPr="00527722">
        <w:rPr>
          <w:rFonts w:cs="Times New Roman"/>
        </w:rPr>
        <w:t xml:space="preserve"> successful</w:t>
      </w:r>
      <w:r w:rsidR="00E8661E">
        <w:rPr>
          <w:rFonts w:cs="Times New Roman"/>
        </w:rPr>
        <w:t>ly</w:t>
      </w:r>
      <w:r w:rsidRPr="00527722">
        <w:rPr>
          <w:rFonts w:cs="Times New Roman"/>
        </w:rPr>
        <w:t xml:space="preserve"> emerge</w:t>
      </w:r>
      <w:r w:rsidR="00EF2140">
        <w:rPr>
          <w:rFonts w:cs="Times New Roman"/>
        </w:rPr>
        <w:t>d</w:t>
      </w:r>
      <w:r w:rsidRPr="00527722">
        <w:rPr>
          <w:rFonts w:cs="Times New Roman"/>
        </w:rPr>
        <w:t xml:space="preserve"> from the lava pit, the missionaries used her story as propaganda to promulgate the Christian faith. Byron’s “discovery” of Kilauea coincided in time </w:t>
      </w:r>
      <w:r w:rsidR="00E646AB">
        <w:rPr>
          <w:rFonts w:cs="Times New Roman"/>
        </w:rPr>
        <w:t xml:space="preserve">closely </w:t>
      </w:r>
      <w:r w:rsidRPr="00527722">
        <w:rPr>
          <w:rFonts w:cs="Times New Roman"/>
        </w:rPr>
        <w:t>with Kapoiolani’s story, and</w:t>
      </w:r>
      <w:r w:rsidR="00EF2140">
        <w:rPr>
          <w:rFonts w:cs="Times New Roman"/>
        </w:rPr>
        <w:t xml:space="preserve"> thus reenacts her descent and defeat of </w:t>
      </w:r>
      <w:r w:rsidRPr="00527722">
        <w:rPr>
          <w:rFonts w:cs="Times New Roman"/>
        </w:rPr>
        <w:t xml:space="preserve">Pele, this time in the name of </w:t>
      </w:r>
      <w:r>
        <w:rPr>
          <w:rFonts w:cs="Times New Roman"/>
        </w:rPr>
        <w:t xml:space="preserve">the British </w:t>
      </w:r>
      <w:r w:rsidRPr="00527722">
        <w:rPr>
          <w:rFonts w:cs="Times New Roman"/>
        </w:rPr>
        <w:t>Empire.</w:t>
      </w:r>
      <w:r w:rsidRPr="00527722">
        <w:rPr>
          <w:rStyle w:val="FootnoteReference"/>
          <w:rFonts w:cs="Times New Roman"/>
        </w:rPr>
        <w:footnoteReference w:id="124"/>
      </w:r>
    </w:p>
    <w:p w14:paraId="26B0B501" w14:textId="69B26B9A" w:rsidR="00EF2140" w:rsidRDefault="00B36BA8" w:rsidP="00EF2140">
      <w:pPr>
        <w:pStyle w:val="Standard"/>
        <w:spacing w:line="480" w:lineRule="auto"/>
        <w:ind w:firstLine="720"/>
        <w:rPr>
          <w:rFonts w:cs="Times New Roman"/>
        </w:rPr>
      </w:pPr>
      <w:r w:rsidRPr="00EF2140">
        <w:t>Byron’s narrative culminates in what literary historian David Spurr calls the commanding view.</w:t>
      </w:r>
      <w:r w:rsidRPr="00E646AB">
        <w:rPr>
          <w:vertAlign w:val="superscript"/>
        </w:rPr>
        <w:footnoteReference w:id="125"/>
      </w:r>
      <w:r w:rsidRPr="00EF2140">
        <w:t xml:space="preserve"> This view offers the author aesthetic enjoyment as well as information and authority</w:t>
      </w:r>
      <w:r w:rsidR="003E0F74" w:rsidRPr="00EF2140">
        <w:t xml:space="preserve"> (figs. 3.6 and 3.7).</w:t>
      </w:r>
      <w:r w:rsidRPr="00EF2140">
        <w:t xml:space="preserve"> Byron’s party looks down to the v</w:t>
      </w:r>
      <w:r w:rsidR="00EF2140" w:rsidRPr="00EF2140">
        <w:t>olcano floor from a distance of</w:t>
      </w:r>
      <w:r w:rsidR="00EF2140">
        <w:rPr>
          <w:rFonts w:cs="Times New Roman"/>
        </w:rPr>
        <w:t xml:space="preserve"> </w:t>
      </w:r>
      <w:r w:rsidRPr="009B75EF">
        <w:rPr>
          <w:rFonts w:cs="Times New Roman"/>
        </w:rPr>
        <w:t>“more than thirteen hundred feet.” Below, they</w:t>
      </w:r>
      <w:r>
        <w:rPr>
          <w:rFonts w:cs="Times New Roman"/>
          <w:b/>
        </w:rPr>
        <w:t xml:space="preserve"> </w:t>
      </w:r>
      <w:r w:rsidR="00676C03">
        <w:rPr>
          <w:rFonts w:cs="Times New Roman"/>
        </w:rPr>
        <w:t>c</w:t>
      </w:r>
      <w:r w:rsidR="00046E97">
        <w:rPr>
          <w:rFonts w:cs="Times New Roman"/>
        </w:rPr>
        <w:t>an see</w:t>
      </w:r>
    </w:p>
    <w:p w14:paraId="7FC5A26B" w14:textId="55E3CEBD" w:rsidR="00EF2140" w:rsidRDefault="00B36BA8" w:rsidP="00EF2140">
      <w:pPr>
        <w:pStyle w:val="Standard"/>
        <w:ind w:left="1440"/>
        <w:rPr>
          <w:rStyle w:val="BlockQuotationChar"/>
        </w:rPr>
      </w:pPr>
      <w:r w:rsidRPr="00EF2140">
        <w:rPr>
          <w:rStyle w:val="BlockQuotationChar"/>
        </w:rPr>
        <w:t>a rugged plain, where many a cone, raised by the action of the fire below, was throwing up columns of living flames, and whirls of smoke and vapor, while floods of liquid fire were slowly winding through scoriae and ashes, here yellow with sulphur, and there black, or grey, or red, as the materials which the</w:t>
      </w:r>
      <w:r w:rsidR="00046E97">
        <w:rPr>
          <w:rStyle w:val="BlockQuotationChar"/>
        </w:rPr>
        <w:t xml:space="preserve"> flames had wrought on varied.”</w:t>
      </w:r>
      <w:r w:rsidR="00046E97">
        <w:rPr>
          <w:rStyle w:val="FootnoteReference"/>
          <w:rFonts w:asciiTheme="minorHAnsi" w:hAnsiTheme="minorHAnsi"/>
          <w:lang w:bidi="en-US"/>
        </w:rPr>
        <w:footnoteReference w:id="126"/>
      </w:r>
    </w:p>
    <w:p w14:paraId="56C82596" w14:textId="77777777" w:rsidR="00EF2140" w:rsidRDefault="00EF2140" w:rsidP="00EF2140"/>
    <w:p w14:paraId="0A595E5E" w14:textId="3FA9A352" w:rsidR="00B36BA8" w:rsidRPr="009B75EF" w:rsidRDefault="00E646AB" w:rsidP="00EF2140">
      <w:r>
        <w:t xml:space="preserve">This </w:t>
      </w:r>
      <w:r w:rsidR="00B36BA8" w:rsidRPr="00EF2140">
        <w:t xml:space="preserve">description </w:t>
      </w:r>
      <w:r>
        <w:t xml:space="preserve">at a distance </w:t>
      </w:r>
      <w:r w:rsidR="00B36BA8" w:rsidRPr="00EF2140">
        <w:t xml:space="preserve">is beautiful, authoritative, and filled with factual observations. The commanding view </w:t>
      </w:r>
      <w:r>
        <w:t xml:space="preserve">offers </w:t>
      </w:r>
      <w:r w:rsidR="00B36BA8" w:rsidRPr="009B75EF">
        <w:t xml:space="preserve">the travel writer </w:t>
      </w:r>
      <w:r>
        <w:t xml:space="preserve">and reader a sense of dominion over unknown, strange, new </w:t>
      </w:r>
      <w:r w:rsidR="00B36BA8" w:rsidRPr="009B75EF">
        <w:t>landscapes</w:t>
      </w:r>
      <w:r>
        <w:t>.</w:t>
      </w:r>
      <w:r w:rsidR="00B36BA8" w:rsidRPr="009B75EF">
        <w:t xml:space="preserve"> The commanding </w:t>
      </w:r>
      <w:r w:rsidR="00E8661E">
        <w:t xml:space="preserve">view </w:t>
      </w:r>
      <w:r>
        <w:t xml:space="preserve">at once </w:t>
      </w:r>
      <w:r w:rsidR="00E8661E">
        <w:t xml:space="preserve">organizes </w:t>
      </w:r>
      <w:r w:rsidR="00B36BA8" w:rsidRPr="009B75EF">
        <w:t>space, makes exploration and mapping possible, and serves as a precursor to colonization.</w:t>
      </w:r>
      <w:r w:rsidR="00B36BA8" w:rsidRPr="009B75EF">
        <w:rPr>
          <w:rStyle w:val="FootnoteReference"/>
        </w:rPr>
        <w:footnoteReference w:id="127"/>
      </w:r>
    </w:p>
    <w:p w14:paraId="21860129" w14:textId="74815E55" w:rsidR="00B36BA8" w:rsidRPr="009B75EF" w:rsidRDefault="00B36BA8" w:rsidP="003E215C">
      <w:pPr>
        <w:pStyle w:val="Standard"/>
        <w:spacing w:line="480" w:lineRule="auto"/>
        <w:ind w:firstLine="720"/>
        <w:rPr>
          <w:rFonts w:cs="Times New Roman"/>
        </w:rPr>
      </w:pPr>
      <w:r>
        <w:rPr>
          <w:rFonts w:cs="Times New Roman"/>
        </w:rPr>
        <w:t>The commanding view</w:t>
      </w:r>
      <w:r w:rsidR="00E8661E">
        <w:rPr>
          <w:rFonts w:cs="Times New Roman"/>
        </w:rPr>
        <w:t xml:space="preserve"> also </w:t>
      </w:r>
      <w:r w:rsidRPr="009B75EF">
        <w:rPr>
          <w:rFonts w:cs="Times New Roman"/>
        </w:rPr>
        <w:t>invest</w:t>
      </w:r>
      <w:r w:rsidR="00E8661E">
        <w:rPr>
          <w:rFonts w:cs="Times New Roman"/>
        </w:rPr>
        <w:t>s t</w:t>
      </w:r>
      <w:r>
        <w:rPr>
          <w:rFonts w:cs="Times New Roman"/>
        </w:rPr>
        <w:t>he l</w:t>
      </w:r>
      <w:r w:rsidRPr="009B75EF">
        <w:rPr>
          <w:rFonts w:cs="Times New Roman"/>
        </w:rPr>
        <w:t>andscape with meaning to convey material and symbolic richness</w:t>
      </w:r>
      <w:r>
        <w:rPr>
          <w:rFonts w:cs="Times New Roman"/>
        </w:rPr>
        <w:t xml:space="preserve"> which would be evident to the educated Western reader</w:t>
      </w:r>
      <w:r w:rsidRPr="009B75EF">
        <w:rPr>
          <w:rFonts w:cs="Times New Roman"/>
        </w:rPr>
        <w:t xml:space="preserve">. </w:t>
      </w:r>
      <w:r>
        <w:rPr>
          <w:rFonts w:cs="Times New Roman"/>
        </w:rPr>
        <w:t xml:space="preserve">Thus upon reaching the summit of Kilauea, Byron’s party, </w:t>
      </w:r>
      <w:r w:rsidR="00E8661E">
        <w:rPr>
          <w:rFonts w:cs="Times New Roman"/>
        </w:rPr>
        <w:t>“</w:t>
      </w:r>
      <w:r w:rsidRPr="009B75EF">
        <w:rPr>
          <w:rFonts w:cs="Times New Roman"/>
        </w:rPr>
        <w:t>with almost as much joy as Balboa could have felt on first discovering the Pacific</w:t>
      </w:r>
      <w:r>
        <w:rPr>
          <w:rFonts w:cs="Times New Roman"/>
        </w:rPr>
        <w:t xml:space="preserve"> . . . </w:t>
      </w:r>
      <w:r w:rsidRPr="009B75EF">
        <w:rPr>
          <w:rFonts w:cs="Times New Roman"/>
        </w:rPr>
        <w:t>hailed a cloud of smoke that was issuing from the crater,”</w:t>
      </w:r>
      <w:r w:rsidRPr="009B75EF">
        <w:rPr>
          <w:rStyle w:val="FootnoteReference"/>
          <w:rFonts w:cs="Times New Roman"/>
        </w:rPr>
        <w:footnoteReference w:id="128"/>
      </w:r>
      <w:r>
        <w:rPr>
          <w:rFonts w:cs="Times New Roman"/>
        </w:rPr>
        <w:t xml:space="preserve"> thus</w:t>
      </w:r>
      <w:r w:rsidRPr="009B75EF">
        <w:rPr>
          <w:rFonts w:cs="Times New Roman"/>
        </w:rPr>
        <w:t xml:space="preserve"> equating the party’s arrival at the volcano with </w:t>
      </w:r>
      <w:r w:rsidRPr="00CC7403">
        <w:rPr>
          <w:rStyle w:val="Emphasis"/>
          <w:rFonts w:cs="Times New Roman"/>
          <w:b w:val="0"/>
          <w:i w:val="0"/>
        </w:rPr>
        <w:t>Vasco Núñez de Balboa’s</w:t>
      </w:r>
      <w:r w:rsidRPr="009B75EF">
        <w:rPr>
          <w:rStyle w:val="Emphasis"/>
          <w:rFonts w:cs="Times New Roman"/>
        </w:rPr>
        <w:t xml:space="preserve"> </w:t>
      </w:r>
      <w:r w:rsidRPr="009B75EF">
        <w:rPr>
          <w:rStyle w:val="st"/>
          <w:rFonts w:cs="Times New Roman"/>
        </w:rPr>
        <w:t>“discovery” of the South Pacific in 1513.</w:t>
      </w:r>
      <w:r>
        <w:rPr>
          <w:rStyle w:val="st"/>
          <w:rFonts w:cs="Times New Roman"/>
        </w:rPr>
        <w:t xml:space="preserve"> T</w:t>
      </w:r>
      <w:r w:rsidRPr="009B75EF">
        <w:rPr>
          <w:rStyle w:val="st"/>
          <w:rFonts w:cs="Times New Roman"/>
        </w:rPr>
        <w:t>he allusion is fitting</w:t>
      </w:r>
      <w:r>
        <w:rPr>
          <w:rStyle w:val="st"/>
          <w:rFonts w:cs="Times New Roman"/>
        </w:rPr>
        <w:t xml:space="preserve">, for as </w:t>
      </w:r>
      <w:r w:rsidRPr="009B75EF">
        <w:rPr>
          <w:rStyle w:val="st"/>
          <w:rFonts w:cs="Times New Roman"/>
        </w:rPr>
        <w:t xml:space="preserve">surely as Balboa initiated the era of European colonialism in the Pacific, Byron’s journey initiated the final chapter in this hemispheric domination. </w:t>
      </w:r>
      <w:r>
        <w:rPr>
          <w:rStyle w:val="st"/>
          <w:rFonts w:cs="Times New Roman"/>
        </w:rPr>
        <w:t xml:space="preserve">The narrative also </w:t>
      </w:r>
      <w:r w:rsidRPr="009B75EF">
        <w:rPr>
          <w:rFonts w:cs="Times New Roman"/>
        </w:rPr>
        <w:t>allu</w:t>
      </w:r>
      <w:r>
        <w:rPr>
          <w:rFonts w:cs="Times New Roman"/>
        </w:rPr>
        <w:t xml:space="preserve">des </w:t>
      </w:r>
      <w:r w:rsidRPr="009B75EF">
        <w:rPr>
          <w:rFonts w:cs="Times New Roman"/>
        </w:rPr>
        <w:t xml:space="preserve">to the Bible, ancient Rome (Vesuvius), </w:t>
      </w:r>
      <w:r>
        <w:rPr>
          <w:rFonts w:cs="Times New Roman"/>
        </w:rPr>
        <w:t xml:space="preserve">and even </w:t>
      </w:r>
      <w:r w:rsidRPr="009B75EF">
        <w:rPr>
          <w:rFonts w:cs="Times New Roman"/>
        </w:rPr>
        <w:t xml:space="preserve">Daniel DaFoe’s </w:t>
      </w:r>
      <w:r w:rsidRPr="009B75EF">
        <w:rPr>
          <w:rFonts w:cs="Times New Roman"/>
          <w:i/>
        </w:rPr>
        <w:t>A New Voyage Round the World</w:t>
      </w:r>
      <w:r>
        <w:rPr>
          <w:rFonts w:cs="Times New Roman"/>
        </w:rPr>
        <w:t xml:space="preserve"> (1724)</w:t>
      </w:r>
      <w:r w:rsidRPr="009B75EF">
        <w:rPr>
          <w:rFonts w:cs="Times New Roman"/>
        </w:rPr>
        <w:t>, in which the narrator equates the night light</w:t>
      </w:r>
      <w:r w:rsidR="00E8661E">
        <w:rPr>
          <w:rFonts w:cs="Times New Roman"/>
        </w:rPr>
        <w:t>s emitted from Kilauea with those</w:t>
      </w:r>
      <w:r w:rsidRPr="009B75EF">
        <w:rPr>
          <w:rFonts w:cs="Times New Roman"/>
        </w:rPr>
        <w:t xml:space="preserve"> of the volcanoes of the Andes.</w:t>
      </w:r>
      <w:r w:rsidRPr="009B75EF">
        <w:rPr>
          <w:rStyle w:val="FootnoteReference"/>
          <w:rFonts w:cs="Times New Roman"/>
        </w:rPr>
        <w:footnoteReference w:id="129"/>
      </w:r>
    </w:p>
    <w:p w14:paraId="2CE74089" w14:textId="77777777" w:rsidR="00B36BA8" w:rsidRDefault="00B36BA8" w:rsidP="003E215C">
      <w:pPr>
        <w:pStyle w:val="NoSpacing"/>
        <w:spacing w:line="480" w:lineRule="auto"/>
        <w:ind w:firstLine="720"/>
        <w:rPr>
          <w:rFonts w:ascii="Times New Roman" w:hAnsi="Times New Roman"/>
          <w:iCs/>
        </w:rPr>
      </w:pPr>
    </w:p>
    <w:p w14:paraId="3EA39BEA" w14:textId="77777777" w:rsidR="00B36BA8" w:rsidRPr="0007347C" w:rsidRDefault="00B36BA8" w:rsidP="003E215C">
      <w:pPr>
        <w:pStyle w:val="NoSpacing"/>
        <w:spacing w:line="480" w:lineRule="auto"/>
        <w:ind w:firstLine="720"/>
        <w:rPr>
          <w:rFonts w:ascii="Times New Roman" w:hAnsi="Times New Roman"/>
          <w:b/>
          <w:iCs/>
        </w:rPr>
      </w:pPr>
      <w:r w:rsidRPr="0007347C">
        <w:rPr>
          <w:rFonts w:ascii="Times New Roman" w:hAnsi="Times New Roman"/>
          <w:b/>
          <w:iCs/>
        </w:rPr>
        <w:t>Early Paintings – Peale, Kern, and</w:t>
      </w:r>
      <w:r>
        <w:rPr>
          <w:rFonts w:ascii="Times New Roman" w:hAnsi="Times New Roman"/>
          <w:b/>
          <w:iCs/>
        </w:rPr>
        <w:t xml:space="preserve"> the Art of Exploration</w:t>
      </w:r>
    </w:p>
    <w:p w14:paraId="25A1392D" w14:textId="16D39F2A" w:rsidR="00B36BA8" w:rsidRDefault="00B36BA8" w:rsidP="00B36BA8">
      <w:pPr>
        <w:pStyle w:val="NoSpacing"/>
        <w:spacing w:line="480" w:lineRule="auto"/>
        <w:ind w:firstLine="720"/>
        <w:rPr>
          <w:rFonts w:ascii="Times New Roman" w:hAnsi="Times New Roman"/>
        </w:rPr>
      </w:pPr>
      <w:r w:rsidRPr="00527722">
        <w:rPr>
          <w:rFonts w:ascii="Times New Roman" w:hAnsi="Times New Roman"/>
          <w:iCs/>
        </w:rPr>
        <w:t xml:space="preserve">Early paintings </w:t>
      </w:r>
      <w:r w:rsidR="00E8661E">
        <w:rPr>
          <w:rFonts w:ascii="Times New Roman" w:hAnsi="Times New Roman"/>
          <w:iCs/>
        </w:rPr>
        <w:t xml:space="preserve">of Kilauea </w:t>
      </w:r>
      <w:r w:rsidRPr="00527722">
        <w:rPr>
          <w:rFonts w:ascii="Times New Roman" w:hAnsi="Times New Roman"/>
          <w:iCs/>
        </w:rPr>
        <w:t xml:space="preserve">largely follow </w:t>
      </w:r>
      <w:r w:rsidR="00CC7403">
        <w:rPr>
          <w:rFonts w:ascii="Times New Roman" w:hAnsi="Times New Roman"/>
          <w:iCs/>
        </w:rPr>
        <w:t xml:space="preserve">both </w:t>
      </w:r>
      <w:r w:rsidRPr="00527722">
        <w:rPr>
          <w:rFonts w:ascii="Times New Roman" w:hAnsi="Times New Roman"/>
          <w:iCs/>
        </w:rPr>
        <w:t xml:space="preserve">Byron’s narrative and the precedent set by </w:t>
      </w:r>
      <w:r w:rsidR="00DA5E67">
        <w:rPr>
          <w:rFonts w:ascii="Times New Roman" w:hAnsi="Times New Roman"/>
          <w:iCs/>
        </w:rPr>
        <w:t xml:space="preserve">his book’s </w:t>
      </w:r>
      <w:r w:rsidRPr="00527722">
        <w:rPr>
          <w:rFonts w:ascii="Times New Roman" w:hAnsi="Times New Roman"/>
          <w:iCs/>
        </w:rPr>
        <w:t>engraved frontispiece. Titian Ramsay Peale</w:t>
      </w:r>
      <w:r>
        <w:rPr>
          <w:rFonts w:ascii="Times New Roman" w:hAnsi="Times New Roman"/>
          <w:iCs/>
        </w:rPr>
        <w:t xml:space="preserve">, artist, naturalist, and son of Charles Willson Peale, </w:t>
      </w:r>
      <w:r w:rsidRPr="00527722">
        <w:rPr>
          <w:rFonts w:ascii="Times New Roman" w:hAnsi="Times New Roman"/>
        </w:rPr>
        <w:t xml:space="preserve">travelled to </w:t>
      </w:r>
      <w:r>
        <w:rPr>
          <w:rFonts w:ascii="Times New Roman" w:hAnsi="Times New Roman"/>
        </w:rPr>
        <w:t>Hawai’i</w:t>
      </w:r>
      <w:r w:rsidRPr="00527722">
        <w:rPr>
          <w:rFonts w:ascii="Times New Roman" w:hAnsi="Times New Roman"/>
        </w:rPr>
        <w:t xml:space="preserve"> as part of the United</w:t>
      </w:r>
      <w:r>
        <w:rPr>
          <w:rFonts w:ascii="Times New Roman" w:hAnsi="Times New Roman"/>
        </w:rPr>
        <w:t xml:space="preserve"> States South Seas Exploratory E</w:t>
      </w:r>
      <w:r w:rsidRPr="00527722">
        <w:rPr>
          <w:rFonts w:ascii="Times New Roman" w:hAnsi="Times New Roman"/>
        </w:rPr>
        <w:t xml:space="preserve">xpedition under the command of Lt. </w:t>
      </w:r>
      <w:r w:rsidR="00E8661E">
        <w:rPr>
          <w:rFonts w:ascii="Times New Roman" w:hAnsi="Times New Roman"/>
        </w:rPr>
        <w:t>Charles Wilkes. Wilkes</w:t>
      </w:r>
      <w:r>
        <w:rPr>
          <w:rFonts w:ascii="Times New Roman" w:hAnsi="Times New Roman"/>
        </w:rPr>
        <w:t xml:space="preserve">, </w:t>
      </w:r>
      <w:r w:rsidR="00E8661E">
        <w:rPr>
          <w:rFonts w:ascii="Times New Roman" w:hAnsi="Times New Roman"/>
        </w:rPr>
        <w:t xml:space="preserve">commanding </w:t>
      </w:r>
      <w:r w:rsidRPr="00527722">
        <w:rPr>
          <w:rFonts w:ascii="Times New Roman" w:hAnsi="Times New Roman"/>
        </w:rPr>
        <w:t>six vessels</w:t>
      </w:r>
      <w:r>
        <w:rPr>
          <w:rFonts w:ascii="Times New Roman" w:hAnsi="Times New Roman"/>
        </w:rPr>
        <w:t xml:space="preserve">, </w:t>
      </w:r>
      <w:r w:rsidRPr="00527722">
        <w:rPr>
          <w:rFonts w:ascii="Times New Roman" w:hAnsi="Times New Roman"/>
        </w:rPr>
        <w:t>travel</w:t>
      </w:r>
      <w:r>
        <w:rPr>
          <w:rFonts w:ascii="Times New Roman" w:hAnsi="Times New Roman"/>
        </w:rPr>
        <w:t>l</w:t>
      </w:r>
      <w:r w:rsidRPr="00527722">
        <w:rPr>
          <w:rFonts w:ascii="Times New Roman" w:hAnsi="Times New Roman"/>
        </w:rPr>
        <w:t xml:space="preserve">ed a total of 87,000 miles, leaving the east coast of America and </w:t>
      </w:r>
      <w:r w:rsidR="00E8661E">
        <w:rPr>
          <w:rFonts w:ascii="Times New Roman" w:hAnsi="Times New Roman"/>
        </w:rPr>
        <w:t xml:space="preserve">visiting </w:t>
      </w:r>
      <w:r w:rsidRPr="00527722">
        <w:rPr>
          <w:rFonts w:ascii="Times New Roman" w:hAnsi="Times New Roman"/>
        </w:rPr>
        <w:t>South America, Antarctica, the Pacific Islands, Australia,</w:t>
      </w:r>
      <w:r w:rsidR="00E8661E">
        <w:rPr>
          <w:rFonts w:ascii="Times New Roman" w:hAnsi="Times New Roman"/>
        </w:rPr>
        <w:t xml:space="preserve"> and </w:t>
      </w:r>
      <w:r w:rsidRPr="00527722">
        <w:rPr>
          <w:rFonts w:ascii="Times New Roman" w:hAnsi="Times New Roman"/>
        </w:rPr>
        <w:t xml:space="preserve">Singapore, </w:t>
      </w:r>
      <w:r w:rsidR="00E8661E">
        <w:rPr>
          <w:rFonts w:ascii="Times New Roman" w:hAnsi="Times New Roman"/>
        </w:rPr>
        <w:t xml:space="preserve">before rounding the </w:t>
      </w:r>
      <w:r w:rsidRPr="00527722">
        <w:rPr>
          <w:rFonts w:ascii="Times New Roman" w:hAnsi="Times New Roman"/>
        </w:rPr>
        <w:t>Cape of Good Hope</w:t>
      </w:r>
      <w:r w:rsidR="00E8661E">
        <w:rPr>
          <w:rFonts w:ascii="Times New Roman" w:hAnsi="Times New Roman"/>
        </w:rPr>
        <w:t xml:space="preserve"> to return to America. The Wilkes E</w:t>
      </w:r>
      <w:r w:rsidRPr="00527722">
        <w:rPr>
          <w:rFonts w:ascii="Times New Roman" w:hAnsi="Times New Roman"/>
        </w:rPr>
        <w:t>xpedition</w:t>
      </w:r>
      <w:r>
        <w:rPr>
          <w:rFonts w:ascii="Times New Roman" w:hAnsi="Times New Roman"/>
        </w:rPr>
        <w:t>, the</w:t>
      </w:r>
      <w:r w:rsidRPr="00527722">
        <w:rPr>
          <w:rFonts w:ascii="Times New Roman" w:hAnsi="Times New Roman"/>
        </w:rPr>
        <w:t xml:space="preserve"> first </w:t>
      </w:r>
      <w:r>
        <w:rPr>
          <w:rFonts w:ascii="Times New Roman" w:hAnsi="Times New Roman"/>
        </w:rPr>
        <w:t xml:space="preserve">sponsored by the </w:t>
      </w:r>
      <w:r w:rsidRPr="00527722">
        <w:rPr>
          <w:rFonts w:ascii="Times New Roman" w:hAnsi="Times New Roman"/>
        </w:rPr>
        <w:t xml:space="preserve">U.S. </w:t>
      </w:r>
      <w:r w:rsidR="00DA5E67">
        <w:rPr>
          <w:rFonts w:ascii="Times New Roman" w:hAnsi="Times New Roman"/>
        </w:rPr>
        <w:t xml:space="preserve">government </w:t>
      </w:r>
      <w:r w:rsidR="00F17DF5">
        <w:rPr>
          <w:rFonts w:ascii="Times New Roman" w:hAnsi="Times New Roman"/>
        </w:rPr>
        <w:t>in</w:t>
      </w:r>
      <w:r>
        <w:rPr>
          <w:rFonts w:ascii="Times New Roman" w:hAnsi="Times New Roman"/>
        </w:rPr>
        <w:t xml:space="preserve"> </w:t>
      </w:r>
      <w:r w:rsidRPr="00527722">
        <w:rPr>
          <w:rFonts w:ascii="Times New Roman" w:hAnsi="Times New Roman"/>
        </w:rPr>
        <w:t xml:space="preserve">the Pacific, </w:t>
      </w:r>
      <w:r>
        <w:rPr>
          <w:rFonts w:ascii="Times New Roman" w:hAnsi="Times New Roman"/>
        </w:rPr>
        <w:t xml:space="preserve">collected </w:t>
      </w:r>
      <w:r w:rsidRPr="00527722">
        <w:rPr>
          <w:rFonts w:ascii="Times New Roman" w:hAnsi="Times New Roman"/>
        </w:rPr>
        <w:t>40 tons of artifacts</w:t>
      </w:r>
      <w:r>
        <w:rPr>
          <w:rFonts w:ascii="Times New Roman" w:hAnsi="Times New Roman"/>
        </w:rPr>
        <w:t xml:space="preserve">, </w:t>
      </w:r>
      <w:r w:rsidRPr="00527722">
        <w:rPr>
          <w:rFonts w:ascii="Times New Roman" w:hAnsi="Times New Roman"/>
        </w:rPr>
        <w:t>including flora, fauna, maps, sketches, charts, drawings, and diagrams</w:t>
      </w:r>
      <w:r>
        <w:rPr>
          <w:rFonts w:ascii="Times New Roman" w:hAnsi="Times New Roman"/>
        </w:rPr>
        <w:t xml:space="preserve">. This extraordinary treasure </w:t>
      </w:r>
      <w:r w:rsidRPr="00527722">
        <w:rPr>
          <w:rFonts w:ascii="Times New Roman" w:hAnsi="Times New Roman"/>
        </w:rPr>
        <w:t xml:space="preserve">formed the core </w:t>
      </w:r>
      <w:r w:rsidR="00F17DF5">
        <w:rPr>
          <w:rFonts w:ascii="Times New Roman" w:hAnsi="Times New Roman"/>
        </w:rPr>
        <w:t xml:space="preserve">collection </w:t>
      </w:r>
      <w:r w:rsidRPr="00527722">
        <w:rPr>
          <w:rFonts w:ascii="Times New Roman" w:hAnsi="Times New Roman"/>
        </w:rPr>
        <w:t xml:space="preserve">of the Smithsonian </w:t>
      </w:r>
      <w:r w:rsidR="00F17DF5">
        <w:rPr>
          <w:rFonts w:ascii="Times New Roman" w:hAnsi="Times New Roman"/>
        </w:rPr>
        <w:t xml:space="preserve">when it opened </w:t>
      </w:r>
      <w:r w:rsidRPr="00527722">
        <w:rPr>
          <w:rFonts w:ascii="Times New Roman" w:hAnsi="Times New Roman"/>
        </w:rPr>
        <w:t xml:space="preserve">in 1858. From September 30 to December 2, 1840, the U.S. South Seas Exploratory Expedition set anchor in </w:t>
      </w:r>
      <w:r>
        <w:rPr>
          <w:rFonts w:ascii="Times New Roman" w:hAnsi="Times New Roman"/>
        </w:rPr>
        <w:t>Hawaiian</w:t>
      </w:r>
      <w:r w:rsidRPr="00527722">
        <w:rPr>
          <w:rFonts w:ascii="Times New Roman" w:hAnsi="Times New Roman"/>
        </w:rPr>
        <w:t xml:space="preserve"> waters.</w:t>
      </w:r>
      <w:r w:rsidR="00CC7403">
        <w:rPr>
          <w:rStyle w:val="FootnoteReference"/>
          <w:rFonts w:ascii="Times New Roman" w:hAnsi="Times New Roman"/>
        </w:rPr>
        <w:footnoteReference w:id="130"/>
      </w:r>
      <w:r w:rsidRPr="00527722">
        <w:rPr>
          <w:rFonts w:ascii="Times New Roman" w:hAnsi="Times New Roman"/>
        </w:rPr>
        <w:t xml:space="preserve"> The</w:t>
      </w:r>
      <w:r w:rsidR="00F17DF5">
        <w:rPr>
          <w:rFonts w:ascii="Times New Roman" w:hAnsi="Times New Roman"/>
        </w:rPr>
        <w:t>ir</w:t>
      </w:r>
      <w:r w:rsidRPr="00527722">
        <w:rPr>
          <w:rFonts w:ascii="Times New Roman" w:hAnsi="Times New Roman"/>
        </w:rPr>
        <w:t xml:space="preserve"> primary goal</w:t>
      </w:r>
      <w:r w:rsidR="00F17DF5">
        <w:rPr>
          <w:rFonts w:ascii="Times New Roman" w:hAnsi="Times New Roman"/>
        </w:rPr>
        <w:t xml:space="preserve">, </w:t>
      </w:r>
      <w:r w:rsidRPr="00527722">
        <w:rPr>
          <w:rFonts w:ascii="Times New Roman" w:hAnsi="Times New Roman"/>
        </w:rPr>
        <w:t>to make the Pacific frontier visible to the American public, was both immodest and improbable.</w:t>
      </w:r>
      <w:r w:rsidRPr="00527722">
        <w:rPr>
          <w:rStyle w:val="FootnoteReference"/>
          <w:rFonts w:ascii="Times New Roman" w:hAnsi="Times New Roman"/>
        </w:rPr>
        <w:footnoteReference w:id="131"/>
      </w:r>
    </w:p>
    <w:p w14:paraId="351B2CAB" w14:textId="45814D4E" w:rsidR="00B36BA8" w:rsidRPr="00527722" w:rsidRDefault="00B36BA8" w:rsidP="00B36BA8">
      <w:pPr>
        <w:pStyle w:val="NoSpacing"/>
        <w:spacing w:line="480" w:lineRule="auto"/>
        <w:ind w:firstLine="720"/>
        <w:rPr>
          <w:rFonts w:ascii="Times New Roman" w:hAnsi="Times New Roman"/>
          <w:iCs/>
        </w:rPr>
      </w:pPr>
      <w:r w:rsidRPr="00527722">
        <w:rPr>
          <w:rFonts w:ascii="Times New Roman" w:hAnsi="Times New Roman"/>
        </w:rPr>
        <w:t xml:space="preserve">Peale traveled </w:t>
      </w:r>
      <w:r>
        <w:rPr>
          <w:rFonts w:ascii="Times New Roman" w:hAnsi="Times New Roman"/>
        </w:rPr>
        <w:t xml:space="preserve">overland </w:t>
      </w:r>
      <w:r w:rsidRPr="00527722">
        <w:rPr>
          <w:rFonts w:ascii="Times New Roman" w:hAnsi="Times New Roman"/>
        </w:rPr>
        <w:t>from Hilo to the crater of Kilauea in mid-November</w:t>
      </w:r>
      <w:r w:rsidR="00F17DF5">
        <w:rPr>
          <w:rFonts w:ascii="Times New Roman" w:hAnsi="Times New Roman"/>
        </w:rPr>
        <w:t>.</w:t>
      </w:r>
      <w:r w:rsidRPr="00527722">
        <w:rPr>
          <w:rFonts w:ascii="Times New Roman" w:hAnsi="Times New Roman"/>
          <w:iCs/>
        </w:rPr>
        <w:t xml:space="preserve"> In </w:t>
      </w:r>
      <w:r w:rsidRPr="00527722">
        <w:rPr>
          <w:rFonts w:ascii="Times New Roman" w:hAnsi="Times New Roman"/>
          <w:i/>
        </w:rPr>
        <w:t>West Crater of “Kaluea Pele” From the Black Ledge</w:t>
      </w:r>
      <w:r w:rsidRPr="00527722">
        <w:rPr>
          <w:rFonts w:ascii="Times New Roman" w:hAnsi="Times New Roman"/>
        </w:rPr>
        <w:t xml:space="preserve">, </w:t>
      </w:r>
      <w:r w:rsidR="00F17DF5">
        <w:rPr>
          <w:rFonts w:ascii="Times New Roman" w:hAnsi="Times New Roman"/>
          <w:iCs/>
        </w:rPr>
        <w:t>he</w:t>
      </w:r>
      <w:r w:rsidRPr="00527722">
        <w:rPr>
          <w:rFonts w:ascii="Times New Roman" w:hAnsi="Times New Roman"/>
        </w:rPr>
        <w:t xml:space="preserve"> places the expedition </w:t>
      </w:r>
      <w:r>
        <w:rPr>
          <w:rFonts w:ascii="Times New Roman" w:hAnsi="Times New Roman"/>
        </w:rPr>
        <w:t>team much closer to the center o</w:t>
      </w:r>
      <w:r w:rsidRPr="00527722">
        <w:rPr>
          <w:rFonts w:ascii="Times New Roman" w:hAnsi="Times New Roman"/>
        </w:rPr>
        <w:t xml:space="preserve">f the crater than </w:t>
      </w:r>
      <w:r w:rsidR="00F17DF5">
        <w:rPr>
          <w:rFonts w:ascii="Times New Roman" w:hAnsi="Times New Roman"/>
        </w:rPr>
        <w:t xml:space="preserve">does </w:t>
      </w:r>
      <w:r w:rsidRPr="00527722">
        <w:rPr>
          <w:rFonts w:ascii="Times New Roman" w:hAnsi="Times New Roman"/>
        </w:rPr>
        <w:t xml:space="preserve">the illustration of Bryon’s </w:t>
      </w:r>
      <w:r w:rsidR="00F17DF5">
        <w:rPr>
          <w:rFonts w:ascii="Times New Roman" w:hAnsi="Times New Roman"/>
        </w:rPr>
        <w:t xml:space="preserve">account </w:t>
      </w:r>
      <w:r w:rsidR="003E0F74" w:rsidRPr="00E321EC">
        <w:rPr>
          <w:rFonts w:ascii="Times New Roman" w:hAnsi="Times New Roman"/>
        </w:rPr>
        <w:t>(fig. 3.8)</w:t>
      </w:r>
      <w:r w:rsidRPr="00527722">
        <w:rPr>
          <w:rFonts w:ascii="Times New Roman" w:hAnsi="Times New Roman"/>
        </w:rPr>
        <w:t>. The back wall of the crater rises ominously above the figures, with the result that they, and the viewer, feel engulfed by the volcano.</w:t>
      </w:r>
      <w:r w:rsidRPr="00527722">
        <w:rPr>
          <w:rStyle w:val="FootnoteReference"/>
          <w:rFonts w:ascii="Times New Roman" w:hAnsi="Times New Roman"/>
        </w:rPr>
        <w:footnoteReference w:id="132"/>
      </w:r>
      <w:r>
        <w:rPr>
          <w:rFonts w:ascii="Times New Roman" w:hAnsi="Times New Roman"/>
        </w:rPr>
        <w:t xml:space="preserve"> </w:t>
      </w:r>
      <w:r w:rsidRPr="00527722">
        <w:rPr>
          <w:rFonts w:ascii="Times New Roman" w:hAnsi="Times New Roman"/>
        </w:rPr>
        <w:t xml:space="preserve">Approximately 15 </w:t>
      </w:r>
      <w:r w:rsidR="001246B1">
        <w:rPr>
          <w:rFonts w:ascii="Times New Roman" w:hAnsi="Times New Roman"/>
        </w:rPr>
        <w:t xml:space="preserve">years </w:t>
      </w:r>
      <w:r w:rsidR="00F17DF5">
        <w:rPr>
          <w:rFonts w:ascii="Times New Roman" w:hAnsi="Times New Roman"/>
        </w:rPr>
        <w:t xml:space="preserve">after Peale’s travels, </w:t>
      </w:r>
      <w:r w:rsidRPr="00527722">
        <w:rPr>
          <w:rFonts w:ascii="Times New Roman" w:hAnsi="Times New Roman"/>
          <w:iCs/>
        </w:rPr>
        <w:t xml:space="preserve">Edward Myers Kern made several images of Kilauea when he traveled to Hilo Bay with the </w:t>
      </w:r>
      <w:r w:rsidRPr="00527722">
        <w:rPr>
          <w:rFonts w:ascii="Times New Roman" w:hAnsi="Times New Roman"/>
          <w:i/>
          <w:iCs/>
        </w:rPr>
        <w:t>USS Vincennes</w:t>
      </w:r>
      <w:r w:rsidRPr="00527722">
        <w:rPr>
          <w:rFonts w:ascii="Times New Roman" w:hAnsi="Times New Roman"/>
          <w:iCs/>
        </w:rPr>
        <w:t xml:space="preserve"> in 1856.</w:t>
      </w:r>
      <w:r w:rsidRPr="00527722">
        <w:rPr>
          <w:rStyle w:val="FootnoteReference"/>
          <w:rFonts w:ascii="Times New Roman" w:hAnsi="Times New Roman"/>
        </w:rPr>
        <w:footnoteReference w:id="133"/>
      </w:r>
      <w:r w:rsidRPr="00527722">
        <w:rPr>
          <w:rFonts w:ascii="Times New Roman" w:hAnsi="Times New Roman"/>
          <w:iCs/>
        </w:rPr>
        <w:t xml:space="preserve"> In Kern’s </w:t>
      </w:r>
      <w:r w:rsidRPr="00527722">
        <w:rPr>
          <w:rFonts w:ascii="Times New Roman" w:hAnsi="Times New Roman"/>
          <w:i/>
          <w:iCs/>
        </w:rPr>
        <w:t xml:space="preserve">Lava Lake, Volcano Kilauea, </w:t>
      </w:r>
      <w:r>
        <w:rPr>
          <w:rFonts w:ascii="Times New Roman" w:hAnsi="Times New Roman"/>
          <w:i/>
          <w:iCs/>
        </w:rPr>
        <w:t>Hawai’i</w:t>
      </w:r>
      <w:r w:rsidRPr="00527722">
        <w:rPr>
          <w:rFonts w:ascii="Times New Roman" w:hAnsi="Times New Roman"/>
          <w:iCs/>
        </w:rPr>
        <w:t>, the figures, and thus the viewer, are even closer to the fires of the volcano</w:t>
      </w:r>
      <w:r w:rsidR="003E0F74">
        <w:rPr>
          <w:rFonts w:ascii="Times New Roman" w:hAnsi="Times New Roman"/>
          <w:iCs/>
        </w:rPr>
        <w:t xml:space="preserve"> </w:t>
      </w:r>
      <w:r w:rsidR="003E0F74" w:rsidRPr="00E321EC">
        <w:rPr>
          <w:rFonts w:ascii="Times New Roman" w:hAnsi="Times New Roman"/>
          <w:iCs/>
        </w:rPr>
        <w:t>(fig. 3.9)</w:t>
      </w:r>
      <w:r w:rsidRPr="00527722">
        <w:rPr>
          <w:rFonts w:ascii="Times New Roman" w:hAnsi="Times New Roman"/>
          <w:iCs/>
        </w:rPr>
        <w:t xml:space="preserve">. </w:t>
      </w:r>
      <w:r w:rsidR="00F17DF5">
        <w:rPr>
          <w:rFonts w:ascii="Times New Roman" w:hAnsi="Times New Roman"/>
          <w:iCs/>
        </w:rPr>
        <w:t>S</w:t>
      </w:r>
      <w:r w:rsidRPr="00527722">
        <w:rPr>
          <w:rFonts w:ascii="Times New Roman" w:hAnsi="Times New Roman"/>
          <w:iCs/>
        </w:rPr>
        <w:t>moke rises from the crater floor at a safe distance from the attendant figures, in Kern</w:t>
      </w:r>
      <w:r w:rsidR="00F17DF5">
        <w:rPr>
          <w:rFonts w:ascii="Times New Roman" w:hAnsi="Times New Roman"/>
          <w:iCs/>
        </w:rPr>
        <w:t xml:space="preserve"> the </w:t>
      </w:r>
      <w:r w:rsidRPr="00527722">
        <w:rPr>
          <w:rFonts w:ascii="Times New Roman" w:hAnsi="Times New Roman"/>
          <w:iCs/>
        </w:rPr>
        <w:t xml:space="preserve">figures </w:t>
      </w:r>
      <w:r w:rsidR="00F17DF5">
        <w:rPr>
          <w:rFonts w:ascii="Times New Roman" w:hAnsi="Times New Roman"/>
          <w:iCs/>
        </w:rPr>
        <w:t xml:space="preserve">stand directly on the </w:t>
      </w:r>
      <w:r w:rsidRPr="00527722">
        <w:rPr>
          <w:rFonts w:ascii="Times New Roman" w:hAnsi="Times New Roman"/>
          <w:iCs/>
        </w:rPr>
        <w:t xml:space="preserve">crater floor. </w:t>
      </w:r>
      <w:r w:rsidR="00F17DF5">
        <w:rPr>
          <w:rFonts w:ascii="Times New Roman" w:hAnsi="Times New Roman"/>
          <w:iCs/>
        </w:rPr>
        <w:t>W</w:t>
      </w:r>
      <w:r w:rsidRPr="00527722">
        <w:rPr>
          <w:rFonts w:ascii="Times New Roman" w:hAnsi="Times New Roman"/>
          <w:iCs/>
        </w:rPr>
        <w:t>ere the volcano to erupt, the</w:t>
      </w:r>
      <w:r w:rsidR="00F17DF5">
        <w:rPr>
          <w:rFonts w:ascii="Times New Roman" w:hAnsi="Times New Roman"/>
          <w:iCs/>
        </w:rPr>
        <w:t xml:space="preserve">y, </w:t>
      </w:r>
      <w:r w:rsidRPr="00527722">
        <w:rPr>
          <w:rFonts w:ascii="Times New Roman" w:hAnsi="Times New Roman"/>
          <w:iCs/>
        </w:rPr>
        <w:t>along with vicarious viewers, would be engulfed in a fiery mass of lava.</w:t>
      </w:r>
    </w:p>
    <w:p w14:paraId="6E8D743C" w14:textId="3CB19629" w:rsidR="00B36BA8" w:rsidRPr="00527722" w:rsidRDefault="00B36BA8" w:rsidP="00B36BA8">
      <w:pPr>
        <w:pStyle w:val="NoSpacing"/>
        <w:spacing w:line="480" w:lineRule="auto"/>
        <w:ind w:firstLine="720"/>
        <w:rPr>
          <w:rFonts w:ascii="Times New Roman" w:hAnsi="Times New Roman"/>
          <w:iCs/>
        </w:rPr>
      </w:pPr>
      <w:r>
        <w:rPr>
          <w:rFonts w:ascii="Times New Roman" w:hAnsi="Times New Roman"/>
        </w:rPr>
        <w:t xml:space="preserve">Tavernier’s </w:t>
      </w:r>
      <w:r w:rsidR="00E321EC">
        <w:rPr>
          <w:rFonts w:ascii="Times New Roman" w:hAnsi="Times New Roman"/>
          <w:i/>
        </w:rPr>
        <w:t>View of Kilauea Volcano a</w:t>
      </w:r>
      <w:r w:rsidRPr="00527722">
        <w:rPr>
          <w:rFonts w:ascii="Times New Roman" w:hAnsi="Times New Roman"/>
          <w:i/>
        </w:rPr>
        <w:t xml:space="preserve">t Night </w:t>
      </w:r>
      <w:r w:rsidRPr="00527722">
        <w:rPr>
          <w:rFonts w:ascii="Times New Roman" w:hAnsi="Times New Roman"/>
        </w:rPr>
        <w:t xml:space="preserve">is heir to these earlier images, yet pushes the drama further. If Peale, then Kern, get the viewer ever closer to the volcano, Tavernier puts the viewer in direct confrontation with </w:t>
      </w:r>
      <w:r w:rsidR="00F17DF5">
        <w:rPr>
          <w:rFonts w:ascii="Times New Roman" w:hAnsi="Times New Roman"/>
        </w:rPr>
        <w:t>i</w:t>
      </w:r>
      <w:r w:rsidRPr="00527722">
        <w:rPr>
          <w:rFonts w:ascii="Times New Roman" w:hAnsi="Times New Roman"/>
        </w:rPr>
        <w:t>t</w:t>
      </w:r>
      <w:r w:rsidR="00F17DF5">
        <w:rPr>
          <w:rFonts w:ascii="Times New Roman" w:hAnsi="Times New Roman"/>
        </w:rPr>
        <w:t xml:space="preserve">. </w:t>
      </w:r>
      <w:r w:rsidRPr="00527722">
        <w:rPr>
          <w:rFonts w:ascii="Times New Roman" w:hAnsi="Times New Roman"/>
        </w:rPr>
        <w:t>Tavernier’s view</w:t>
      </w:r>
      <w:r w:rsidR="00F17DF5">
        <w:rPr>
          <w:rFonts w:ascii="Times New Roman" w:hAnsi="Times New Roman"/>
        </w:rPr>
        <w:t>er</w:t>
      </w:r>
      <w:r w:rsidRPr="00527722">
        <w:rPr>
          <w:rFonts w:ascii="Times New Roman" w:hAnsi="Times New Roman"/>
        </w:rPr>
        <w:t xml:space="preserve"> is closer than ever to danger, but a controlled danger, a spectacle meant to </w:t>
      </w:r>
      <w:r>
        <w:rPr>
          <w:rFonts w:ascii="Times New Roman" w:hAnsi="Times New Roman"/>
        </w:rPr>
        <w:t xml:space="preserve">remind </w:t>
      </w:r>
      <w:r w:rsidRPr="00527722">
        <w:rPr>
          <w:rFonts w:ascii="Times New Roman" w:hAnsi="Times New Roman"/>
        </w:rPr>
        <w:t>tourists</w:t>
      </w:r>
      <w:r>
        <w:rPr>
          <w:rFonts w:ascii="Times New Roman" w:hAnsi="Times New Roman"/>
        </w:rPr>
        <w:t xml:space="preserve"> of their </w:t>
      </w:r>
      <w:r w:rsidRPr="00527722">
        <w:rPr>
          <w:rFonts w:ascii="Times New Roman" w:hAnsi="Times New Roman"/>
        </w:rPr>
        <w:t xml:space="preserve">harrowing confrontation with Pele. As travel to, and through, the volcano became a </w:t>
      </w:r>
      <w:r w:rsidR="00F17DF5">
        <w:rPr>
          <w:rFonts w:ascii="Times New Roman" w:hAnsi="Times New Roman"/>
        </w:rPr>
        <w:t xml:space="preserve">more </w:t>
      </w:r>
      <w:r w:rsidRPr="00527722">
        <w:rPr>
          <w:rFonts w:ascii="Times New Roman" w:hAnsi="Times New Roman"/>
        </w:rPr>
        <w:t xml:space="preserve">commonplace activity, the confrontation with something sublime, foreign, and other </w:t>
      </w:r>
      <w:r w:rsidR="00F17DF5">
        <w:rPr>
          <w:rFonts w:ascii="Times New Roman" w:hAnsi="Times New Roman"/>
        </w:rPr>
        <w:t xml:space="preserve">offered something more </w:t>
      </w:r>
      <w:r w:rsidRPr="00527722">
        <w:rPr>
          <w:rFonts w:ascii="Times New Roman" w:hAnsi="Times New Roman"/>
        </w:rPr>
        <w:t xml:space="preserve">important to represent. This </w:t>
      </w:r>
      <w:r w:rsidR="00275AF2">
        <w:rPr>
          <w:rFonts w:ascii="Times New Roman" w:hAnsi="Times New Roman"/>
        </w:rPr>
        <w:t xml:space="preserve">shifting </w:t>
      </w:r>
      <w:r w:rsidRPr="00527722">
        <w:rPr>
          <w:rFonts w:ascii="Times New Roman" w:hAnsi="Times New Roman"/>
        </w:rPr>
        <w:t xml:space="preserve">aesthetic of confrontation with lava also points broadly to changes in </w:t>
      </w:r>
      <w:r>
        <w:rPr>
          <w:rFonts w:ascii="Times New Roman" w:hAnsi="Times New Roman"/>
        </w:rPr>
        <w:t>Hawai’i</w:t>
      </w:r>
      <w:r w:rsidRPr="00527722">
        <w:rPr>
          <w:rFonts w:ascii="Times New Roman" w:hAnsi="Times New Roman"/>
        </w:rPr>
        <w:t>’s colonial situation vis-à-vis the United States, and the different audiences for these images.</w:t>
      </w:r>
    </w:p>
    <w:p w14:paraId="7902649C" w14:textId="77777777" w:rsidR="00B36BA8" w:rsidRPr="00527722" w:rsidRDefault="00B36BA8" w:rsidP="00DA5E67">
      <w:pPr>
        <w:pStyle w:val="NoSpacing"/>
        <w:spacing w:line="480" w:lineRule="auto"/>
        <w:jc w:val="center"/>
        <w:rPr>
          <w:rFonts w:ascii="Times New Roman" w:hAnsi="Times New Roman"/>
          <w:b/>
        </w:rPr>
      </w:pPr>
      <w:r w:rsidRPr="00527722">
        <w:rPr>
          <w:rFonts w:ascii="Times New Roman" w:hAnsi="Times New Roman"/>
          <w:b/>
        </w:rPr>
        <w:t>A Shift to Tourism</w:t>
      </w:r>
      <w:r>
        <w:rPr>
          <w:rFonts w:ascii="Times New Roman" w:hAnsi="Times New Roman"/>
          <w:b/>
        </w:rPr>
        <w:t xml:space="preserve">: </w:t>
      </w:r>
      <w:r w:rsidRPr="00527722">
        <w:rPr>
          <w:rFonts w:ascii="Times New Roman" w:hAnsi="Times New Roman"/>
          <w:b/>
        </w:rPr>
        <w:t>Bringing the Volcano to the People</w:t>
      </w:r>
    </w:p>
    <w:p w14:paraId="6BDAA716" w14:textId="262FB99A" w:rsidR="00B36BA8" w:rsidRPr="00527722" w:rsidRDefault="00B36BA8" w:rsidP="00B36BA8">
      <w:pPr>
        <w:pStyle w:val="NoSpacing"/>
        <w:spacing w:line="480" w:lineRule="auto"/>
        <w:ind w:firstLine="720"/>
        <w:rPr>
          <w:rFonts w:ascii="Times New Roman" w:hAnsi="Times New Roman"/>
        </w:rPr>
      </w:pPr>
      <w:r>
        <w:rPr>
          <w:rFonts w:ascii="Times New Roman" w:hAnsi="Times New Roman"/>
        </w:rPr>
        <w:t xml:space="preserve">In 1824, when </w:t>
      </w:r>
      <w:r w:rsidRPr="00527722">
        <w:rPr>
          <w:rFonts w:ascii="Times New Roman" w:hAnsi="Times New Roman"/>
        </w:rPr>
        <w:t>Lord Byron arrived</w:t>
      </w:r>
      <w:r w:rsidR="00275AF2">
        <w:rPr>
          <w:rFonts w:ascii="Times New Roman" w:hAnsi="Times New Roman"/>
        </w:rPr>
        <w:t>,</w:t>
      </w:r>
      <w:r w:rsidRPr="00527722">
        <w:rPr>
          <w:rFonts w:ascii="Times New Roman" w:hAnsi="Times New Roman"/>
        </w:rPr>
        <w:t xml:space="preserve"> perhaps a few hundred Europeans and Americans, comprised </w:t>
      </w:r>
      <w:r>
        <w:rPr>
          <w:rFonts w:ascii="Times New Roman" w:hAnsi="Times New Roman"/>
        </w:rPr>
        <w:t xml:space="preserve">mainly </w:t>
      </w:r>
      <w:r w:rsidRPr="00527722">
        <w:rPr>
          <w:rFonts w:ascii="Times New Roman" w:hAnsi="Times New Roman"/>
        </w:rPr>
        <w:t xml:space="preserve">of missionaries and a few merchants, lived in the islands, and </w:t>
      </w:r>
      <w:r>
        <w:rPr>
          <w:rFonts w:ascii="Times New Roman" w:hAnsi="Times New Roman"/>
        </w:rPr>
        <w:t>Hawai’i</w:t>
      </w:r>
      <w:r w:rsidRPr="00527722">
        <w:rPr>
          <w:rFonts w:ascii="Times New Roman" w:hAnsi="Times New Roman"/>
        </w:rPr>
        <w:t xml:space="preserve"> was completely </w:t>
      </w:r>
      <w:r>
        <w:rPr>
          <w:rFonts w:ascii="Times New Roman" w:hAnsi="Times New Roman"/>
        </w:rPr>
        <w:t xml:space="preserve">self-ruled and </w:t>
      </w:r>
      <w:r w:rsidRPr="00527722">
        <w:rPr>
          <w:rFonts w:ascii="Times New Roman" w:hAnsi="Times New Roman"/>
        </w:rPr>
        <w:t xml:space="preserve">autonomous. By the time Tavernier arrived in Honolulu in1884, thousands of American and European businessmen and missionaries had been cultivating </w:t>
      </w:r>
      <w:r>
        <w:rPr>
          <w:rFonts w:ascii="Times New Roman" w:hAnsi="Times New Roman"/>
        </w:rPr>
        <w:t>Hawai’i</w:t>
      </w:r>
      <w:r w:rsidRPr="00527722">
        <w:rPr>
          <w:rFonts w:ascii="Times New Roman" w:hAnsi="Times New Roman"/>
        </w:rPr>
        <w:t xml:space="preserve"> as a site of colonial exploitation for six decades.</w:t>
      </w:r>
      <w:r w:rsidRPr="00527722">
        <w:rPr>
          <w:rStyle w:val="FootnoteReference"/>
          <w:rFonts w:ascii="Times New Roman" w:hAnsi="Times New Roman"/>
        </w:rPr>
        <w:footnoteReference w:id="134"/>
      </w:r>
      <w:r w:rsidRPr="00527722">
        <w:rPr>
          <w:rFonts w:ascii="Times New Roman" w:hAnsi="Times New Roman"/>
        </w:rPr>
        <w:t xml:space="preserve"> In 1840, </w:t>
      </w:r>
      <w:r w:rsidRPr="00527722">
        <w:rPr>
          <w:rFonts w:ascii="Times New Roman" w:hAnsi="Times New Roman"/>
          <w:bCs/>
        </w:rPr>
        <w:t xml:space="preserve">Kamehameha III became </w:t>
      </w:r>
      <w:r>
        <w:rPr>
          <w:rFonts w:ascii="Times New Roman" w:hAnsi="Times New Roman"/>
          <w:bCs/>
        </w:rPr>
        <w:t>Hawai’i</w:t>
      </w:r>
      <w:r w:rsidRPr="00527722">
        <w:rPr>
          <w:rFonts w:ascii="Times New Roman" w:hAnsi="Times New Roman"/>
          <w:bCs/>
        </w:rPr>
        <w:t>’s first Christian ruler; b</w:t>
      </w:r>
      <w:r w:rsidRPr="00527722">
        <w:rPr>
          <w:rFonts w:ascii="Times New Roman" w:hAnsi="Times New Roman"/>
        </w:rPr>
        <w:t xml:space="preserve">y 1874, when European and American military troops first took an active role in shaping the </w:t>
      </w:r>
      <w:r>
        <w:rPr>
          <w:rFonts w:ascii="Times New Roman" w:hAnsi="Times New Roman"/>
        </w:rPr>
        <w:t>Hawaiian</w:t>
      </w:r>
      <w:r w:rsidRPr="00527722">
        <w:rPr>
          <w:rFonts w:ascii="Times New Roman" w:hAnsi="Times New Roman"/>
        </w:rPr>
        <w:t xml:space="preserve"> government, the majority of </w:t>
      </w:r>
      <w:r>
        <w:rPr>
          <w:rFonts w:ascii="Times New Roman" w:hAnsi="Times New Roman"/>
        </w:rPr>
        <w:t>Hawaiian</w:t>
      </w:r>
      <w:r w:rsidRPr="00527722">
        <w:rPr>
          <w:rFonts w:ascii="Times New Roman" w:hAnsi="Times New Roman"/>
        </w:rPr>
        <w:t xml:space="preserve">s identified as Christian. In 1876, Claus Spreckles, owner and operator of a large California sugar refinery, moved to </w:t>
      </w:r>
      <w:r>
        <w:rPr>
          <w:rFonts w:ascii="Times New Roman" w:hAnsi="Times New Roman"/>
        </w:rPr>
        <w:t xml:space="preserve">Hawai’i and </w:t>
      </w:r>
      <w:r w:rsidRPr="00527722">
        <w:rPr>
          <w:rFonts w:ascii="Times New Roman" w:hAnsi="Times New Roman"/>
        </w:rPr>
        <w:t>established the first major industry in the Islands at Sprecklesville Sugar Plantation. The growing influence of Euro-American missionaries and businessmen effectivel</w:t>
      </w:r>
      <w:r>
        <w:rPr>
          <w:rFonts w:ascii="Times New Roman" w:hAnsi="Times New Roman"/>
        </w:rPr>
        <w:t>y prepared the course of empire, presaging Hawai’i’s eventual loss of political autonomy</w:t>
      </w:r>
      <w:r w:rsidRPr="00527722">
        <w:rPr>
          <w:rFonts w:ascii="Times New Roman" w:hAnsi="Times New Roman"/>
        </w:rPr>
        <w:t>.</w:t>
      </w:r>
      <w:r>
        <w:rPr>
          <w:rStyle w:val="FootnoteReference"/>
          <w:rFonts w:ascii="Times New Roman" w:hAnsi="Times New Roman"/>
        </w:rPr>
        <w:footnoteReference w:id="135"/>
      </w:r>
      <w:r w:rsidRPr="00527722">
        <w:rPr>
          <w:rFonts w:ascii="Times New Roman" w:hAnsi="Times New Roman"/>
        </w:rPr>
        <w:t xml:space="preserve"> </w:t>
      </w:r>
      <w:r w:rsidR="001246B1">
        <w:rPr>
          <w:rFonts w:ascii="Times New Roman" w:hAnsi="Times New Roman"/>
        </w:rPr>
        <w:t>In 18</w:t>
      </w:r>
      <w:r w:rsidR="001246B1" w:rsidRPr="001246B1">
        <w:rPr>
          <w:rFonts w:asciiTheme="majorHAnsi" w:hAnsiTheme="majorHAnsi" w:cstheme="majorHAnsi"/>
          <w:szCs w:val="24"/>
        </w:rPr>
        <w:t xml:space="preserve">93, a group of sugar planters, led by Sanford Dole, overthrew the Hawaiian Monarch </w:t>
      </w:r>
      <w:r w:rsidR="001246B1" w:rsidRPr="001246B1">
        <w:rPr>
          <w:rFonts w:asciiTheme="majorHAnsi" w:hAnsiTheme="majorHAnsi" w:cstheme="majorHAnsi"/>
          <w:color w:val="101010"/>
          <w:szCs w:val="24"/>
          <w:shd w:val="clear" w:color="auto" w:fill="FFFFFF"/>
        </w:rPr>
        <w:t xml:space="preserve">Queen Liliuokalani in a coup. The coup was done with the tacit blessing of </w:t>
      </w:r>
      <w:r w:rsidR="001246B1">
        <w:rPr>
          <w:rFonts w:asciiTheme="majorHAnsi" w:hAnsiTheme="majorHAnsi" w:cstheme="majorHAnsi"/>
          <w:color w:val="101010"/>
          <w:szCs w:val="24"/>
          <w:shd w:val="clear" w:color="auto" w:fill="FFFFFF"/>
        </w:rPr>
        <w:t>the United States government</w:t>
      </w:r>
      <w:r w:rsidR="001246B1" w:rsidRPr="001246B1">
        <w:rPr>
          <w:rFonts w:asciiTheme="majorHAnsi" w:hAnsiTheme="majorHAnsi" w:cstheme="majorHAnsi"/>
          <w:color w:val="101010"/>
          <w:szCs w:val="24"/>
          <w:shd w:val="clear" w:color="auto" w:fill="FFFFFF"/>
        </w:rPr>
        <w:t>, who sent 300 U.S. Marines to Hawaii</w:t>
      </w:r>
      <w:r w:rsidR="001246B1">
        <w:rPr>
          <w:rFonts w:asciiTheme="majorHAnsi" w:hAnsiTheme="majorHAnsi" w:cstheme="majorHAnsi"/>
          <w:color w:val="101010"/>
          <w:szCs w:val="24"/>
          <w:shd w:val="clear" w:color="auto" w:fill="FFFFFF"/>
        </w:rPr>
        <w:t xml:space="preserve"> to enforce the overthrow of the queen. The </w:t>
      </w:r>
      <w:r w:rsidR="001246B1" w:rsidRPr="001246B1">
        <w:rPr>
          <w:rFonts w:asciiTheme="majorHAnsi" w:hAnsiTheme="majorHAnsi" w:cstheme="majorHAnsi"/>
          <w:color w:val="101010"/>
          <w:szCs w:val="24"/>
          <w:shd w:val="clear" w:color="auto" w:fill="FFFFFF"/>
        </w:rPr>
        <w:t xml:space="preserve">coup, along with </w:t>
      </w:r>
      <w:r w:rsidR="001246B1" w:rsidRPr="001246B1">
        <w:rPr>
          <w:rFonts w:asciiTheme="majorHAnsi" w:hAnsiTheme="majorHAnsi" w:cstheme="majorHAnsi"/>
          <w:szCs w:val="24"/>
        </w:rPr>
        <w:t>other p</w:t>
      </w:r>
      <w:r w:rsidRPr="001246B1">
        <w:rPr>
          <w:rFonts w:asciiTheme="majorHAnsi" w:hAnsiTheme="majorHAnsi" w:cstheme="majorHAnsi"/>
          <w:szCs w:val="24"/>
        </w:rPr>
        <w:t>olitical, military, and legal changes in Hawai’i, implemented through various co</w:t>
      </w:r>
      <w:r w:rsidRPr="00527722">
        <w:rPr>
          <w:rFonts w:ascii="Times New Roman" w:hAnsi="Times New Roman"/>
        </w:rPr>
        <w:t xml:space="preserve">vert and overt Euro-American influences, came to favor colonization, which in turn led to </w:t>
      </w:r>
      <w:r>
        <w:rPr>
          <w:rFonts w:ascii="Times New Roman" w:hAnsi="Times New Roman"/>
        </w:rPr>
        <w:t>Hawai’i</w:t>
      </w:r>
      <w:r w:rsidRPr="00527722">
        <w:rPr>
          <w:rFonts w:ascii="Times New Roman" w:hAnsi="Times New Roman"/>
        </w:rPr>
        <w:t xml:space="preserve">’s annexation by </w:t>
      </w:r>
      <w:r w:rsidR="00487BC5">
        <w:rPr>
          <w:rFonts w:ascii="Times New Roman" w:hAnsi="Times New Roman"/>
        </w:rPr>
        <w:t>America in 1898.</w:t>
      </w:r>
    </w:p>
    <w:p w14:paraId="3E48DEEB" w14:textId="5E1C86BC" w:rsidR="00B36BA8" w:rsidRPr="00527722" w:rsidRDefault="00B36BA8" w:rsidP="00B36BA8">
      <w:pPr>
        <w:pStyle w:val="NoSpacing"/>
        <w:spacing w:line="480" w:lineRule="auto"/>
        <w:ind w:firstLine="720"/>
        <w:rPr>
          <w:rFonts w:ascii="Times New Roman" w:hAnsi="Times New Roman"/>
        </w:rPr>
      </w:pPr>
      <w:r w:rsidRPr="00527722">
        <w:rPr>
          <w:rFonts w:ascii="Times New Roman" w:hAnsi="Times New Roman"/>
        </w:rPr>
        <w:t xml:space="preserve">As both subtle and not-so-subtle forces of colonialism exerted a corrosive effect on </w:t>
      </w:r>
      <w:r>
        <w:rPr>
          <w:rFonts w:ascii="Times New Roman" w:hAnsi="Times New Roman"/>
        </w:rPr>
        <w:t>Hawai’i</w:t>
      </w:r>
      <w:r w:rsidRPr="00527722">
        <w:rPr>
          <w:rFonts w:ascii="Times New Roman" w:hAnsi="Times New Roman"/>
        </w:rPr>
        <w:t xml:space="preserve">’s sovereignty, Kilauea developed as </w:t>
      </w:r>
      <w:r>
        <w:rPr>
          <w:rFonts w:ascii="Times New Roman" w:hAnsi="Times New Roman"/>
        </w:rPr>
        <w:t>Hawai’i</w:t>
      </w:r>
      <w:r w:rsidRPr="00527722">
        <w:rPr>
          <w:rFonts w:ascii="Times New Roman" w:hAnsi="Times New Roman"/>
        </w:rPr>
        <w:t xml:space="preserve">’s first tourist site. By the time Mark Twain arrived in </w:t>
      </w:r>
      <w:r>
        <w:rPr>
          <w:rFonts w:ascii="Times New Roman" w:hAnsi="Times New Roman"/>
        </w:rPr>
        <w:t>Hawai’i</w:t>
      </w:r>
      <w:r w:rsidRPr="00527722">
        <w:rPr>
          <w:rFonts w:ascii="Times New Roman" w:hAnsi="Times New Roman"/>
        </w:rPr>
        <w:t xml:space="preserve"> in 1866, the volcano tourism industry was in full swing. Twain</w:t>
      </w:r>
      <w:r w:rsidR="00275AF2">
        <w:rPr>
          <w:rFonts w:ascii="Times New Roman" w:hAnsi="Times New Roman"/>
        </w:rPr>
        <w:t xml:space="preserve">, as previously mentioned, </w:t>
      </w:r>
      <w:r w:rsidRPr="00527722">
        <w:rPr>
          <w:rFonts w:ascii="Times New Roman" w:hAnsi="Times New Roman"/>
        </w:rPr>
        <w:t xml:space="preserve">stayed overnight at the Volcano House, a long-standing hotel / guest house located on the bluffs above the crater of Kilauea </w:t>
      </w:r>
      <w:r w:rsidR="00275AF2">
        <w:rPr>
          <w:rFonts w:ascii="Times New Roman" w:hAnsi="Times New Roman"/>
        </w:rPr>
        <w:t xml:space="preserve">built in </w:t>
      </w:r>
      <w:r w:rsidRPr="00527722">
        <w:rPr>
          <w:rFonts w:ascii="Times New Roman" w:hAnsi="Times New Roman"/>
        </w:rPr>
        <w:t xml:space="preserve">the 1840s. In 1866, </w:t>
      </w:r>
      <w:r w:rsidR="00275AF2">
        <w:rPr>
          <w:rFonts w:ascii="Times New Roman" w:hAnsi="Times New Roman"/>
        </w:rPr>
        <w:t xml:space="preserve">its rude </w:t>
      </w:r>
      <w:r w:rsidRPr="00527722">
        <w:rPr>
          <w:rFonts w:ascii="Times New Roman" w:hAnsi="Times New Roman"/>
        </w:rPr>
        <w:t>thatched buildings were replaced by a hotel consisting of several bedrooms, a lanai</w:t>
      </w:r>
      <w:r w:rsidR="003941EB">
        <w:rPr>
          <w:rFonts w:ascii="Times New Roman" w:hAnsi="Times New Roman"/>
        </w:rPr>
        <w:t xml:space="preserve"> (porch or veranda)</w:t>
      </w:r>
      <w:r w:rsidRPr="00527722">
        <w:rPr>
          <w:rFonts w:ascii="Times New Roman" w:hAnsi="Times New Roman"/>
        </w:rPr>
        <w:t>, and a common room. Throughout the century, more improvements were made, and in 1877,</w:t>
      </w:r>
      <w:r w:rsidR="00275AF2">
        <w:rPr>
          <w:rFonts w:ascii="Times New Roman" w:hAnsi="Times New Roman"/>
        </w:rPr>
        <w:t xml:space="preserve"> a permanent wood structure</w:t>
      </w:r>
      <w:r w:rsidR="003941EB">
        <w:rPr>
          <w:rFonts w:ascii="Times New Roman" w:hAnsi="Times New Roman"/>
        </w:rPr>
        <w:t xml:space="preserve"> was</w:t>
      </w:r>
      <w:r w:rsidR="00275AF2">
        <w:rPr>
          <w:rFonts w:ascii="Times New Roman" w:hAnsi="Times New Roman"/>
        </w:rPr>
        <w:t xml:space="preserve"> </w:t>
      </w:r>
      <w:r w:rsidRPr="00527722">
        <w:rPr>
          <w:rFonts w:ascii="Times New Roman" w:hAnsi="Times New Roman"/>
        </w:rPr>
        <w:t>constructed.</w:t>
      </w:r>
      <w:r w:rsidRPr="00527722">
        <w:rPr>
          <w:rStyle w:val="FootnoteReference"/>
          <w:rFonts w:ascii="Times New Roman" w:hAnsi="Times New Roman"/>
        </w:rPr>
        <w:footnoteReference w:id="136"/>
      </w:r>
      <w:r w:rsidRPr="00527722">
        <w:rPr>
          <w:rFonts w:ascii="Times New Roman" w:hAnsi="Times New Roman"/>
        </w:rPr>
        <w:t xml:space="preserve"> Tavernier’s small watercolor </w:t>
      </w:r>
      <w:r w:rsidRPr="00527722">
        <w:rPr>
          <w:rFonts w:ascii="Times New Roman" w:hAnsi="Times New Roman"/>
          <w:i/>
        </w:rPr>
        <w:t>Volcano House Interior</w:t>
      </w:r>
      <w:r w:rsidRPr="00527722">
        <w:rPr>
          <w:rFonts w:ascii="Times New Roman" w:hAnsi="Times New Roman"/>
        </w:rPr>
        <w:t xml:space="preserve"> shows the main living area of the 1877 structure to </w:t>
      </w:r>
      <w:r w:rsidR="00275AF2">
        <w:rPr>
          <w:rFonts w:ascii="Times New Roman" w:hAnsi="Times New Roman"/>
        </w:rPr>
        <w:t xml:space="preserve">have been </w:t>
      </w:r>
      <w:r w:rsidRPr="00527722">
        <w:rPr>
          <w:rFonts w:ascii="Times New Roman" w:hAnsi="Times New Roman"/>
        </w:rPr>
        <w:t>a cozy Victorian sitting room, a far cry from earl</w:t>
      </w:r>
      <w:r w:rsidR="00275AF2">
        <w:rPr>
          <w:rFonts w:ascii="Times New Roman" w:hAnsi="Times New Roman"/>
        </w:rPr>
        <w:t xml:space="preserve">ier </w:t>
      </w:r>
      <w:r w:rsidRPr="00527722">
        <w:rPr>
          <w:rFonts w:ascii="Times New Roman" w:hAnsi="Times New Roman"/>
        </w:rPr>
        <w:t>accommodations</w:t>
      </w:r>
      <w:r w:rsidR="003E0F74">
        <w:rPr>
          <w:rFonts w:ascii="Times New Roman" w:hAnsi="Times New Roman"/>
        </w:rPr>
        <w:t xml:space="preserve"> </w:t>
      </w:r>
      <w:r w:rsidR="003E0F74" w:rsidRPr="00677848">
        <w:rPr>
          <w:rFonts w:ascii="Times New Roman" w:hAnsi="Times New Roman"/>
        </w:rPr>
        <w:t>(fig. 3.10)</w:t>
      </w:r>
      <w:r w:rsidRPr="00527722">
        <w:rPr>
          <w:rFonts w:ascii="Times New Roman" w:hAnsi="Times New Roman"/>
        </w:rPr>
        <w:t xml:space="preserve">. Several guests sit reading, arraigned in a circle around a red brick fireplace, </w:t>
      </w:r>
      <w:r w:rsidR="00275AF2">
        <w:rPr>
          <w:rFonts w:ascii="Times New Roman" w:hAnsi="Times New Roman"/>
        </w:rPr>
        <w:t xml:space="preserve">an imagined domesticated </w:t>
      </w:r>
      <w:r w:rsidRPr="00527722">
        <w:rPr>
          <w:rFonts w:ascii="Times New Roman" w:hAnsi="Times New Roman"/>
        </w:rPr>
        <w:t>s</w:t>
      </w:r>
      <w:r w:rsidR="003E0F74">
        <w:rPr>
          <w:rFonts w:ascii="Times New Roman" w:hAnsi="Times New Roman"/>
        </w:rPr>
        <w:t>imulacrum of the mighty volcano</w:t>
      </w:r>
      <w:r w:rsidRPr="00527722">
        <w:rPr>
          <w:rFonts w:ascii="Times New Roman" w:hAnsi="Times New Roman"/>
        </w:rPr>
        <w:t xml:space="preserve"> </w:t>
      </w:r>
      <w:r w:rsidR="003E0F74" w:rsidRPr="00677848">
        <w:rPr>
          <w:rFonts w:ascii="Times New Roman" w:hAnsi="Times New Roman"/>
        </w:rPr>
        <w:t>(fig. 3.11).</w:t>
      </w:r>
      <w:r w:rsidRPr="00527722">
        <w:rPr>
          <w:rFonts w:ascii="Times New Roman" w:hAnsi="Times New Roman"/>
        </w:rPr>
        <w:t xml:space="preserve"> The scene subtly, ironically, deconstructs the adventures awaiting these visitors to Kilauea. Cosseted by hoteliers, porters, guides, beast of burden and provisions, the tourists </w:t>
      </w:r>
      <w:r w:rsidR="00275AF2">
        <w:rPr>
          <w:rFonts w:ascii="Times New Roman" w:hAnsi="Times New Roman"/>
        </w:rPr>
        <w:t xml:space="preserve">we see </w:t>
      </w:r>
      <w:r w:rsidRPr="00527722">
        <w:rPr>
          <w:rFonts w:ascii="Times New Roman" w:hAnsi="Times New Roman"/>
        </w:rPr>
        <w:t xml:space="preserve">will leave their comfortable cocoon just long enough to travel to the volcano. For </w:t>
      </w:r>
      <w:r w:rsidR="00275AF2">
        <w:rPr>
          <w:rFonts w:ascii="Times New Roman" w:hAnsi="Times New Roman"/>
        </w:rPr>
        <w:t>such tr</w:t>
      </w:r>
      <w:r w:rsidRPr="00527722">
        <w:rPr>
          <w:rFonts w:ascii="Times New Roman" w:hAnsi="Times New Roman"/>
        </w:rPr>
        <w:t>avelers, Kilauea ha</w:t>
      </w:r>
      <w:r w:rsidR="00275AF2">
        <w:rPr>
          <w:rFonts w:ascii="Times New Roman" w:hAnsi="Times New Roman"/>
        </w:rPr>
        <w:t>d become an ae</w:t>
      </w:r>
      <w:r w:rsidRPr="00527722">
        <w:rPr>
          <w:rFonts w:ascii="Times New Roman" w:hAnsi="Times New Roman"/>
        </w:rPr>
        <w:t>stheticized tourist spectacle, a phenomenon to be discussed, written about,</w:t>
      </w:r>
      <w:r w:rsidR="0084187D">
        <w:rPr>
          <w:rFonts w:ascii="Times New Roman" w:hAnsi="Times New Roman"/>
        </w:rPr>
        <w:t xml:space="preserve"> and seen from relative safety</w:t>
      </w:r>
      <w:r w:rsidR="003E0F74" w:rsidRPr="00487BC5">
        <w:rPr>
          <w:rFonts w:ascii="Times New Roman" w:hAnsi="Times New Roman"/>
        </w:rPr>
        <w:t>.</w:t>
      </w:r>
    </w:p>
    <w:p w14:paraId="0C9CB4D1" w14:textId="39C14C0A" w:rsidR="00B36BA8" w:rsidRPr="00527722" w:rsidRDefault="00B36BA8" w:rsidP="00B36BA8">
      <w:pPr>
        <w:pStyle w:val="NoSpacing"/>
        <w:spacing w:line="480" w:lineRule="auto"/>
        <w:ind w:firstLine="720"/>
        <w:rPr>
          <w:rFonts w:ascii="Times New Roman" w:hAnsi="Times New Roman"/>
        </w:rPr>
      </w:pPr>
      <w:r>
        <w:rPr>
          <w:rFonts w:ascii="Times New Roman" w:hAnsi="Times New Roman"/>
        </w:rPr>
        <w:t>Tavernier’s work in Hawai’i responded to this shift to tourism in various ways.</w:t>
      </w:r>
      <w:r w:rsidRPr="00527722">
        <w:rPr>
          <w:rFonts w:ascii="Times New Roman" w:hAnsi="Times New Roman"/>
        </w:rPr>
        <w:t xml:space="preserve"> In October 1885, </w:t>
      </w:r>
      <w:r w:rsidR="00275AF2">
        <w:rPr>
          <w:rFonts w:ascii="Times New Roman" w:hAnsi="Times New Roman"/>
        </w:rPr>
        <w:t>he</w:t>
      </w:r>
      <w:r w:rsidRPr="00527722">
        <w:rPr>
          <w:rFonts w:ascii="Times New Roman" w:hAnsi="Times New Roman"/>
        </w:rPr>
        <w:t xml:space="preserve"> started work on a deluxe picture book of </w:t>
      </w:r>
      <w:r>
        <w:rPr>
          <w:rFonts w:ascii="Times New Roman" w:hAnsi="Times New Roman"/>
        </w:rPr>
        <w:t>Hawai’i</w:t>
      </w:r>
      <w:r w:rsidRPr="00527722">
        <w:rPr>
          <w:rFonts w:ascii="Times New Roman" w:hAnsi="Times New Roman"/>
        </w:rPr>
        <w:t>, to be sold in the United States and Europe.</w:t>
      </w:r>
      <w:r w:rsidRPr="00527722">
        <w:rPr>
          <w:rStyle w:val="FootnoteReference"/>
          <w:rFonts w:ascii="Times New Roman" w:hAnsi="Times New Roman"/>
        </w:rPr>
        <w:footnoteReference w:id="137"/>
      </w:r>
      <w:r w:rsidRPr="00527722">
        <w:rPr>
          <w:rFonts w:ascii="Times New Roman" w:hAnsi="Times New Roman"/>
        </w:rPr>
        <w:t xml:space="preserve"> </w:t>
      </w:r>
      <w:r>
        <w:rPr>
          <w:rFonts w:ascii="Times New Roman" w:hAnsi="Times New Roman"/>
        </w:rPr>
        <w:t xml:space="preserve">Prospectively </w:t>
      </w:r>
      <w:r w:rsidRPr="00527722">
        <w:rPr>
          <w:rFonts w:ascii="Times New Roman" w:hAnsi="Times New Roman"/>
        </w:rPr>
        <w:t xml:space="preserve">titled </w:t>
      </w:r>
      <w:r w:rsidRPr="00527722">
        <w:rPr>
          <w:rFonts w:ascii="Times New Roman" w:hAnsi="Times New Roman"/>
          <w:i/>
        </w:rPr>
        <w:t xml:space="preserve">The Rainbow Land, An Artist’s Rambles Through the </w:t>
      </w:r>
      <w:r>
        <w:rPr>
          <w:rFonts w:ascii="Times New Roman" w:hAnsi="Times New Roman"/>
          <w:i/>
        </w:rPr>
        <w:t>Hawaiian</w:t>
      </w:r>
      <w:r w:rsidRPr="00527722">
        <w:rPr>
          <w:rFonts w:ascii="Times New Roman" w:hAnsi="Times New Roman"/>
          <w:i/>
        </w:rPr>
        <w:t xml:space="preserve"> Islands</w:t>
      </w:r>
      <w:r w:rsidRPr="00527722">
        <w:rPr>
          <w:rFonts w:ascii="Times New Roman" w:hAnsi="Times New Roman"/>
        </w:rPr>
        <w:t xml:space="preserve">, Tavernier </w:t>
      </w:r>
      <w:r w:rsidR="00DA5E67">
        <w:rPr>
          <w:rFonts w:ascii="Times New Roman" w:hAnsi="Times New Roman"/>
        </w:rPr>
        <w:t xml:space="preserve">was to </w:t>
      </w:r>
      <w:r w:rsidRPr="00527722">
        <w:rPr>
          <w:rFonts w:ascii="Times New Roman" w:hAnsi="Times New Roman"/>
        </w:rPr>
        <w:t>suppl</w:t>
      </w:r>
      <w:r w:rsidR="00DA5E67">
        <w:rPr>
          <w:rFonts w:ascii="Times New Roman" w:hAnsi="Times New Roman"/>
        </w:rPr>
        <w:t>y</w:t>
      </w:r>
      <w:r>
        <w:rPr>
          <w:rFonts w:ascii="Times New Roman" w:hAnsi="Times New Roman"/>
        </w:rPr>
        <w:t xml:space="preserve"> </w:t>
      </w:r>
      <w:r w:rsidRPr="00527722">
        <w:rPr>
          <w:rFonts w:ascii="Times New Roman" w:hAnsi="Times New Roman"/>
        </w:rPr>
        <w:t xml:space="preserve">sketches while Horace Wright, a reporter he knew from his association with </w:t>
      </w:r>
      <w:r w:rsidRPr="00527722">
        <w:rPr>
          <w:rFonts w:ascii="Times New Roman" w:hAnsi="Times New Roman"/>
          <w:i/>
        </w:rPr>
        <w:t>Harper’s Weekly</w:t>
      </w:r>
      <w:r w:rsidRPr="00527722">
        <w:rPr>
          <w:rFonts w:ascii="Times New Roman" w:hAnsi="Times New Roman"/>
        </w:rPr>
        <w:t>, w</w:t>
      </w:r>
      <w:r w:rsidR="00DA5E67">
        <w:rPr>
          <w:rFonts w:ascii="Times New Roman" w:hAnsi="Times New Roman"/>
        </w:rPr>
        <w:t xml:space="preserve">as to </w:t>
      </w:r>
      <w:r w:rsidRPr="00527722">
        <w:rPr>
          <w:rFonts w:ascii="Times New Roman" w:hAnsi="Times New Roman"/>
        </w:rPr>
        <w:t xml:space="preserve">provide the text. A form of travel writing, such picture books attempted to organize and regularize </w:t>
      </w:r>
      <w:r w:rsidR="00275AF2">
        <w:rPr>
          <w:rFonts w:ascii="Times New Roman" w:hAnsi="Times New Roman"/>
        </w:rPr>
        <w:t>unfamiliar places</w:t>
      </w:r>
      <w:r w:rsidRPr="00527722">
        <w:rPr>
          <w:rFonts w:ascii="Times New Roman" w:hAnsi="Times New Roman"/>
        </w:rPr>
        <w:t xml:space="preserve">, while enticing travelers to experience the wonders of the world in person. Tavernier’s </w:t>
      </w:r>
      <w:r>
        <w:rPr>
          <w:rFonts w:ascii="Times New Roman" w:hAnsi="Times New Roman"/>
        </w:rPr>
        <w:t xml:space="preserve">anticipated </w:t>
      </w:r>
      <w:r w:rsidR="00B70D47">
        <w:rPr>
          <w:rFonts w:ascii="Times New Roman" w:hAnsi="Times New Roman"/>
        </w:rPr>
        <w:t>a 500-</w:t>
      </w:r>
      <w:r w:rsidRPr="00527722">
        <w:rPr>
          <w:rFonts w:ascii="Times New Roman" w:hAnsi="Times New Roman"/>
        </w:rPr>
        <w:t>page</w:t>
      </w:r>
      <w:r w:rsidR="00B70D47">
        <w:rPr>
          <w:rFonts w:ascii="Times New Roman" w:hAnsi="Times New Roman"/>
        </w:rPr>
        <w:t xml:space="preserve"> volume that </w:t>
      </w:r>
      <w:r>
        <w:rPr>
          <w:rFonts w:ascii="Times New Roman" w:hAnsi="Times New Roman"/>
        </w:rPr>
        <w:t xml:space="preserve">would </w:t>
      </w:r>
      <w:r w:rsidRPr="00527722">
        <w:rPr>
          <w:rFonts w:ascii="Times New Roman" w:hAnsi="Times New Roman"/>
        </w:rPr>
        <w:t>includ</w:t>
      </w:r>
      <w:r>
        <w:rPr>
          <w:rFonts w:ascii="Times New Roman" w:hAnsi="Times New Roman"/>
        </w:rPr>
        <w:t xml:space="preserve">e </w:t>
      </w:r>
      <w:r w:rsidRPr="00527722">
        <w:rPr>
          <w:rFonts w:ascii="Times New Roman" w:hAnsi="Times New Roman"/>
        </w:rPr>
        <w:t xml:space="preserve">16 chromolithographs and hundreds of black and white </w:t>
      </w:r>
      <w:r w:rsidR="00B70D47">
        <w:rPr>
          <w:rFonts w:ascii="Times New Roman" w:hAnsi="Times New Roman"/>
        </w:rPr>
        <w:t xml:space="preserve">figures. </w:t>
      </w:r>
      <w:r w:rsidRPr="00527722">
        <w:rPr>
          <w:rFonts w:ascii="Times New Roman" w:hAnsi="Times New Roman"/>
        </w:rPr>
        <w:t xml:space="preserve">The </w:t>
      </w:r>
      <w:r>
        <w:rPr>
          <w:rFonts w:ascii="Times New Roman" w:hAnsi="Times New Roman"/>
        </w:rPr>
        <w:t>Hawaiian</w:t>
      </w:r>
      <w:r w:rsidRPr="00527722">
        <w:rPr>
          <w:rFonts w:ascii="Times New Roman" w:hAnsi="Times New Roman"/>
        </w:rPr>
        <w:t xml:space="preserve"> press reported on the book’s progress, noting when Tavernier took various sketching trips around the islands, when prominent </w:t>
      </w:r>
      <w:r>
        <w:rPr>
          <w:rFonts w:ascii="Times New Roman" w:hAnsi="Times New Roman"/>
        </w:rPr>
        <w:t>Hawaiian</w:t>
      </w:r>
      <w:r w:rsidRPr="00527722">
        <w:rPr>
          <w:rFonts w:ascii="Times New Roman" w:hAnsi="Times New Roman"/>
        </w:rPr>
        <w:t>s agreed to contribute chapters, and when Tavernier completed significant new pictures</w:t>
      </w:r>
      <w:r w:rsidR="00B70D47">
        <w:rPr>
          <w:rFonts w:ascii="Times New Roman" w:hAnsi="Times New Roman"/>
        </w:rPr>
        <w:t>.</w:t>
      </w:r>
      <w:r w:rsidRPr="00527722">
        <w:rPr>
          <w:rStyle w:val="FootnoteReference"/>
          <w:rFonts w:ascii="Times New Roman" w:hAnsi="Times New Roman"/>
        </w:rPr>
        <w:footnoteReference w:id="138"/>
      </w:r>
    </w:p>
    <w:p w14:paraId="72D1686D" w14:textId="0E80C7B2" w:rsidR="00B36BA8" w:rsidRPr="00527722" w:rsidRDefault="00B36BA8" w:rsidP="00B36BA8">
      <w:pPr>
        <w:pStyle w:val="NoSpacing"/>
        <w:spacing w:line="480" w:lineRule="auto"/>
        <w:ind w:firstLine="720"/>
        <w:rPr>
          <w:rFonts w:ascii="Times New Roman" w:hAnsi="Times New Roman"/>
          <w:color w:val="000000"/>
          <w:lang w:bidi="ar-SA"/>
        </w:rPr>
      </w:pPr>
      <w:r w:rsidRPr="00527722">
        <w:rPr>
          <w:rFonts w:ascii="Times New Roman" w:hAnsi="Times New Roman"/>
        </w:rPr>
        <w:t xml:space="preserve">For reasons lost to history, </w:t>
      </w:r>
      <w:r w:rsidR="00B70D47">
        <w:rPr>
          <w:rFonts w:ascii="Times New Roman" w:hAnsi="Times New Roman"/>
        </w:rPr>
        <w:t>the</w:t>
      </w:r>
      <w:r w:rsidRPr="00527722">
        <w:rPr>
          <w:rFonts w:ascii="Times New Roman" w:hAnsi="Times New Roman"/>
        </w:rPr>
        <w:t xml:space="preserve"> project never materialized. Nevertheless, in the summer of 1886, </w:t>
      </w:r>
      <w:r w:rsidR="00B70D47">
        <w:rPr>
          <w:rFonts w:ascii="Times New Roman" w:hAnsi="Times New Roman"/>
        </w:rPr>
        <w:t xml:space="preserve">Tavernier </w:t>
      </w:r>
      <w:r w:rsidRPr="00527722">
        <w:rPr>
          <w:rFonts w:ascii="Times New Roman" w:hAnsi="Times New Roman"/>
        </w:rPr>
        <w:t xml:space="preserve">started another </w:t>
      </w:r>
      <w:r>
        <w:rPr>
          <w:rFonts w:ascii="Times New Roman" w:hAnsi="Times New Roman"/>
        </w:rPr>
        <w:t xml:space="preserve">ambitious </w:t>
      </w:r>
      <w:r w:rsidRPr="00527722">
        <w:rPr>
          <w:rFonts w:ascii="Times New Roman" w:hAnsi="Times New Roman"/>
        </w:rPr>
        <w:t>project,</w:t>
      </w:r>
      <w:r w:rsidRPr="00527722">
        <w:rPr>
          <w:rFonts w:ascii="Times New Roman" w:hAnsi="Times New Roman"/>
          <w:i/>
          <w:iCs/>
          <w:color w:val="000000"/>
          <w:lang w:bidi="ar-SA"/>
        </w:rPr>
        <w:t xml:space="preserve"> The Great Panorama of Kilauea</w:t>
      </w:r>
      <w:r w:rsidRPr="00527722">
        <w:rPr>
          <w:rFonts w:ascii="Times New Roman" w:hAnsi="Times New Roman"/>
        </w:rPr>
        <w:t xml:space="preserve">, a massive cyclorama of the erupting volcano. Tavernier’s hope was that people would pay to </w:t>
      </w:r>
      <w:r>
        <w:rPr>
          <w:rFonts w:ascii="Times New Roman" w:hAnsi="Times New Roman"/>
        </w:rPr>
        <w:t xml:space="preserve">see the panorama so as to be </w:t>
      </w:r>
      <w:r>
        <w:rPr>
          <w:rFonts w:ascii="Times New Roman" w:hAnsi="Times New Roman"/>
          <w:color w:val="000000"/>
          <w:lang w:bidi="ar-SA"/>
        </w:rPr>
        <w:t xml:space="preserve">completely surrounded by </w:t>
      </w:r>
      <w:r w:rsidRPr="00527722">
        <w:rPr>
          <w:rFonts w:ascii="Times New Roman" w:hAnsi="Times New Roman"/>
          <w:color w:val="000000"/>
          <w:lang w:bidi="ar-SA"/>
        </w:rPr>
        <w:t>the volcano.</w:t>
      </w:r>
      <w:r w:rsidRPr="00527722">
        <w:rPr>
          <w:rStyle w:val="FootnoteReference"/>
          <w:rFonts w:ascii="Times New Roman" w:hAnsi="Times New Roman"/>
          <w:color w:val="000000"/>
          <w:lang w:bidi="ar-SA"/>
        </w:rPr>
        <w:footnoteReference w:id="139"/>
      </w:r>
      <w:r w:rsidRPr="00527722">
        <w:rPr>
          <w:rFonts w:ascii="Times New Roman" w:hAnsi="Times New Roman"/>
          <w:color w:val="000000"/>
          <w:lang w:bidi="ar-SA"/>
        </w:rPr>
        <w:t xml:space="preserve"> The effort</w:t>
      </w:r>
      <w:r w:rsidR="00B70D47">
        <w:rPr>
          <w:rFonts w:ascii="Times New Roman" w:hAnsi="Times New Roman"/>
          <w:color w:val="000000"/>
          <w:lang w:bidi="ar-SA"/>
        </w:rPr>
        <w:t xml:space="preserve">, </w:t>
      </w:r>
      <w:r w:rsidR="00B70D47">
        <w:rPr>
          <w:rFonts w:ascii="Times New Roman" w:hAnsi="Times New Roman"/>
        </w:rPr>
        <w:t>finished in October 1886</w:t>
      </w:r>
      <w:r w:rsidRPr="00527722">
        <w:rPr>
          <w:rFonts w:ascii="Times New Roman" w:hAnsi="Times New Roman"/>
          <w:color w:val="000000"/>
          <w:lang w:bidi="ar-SA"/>
        </w:rPr>
        <w:t xml:space="preserve"> took him 4 months, cost nearly $2,000 in canvas and supplies, and stood, when completed, eleven feet high and ninety feet wide. In late 1886, the cyclorama was put on display in Maui and Honolulu, and then sent on to San Francisco, with plans for a tour of Chicago, Philadelphia, Boston, and London. </w:t>
      </w:r>
      <w:r>
        <w:rPr>
          <w:rFonts w:ascii="Times New Roman" w:hAnsi="Times New Roman"/>
          <w:color w:val="000000"/>
          <w:lang w:bidi="ar-SA"/>
        </w:rPr>
        <w:t>Once completed, t</w:t>
      </w:r>
      <w:r w:rsidRPr="00527722">
        <w:rPr>
          <w:rFonts w:ascii="Times New Roman" w:hAnsi="Times New Roman"/>
          <w:color w:val="000000"/>
          <w:lang w:bidi="ar-SA"/>
        </w:rPr>
        <w:t xml:space="preserve">he massive canvas was shipped to Washington, D.C., to be photographed and copyrighted. The </w:t>
      </w:r>
      <w:r>
        <w:rPr>
          <w:rFonts w:ascii="Times New Roman" w:hAnsi="Times New Roman"/>
          <w:color w:val="000000"/>
          <w:lang w:bidi="ar-SA"/>
        </w:rPr>
        <w:t xml:space="preserve">world </w:t>
      </w:r>
      <w:r w:rsidRPr="00527722">
        <w:rPr>
          <w:rFonts w:ascii="Times New Roman" w:hAnsi="Times New Roman"/>
          <w:color w:val="000000"/>
          <w:lang w:bidi="ar-SA"/>
        </w:rPr>
        <w:t xml:space="preserve">tour never took place, </w:t>
      </w:r>
      <w:r>
        <w:rPr>
          <w:rFonts w:ascii="Times New Roman" w:hAnsi="Times New Roman"/>
          <w:color w:val="000000"/>
          <w:lang w:bidi="ar-SA"/>
        </w:rPr>
        <w:t xml:space="preserve">however, </w:t>
      </w:r>
      <w:r w:rsidRPr="00527722">
        <w:rPr>
          <w:rFonts w:ascii="Times New Roman" w:hAnsi="Times New Roman"/>
          <w:color w:val="000000"/>
          <w:lang w:bidi="ar-SA"/>
        </w:rPr>
        <w:t>due to contract</w:t>
      </w:r>
      <w:r w:rsidR="002D45B4">
        <w:rPr>
          <w:rFonts w:ascii="Times New Roman" w:hAnsi="Times New Roman"/>
          <w:color w:val="000000"/>
          <w:lang w:bidi="ar-SA"/>
        </w:rPr>
        <w:t>ual</w:t>
      </w:r>
      <w:r w:rsidRPr="00527722">
        <w:rPr>
          <w:rFonts w:ascii="Times New Roman" w:hAnsi="Times New Roman"/>
          <w:color w:val="000000"/>
          <w:lang w:bidi="ar-SA"/>
        </w:rPr>
        <w:t xml:space="preserve"> difficulties and Tavernier’s fear, in spite of his copyright, that the cyclorama would be copied by others. The cyclorama</w:t>
      </w:r>
      <w:r>
        <w:rPr>
          <w:rFonts w:ascii="Times New Roman" w:hAnsi="Times New Roman"/>
          <w:color w:val="000000"/>
          <w:lang w:bidi="ar-SA"/>
        </w:rPr>
        <w:t>,</w:t>
      </w:r>
      <w:r w:rsidRPr="00527722">
        <w:rPr>
          <w:rFonts w:ascii="Times New Roman" w:hAnsi="Times New Roman"/>
          <w:color w:val="000000"/>
          <w:lang w:bidi="ar-SA"/>
        </w:rPr>
        <w:t xml:space="preserve"> left in a warehouse, </w:t>
      </w:r>
      <w:r>
        <w:rPr>
          <w:rFonts w:ascii="Times New Roman" w:hAnsi="Times New Roman"/>
          <w:color w:val="000000"/>
          <w:lang w:bidi="ar-SA"/>
        </w:rPr>
        <w:t xml:space="preserve">was </w:t>
      </w:r>
      <w:r w:rsidRPr="00527722">
        <w:rPr>
          <w:rFonts w:ascii="Times New Roman" w:hAnsi="Times New Roman"/>
          <w:color w:val="000000"/>
          <w:lang w:bidi="ar-SA"/>
        </w:rPr>
        <w:t>eventually claimed by a cr</w:t>
      </w:r>
      <w:r w:rsidR="00487BC5">
        <w:rPr>
          <w:rFonts w:ascii="Times New Roman" w:hAnsi="Times New Roman"/>
          <w:color w:val="000000"/>
          <w:lang w:bidi="ar-SA"/>
        </w:rPr>
        <w:t>editor, never to be seen again.</w:t>
      </w:r>
    </w:p>
    <w:p w14:paraId="66A007C5" w14:textId="3DD142F5" w:rsidR="00B36BA8" w:rsidRPr="00527722" w:rsidRDefault="00B36BA8" w:rsidP="00B36BA8">
      <w:pPr>
        <w:pStyle w:val="NoSpacing"/>
        <w:spacing w:line="480" w:lineRule="auto"/>
        <w:ind w:firstLine="720"/>
        <w:rPr>
          <w:rFonts w:ascii="Times New Roman" w:hAnsi="Times New Roman"/>
          <w:color w:val="000000"/>
          <w:lang w:bidi="ar-SA"/>
        </w:rPr>
      </w:pPr>
      <w:r w:rsidRPr="00527722">
        <w:rPr>
          <w:rFonts w:ascii="Times New Roman" w:hAnsi="Times New Roman"/>
          <w:color w:val="000000"/>
          <w:lang w:bidi="ar-SA"/>
        </w:rPr>
        <w:t xml:space="preserve">The Pacific Commercial Advertiser called the panorama "wonderful, beautiful [and] grand . . . </w:t>
      </w:r>
      <w:r>
        <w:rPr>
          <w:rFonts w:ascii="Times New Roman" w:hAnsi="Times New Roman"/>
          <w:color w:val="000000"/>
          <w:lang w:bidi="ar-SA"/>
        </w:rPr>
        <w:t>Hawai’i</w:t>
      </w:r>
      <w:r w:rsidRPr="00527722">
        <w:rPr>
          <w:rFonts w:ascii="Times New Roman" w:hAnsi="Times New Roman"/>
          <w:color w:val="000000"/>
          <w:lang w:bidi="ar-SA"/>
        </w:rPr>
        <w:t>'s Wonder."</w:t>
      </w:r>
      <w:r w:rsidRPr="00527722">
        <w:rPr>
          <w:rStyle w:val="FootnoteReference"/>
          <w:rFonts w:ascii="Times New Roman" w:hAnsi="Times New Roman"/>
          <w:color w:val="000000"/>
          <w:lang w:bidi="ar-SA"/>
        </w:rPr>
        <w:footnoteReference w:id="140"/>
      </w:r>
      <w:r w:rsidRPr="00527722">
        <w:rPr>
          <w:rFonts w:ascii="Times New Roman" w:hAnsi="Times New Roman"/>
          <w:color w:val="000000"/>
          <w:lang w:bidi="ar-SA"/>
        </w:rPr>
        <w:t xml:space="preserve"> </w:t>
      </w:r>
      <w:r>
        <w:rPr>
          <w:rFonts w:ascii="Times New Roman" w:hAnsi="Times New Roman"/>
          <w:color w:val="000000"/>
          <w:lang w:bidi="ar-SA"/>
        </w:rPr>
        <w:t xml:space="preserve">Another </w:t>
      </w:r>
      <w:r w:rsidRPr="00527722">
        <w:rPr>
          <w:rFonts w:ascii="Times New Roman" w:hAnsi="Times New Roman"/>
          <w:color w:val="000000"/>
          <w:lang w:bidi="ar-SA"/>
        </w:rPr>
        <w:t>newspaper account commented that Tavernier’s</w:t>
      </w:r>
      <w:r>
        <w:rPr>
          <w:rFonts w:ascii="Times New Roman" w:hAnsi="Times New Roman"/>
          <w:color w:val="000000"/>
          <w:lang w:bidi="ar-SA"/>
        </w:rPr>
        <w:t xml:space="preserve"> panorama</w:t>
      </w:r>
      <w:r w:rsidRPr="00527722">
        <w:rPr>
          <w:rFonts w:ascii="Times New Roman" w:hAnsi="Times New Roman"/>
          <w:color w:val="000000"/>
          <w:lang w:bidi="ar-SA"/>
        </w:rPr>
        <w:t xml:space="preserve"> </w:t>
      </w:r>
      <w:r>
        <w:rPr>
          <w:rFonts w:ascii="Times New Roman" w:hAnsi="Times New Roman"/>
          <w:color w:val="000000"/>
          <w:lang w:bidi="ar-SA"/>
        </w:rPr>
        <w:t>“</w:t>
      </w:r>
      <w:r w:rsidRPr="00527722">
        <w:rPr>
          <w:rFonts w:ascii="Times New Roman" w:hAnsi="Times New Roman"/>
          <w:color w:val="000000"/>
          <w:lang w:bidi="ar-SA"/>
        </w:rPr>
        <w:t>will doubtless be the means of drawing an ever-increasing stream of tourists.”</w:t>
      </w:r>
      <w:r w:rsidRPr="00527722">
        <w:rPr>
          <w:rStyle w:val="FootnoteReference"/>
          <w:rFonts w:ascii="Times New Roman" w:hAnsi="Times New Roman"/>
          <w:color w:val="000000"/>
          <w:lang w:bidi="ar-SA"/>
        </w:rPr>
        <w:footnoteReference w:id="141"/>
      </w:r>
      <w:r w:rsidRPr="00527722">
        <w:rPr>
          <w:rFonts w:ascii="Times New Roman" w:hAnsi="Times New Roman"/>
          <w:color w:val="000000"/>
          <w:lang w:bidi="ar-SA"/>
        </w:rPr>
        <w:t xml:space="preserve"> While earlier graphic representations of the volcano, from the print included in Lord Byron’s account, to paintings by Peale and Kern, were made in specific scientific</w:t>
      </w:r>
      <w:r>
        <w:rPr>
          <w:rFonts w:ascii="Times New Roman" w:hAnsi="Times New Roman"/>
          <w:color w:val="000000"/>
          <w:lang w:bidi="ar-SA"/>
        </w:rPr>
        <w:t xml:space="preserve">/military </w:t>
      </w:r>
      <w:r w:rsidRPr="00527722">
        <w:rPr>
          <w:rFonts w:ascii="Times New Roman" w:hAnsi="Times New Roman"/>
          <w:color w:val="000000"/>
          <w:lang w:bidi="ar-SA"/>
        </w:rPr>
        <w:t xml:space="preserve">contexts, Tavernier’s efforts </w:t>
      </w:r>
      <w:r>
        <w:rPr>
          <w:rFonts w:ascii="Times New Roman" w:hAnsi="Times New Roman"/>
          <w:color w:val="000000"/>
          <w:lang w:bidi="ar-SA"/>
        </w:rPr>
        <w:t>made</w:t>
      </w:r>
      <w:r w:rsidRPr="00527722">
        <w:rPr>
          <w:rFonts w:ascii="Times New Roman" w:hAnsi="Times New Roman"/>
          <w:color w:val="000000"/>
          <w:lang w:bidi="ar-SA"/>
        </w:rPr>
        <w:t xml:space="preserve"> obvious </w:t>
      </w:r>
      <w:r>
        <w:rPr>
          <w:rFonts w:ascii="Times New Roman" w:hAnsi="Times New Roman"/>
          <w:color w:val="000000"/>
          <w:lang w:bidi="ar-SA"/>
        </w:rPr>
        <w:t>Hawai’i</w:t>
      </w:r>
      <w:r w:rsidRPr="00527722">
        <w:rPr>
          <w:rFonts w:ascii="Times New Roman" w:hAnsi="Times New Roman"/>
          <w:color w:val="000000"/>
          <w:lang w:bidi="ar-SA"/>
        </w:rPr>
        <w:t xml:space="preserve">’s transformation from a site of limited Euro-American colonialism to a place on the verge of American territorial status. The </w:t>
      </w:r>
      <w:r w:rsidRPr="00527722">
        <w:rPr>
          <w:rFonts w:ascii="Times New Roman" w:hAnsi="Times New Roman"/>
        </w:rPr>
        <w:t>volcano itself had been mastered; it had been made int</w:t>
      </w:r>
      <w:r w:rsidR="002D45B4">
        <w:rPr>
          <w:rFonts w:ascii="Times New Roman" w:hAnsi="Times New Roman"/>
        </w:rPr>
        <w:t>o a commodity, a Native site</w:t>
      </w:r>
      <w:r w:rsidRPr="00527722">
        <w:rPr>
          <w:rFonts w:ascii="Times New Roman" w:hAnsi="Times New Roman"/>
        </w:rPr>
        <w:t xml:space="preserve"> </w:t>
      </w:r>
      <w:r w:rsidR="002D45B4">
        <w:rPr>
          <w:rFonts w:ascii="Times New Roman" w:hAnsi="Times New Roman"/>
        </w:rPr>
        <w:t xml:space="preserve">at </w:t>
      </w:r>
      <w:r w:rsidRPr="00527722">
        <w:rPr>
          <w:rFonts w:ascii="Times New Roman" w:hAnsi="Times New Roman"/>
        </w:rPr>
        <w:t>which non-</w:t>
      </w:r>
      <w:r>
        <w:rPr>
          <w:rFonts w:ascii="Times New Roman" w:hAnsi="Times New Roman"/>
        </w:rPr>
        <w:t>Natives</w:t>
      </w:r>
      <w:r w:rsidRPr="00527722">
        <w:rPr>
          <w:rFonts w:ascii="Times New Roman" w:hAnsi="Times New Roman"/>
        </w:rPr>
        <w:t xml:space="preserve"> gathered, then transformed, into texts, science, or art, and ultimately, into fame, glory, and money.</w:t>
      </w:r>
      <w:r w:rsidRPr="00527722">
        <w:rPr>
          <w:rStyle w:val="FootnoteReference"/>
          <w:rFonts w:ascii="Times New Roman" w:hAnsi="Times New Roman"/>
        </w:rPr>
        <w:footnoteReference w:id="142"/>
      </w:r>
    </w:p>
    <w:p w14:paraId="65C0431C" w14:textId="4E2C43AF" w:rsidR="002D45B4" w:rsidRDefault="00B70D47" w:rsidP="00B36BA8">
      <w:pPr>
        <w:pStyle w:val="NoSpacing"/>
        <w:spacing w:line="480" w:lineRule="auto"/>
        <w:ind w:firstLine="720"/>
        <w:rPr>
          <w:rFonts w:ascii="Times New Roman" w:hAnsi="Times New Roman"/>
        </w:rPr>
      </w:pPr>
      <w:r>
        <w:rPr>
          <w:rFonts w:ascii="Times New Roman" w:hAnsi="Times New Roman"/>
          <w:color w:val="000000"/>
          <w:lang w:bidi="ar-SA"/>
        </w:rPr>
        <w:t xml:space="preserve">Tavernier’s cyclorama </w:t>
      </w:r>
      <w:r w:rsidR="00B36BA8" w:rsidRPr="00527722">
        <w:rPr>
          <w:rFonts w:ascii="Times New Roman" w:hAnsi="Times New Roman"/>
          <w:color w:val="000000"/>
          <w:lang w:bidi="ar-SA"/>
        </w:rPr>
        <w:t xml:space="preserve">achieved, literally, what his paintings could not – it placed the viewer directly inside of the volcano. Tavernier was capitalizing on what made his paintings so successful in </w:t>
      </w:r>
      <w:r w:rsidR="00B36BA8">
        <w:rPr>
          <w:rFonts w:ascii="Times New Roman" w:hAnsi="Times New Roman"/>
          <w:color w:val="000000"/>
          <w:lang w:bidi="ar-SA"/>
        </w:rPr>
        <w:t>Hawai’i</w:t>
      </w:r>
      <w:r w:rsidR="00B36BA8" w:rsidRPr="00527722">
        <w:rPr>
          <w:rFonts w:ascii="Times New Roman" w:hAnsi="Times New Roman"/>
          <w:color w:val="000000"/>
          <w:lang w:bidi="ar-SA"/>
        </w:rPr>
        <w:t xml:space="preserve"> – the </w:t>
      </w:r>
      <w:r w:rsidR="00B36BA8" w:rsidRPr="00527722">
        <w:rPr>
          <w:rFonts w:ascii="Times New Roman" w:hAnsi="Times New Roman"/>
          <w:i/>
          <w:color w:val="000000"/>
          <w:lang w:bidi="ar-SA"/>
        </w:rPr>
        <w:t xml:space="preserve">authentic </w:t>
      </w:r>
      <w:r w:rsidR="00B36BA8" w:rsidRPr="00527722">
        <w:rPr>
          <w:rFonts w:ascii="Times New Roman" w:hAnsi="Times New Roman"/>
          <w:color w:val="000000"/>
          <w:lang w:bidi="ar-SA"/>
        </w:rPr>
        <w:t xml:space="preserve">confrontation between viewer and volcano. Reviewing an 1885 exhibition of paintings by </w:t>
      </w:r>
      <w:r w:rsidR="002D45B4">
        <w:rPr>
          <w:rFonts w:ascii="Times New Roman" w:hAnsi="Times New Roman"/>
          <w:color w:val="000000"/>
          <w:lang w:bidi="ar-SA"/>
        </w:rPr>
        <w:t xml:space="preserve">Joseph </w:t>
      </w:r>
      <w:r w:rsidR="00B36BA8" w:rsidRPr="00527722">
        <w:rPr>
          <w:rFonts w:ascii="Times New Roman" w:hAnsi="Times New Roman"/>
          <w:color w:val="000000"/>
          <w:lang w:bidi="ar-SA"/>
        </w:rPr>
        <w:t xml:space="preserve">Strong and Tavernier, a critic for the </w:t>
      </w:r>
      <w:r w:rsidR="00B36BA8" w:rsidRPr="00527722">
        <w:rPr>
          <w:rFonts w:ascii="Times New Roman" w:hAnsi="Times New Roman"/>
          <w:i/>
          <w:color w:val="000000"/>
          <w:lang w:bidi="ar-SA"/>
        </w:rPr>
        <w:t>Saturday Press</w:t>
      </w:r>
      <w:r w:rsidR="00B36BA8" w:rsidRPr="00527722">
        <w:rPr>
          <w:rFonts w:ascii="Times New Roman" w:hAnsi="Times New Roman"/>
          <w:color w:val="000000"/>
          <w:lang w:bidi="ar-SA"/>
        </w:rPr>
        <w:t xml:space="preserve"> </w:t>
      </w:r>
      <w:r w:rsidR="00B36BA8" w:rsidRPr="00527722">
        <w:rPr>
          <w:rFonts w:ascii="Times New Roman" w:hAnsi="Times New Roman"/>
        </w:rPr>
        <w:t xml:space="preserve">opined that </w:t>
      </w:r>
      <w:r>
        <w:rPr>
          <w:rFonts w:ascii="Times New Roman" w:hAnsi="Times New Roman"/>
        </w:rPr>
        <w:t xml:space="preserve">one </w:t>
      </w:r>
      <w:r w:rsidR="00B36BA8" w:rsidRPr="00527722">
        <w:rPr>
          <w:rFonts w:ascii="Times New Roman" w:hAnsi="Times New Roman"/>
          <w:color w:val="000000"/>
          <w:lang w:bidi="ar-SA"/>
        </w:rPr>
        <w:t>volcano painting</w:t>
      </w:r>
      <w:r w:rsidR="00B36BA8">
        <w:rPr>
          <w:rFonts w:ascii="Times New Roman" w:hAnsi="Times New Roman"/>
          <w:color w:val="000000"/>
          <w:lang w:bidi="ar-SA"/>
        </w:rPr>
        <w:t xml:space="preserve"> </w:t>
      </w:r>
      <w:r>
        <w:rPr>
          <w:rFonts w:ascii="Times New Roman" w:hAnsi="Times New Roman"/>
          <w:color w:val="000000"/>
          <w:lang w:bidi="ar-SA"/>
        </w:rPr>
        <w:t xml:space="preserve">by the former might benefit from the removal of </w:t>
      </w:r>
      <w:r w:rsidR="00B36BA8" w:rsidRPr="00527722">
        <w:rPr>
          <w:rFonts w:ascii="Times New Roman" w:hAnsi="Times New Roman"/>
          <w:color w:val="000000"/>
          <w:lang w:bidi="ar-SA"/>
        </w:rPr>
        <w:t xml:space="preserve">“two obtrusive figures in the foreground.” </w:t>
      </w:r>
      <w:r w:rsidR="00B36BA8" w:rsidRPr="00527722">
        <w:rPr>
          <w:rFonts w:ascii="Times New Roman" w:hAnsi="Times New Roman"/>
        </w:rPr>
        <w:t xml:space="preserve">Figures in the foreground, a staple of earlier volcano paintings by Peale and others, </w:t>
      </w:r>
      <w:r>
        <w:rPr>
          <w:rFonts w:ascii="Times New Roman" w:hAnsi="Times New Roman"/>
        </w:rPr>
        <w:t xml:space="preserve">had apparently come to be </w:t>
      </w:r>
      <w:r w:rsidR="00B36BA8" w:rsidRPr="00527722">
        <w:rPr>
          <w:rFonts w:ascii="Times New Roman" w:hAnsi="Times New Roman"/>
        </w:rPr>
        <w:t>considered obtrusive. The aesthetics of the 1880s dictated a direct confrontation with the lava, linking the volcano ever closer to spectacle and tourism</w:t>
      </w:r>
      <w:r w:rsidR="003E0F74">
        <w:rPr>
          <w:rFonts w:ascii="Times New Roman" w:hAnsi="Times New Roman"/>
        </w:rPr>
        <w:t xml:space="preserve"> </w:t>
      </w:r>
      <w:r w:rsidR="003E0F74" w:rsidRPr="00677848">
        <w:rPr>
          <w:rFonts w:ascii="Times New Roman" w:hAnsi="Times New Roman"/>
        </w:rPr>
        <w:t>(</w:t>
      </w:r>
      <w:r w:rsidR="0084187D" w:rsidRPr="00677848">
        <w:rPr>
          <w:rFonts w:ascii="Times New Roman" w:hAnsi="Times New Roman"/>
        </w:rPr>
        <w:t>fig. 3.12</w:t>
      </w:r>
      <w:r w:rsidR="003E0F74" w:rsidRPr="00677848">
        <w:rPr>
          <w:rFonts w:ascii="Times New Roman" w:hAnsi="Times New Roman"/>
        </w:rPr>
        <w:t>)</w:t>
      </w:r>
      <w:r w:rsidR="00B36BA8" w:rsidRPr="00527722">
        <w:rPr>
          <w:rFonts w:ascii="Times New Roman" w:hAnsi="Times New Roman"/>
        </w:rPr>
        <w:t>.</w:t>
      </w:r>
    </w:p>
    <w:p w14:paraId="37A48FD9" w14:textId="65BC21ED" w:rsidR="00B36BA8" w:rsidRPr="00527722" w:rsidRDefault="00B36BA8" w:rsidP="002D45B4">
      <w:pPr>
        <w:pStyle w:val="NoSpacing"/>
        <w:spacing w:line="480" w:lineRule="auto"/>
        <w:ind w:firstLine="720"/>
        <w:rPr>
          <w:rFonts w:ascii="Times New Roman" w:hAnsi="Times New Roman"/>
        </w:rPr>
      </w:pPr>
      <w:r w:rsidRPr="00527722">
        <w:rPr>
          <w:rFonts w:ascii="Times New Roman" w:hAnsi="Times New Roman"/>
          <w:color w:val="000000"/>
          <w:lang w:bidi="ar-SA"/>
        </w:rPr>
        <w:t>The same reviewer effusively praised Tavernier’s volcano painting in which no people can be seen. It was Tavernier’s “</w:t>
      </w:r>
      <w:r w:rsidRPr="00527722">
        <w:rPr>
          <w:rFonts w:ascii="Times New Roman" w:hAnsi="Times New Roman"/>
        </w:rPr>
        <w:t xml:space="preserve">graphic realism” and </w:t>
      </w:r>
      <w:r w:rsidRPr="00527722">
        <w:rPr>
          <w:rFonts w:ascii="Times New Roman" w:hAnsi="Times New Roman"/>
          <w:color w:val="000000"/>
          <w:lang w:bidi="ar-SA"/>
        </w:rPr>
        <w:t>faithful use of colors</w:t>
      </w:r>
      <w:r w:rsidRPr="00527722">
        <w:rPr>
          <w:rFonts w:ascii="Times New Roman" w:hAnsi="Times New Roman"/>
        </w:rPr>
        <w:t xml:space="preserve"> </w:t>
      </w:r>
      <w:r w:rsidR="009F7C57">
        <w:rPr>
          <w:rFonts w:ascii="Times New Roman" w:hAnsi="Times New Roman"/>
        </w:rPr>
        <w:t xml:space="preserve">that the </w:t>
      </w:r>
      <w:r w:rsidRPr="00527722">
        <w:rPr>
          <w:rFonts w:ascii="Times New Roman" w:hAnsi="Times New Roman"/>
        </w:rPr>
        <w:t xml:space="preserve">critic found </w:t>
      </w:r>
      <w:r w:rsidR="00487BC5">
        <w:rPr>
          <w:rFonts w:ascii="Times New Roman" w:hAnsi="Times New Roman"/>
          <w:color w:val="000000"/>
          <w:lang w:bidi="ar-SA"/>
        </w:rPr>
        <w:t>especially praiseworthy:</w:t>
      </w:r>
    </w:p>
    <w:p w14:paraId="3F2F46E2" w14:textId="77777777" w:rsidR="00B36BA8" w:rsidRPr="00527722" w:rsidRDefault="00B36BA8" w:rsidP="00937781">
      <w:pPr>
        <w:pStyle w:val="NoSpacing"/>
        <w:ind w:left="720"/>
        <w:rPr>
          <w:color w:val="000000"/>
          <w:lang w:bidi="ar-SA"/>
        </w:rPr>
      </w:pPr>
      <w:r w:rsidRPr="00527722">
        <w:t xml:space="preserve">The daring of Tavernier’s coloring might have made those present who had never been to the volcano doubt its truthfulness. But those who had been there were unanimous and enthusiastic in their praise. “It is </w:t>
      </w:r>
      <w:r w:rsidRPr="00527722">
        <w:rPr>
          <w:i/>
        </w:rPr>
        <w:t>surely</w:t>
      </w:r>
      <w:r w:rsidRPr="00527722">
        <w:t xml:space="preserve"> never colored thus,” said one critical miss. “Have you seen the original?” asked her companion. “Not yet.” “Then, begging your pardon, you are scarcely qualified to judge. I have seen it twice. The first time the color effects could not have been more faithfully reproduced on that canvas. The second time there was a riot of livid hues that the </w:t>
      </w:r>
      <w:r w:rsidRPr="00527722">
        <w:rPr>
          <w:i/>
        </w:rPr>
        <w:t xml:space="preserve">subdued </w:t>
      </w:r>
      <w:r w:rsidRPr="00527722">
        <w:t>coloring of that picture – vivid, startling though it is – does not even faintly indicate. The floor of the great crater was a molten sea that broke in billows of fire against those craggy barriers. Over coloring? It is absolute fidelity – to one of that marvelous crater’s innumerable phases.”</w:t>
      </w:r>
      <w:r w:rsidRPr="00527722">
        <w:rPr>
          <w:rStyle w:val="FootnoteReference"/>
        </w:rPr>
        <w:footnoteReference w:id="143"/>
      </w:r>
    </w:p>
    <w:p w14:paraId="13BF17C8" w14:textId="77777777" w:rsidR="00B36BA8" w:rsidRPr="00527722" w:rsidRDefault="00B36BA8" w:rsidP="00B36BA8">
      <w:pPr>
        <w:pStyle w:val="NoSpacing"/>
        <w:spacing w:line="480" w:lineRule="auto"/>
        <w:ind w:firstLine="720"/>
        <w:rPr>
          <w:rFonts w:ascii="Times New Roman" w:hAnsi="Times New Roman"/>
        </w:rPr>
      </w:pPr>
    </w:p>
    <w:p w14:paraId="250018AB" w14:textId="158F2E4E" w:rsidR="00B36BA8" w:rsidRDefault="00B36BA8" w:rsidP="002D45B4">
      <w:pPr>
        <w:rPr>
          <w:lang w:bidi="ar-SA"/>
        </w:rPr>
      </w:pPr>
      <w:r w:rsidRPr="00527722">
        <w:t>The critic</w:t>
      </w:r>
      <w:r>
        <w:t xml:space="preserve"> conflates dramatic effect in Tavernier’s painting with authenticity.</w:t>
      </w:r>
      <w:r>
        <w:rPr>
          <w:lang w:bidi="ar-SA"/>
        </w:rPr>
        <w:t xml:space="preserve"> </w:t>
      </w:r>
      <w:r w:rsidR="009F7C57">
        <w:rPr>
          <w:lang w:bidi="ar-SA"/>
        </w:rPr>
        <w:t xml:space="preserve">Such images might serve as </w:t>
      </w:r>
      <w:r>
        <w:rPr>
          <w:lang w:bidi="ar-SA"/>
        </w:rPr>
        <w:t>advertisements and help Hawai’i</w:t>
      </w:r>
      <w:r w:rsidRPr="00527722">
        <w:rPr>
          <w:lang w:bidi="ar-SA"/>
        </w:rPr>
        <w:t xml:space="preserve"> </w:t>
      </w:r>
      <w:r>
        <w:rPr>
          <w:lang w:bidi="ar-SA"/>
        </w:rPr>
        <w:t xml:space="preserve">develop </w:t>
      </w:r>
      <w:r w:rsidRPr="00527722">
        <w:rPr>
          <w:lang w:bidi="ar-SA"/>
        </w:rPr>
        <w:t xml:space="preserve">as a tourist destination. </w:t>
      </w:r>
      <w:r>
        <w:t>The critic</w:t>
      </w:r>
      <w:r w:rsidRPr="00527722">
        <w:t xml:space="preserve"> concludes by recounting the painting’s upcoming exhibition schedule, which included stops in San Francisco and New York. </w:t>
      </w:r>
      <w:r w:rsidR="009F7C57">
        <w:t xml:space="preserve">It makes sense that his </w:t>
      </w:r>
      <w:r w:rsidRPr="00527722">
        <w:rPr>
          <w:lang w:bidi="ar-SA"/>
        </w:rPr>
        <w:t xml:space="preserve">1889 obituary in the </w:t>
      </w:r>
      <w:r>
        <w:rPr>
          <w:i/>
          <w:lang w:bidi="ar-SA"/>
        </w:rPr>
        <w:t>Hawaiian</w:t>
      </w:r>
      <w:r w:rsidRPr="00527722">
        <w:rPr>
          <w:i/>
          <w:lang w:bidi="ar-SA"/>
        </w:rPr>
        <w:t xml:space="preserve"> Gazette</w:t>
      </w:r>
      <w:r w:rsidRPr="00527722">
        <w:rPr>
          <w:lang w:bidi="ar-SA"/>
        </w:rPr>
        <w:t xml:space="preserve"> notes, “Mr. Tavernier has been the means of largely increasing the tourist travel to the islands.”</w:t>
      </w:r>
      <w:r w:rsidRPr="00527722">
        <w:rPr>
          <w:rStyle w:val="FootnoteReference"/>
          <w:rFonts w:ascii="Times New Roman" w:hAnsi="Times New Roman"/>
          <w:color w:val="000000"/>
          <w:lang w:bidi="ar-SA"/>
        </w:rPr>
        <w:footnoteReference w:id="144"/>
      </w:r>
    </w:p>
    <w:p w14:paraId="5512AAC9" w14:textId="77777777" w:rsidR="002D45B4" w:rsidRDefault="002D45B4" w:rsidP="002D45B4">
      <w:pPr>
        <w:jc w:val="center"/>
        <w:rPr>
          <w:b/>
        </w:rPr>
      </w:pPr>
    </w:p>
    <w:p w14:paraId="11873EB7" w14:textId="16A50DE4" w:rsidR="00B36BA8" w:rsidRPr="00527722" w:rsidRDefault="00B36BA8" w:rsidP="002D45B4">
      <w:pPr>
        <w:jc w:val="center"/>
        <w:rPr>
          <w:b/>
        </w:rPr>
      </w:pPr>
      <w:r w:rsidRPr="00527722">
        <w:rPr>
          <w:b/>
        </w:rPr>
        <w:t>World’s Columbian Fair of 1893 and the Walter Burridge Cyclorama</w:t>
      </w:r>
    </w:p>
    <w:p w14:paraId="1C40FEB6" w14:textId="3BFA68DA" w:rsidR="00B36BA8" w:rsidRPr="002D45B4" w:rsidRDefault="00B36BA8" w:rsidP="002D45B4">
      <w:pPr>
        <w:ind w:firstLine="720"/>
      </w:pPr>
      <w:r w:rsidRPr="00527722">
        <w:t>While Tavernier’s book never materialize</w:t>
      </w:r>
      <w:r>
        <w:t>d</w:t>
      </w:r>
      <w:r w:rsidRPr="00527722">
        <w:t xml:space="preserve">, and his </w:t>
      </w:r>
      <w:r w:rsidRPr="00527722">
        <w:rPr>
          <w:lang w:bidi="ar-SA"/>
        </w:rPr>
        <w:t>cyclorama never reached a mass audience, the idea for a cyclorama of Kilauea percolated</w:t>
      </w:r>
      <w:r>
        <w:rPr>
          <w:lang w:bidi="ar-SA"/>
        </w:rPr>
        <w:t>,</w:t>
      </w:r>
      <w:r w:rsidRPr="00566DD0">
        <w:rPr>
          <w:lang w:bidi="ar-SA"/>
        </w:rPr>
        <w:t xml:space="preserve"> </w:t>
      </w:r>
      <w:r w:rsidRPr="00527722">
        <w:rPr>
          <w:lang w:bidi="ar-SA"/>
        </w:rPr>
        <w:t>just a few years after his death</w:t>
      </w:r>
      <w:r>
        <w:rPr>
          <w:lang w:bidi="ar-SA"/>
        </w:rPr>
        <w:t>,</w:t>
      </w:r>
      <w:r w:rsidRPr="00527722">
        <w:rPr>
          <w:lang w:bidi="ar-SA"/>
        </w:rPr>
        <w:t xml:space="preserve"> into something much grander</w:t>
      </w:r>
      <w:r>
        <w:rPr>
          <w:lang w:bidi="ar-SA"/>
        </w:rPr>
        <w:t xml:space="preserve">. </w:t>
      </w:r>
      <w:r w:rsidRPr="00527722">
        <w:rPr>
          <w:lang w:bidi="ar-SA"/>
        </w:rPr>
        <w:t xml:space="preserve">The central attraction of the </w:t>
      </w:r>
      <w:r>
        <w:rPr>
          <w:lang w:bidi="ar-SA"/>
        </w:rPr>
        <w:t>Hawaiian</w:t>
      </w:r>
      <w:r w:rsidRPr="00527722">
        <w:rPr>
          <w:lang w:bidi="ar-SA"/>
        </w:rPr>
        <w:t xml:space="preserve"> display</w:t>
      </w:r>
      <w:r w:rsidRPr="00527722">
        <w:t xml:space="preserve"> at </w:t>
      </w:r>
      <w:r w:rsidRPr="00527722">
        <w:rPr>
          <w:lang w:bidi="ar-SA"/>
        </w:rPr>
        <w:t xml:space="preserve">the World’s Columbian Exposition of 1893 in Chicago was a massive, three-dimensional octagonal reproduction of Kilauea Volcano </w:t>
      </w:r>
      <w:r w:rsidRPr="00527722">
        <w:t xml:space="preserve">on the Midway Plaisance – Tavernier’s </w:t>
      </w:r>
      <w:r>
        <w:t xml:space="preserve">idea for a </w:t>
      </w:r>
      <w:r w:rsidRPr="00527722">
        <w:t>cyclorama realize</w:t>
      </w:r>
      <w:r w:rsidR="009F7C57">
        <w:t xml:space="preserve">d for a worldwide audience. Its </w:t>
      </w:r>
      <w:r w:rsidRPr="00527722">
        <w:t>creator</w:t>
      </w:r>
      <w:r w:rsidR="009F7C57">
        <w:t>,</w:t>
      </w:r>
      <w:r w:rsidRPr="00527722">
        <w:t xml:space="preserve"> Walter Burridge, a theater designer and set painter from Chicago, painted from sketches and studies he </w:t>
      </w:r>
      <w:r w:rsidR="009F7C57">
        <w:t>had made first</w:t>
      </w:r>
      <w:r w:rsidRPr="00527722">
        <w:t xml:space="preserve">hand at Kilauea. Burridge was </w:t>
      </w:r>
      <w:r w:rsidR="009F7C57">
        <w:t xml:space="preserve">in the employ of </w:t>
      </w:r>
      <w:r w:rsidRPr="00527722">
        <w:t xml:space="preserve">the Wilder Steamship Company, owner of the Volcano House and one of the top companies bringing tourists to </w:t>
      </w:r>
      <w:r>
        <w:t>Hawai’i</w:t>
      </w:r>
      <w:r w:rsidRPr="00527722">
        <w:t>.</w:t>
      </w:r>
      <w:r w:rsidRPr="00527722">
        <w:rPr>
          <w:rStyle w:val="FootnoteReference"/>
          <w:rFonts w:ascii="Times New Roman" w:hAnsi="Times New Roman"/>
        </w:rPr>
        <w:footnoteReference w:id="145"/>
      </w:r>
      <w:r w:rsidR="00883089">
        <w:t xml:space="preserve"> </w:t>
      </w:r>
      <w:r w:rsidRPr="00527722">
        <w:rPr>
          <w:rFonts w:ascii="Times New Roman" w:hAnsi="Times New Roman"/>
        </w:rPr>
        <w:t xml:space="preserve">The </w:t>
      </w:r>
      <w:r>
        <w:rPr>
          <w:rFonts w:ascii="Times New Roman" w:hAnsi="Times New Roman"/>
          <w:i/>
        </w:rPr>
        <w:t>Hawaiian</w:t>
      </w:r>
      <w:r w:rsidRPr="00527722">
        <w:rPr>
          <w:rFonts w:ascii="Times New Roman" w:hAnsi="Times New Roman"/>
          <w:i/>
        </w:rPr>
        <w:t xml:space="preserve"> Gazette</w:t>
      </w:r>
      <w:r w:rsidR="00883089">
        <w:rPr>
          <w:rFonts w:ascii="Times New Roman" w:hAnsi="Times New Roman"/>
        </w:rPr>
        <w:t xml:space="preserve"> wrote of the project:</w:t>
      </w:r>
    </w:p>
    <w:p w14:paraId="04785134" w14:textId="3E9128E4" w:rsidR="00B36BA8" w:rsidRPr="00527722" w:rsidRDefault="00B36BA8" w:rsidP="00B36BA8">
      <w:pPr>
        <w:pStyle w:val="ListParagraph"/>
        <w:spacing w:line="240" w:lineRule="auto"/>
        <w:rPr>
          <w:rFonts w:ascii="Times New Roman" w:hAnsi="Times New Roman"/>
        </w:rPr>
      </w:pPr>
      <w:r w:rsidRPr="00527722">
        <w:rPr>
          <w:rFonts w:ascii="Times New Roman" w:hAnsi="Times New Roman"/>
        </w:rPr>
        <w:t xml:space="preserve">The Columbian Exposition offers an opportunity to advertise this country and make its advantages known, which is simply unparalleled. It is safe to assume that no opportunity will offer itself on a similar scale within perhaps a generation to come. The </w:t>
      </w:r>
      <w:r>
        <w:rPr>
          <w:rFonts w:ascii="Times New Roman" w:hAnsi="Times New Roman"/>
        </w:rPr>
        <w:t>Hawaiian</w:t>
      </w:r>
      <w:r w:rsidRPr="00527722">
        <w:rPr>
          <w:rFonts w:ascii="Times New Roman" w:hAnsi="Times New Roman"/>
        </w:rPr>
        <w:t xml:space="preserve"> government and private individuals should strain every nerve to utilize this opportunity to the utmost. </w:t>
      </w:r>
      <w:r>
        <w:rPr>
          <w:rFonts w:ascii="Times New Roman" w:hAnsi="Times New Roman"/>
        </w:rPr>
        <w:t>Hawai’i</w:t>
      </w:r>
      <w:r w:rsidRPr="00527722">
        <w:rPr>
          <w:rFonts w:ascii="Times New Roman" w:hAnsi="Times New Roman"/>
        </w:rPr>
        <w:t xml:space="preserve"> must be properly represented. We must have a full and fine exhibit – one which will illustrate with completeness the character, condition and prospects of the country, which will give an adequate conception of its generous climate and the unrivalled fertility of its soil.</w:t>
      </w:r>
      <w:r w:rsidRPr="00527722">
        <w:rPr>
          <w:rStyle w:val="FootnoteReference"/>
          <w:rFonts w:ascii="Times New Roman" w:hAnsi="Times New Roman"/>
        </w:rPr>
        <w:footnoteReference w:id="146"/>
      </w:r>
    </w:p>
    <w:p w14:paraId="443CE786" w14:textId="77777777" w:rsidR="00B36BA8" w:rsidRPr="00527722" w:rsidRDefault="00B36BA8" w:rsidP="00B36BA8">
      <w:pPr>
        <w:pStyle w:val="NoSpacing"/>
        <w:spacing w:line="480" w:lineRule="auto"/>
        <w:ind w:firstLine="720"/>
        <w:rPr>
          <w:rFonts w:ascii="Times New Roman" w:hAnsi="Times New Roman"/>
        </w:rPr>
      </w:pPr>
    </w:p>
    <w:p w14:paraId="6F8AD937" w14:textId="3D217511" w:rsidR="00B36BA8" w:rsidRPr="00527722" w:rsidRDefault="00B36BA8" w:rsidP="00B36BA8">
      <w:pPr>
        <w:pStyle w:val="NoSpacing"/>
        <w:spacing w:line="480" w:lineRule="auto"/>
        <w:ind w:firstLine="720"/>
        <w:rPr>
          <w:rFonts w:ascii="Times New Roman" w:hAnsi="Times New Roman"/>
        </w:rPr>
      </w:pPr>
      <w:r w:rsidRPr="00527722">
        <w:rPr>
          <w:rFonts w:ascii="Times New Roman" w:hAnsi="Times New Roman"/>
        </w:rPr>
        <w:t>The cyclorama, sixty feet high, one hundred and forty feet in diameter and four hundred and twelve feet long, was so real, according to one reviewer, that “the spectator is transported for the time being to the scene itself.”</w:t>
      </w:r>
      <w:r w:rsidRPr="00527722">
        <w:rPr>
          <w:rStyle w:val="FootnoteReference"/>
          <w:rFonts w:ascii="Times New Roman" w:hAnsi="Times New Roman"/>
        </w:rPr>
        <w:footnoteReference w:id="147"/>
      </w:r>
      <w:r w:rsidRPr="00527722">
        <w:rPr>
          <w:rFonts w:ascii="Times New Roman" w:hAnsi="Times New Roman"/>
        </w:rPr>
        <w:t xml:space="preserve"> This hints at the ultimate purpose of the cyclorama</w:t>
      </w:r>
      <w:r>
        <w:rPr>
          <w:rFonts w:ascii="Times New Roman" w:hAnsi="Times New Roman"/>
        </w:rPr>
        <w:t xml:space="preserve"> </w:t>
      </w:r>
      <w:r w:rsidRPr="00527722">
        <w:rPr>
          <w:rFonts w:ascii="Times New Roman" w:hAnsi="Times New Roman"/>
        </w:rPr>
        <w:t xml:space="preserve">– to </w:t>
      </w:r>
      <w:r w:rsidR="009F7C57">
        <w:rPr>
          <w:rFonts w:ascii="Times New Roman" w:hAnsi="Times New Roman"/>
        </w:rPr>
        <w:t>“</w:t>
      </w:r>
      <w:r w:rsidRPr="00527722">
        <w:rPr>
          <w:rFonts w:ascii="Times New Roman" w:hAnsi="Times New Roman"/>
        </w:rPr>
        <w:t>transport</w:t>
      </w:r>
      <w:r w:rsidR="009F7C57">
        <w:rPr>
          <w:rFonts w:ascii="Times New Roman" w:hAnsi="Times New Roman"/>
        </w:rPr>
        <w:t>”</w:t>
      </w:r>
      <w:r w:rsidRPr="00527722">
        <w:rPr>
          <w:rFonts w:ascii="Times New Roman" w:hAnsi="Times New Roman"/>
        </w:rPr>
        <w:t xml:space="preserve"> the viewer to the volcano and thereby simulate an authentic experience</w:t>
      </w:r>
      <w:r w:rsidR="0084187D">
        <w:rPr>
          <w:rFonts w:ascii="Times New Roman" w:hAnsi="Times New Roman"/>
        </w:rPr>
        <w:t xml:space="preserve"> </w:t>
      </w:r>
      <w:r w:rsidR="0084187D" w:rsidRPr="00677848">
        <w:rPr>
          <w:rFonts w:ascii="Times New Roman" w:hAnsi="Times New Roman"/>
        </w:rPr>
        <w:t>(fig. 3.13)</w:t>
      </w:r>
      <w:r w:rsidRPr="00527722">
        <w:rPr>
          <w:rFonts w:ascii="Times New Roman" w:hAnsi="Times New Roman"/>
        </w:rPr>
        <w:t>.</w:t>
      </w:r>
      <w:r>
        <w:rPr>
          <w:rFonts w:ascii="Times New Roman" w:hAnsi="Times New Roman"/>
        </w:rPr>
        <w:t xml:space="preserve"> </w:t>
      </w:r>
      <w:r w:rsidRPr="00527722">
        <w:rPr>
          <w:rFonts w:ascii="Times New Roman" w:hAnsi="Times New Roman"/>
        </w:rPr>
        <w:t xml:space="preserve">Burridge’s cyclorama, the ideological offspring of Tavernier’s efforts, brings this form of visual expression to its logical conclusion, by literally encompassing viewers in a faux volcano </w:t>
      </w:r>
      <w:r w:rsidR="009F7C57">
        <w:rPr>
          <w:rFonts w:ascii="Times New Roman" w:hAnsi="Times New Roman"/>
        </w:rPr>
        <w:t xml:space="preserve">in a display of </w:t>
      </w:r>
      <w:r w:rsidRPr="00527722">
        <w:rPr>
          <w:rFonts w:ascii="Times New Roman" w:hAnsi="Times New Roman"/>
        </w:rPr>
        <w:t>authenticity.</w:t>
      </w:r>
      <w:r w:rsidRPr="00527722">
        <w:rPr>
          <w:rStyle w:val="FootnoteReference"/>
          <w:rFonts w:ascii="Times New Roman" w:hAnsi="Times New Roman"/>
        </w:rPr>
        <w:footnoteReference w:id="148"/>
      </w:r>
    </w:p>
    <w:p w14:paraId="3CBC1582" w14:textId="4A503FBA" w:rsidR="00B36BA8" w:rsidRPr="00527722" w:rsidRDefault="00B36BA8" w:rsidP="00B36BA8">
      <w:pPr>
        <w:pStyle w:val="NoSpacing"/>
        <w:spacing w:line="480" w:lineRule="auto"/>
        <w:ind w:firstLine="720"/>
        <w:rPr>
          <w:rFonts w:ascii="Times New Roman" w:hAnsi="Times New Roman"/>
        </w:rPr>
      </w:pPr>
      <w:r>
        <w:rPr>
          <w:rFonts w:ascii="Times New Roman" w:hAnsi="Times New Roman"/>
        </w:rPr>
        <w:t xml:space="preserve">Authenticity, argues sociologist Dean </w:t>
      </w:r>
      <w:r w:rsidRPr="00527722">
        <w:rPr>
          <w:rFonts w:ascii="Times New Roman" w:hAnsi="Times New Roman"/>
        </w:rPr>
        <w:t>MacCannell</w:t>
      </w:r>
      <w:r>
        <w:rPr>
          <w:rFonts w:ascii="Times New Roman" w:hAnsi="Times New Roman"/>
        </w:rPr>
        <w:t xml:space="preserve">, is key to </w:t>
      </w:r>
      <w:r w:rsidRPr="00527722">
        <w:rPr>
          <w:rFonts w:ascii="Times New Roman" w:hAnsi="Times New Roman"/>
        </w:rPr>
        <w:t>a satisfying</w:t>
      </w:r>
      <w:r w:rsidR="009F7C57">
        <w:rPr>
          <w:rFonts w:ascii="Times New Roman" w:hAnsi="Times New Roman"/>
        </w:rPr>
        <w:t xml:space="preserve"> all</w:t>
      </w:r>
      <w:r w:rsidRPr="00527722">
        <w:rPr>
          <w:rFonts w:ascii="Times New Roman" w:hAnsi="Times New Roman"/>
        </w:rPr>
        <w:t xml:space="preserve"> touristic experience</w:t>
      </w:r>
      <w:r w:rsidR="00D71E0D">
        <w:rPr>
          <w:rFonts w:ascii="Times New Roman" w:hAnsi="Times New Roman"/>
        </w:rPr>
        <w:t>, and t</w:t>
      </w:r>
      <w:r w:rsidR="009F7C57">
        <w:rPr>
          <w:rFonts w:ascii="Times New Roman" w:hAnsi="Times New Roman"/>
        </w:rPr>
        <w:t>ourism was</w:t>
      </w:r>
      <w:r w:rsidRPr="00527722">
        <w:rPr>
          <w:rFonts w:ascii="Times New Roman" w:hAnsi="Times New Roman"/>
        </w:rPr>
        <w:t xml:space="preserve"> an important way in </w:t>
      </w:r>
      <w:r w:rsidR="009F7C57">
        <w:rPr>
          <w:rFonts w:ascii="Times New Roman" w:hAnsi="Times New Roman"/>
        </w:rPr>
        <w:t xml:space="preserve">which the leisure class defined </w:t>
      </w:r>
      <w:r w:rsidRPr="00527722">
        <w:rPr>
          <w:rFonts w:ascii="Times New Roman" w:hAnsi="Times New Roman"/>
        </w:rPr>
        <w:t xml:space="preserve">itself. </w:t>
      </w:r>
      <w:r>
        <w:rPr>
          <w:rFonts w:ascii="Times New Roman" w:hAnsi="Times New Roman"/>
        </w:rPr>
        <w:t xml:space="preserve">In his seminal study </w:t>
      </w:r>
      <w:r w:rsidRPr="00566DD0">
        <w:rPr>
          <w:rFonts w:ascii="Times New Roman" w:hAnsi="Times New Roman"/>
          <w:i/>
        </w:rPr>
        <w:t>The Tourist: A New Theory of the Leisure Class</w:t>
      </w:r>
      <w:r w:rsidR="003941EB">
        <w:rPr>
          <w:rFonts w:ascii="Times New Roman" w:hAnsi="Times New Roman"/>
        </w:rPr>
        <w:t>, MacCanne</w:t>
      </w:r>
      <w:r>
        <w:rPr>
          <w:rFonts w:ascii="Times New Roman" w:hAnsi="Times New Roman"/>
        </w:rPr>
        <w:t>ll posits that th</w:t>
      </w:r>
      <w:r w:rsidRPr="00527722">
        <w:rPr>
          <w:rFonts w:ascii="Times New Roman" w:hAnsi="Times New Roman"/>
        </w:rPr>
        <w:t>e expansion of modern society is “intimately linked . . .  to modern mass leisure, especially to international tourism and sightseeing.” For the leisure class, contemporary Western civilization is inauthentic; authenticity exists instead in other places and historical periods. “As a worker, the individual’s relationship to his society is partial and limited . . . and restricted to a single position among millions, while as a tourist, the individual may step out into the universal drama of modernity.”</w:t>
      </w:r>
      <w:r w:rsidRPr="00527722">
        <w:rPr>
          <w:rStyle w:val="FootnoteReference"/>
          <w:rFonts w:ascii="Times New Roman" w:hAnsi="Times New Roman"/>
        </w:rPr>
        <w:footnoteReference w:id="149"/>
      </w:r>
      <w:r w:rsidRPr="00527722">
        <w:rPr>
          <w:rFonts w:ascii="Times New Roman" w:hAnsi="Times New Roman"/>
        </w:rPr>
        <w:t xml:space="preserve"> Tourism, argues MacCannell, allows modern society to artificially preserve and reconstruct the pre-modern world, and thereby confers ideological mastery over the “primitive.” </w:t>
      </w:r>
      <w:r w:rsidR="009F7C57">
        <w:rPr>
          <w:rFonts w:ascii="Times New Roman" w:hAnsi="Times New Roman"/>
        </w:rPr>
        <w:t>P</w:t>
      </w:r>
      <w:r w:rsidRPr="00527722">
        <w:rPr>
          <w:rFonts w:ascii="Times New Roman" w:hAnsi="Times New Roman"/>
        </w:rPr>
        <w:t>re-modern places and things establish “the definition and boundary of modernity by rendering concrete and immediate that which modernity is not.”</w:t>
      </w:r>
      <w:r w:rsidR="00D71E0D">
        <w:rPr>
          <w:rStyle w:val="FootnoteReference"/>
          <w:rFonts w:ascii="Times New Roman" w:hAnsi="Times New Roman"/>
        </w:rPr>
        <w:footnoteReference w:id="150"/>
      </w:r>
      <w:r w:rsidRPr="00527722">
        <w:rPr>
          <w:rFonts w:ascii="Times New Roman" w:hAnsi="Times New Roman"/>
        </w:rPr>
        <w:t xml:space="preserve"> By subordinating all of the world’s peoples and places to their own needs, the modern leisure class subordinates </w:t>
      </w:r>
      <w:r w:rsidR="00937781">
        <w:rPr>
          <w:rFonts w:ascii="Times New Roman" w:hAnsi="Times New Roman"/>
        </w:rPr>
        <w:t xml:space="preserve">all </w:t>
      </w:r>
      <w:r w:rsidRPr="00527722">
        <w:rPr>
          <w:rFonts w:ascii="Times New Roman" w:hAnsi="Times New Roman"/>
        </w:rPr>
        <w:t>pre-modern civilization</w:t>
      </w:r>
      <w:r w:rsidR="00937781">
        <w:rPr>
          <w:rFonts w:ascii="Times New Roman" w:hAnsi="Times New Roman"/>
        </w:rPr>
        <w:t>s</w:t>
      </w:r>
      <w:r w:rsidRPr="00527722">
        <w:rPr>
          <w:rFonts w:ascii="Times New Roman" w:hAnsi="Times New Roman"/>
        </w:rPr>
        <w:t xml:space="preserve"> into a single </w:t>
      </w:r>
      <w:r w:rsidR="009F7C57">
        <w:rPr>
          <w:rFonts w:ascii="Times New Roman" w:hAnsi="Times New Roman"/>
        </w:rPr>
        <w:t xml:space="preserve">conceptual entity. </w:t>
      </w:r>
      <w:r w:rsidRPr="00527722">
        <w:rPr>
          <w:rFonts w:ascii="Times New Roman" w:hAnsi="Times New Roman"/>
        </w:rPr>
        <w:t>The pre-modern world gives definition to the modern world, and pre-modern sites of awe and wonder, such as Kilauea, serve as markers of difference. Tourism rhetorically reaffirm</w:t>
      </w:r>
      <w:r w:rsidR="009F7C57">
        <w:rPr>
          <w:rFonts w:ascii="Times New Roman" w:hAnsi="Times New Roman"/>
        </w:rPr>
        <w:t xml:space="preserve">ed for Tavernier’s privileged viewers </w:t>
      </w:r>
      <w:r w:rsidRPr="00527722">
        <w:rPr>
          <w:rFonts w:ascii="Times New Roman" w:hAnsi="Times New Roman"/>
        </w:rPr>
        <w:t>their superior place in society, and authentic experiences with pre-modern sights such as Ki</w:t>
      </w:r>
      <w:r w:rsidR="00487BC5">
        <w:rPr>
          <w:rFonts w:ascii="Times New Roman" w:hAnsi="Times New Roman"/>
        </w:rPr>
        <w:t>lauea reaffirm modern identity.</w:t>
      </w:r>
    </w:p>
    <w:p w14:paraId="1691DFE4" w14:textId="0DDE4CC2" w:rsidR="00B36BA8" w:rsidRPr="00527722" w:rsidRDefault="00B36BA8" w:rsidP="00B36BA8">
      <w:pPr>
        <w:pStyle w:val="NoSpacing"/>
        <w:spacing w:line="480" w:lineRule="auto"/>
        <w:ind w:firstLine="720"/>
        <w:rPr>
          <w:rFonts w:ascii="Times New Roman" w:hAnsi="Times New Roman"/>
        </w:rPr>
      </w:pPr>
      <w:r w:rsidRPr="00527722">
        <w:rPr>
          <w:rFonts w:ascii="Times New Roman" w:hAnsi="Times New Roman"/>
        </w:rPr>
        <w:t>Seen in this light, the Wilder Steam Ship’s sponsorship of the Burr</w:t>
      </w:r>
      <w:r>
        <w:rPr>
          <w:rFonts w:ascii="Times New Roman" w:hAnsi="Times New Roman"/>
        </w:rPr>
        <w:t>idge cyclorama project s</w:t>
      </w:r>
      <w:r w:rsidR="009F7C57">
        <w:rPr>
          <w:rFonts w:ascii="Times New Roman" w:hAnsi="Times New Roman"/>
        </w:rPr>
        <w:t xml:space="preserve">uggests </w:t>
      </w:r>
      <w:r w:rsidRPr="00527722">
        <w:rPr>
          <w:rFonts w:ascii="Times New Roman" w:hAnsi="Times New Roman"/>
        </w:rPr>
        <w:t>that</w:t>
      </w:r>
      <w:r>
        <w:rPr>
          <w:rFonts w:ascii="Times New Roman" w:hAnsi="Times New Roman"/>
        </w:rPr>
        <w:t>,</w:t>
      </w:r>
      <w:r w:rsidRPr="00527722">
        <w:rPr>
          <w:rFonts w:ascii="Times New Roman" w:hAnsi="Times New Roman"/>
        </w:rPr>
        <w:t xml:space="preserve"> by 1891, the volcano was fully understood, at least by non-</w:t>
      </w:r>
      <w:r>
        <w:rPr>
          <w:rFonts w:ascii="Times New Roman" w:hAnsi="Times New Roman"/>
        </w:rPr>
        <w:t>Hawaiian</w:t>
      </w:r>
      <w:r w:rsidRPr="00527722">
        <w:rPr>
          <w:rFonts w:ascii="Times New Roman" w:hAnsi="Times New Roman"/>
        </w:rPr>
        <w:t xml:space="preserve">s, as a premier tourist attraction. For those who could not come to the mountain, the mountain, so to speak, was brought to them. The Chicago World’s Fair was attended by an estimated 27 million people, by any metric a fantastic return on investment. The Burridge cyclorama </w:t>
      </w:r>
      <w:r w:rsidRPr="00527722">
        <w:rPr>
          <w:rFonts w:ascii="Times New Roman" w:hAnsi="Times New Roman"/>
          <w:color w:val="000000"/>
          <w:lang w:bidi="ar-SA"/>
        </w:rPr>
        <w:t xml:space="preserve">subsequently traveled to </w:t>
      </w:r>
      <w:r>
        <w:rPr>
          <w:rFonts w:ascii="Times New Roman" w:hAnsi="Times New Roman"/>
          <w:color w:val="000000"/>
          <w:lang w:bidi="ar-SA"/>
        </w:rPr>
        <w:t xml:space="preserve">San Francisco to </w:t>
      </w:r>
      <w:r w:rsidRPr="00527722">
        <w:rPr>
          <w:rFonts w:ascii="Times New Roman" w:hAnsi="Times New Roman"/>
          <w:color w:val="000000"/>
          <w:lang w:bidi="ar-SA"/>
        </w:rPr>
        <w:t>the California Midwinter International Exposition of 1894, held in San Francisco, whic</w:t>
      </w:r>
      <w:r w:rsidR="009F7C57">
        <w:rPr>
          <w:rFonts w:ascii="Times New Roman" w:hAnsi="Times New Roman"/>
          <w:color w:val="000000"/>
          <w:lang w:bidi="ar-SA"/>
        </w:rPr>
        <w:t>h was attended by an estimated two</w:t>
      </w:r>
      <w:r w:rsidRPr="00527722">
        <w:rPr>
          <w:rFonts w:ascii="Times New Roman" w:hAnsi="Times New Roman"/>
          <w:color w:val="000000"/>
          <w:lang w:bidi="ar-SA"/>
        </w:rPr>
        <w:t xml:space="preserve"> million visitors.</w:t>
      </w:r>
      <w:r w:rsidRPr="00527722">
        <w:rPr>
          <w:rStyle w:val="FootnoteReference"/>
          <w:rFonts w:ascii="Times New Roman" w:hAnsi="Times New Roman"/>
          <w:color w:val="000000"/>
          <w:lang w:bidi="ar-SA"/>
        </w:rPr>
        <w:footnoteReference w:id="151"/>
      </w:r>
      <w:r w:rsidRPr="00527722">
        <w:rPr>
          <w:rFonts w:ascii="Times New Roman" w:hAnsi="Times New Roman"/>
        </w:rPr>
        <w:t xml:space="preserve"> There, a</w:t>
      </w:r>
      <w:r w:rsidRPr="00527722">
        <w:rPr>
          <w:rFonts w:ascii="Times New Roman" w:hAnsi="Times New Roman"/>
          <w:color w:val="000000"/>
          <w:lang w:bidi="ar-SA"/>
        </w:rPr>
        <w:t xml:space="preserve"> </w:t>
      </w:r>
      <w:r w:rsidR="009F7C57">
        <w:rPr>
          <w:rFonts w:ascii="Times New Roman" w:hAnsi="Times New Roman"/>
          <w:color w:val="000000"/>
          <w:lang w:bidi="ar-SA"/>
        </w:rPr>
        <w:t>“</w:t>
      </w:r>
      <w:r w:rsidRPr="00527722">
        <w:rPr>
          <w:rFonts w:ascii="Times New Roman" w:hAnsi="Times New Roman"/>
          <w:color w:val="000000"/>
          <w:lang w:bidi="ar-SA"/>
        </w:rPr>
        <w:t>performance</w:t>
      </w:r>
      <w:r w:rsidR="009F7C57">
        <w:rPr>
          <w:rFonts w:ascii="Times New Roman" w:hAnsi="Times New Roman"/>
          <w:color w:val="000000"/>
          <w:lang w:bidi="ar-SA"/>
        </w:rPr>
        <w:t>”</w:t>
      </w:r>
      <w:r w:rsidRPr="00527722">
        <w:rPr>
          <w:rFonts w:ascii="Times New Roman" w:hAnsi="Times New Roman"/>
          <w:color w:val="000000"/>
          <w:lang w:bidi="ar-SA"/>
        </w:rPr>
        <w:t xml:space="preserve"> of the volcano, undertaken for a private opening</w:t>
      </w:r>
      <w:r>
        <w:rPr>
          <w:rFonts w:ascii="Times New Roman" w:hAnsi="Times New Roman"/>
          <w:color w:val="000000"/>
          <w:lang w:bidi="ar-SA"/>
        </w:rPr>
        <w:t>,</w:t>
      </w:r>
      <w:r w:rsidRPr="00527722">
        <w:rPr>
          <w:rFonts w:ascii="Times New Roman" w:hAnsi="Times New Roman"/>
          <w:color w:val="000000"/>
          <w:lang w:bidi="ar-SA"/>
        </w:rPr>
        <w:t xml:space="preserve"> included a “</w:t>
      </w:r>
      <w:r w:rsidRPr="00527722">
        <w:rPr>
          <w:rFonts w:ascii="Times New Roman" w:hAnsi="Times New Roman"/>
        </w:rPr>
        <w:t>station for spectators” to stand, which “is supposed to be a heap of lava which exuded and solidified in the center of the crater.”  The performance included “a priest [who] climbed the cliffs that rimmed the scene and chanted an invocation to Pele,” whose “form added to the realism of the effects.” The priest’s chant “was a queer, almost heartrending chant,” while “the singing by the Pele quartet . . . was decidedly plaintive and pretty.”</w:t>
      </w:r>
      <w:r w:rsidRPr="00527722">
        <w:rPr>
          <w:rStyle w:val="FootnoteReference"/>
          <w:rFonts w:ascii="Times New Roman" w:hAnsi="Times New Roman"/>
        </w:rPr>
        <w:footnoteReference w:id="152"/>
      </w:r>
    </w:p>
    <w:p w14:paraId="3B5DDD96" w14:textId="684BB5CC" w:rsidR="00B36BA8" w:rsidRPr="00AC72AE" w:rsidRDefault="00B36BA8" w:rsidP="00DC0D27">
      <w:pPr>
        <w:rPr>
          <w:lang w:bidi="ar-SA"/>
        </w:rPr>
      </w:pPr>
      <w:r w:rsidRPr="00527722">
        <w:rPr>
          <w:lang w:bidi="ar-SA"/>
        </w:rPr>
        <w:t>From about 1880 f</w:t>
      </w:r>
      <w:r w:rsidR="00AC72AE">
        <w:rPr>
          <w:lang w:bidi="ar-SA"/>
        </w:rPr>
        <w:t xml:space="preserve">orward, a view of Kilauea </w:t>
      </w:r>
      <w:r w:rsidRPr="00527722">
        <w:rPr>
          <w:lang w:bidi="ar-SA"/>
        </w:rPr>
        <w:t>emphasiz</w:t>
      </w:r>
      <w:r w:rsidR="00AC72AE">
        <w:rPr>
          <w:lang w:bidi="ar-SA"/>
        </w:rPr>
        <w:t xml:space="preserve">ing </w:t>
      </w:r>
      <w:r w:rsidRPr="00527722">
        <w:rPr>
          <w:lang w:bidi="ar-SA"/>
        </w:rPr>
        <w:t>direct, unmediated confrontation between lava and viewer came to dominate paint</w:t>
      </w:r>
      <w:r w:rsidR="00AC72AE">
        <w:rPr>
          <w:lang w:bidi="ar-SA"/>
        </w:rPr>
        <w:t xml:space="preserve">ings </w:t>
      </w:r>
      <w:r w:rsidRPr="00527722">
        <w:rPr>
          <w:lang w:bidi="ar-SA"/>
        </w:rPr>
        <w:t>of the crater. Tavernier’s views</w:t>
      </w:r>
      <w:r w:rsidR="00AC72AE">
        <w:rPr>
          <w:lang w:bidi="ar-SA"/>
        </w:rPr>
        <w:t>,</w:t>
      </w:r>
      <w:r w:rsidRPr="00527722">
        <w:rPr>
          <w:lang w:bidi="ar-SA"/>
        </w:rPr>
        <w:t xml:space="preserve"> which helped establish and perpetuate this aesthetic, associated with authenticity, attempted to erase the boundary between viewer and volcano</w:t>
      </w:r>
      <w:r w:rsidR="00AC72AE">
        <w:rPr>
          <w:lang w:bidi="ar-SA"/>
        </w:rPr>
        <w:t>.</w:t>
      </w:r>
      <w:r w:rsidRPr="00527722">
        <w:rPr>
          <w:lang w:bidi="ar-SA"/>
        </w:rPr>
        <w:t xml:space="preserve"> </w:t>
      </w:r>
      <w:r w:rsidR="00AC72AE">
        <w:rPr>
          <w:lang w:bidi="ar-SA"/>
        </w:rPr>
        <w:t>His</w:t>
      </w:r>
      <w:r w:rsidRPr="00527722">
        <w:rPr>
          <w:lang w:bidi="ar-SA"/>
        </w:rPr>
        <w:t xml:space="preserve"> efforts were redoubled and expanded after his death by the Wilder Steamship Company with the commissioning of an even larger cyclorama, which was the highlight of </w:t>
      </w:r>
      <w:r>
        <w:rPr>
          <w:lang w:bidi="ar-SA"/>
        </w:rPr>
        <w:t>Hawai’i</w:t>
      </w:r>
      <w:r w:rsidRPr="00527722">
        <w:rPr>
          <w:lang w:bidi="ar-SA"/>
        </w:rPr>
        <w:t>’s display at both the Chicago’s World Fair of 1893 and the California Midwinter’s Fair of 1894.</w:t>
      </w:r>
      <w:r>
        <w:rPr>
          <w:lang w:bidi="ar-SA"/>
        </w:rPr>
        <w:t xml:space="preserve"> </w:t>
      </w:r>
      <w:r w:rsidRPr="00527722">
        <w:rPr>
          <w:lang w:bidi="ar-SA"/>
        </w:rPr>
        <w:t>Tavernier’s and Burridge’s cyclorama projects appropriate</w:t>
      </w:r>
      <w:r w:rsidR="00AC72AE">
        <w:rPr>
          <w:lang w:bidi="ar-SA"/>
        </w:rPr>
        <w:t>d</w:t>
      </w:r>
      <w:r w:rsidRPr="00527722">
        <w:rPr>
          <w:lang w:bidi="ar-SA"/>
        </w:rPr>
        <w:t xml:space="preserve"> the volcano for a world-wide audience. Once Kilauea was transformed into pure spectacle, Tavernier’s body, the non-Native body, could disappear, metaphorically sublimated into the fiery crate</w:t>
      </w:r>
      <w:r w:rsidRPr="00521886">
        <w:rPr>
          <w:lang w:bidi="ar-SA"/>
        </w:rPr>
        <w:t xml:space="preserve">r. </w:t>
      </w:r>
      <w:r w:rsidRPr="00521886">
        <w:t>While in the descriptions and visual representations of the 1830s or 1840s, the body of the explorer/artist stood out in cont</w:t>
      </w:r>
      <w:r w:rsidR="00AC72AE">
        <w:t>rast with “primitive” landscape</w:t>
      </w:r>
      <w:r w:rsidR="003941EB">
        <w:t>,</w:t>
      </w:r>
      <w:r w:rsidRPr="00521886">
        <w:t xml:space="preserve"> by the 1880s and the advent of</w:t>
      </w:r>
      <w:r w:rsidR="00D71E0D">
        <w:t xml:space="preserve"> the so-called “Volcano School,”</w:t>
      </w:r>
      <w:r w:rsidRPr="00521886">
        <w:t xml:space="preserve"> the white Euro-American explorer / artist had become so naturalized into Hawaiian society</w:t>
      </w:r>
      <w:r w:rsidR="003941EB">
        <w:t xml:space="preserve"> that</w:t>
      </w:r>
      <w:r w:rsidRPr="00521886">
        <w:t xml:space="preserve"> Tavernier omitted himself from his volcano paintings</w:t>
      </w:r>
      <w:r w:rsidR="00AC72AE">
        <w:t>, entirely</w:t>
      </w:r>
      <w:r w:rsidRPr="00521886">
        <w:t xml:space="preserve">. </w:t>
      </w:r>
      <w:r w:rsidRPr="00521886">
        <w:rPr>
          <w:lang w:bidi="ar-SA"/>
        </w:rPr>
        <w:t xml:space="preserve">As </w:t>
      </w:r>
      <w:r>
        <w:rPr>
          <w:lang w:bidi="ar-SA"/>
        </w:rPr>
        <w:t>Hawai’i</w:t>
      </w:r>
      <w:r w:rsidRPr="00527722">
        <w:rPr>
          <w:lang w:bidi="ar-SA"/>
        </w:rPr>
        <w:t>’s colonial fate became ever clearer, it was the Native body that was promoted as strange, exotic, and other.</w:t>
      </w:r>
      <w:r>
        <w:rPr>
          <w:rStyle w:val="FootnoteReference"/>
          <w:rFonts w:ascii="Times New Roman" w:hAnsi="Times New Roman"/>
          <w:color w:val="000000"/>
          <w:lang w:bidi="ar-SA"/>
        </w:rPr>
        <w:footnoteReference w:id="153"/>
      </w:r>
      <w:r w:rsidRPr="00527722">
        <w:rPr>
          <w:lang w:bidi="ar-SA"/>
        </w:rPr>
        <w:t xml:space="preserve"> </w:t>
      </w:r>
      <w:r w:rsidRPr="00753608">
        <w:t xml:space="preserve">As the nineteenth century gave way to the </w:t>
      </w:r>
      <w:r w:rsidR="00D71E0D">
        <w:t>twentieth</w:t>
      </w:r>
      <w:r w:rsidR="00AC72AE">
        <w:t xml:space="preserve">, it was </w:t>
      </w:r>
      <w:r w:rsidRPr="00753608">
        <w:t xml:space="preserve">the body of the hula dancer </w:t>
      </w:r>
      <w:r w:rsidR="00AC72AE">
        <w:t xml:space="preserve">that </w:t>
      </w:r>
      <w:r w:rsidRPr="00753608">
        <w:t>came to dominate the destination image of Hawai’i in the American mind.</w:t>
      </w:r>
      <w:r>
        <w:rPr>
          <w:rStyle w:val="FootnoteReference"/>
          <w:rFonts w:ascii="Times New Roman" w:hAnsi="Times New Roman"/>
        </w:rPr>
        <w:footnoteReference w:id="154"/>
      </w:r>
      <w:r w:rsidR="00AC72AE">
        <w:rPr>
          <w:lang w:bidi="ar-SA"/>
        </w:rPr>
        <w:t xml:space="preserve"> </w:t>
      </w:r>
      <w:r w:rsidRPr="00527722">
        <w:rPr>
          <w:lang w:bidi="ar-SA"/>
        </w:rPr>
        <w:t xml:space="preserve">By 1893, on the eve of </w:t>
      </w:r>
      <w:r>
        <w:rPr>
          <w:lang w:bidi="ar-SA"/>
        </w:rPr>
        <w:t>Hawai’i</w:t>
      </w:r>
      <w:r w:rsidRPr="00527722">
        <w:rPr>
          <w:lang w:bidi="ar-SA"/>
        </w:rPr>
        <w:t xml:space="preserve">’s eventual annexation by the United States, drawing vacationers to </w:t>
      </w:r>
      <w:r>
        <w:rPr>
          <w:lang w:bidi="ar-SA"/>
        </w:rPr>
        <w:t>Hawai’i</w:t>
      </w:r>
      <w:r w:rsidRPr="00527722">
        <w:rPr>
          <w:lang w:bidi="ar-SA"/>
        </w:rPr>
        <w:t xml:space="preserve"> had become a major concern of newspapers and various capitalist enterprises. Kilauea, long an important indigenous location, had been appropriated by the modern leisure class as a symbol of differentiation and superiority over that which was other.</w:t>
      </w:r>
      <w:r>
        <w:rPr>
          <w:lang w:bidi="ar-SA"/>
        </w:rPr>
        <w:t xml:space="preserve"> </w:t>
      </w:r>
      <w:r>
        <w:t>It was as enticement for to</w:t>
      </w:r>
      <w:r w:rsidRPr="00DC0D27">
        <w:t>urism and as advertisement for empire that Taverinier’s Kilauea paintings fulfill</w:t>
      </w:r>
      <w:r>
        <w:t>ed their ultimate purpose.</w:t>
      </w:r>
    </w:p>
    <w:p w14:paraId="1B0A95FE" w14:textId="77777777" w:rsidR="00B36BA8" w:rsidRDefault="00B36BA8" w:rsidP="00DC0D27">
      <w:pPr>
        <w:rPr>
          <w:lang w:bidi="ar-SA"/>
        </w:rPr>
      </w:pPr>
    </w:p>
    <w:p w14:paraId="0028E43B" w14:textId="77777777" w:rsidR="00B36BA8" w:rsidRPr="00527722" w:rsidRDefault="00B36BA8" w:rsidP="00DC0D27">
      <w:pPr>
        <w:jc w:val="center"/>
        <w:rPr>
          <w:b/>
        </w:rPr>
      </w:pPr>
      <w:r>
        <w:rPr>
          <w:b/>
        </w:rPr>
        <w:t>P</w:t>
      </w:r>
      <w:r w:rsidRPr="00527722">
        <w:rPr>
          <w:b/>
        </w:rPr>
        <w:t>ele’s Body: Resistance, Hula, and the Newspapers</w:t>
      </w:r>
    </w:p>
    <w:p w14:paraId="3BC84C54" w14:textId="19E98E86" w:rsidR="00B36BA8" w:rsidRPr="00527722" w:rsidRDefault="00B36BA8" w:rsidP="00487BC5">
      <w:pPr>
        <w:ind w:firstLine="720"/>
      </w:pPr>
      <w:r w:rsidRPr="00527722">
        <w:t xml:space="preserve">What did Native </w:t>
      </w:r>
      <w:r>
        <w:t>Hawaiian</w:t>
      </w:r>
      <w:r w:rsidRPr="00527722">
        <w:t>s think of this shift toward colonialism and tourism? The non-</w:t>
      </w:r>
      <w:r>
        <w:t>Hawaiian</w:t>
      </w:r>
      <w:r w:rsidRPr="00527722">
        <w:t xml:space="preserve"> writers of </w:t>
      </w:r>
      <w:r>
        <w:t>Hawaiian</w:t>
      </w:r>
      <w:r w:rsidRPr="00527722">
        <w:t xml:space="preserve"> history, from Captain Cook’s first arrival in 1778 until at least the 1960s, perpetuated the myth that </w:t>
      </w:r>
      <w:r>
        <w:t>Hawaiian</w:t>
      </w:r>
      <w:r w:rsidRPr="00527722">
        <w:t>s passively accepted, even welcomed, invasion and colonial domination</w:t>
      </w:r>
      <w:r w:rsidR="00AC72AE">
        <w:t>.</w:t>
      </w:r>
      <w:r w:rsidR="00D71E0D">
        <w:t xml:space="preserve"> </w:t>
      </w:r>
      <w:r w:rsidRPr="00527722">
        <w:rPr>
          <w:color w:val="000000"/>
          <w:shd w:val="clear" w:color="auto" w:fill="FFFFFF"/>
        </w:rPr>
        <w:t xml:space="preserve">Noenoe K. Silva has argued that the idea of Native </w:t>
      </w:r>
      <w:r>
        <w:rPr>
          <w:color w:val="000000"/>
          <w:shd w:val="clear" w:color="auto" w:fill="FFFFFF"/>
        </w:rPr>
        <w:t>Hawaiian</w:t>
      </w:r>
      <w:r w:rsidRPr="00527722">
        <w:rPr>
          <w:color w:val="000000"/>
          <w:shd w:val="clear" w:color="auto" w:fill="FFFFFF"/>
        </w:rPr>
        <w:t xml:space="preserve"> passivity is “one of the most persistent and pernicious myths of </w:t>
      </w:r>
      <w:r>
        <w:rPr>
          <w:color w:val="000000"/>
          <w:shd w:val="clear" w:color="auto" w:fill="FFFFFF"/>
        </w:rPr>
        <w:t>Hawaiian</w:t>
      </w:r>
      <w:r w:rsidRPr="00527722">
        <w:rPr>
          <w:color w:val="000000"/>
          <w:shd w:val="clear" w:color="auto" w:fill="FFFFFF"/>
        </w:rPr>
        <w:t xml:space="preserve"> history,” achieved only by systematically ignoring </w:t>
      </w:r>
      <w:r>
        <w:rPr>
          <w:color w:val="000000"/>
          <w:shd w:val="clear" w:color="auto" w:fill="FFFFFF"/>
        </w:rPr>
        <w:t>Hawaiian</w:t>
      </w:r>
      <w:r w:rsidRPr="00527722">
        <w:rPr>
          <w:color w:val="000000"/>
          <w:shd w:val="clear" w:color="auto" w:fill="FFFFFF"/>
        </w:rPr>
        <w:t>-language sources materials, especially newspapers published from the 1860s through the turn of the twentieth century.</w:t>
      </w:r>
      <w:r w:rsidR="00B16805" w:rsidRPr="00527722">
        <w:rPr>
          <w:rStyle w:val="FootnoteReference"/>
          <w:rFonts w:ascii="Times New Roman" w:hAnsi="Times New Roman"/>
          <w:color w:val="000000"/>
          <w:shd w:val="clear" w:color="auto" w:fill="FFFFFF"/>
        </w:rPr>
        <w:footnoteReference w:id="155"/>
      </w:r>
      <w:r w:rsidRPr="00527722">
        <w:rPr>
          <w:color w:val="000000"/>
          <w:shd w:val="clear" w:color="auto" w:fill="FFFFFF"/>
        </w:rPr>
        <w:t xml:space="preserve"> Recovering indigenous voice</w:t>
      </w:r>
      <w:r w:rsidR="00AC72AE">
        <w:rPr>
          <w:color w:val="000000"/>
          <w:shd w:val="clear" w:color="auto" w:fill="FFFFFF"/>
        </w:rPr>
        <w:t>s</w:t>
      </w:r>
      <w:r w:rsidRPr="00527722">
        <w:rPr>
          <w:color w:val="000000"/>
          <w:shd w:val="clear" w:color="auto" w:fill="FFFFFF"/>
        </w:rPr>
        <w:t xml:space="preserve"> is important because any histori</w:t>
      </w:r>
      <w:r w:rsidR="00AC72AE">
        <w:rPr>
          <w:color w:val="000000"/>
          <w:shd w:val="clear" w:color="auto" w:fill="FFFFFF"/>
        </w:rPr>
        <w:t xml:space="preserve">cal account that </w:t>
      </w:r>
      <w:r w:rsidRPr="00527722">
        <w:rPr>
          <w:color w:val="000000"/>
          <w:shd w:val="clear" w:color="auto" w:fill="FFFFFF"/>
        </w:rPr>
        <w:t xml:space="preserve">normalizes Native passivity normalizes the power imbalances inherent in the colonial situation. Silva and other historians have </w:t>
      </w:r>
      <w:r w:rsidR="00AC72AE">
        <w:rPr>
          <w:color w:val="000000"/>
          <w:shd w:val="clear" w:color="auto" w:fill="FFFFFF"/>
        </w:rPr>
        <w:t xml:space="preserve">more recently recognized </w:t>
      </w:r>
      <w:r w:rsidR="003941EB">
        <w:rPr>
          <w:color w:val="000000"/>
          <w:shd w:val="clear" w:color="auto" w:fill="FFFFFF"/>
        </w:rPr>
        <w:t xml:space="preserve">that </w:t>
      </w:r>
      <w:r w:rsidRPr="00527722">
        <w:rPr>
          <w:color w:val="000000"/>
          <w:shd w:val="clear" w:color="auto" w:fill="FFFFFF"/>
        </w:rPr>
        <w:t xml:space="preserve">Native </w:t>
      </w:r>
      <w:r>
        <w:rPr>
          <w:color w:val="000000"/>
          <w:shd w:val="clear" w:color="auto" w:fill="FFFFFF"/>
        </w:rPr>
        <w:t>Hawaiian</w:t>
      </w:r>
      <w:r w:rsidRPr="00527722">
        <w:rPr>
          <w:color w:val="000000"/>
          <w:shd w:val="clear" w:color="auto" w:fill="FFFFFF"/>
        </w:rPr>
        <w:t>s resisted colonial hegemony at every opportunity.</w:t>
      </w:r>
      <w:r w:rsidRPr="00527722">
        <w:rPr>
          <w:rStyle w:val="FootnoteReference"/>
          <w:rFonts w:ascii="Times New Roman" w:hAnsi="Times New Roman"/>
          <w:color w:val="000000"/>
          <w:shd w:val="clear" w:color="auto" w:fill="FFFFFF"/>
        </w:rPr>
        <w:footnoteReference w:id="156"/>
      </w:r>
    </w:p>
    <w:p w14:paraId="0E250265" w14:textId="2AB5D88A" w:rsidR="00B36BA8" w:rsidRDefault="00B36BA8" w:rsidP="00B36BA8">
      <w:pPr>
        <w:pStyle w:val="NoSpacing"/>
        <w:spacing w:line="480" w:lineRule="auto"/>
        <w:ind w:firstLine="720"/>
        <w:rPr>
          <w:rFonts w:ascii="Times New Roman" w:hAnsi="Times New Roman"/>
        </w:rPr>
      </w:pPr>
      <w:r w:rsidRPr="00527722">
        <w:rPr>
          <w:rFonts w:ascii="Times New Roman" w:hAnsi="Times New Roman"/>
        </w:rPr>
        <w:t xml:space="preserve">At a time when Native </w:t>
      </w:r>
      <w:r>
        <w:rPr>
          <w:rFonts w:ascii="Times New Roman" w:hAnsi="Times New Roman"/>
        </w:rPr>
        <w:t>Hawaiian</w:t>
      </w:r>
      <w:r w:rsidRPr="00527722">
        <w:rPr>
          <w:rFonts w:ascii="Times New Roman" w:hAnsi="Times New Roman"/>
        </w:rPr>
        <w:t>’s were forced to cede ever more sovereignty to America</w:t>
      </w:r>
      <w:r w:rsidR="00AC72AE">
        <w:rPr>
          <w:rFonts w:ascii="Times New Roman" w:hAnsi="Times New Roman"/>
        </w:rPr>
        <w:t xml:space="preserve">, </w:t>
      </w:r>
      <w:r w:rsidRPr="00527722">
        <w:rPr>
          <w:rFonts w:ascii="Times New Roman" w:hAnsi="Times New Roman"/>
        </w:rPr>
        <w:t>the election of King Kal</w:t>
      </w:r>
      <w:r w:rsidRPr="00527722">
        <w:rPr>
          <w:rFonts w:ascii="Times New Roman" w:hAnsi="Times New Roman"/>
        </w:rPr>
        <w:softHyphen/>
        <w:t xml:space="preserve">ākaua, who reigned from 1874-1891, provided a brief period of cultural resurgence for </w:t>
      </w:r>
      <w:r>
        <w:rPr>
          <w:rFonts w:ascii="Times New Roman" w:hAnsi="Times New Roman"/>
        </w:rPr>
        <w:t>Hawaiian</w:t>
      </w:r>
      <w:r w:rsidRPr="00527722">
        <w:rPr>
          <w:rFonts w:ascii="Times New Roman" w:hAnsi="Times New Roman"/>
        </w:rPr>
        <w:t>s. Though Kal</w:t>
      </w:r>
      <w:r w:rsidRPr="00527722">
        <w:rPr>
          <w:rFonts w:ascii="Times New Roman" w:hAnsi="Times New Roman"/>
        </w:rPr>
        <w:softHyphen/>
        <w:t xml:space="preserve">ākaua had many failings and was, like his predecessors, forced to cede important rights to colonizing forces, he </w:t>
      </w:r>
      <w:r>
        <w:rPr>
          <w:rFonts w:ascii="Times New Roman" w:hAnsi="Times New Roman"/>
        </w:rPr>
        <w:t>i</w:t>
      </w:r>
      <w:r w:rsidRPr="00527722">
        <w:rPr>
          <w:rFonts w:ascii="Times New Roman" w:hAnsi="Times New Roman"/>
        </w:rPr>
        <w:t xml:space="preserve">s fondly remembered by many </w:t>
      </w:r>
      <w:r>
        <w:rPr>
          <w:rFonts w:ascii="Times New Roman" w:hAnsi="Times New Roman"/>
        </w:rPr>
        <w:t>Hawaiian</w:t>
      </w:r>
      <w:r w:rsidRPr="00527722">
        <w:rPr>
          <w:rFonts w:ascii="Times New Roman" w:hAnsi="Times New Roman"/>
        </w:rPr>
        <w:t>s becaus</w:t>
      </w:r>
      <w:r w:rsidR="00B16805">
        <w:rPr>
          <w:rFonts w:ascii="Times New Roman" w:hAnsi="Times New Roman"/>
        </w:rPr>
        <w:t>e he promoted a return to pre-contact</w:t>
      </w:r>
      <w:r w:rsidRPr="00527722">
        <w:rPr>
          <w:rFonts w:ascii="Times New Roman" w:hAnsi="Times New Roman"/>
        </w:rPr>
        <w:t xml:space="preserve"> culture. Under Kal</w:t>
      </w:r>
      <w:r w:rsidRPr="00527722">
        <w:rPr>
          <w:rFonts w:ascii="Times New Roman" w:hAnsi="Times New Roman"/>
        </w:rPr>
        <w:softHyphen/>
        <w:t xml:space="preserve">ākaua, various forms of hula, many of which had been suppressed by the missionary ruling class, enjoyed </w:t>
      </w:r>
      <w:r w:rsidR="00B16805">
        <w:rPr>
          <w:rFonts w:ascii="Times New Roman" w:hAnsi="Times New Roman"/>
        </w:rPr>
        <w:t xml:space="preserve">a </w:t>
      </w:r>
      <w:r w:rsidRPr="00527722">
        <w:rPr>
          <w:rFonts w:ascii="Times New Roman" w:hAnsi="Times New Roman"/>
        </w:rPr>
        <w:t>resurgence. Hula was featured prominently in Kal</w:t>
      </w:r>
      <w:r w:rsidRPr="00527722">
        <w:rPr>
          <w:rFonts w:ascii="Times New Roman" w:hAnsi="Times New Roman"/>
        </w:rPr>
        <w:softHyphen/>
        <w:t>ākaua’s coronation ceremonies. One hula in particular caught the attention of William R. Castle</w:t>
      </w:r>
      <w:r>
        <w:rPr>
          <w:rFonts w:ascii="Times New Roman" w:hAnsi="Times New Roman"/>
        </w:rPr>
        <w:t xml:space="preserve">, </w:t>
      </w:r>
      <w:r w:rsidRPr="00527722">
        <w:rPr>
          <w:rFonts w:ascii="Times New Roman" w:hAnsi="Times New Roman"/>
        </w:rPr>
        <w:t xml:space="preserve">a missionary’s son. Castle instigated the arrest </w:t>
      </w:r>
      <w:r w:rsidR="00AC72AE">
        <w:rPr>
          <w:rFonts w:ascii="Times New Roman" w:hAnsi="Times New Roman"/>
        </w:rPr>
        <w:t>of</w:t>
      </w:r>
      <w:r w:rsidRPr="00527722">
        <w:rPr>
          <w:rFonts w:ascii="Times New Roman" w:hAnsi="Times New Roman"/>
        </w:rPr>
        <w:t xml:space="preserve"> the printers of the coronation ceremony program on charges of obscenity for printing the ti</w:t>
      </w:r>
      <w:r>
        <w:rPr>
          <w:rFonts w:ascii="Times New Roman" w:hAnsi="Times New Roman"/>
        </w:rPr>
        <w:t>t</w:t>
      </w:r>
      <w:r w:rsidRPr="00527722">
        <w:rPr>
          <w:rFonts w:ascii="Times New Roman" w:hAnsi="Times New Roman"/>
        </w:rPr>
        <w:t>le of one hula that celebrated the fecundity of the royal line.</w:t>
      </w:r>
      <w:r w:rsidR="00B16805" w:rsidRPr="00527722">
        <w:rPr>
          <w:rStyle w:val="FootnoteReference"/>
          <w:rFonts w:ascii="Times New Roman" w:hAnsi="Times New Roman"/>
        </w:rPr>
        <w:footnoteReference w:id="157"/>
      </w:r>
    </w:p>
    <w:p w14:paraId="3CD99051" w14:textId="458FBBDB" w:rsidR="00B36BA8" w:rsidRPr="00527722" w:rsidRDefault="00B36BA8" w:rsidP="00B36BA8">
      <w:pPr>
        <w:pStyle w:val="NoSpacing"/>
        <w:spacing w:line="480" w:lineRule="auto"/>
        <w:ind w:firstLine="720"/>
        <w:rPr>
          <w:rFonts w:ascii="Times New Roman" w:hAnsi="Times New Roman"/>
        </w:rPr>
      </w:pPr>
      <w:r w:rsidRPr="00527722">
        <w:rPr>
          <w:rFonts w:ascii="Times New Roman" w:hAnsi="Times New Roman"/>
        </w:rPr>
        <w:t>Less noticed by the missionary establishment were the various hulas performed for</w:t>
      </w:r>
      <w:r w:rsidR="00AC72AE">
        <w:rPr>
          <w:rFonts w:ascii="Times New Roman" w:hAnsi="Times New Roman"/>
        </w:rPr>
        <w:t xml:space="preserve"> the coronation ceremonies that</w:t>
      </w:r>
      <w:r w:rsidRPr="00527722">
        <w:rPr>
          <w:rFonts w:ascii="Times New Roman" w:hAnsi="Times New Roman"/>
        </w:rPr>
        <w:t xml:space="preserve"> honored Pele, the </w:t>
      </w:r>
      <w:r w:rsidRPr="00527722">
        <w:rPr>
          <w:rFonts w:ascii="Times New Roman" w:hAnsi="Times New Roman"/>
          <w:i/>
        </w:rPr>
        <w:t>atuna</w:t>
      </w:r>
      <w:r w:rsidRPr="00527722">
        <w:rPr>
          <w:rFonts w:ascii="Times New Roman" w:hAnsi="Times New Roman"/>
        </w:rPr>
        <w:t xml:space="preserve"> of the volcano, and her family.</w:t>
      </w:r>
      <w:r w:rsidR="00B16805">
        <w:rPr>
          <w:rStyle w:val="FootnoteReference"/>
          <w:rFonts w:ascii="Times New Roman" w:hAnsi="Times New Roman"/>
        </w:rPr>
        <w:footnoteReference w:id="158"/>
      </w:r>
      <w:r w:rsidRPr="00527722">
        <w:rPr>
          <w:rFonts w:ascii="Times New Roman" w:hAnsi="Times New Roman"/>
        </w:rPr>
        <w:t xml:space="preserve"> The performance of hula Pele at the coronation countered the dominant colonial narrative. Hula, and the attendant stories which inform the hula chants, were narratives of, by, and for the </w:t>
      </w:r>
      <w:r>
        <w:rPr>
          <w:rFonts w:ascii="Times New Roman" w:hAnsi="Times New Roman"/>
        </w:rPr>
        <w:t>Hawaiian</w:t>
      </w:r>
      <w:r w:rsidRPr="00527722">
        <w:rPr>
          <w:rFonts w:ascii="Times New Roman" w:hAnsi="Times New Roman"/>
        </w:rPr>
        <w:t xml:space="preserve"> people. The public chanting of the verses, and</w:t>
      </w:r>
      <w:r w:rsidR="007A613E">
        <w:rPr>
          <w:rFonts w:ascii="Times New Roman" w:hAnsi="Times New Roman"/>
        </w:rPr>
        <w:t xml:space="preserve"> their </w:t>
      </w:r>
      <w:r w:rsidRPr="00527722">
        <w:rPr>
          <w:rFonts w:ascii="Times New Roman" w:hAnsi="Times New Roman"/>
        </w:rPr>
        <w:t>publication</w:t>
      </w:r>
      <w:r w:rsidR="007A613E">
        <w:rPr>
          <w:rFonts w:ascii="Times New Roman" w:hAnsi="Times New Roman"/>
        </w:rPr>
        <w:t>,</w:t>
      </w:r>
      <w:r w:rsidRPr="00527722">
        <w:rPr>
          <w:rFonts w:ascii="Times New Roman" w:hAnsi="Times New Roman"/>
        </w:rPr>
        <w:t xml:space="preserve"> were subversive acts. Hula was ostensibly suppressed by the missionary establishment because they </w:t>
      </w:r>
      <w:r w:rsidR="007A613E">
        <w:rPr>
          <w:rFonts w:ascii="Times New Roman" w:hAnsi="Times New Roman"/>
        </w:rPr>
        <w:t xml:space="preserve">found </w:t>
      </w:r>
      <w:r w:rsidRPr="00527722">
        <w:rPr>
          <w:rFonts w:ascii="Times New Roman" w:hAnsi="Times New Roman"/>
        </w:rPr>
        <w:t>the dancing lewd</w:t>
      </w:r>
      <w:r w:rsidR="007A613E">
        <w:rPr>
          <w:rFonts w:ascii="Times New Roman" w:hAnsi="Times New Roman"/>
        </w:rPr>
        <w:t xml:space="preserve">. </w:t>
      </w:r>
      <w:r w:rsidR="00B16805">
        <w:rPr>
          <w:rFonts w:ascii="Times New Roman" w:hAnsi="Times New Roman"/>
        </w:rPr>
        <w:t xml:space="preserve">However, </w:t>
      </w:r>
      <w:r w:rsidRPr="00527722">
        <w:rPr>
          <w:rFonts w:ascii="Times New Roman" w:hAnsi="Times New Roman"/>
        </w:rPr>
        <w:t xml:space="preserve">the content of the hula chants </w:t>
      </w:r>
      <w:r w:rsidR="007A613E">
        <w:rPr>
          <w:rFonts w:ascii="Times New Roman" w:hAnsi="Times New Roman"/>
        </w:rPr>
        <w:t xml:space="preserve">should have </w:t>
      </w:r>
      <w:r w:rsidR="00B16805">
        <w:rPr>
          <w:rFonts w:ascii="Times New Roman" w:hAnsi="Times New Roman"/>
        </w:rPr>
        <w:t xml:space="preserve">perhaps </w:t>
      </w:r>
      <w:r w:rsidRPr="00527722">
        <w:rPr>
          <w:rFonts w:ascii="Times New Roman" w:hAnsi="Times New Roman"/>
        </w:rPr>
        <w:t xml:space="preserve">given them more cause for alarm. Many chants tell the history of </w:t>
      </w:r>
      <w:r>
        <w:rPr>
          <w:rFonts w:ascii="Times New Roman" w:hAnsi="Times New Roman"/>
        </w:rPr>
        <w:t>Hawai’i</w:t>
      </w:r>
      <w:r w:rsidRPr="00527722">
        <w:rPr>
          <w:rFonts w:ascii="Times New Roman" w:hAnsi="Times New Roman"/>
        </w:rPr>
        <w:t xml:space="preserve"> from an indigenous perspective. Hula Pele chants detail the life of Pele and her sister Hi‘iaka, the foundation story of </w:t>
      </w:r>
      <w:r>
        <w:rPr>
          <w:rFonts w:ascii="Times New Roman" w:hAnsi="Times New Roman"/>
        </w:rPr>
        <w:t>Hawai’</w:t>
      </w:r>
      <w:r w:rsidR="007A613E">
        <w:rPr>
          <w:rFonts w:ascii="Times New Roman" w:hAnsi="Times New Roman"/>
        </w:rPr>
        <w:t>i,</w:t>
      </w:r>
      <w:r w:rsidRPr="00527722">
        <w:rPr>
          <w:rFonts w:ascii="Times New Roman" w:hAnsi="Times New Roman"/>
        </w:rPr>
        <w:t xml:space="preserve"> “the fountain-head of </w:t>
      </w:r>
      <w:r>
        <w:rPr>
          <w:rFonts w:ascii="Times New Roman" w:hAnsi="Times New Roman"/>
        </w:rPr>
        <w:t>Hawaiian</w:t>
      </w:r>
      <w:r w:rsidRPr="00527722">
        <w:rPr>
          <w:rFonts w:ascii="Times New Roman" w:hAnsi="Times New Roman"/>
        </w:rPr>
        <w:t xml:space="preserve"> myth and the matrix from which the unwritten literature of </w:t>
      </w:r>
      <w:r>
        <w:rPr>
          <w:rFonts w:ascii="Times New Roman" w:hAnsi="Times New Roman"/>
        </w:rPr>
        <w:t>Hawai’i</w:t>
      </w:r>
      <w:r w:rsidRPr="00527722">
        <w:rPr>
          <w:rFonts w:ascii="Times New Roman" w:hAnsi="Times New Roman"/>
        </w:rPr>
        <w:t xml:space="preserve"> drew its life-blood.”</w:t>
      </w:r>
      <w:r w:rsidRPr="00527722">
        <w:rPr>
          <w:rStyle w:val="FootnoteReference"/>
          <w:rFonts w:ascii="Times New Roman" w:hAnsi="Times New Roman"/>
        </w:rPr>
        <w:footnoteReference w:id="159"/>
      </w:r>
      <w:r w:rsidRPr="00527722">
        <w:rPr>
          <w:rFonts w:ascii="Times New Roman" w:hAnsi="Times New Roman"/>
        </w:rPr>
        <w:t xml:space="preserve"> Pele’s journey resulted in her violent death and dismemberment that brought about immortality in the form of a land-birthing female deity.</w:t>
      </w:r>
      <w:r w:rsidRPr="00527722">
        <w:rPr>
          <w:rStyle w:val="FootnoteReference"/>
          <w:rFonts w:ascii="Times New Roman" w:hAnsi="Times New Roman"/>
        </w:rPr>
        <w:footnoteReference w:id="160"/>
      </w:r>
      <w:r w:rsidRPr="00527722">
        <w:rPr>
          <w:rFonts w:ascii="Times New Roman" w:hAnsi="Times New Roman"/>
        </w:rPr>
        <w:t xml:space="preserve"> Pele</w:t>
      </w:r>
      <w:r w:rsidR="007A613E">
        <w:rPr>
          <w:rFonts w:ascii="Times New Roman" w:hAnsi="Times New Roman"/>
        </w:rPr>
        <w:t xml:space="preserve">, who </w:t>
      </w:r>
      <w:r w:rsidRPr="00527722">
        <w:rPr>
          <w:rFonts w:ascii="Times New Roman" w:hAnsi="Times New Roman"/>
        </w:rPr>
        <w:t xml:space="preserve"> controlled all volcanic activity, </w:t>
      </w:r>
      <w:r w:rsidR="007A613E">
        <w:rPr>
          <w:rFonts w:ascii="Times New Roman" w:hAnsi="Times New Roman"/>
        </w:rPr>
        <w:t xml:space="preserve">had </w:t>
      </w:r>
      <w:r w:rsidRPr="00527722">
        <w:rPr>
          <w:rFonts w:ascii="Times New Roman" w:hAnsi="Times New Roman"/>
        </w:rPr>
        <w:t xml:space="preserve">created the </w:t>
      </w:r>
      <w:r>
        <w:rPr>
          <w:rFonts w:ascii="Times New Roman" w:hAnsi="Times New Roman"/>
        </w:rPr>
        <w:t>Hawaiian</w:t>
      </w:r>
      <w:r w:rsidRPr="00527722">
        <w:rPr>
          <w:rFonts w:ascii="Times New Roman" w:hAnsi="Times New Roman"/>
        </w:rPr>
        <w:t xml:space="preserve"> arc</w:t>
      </w:r>
      <w:r w:rsidR="00883089">
        <w:rPr>
          <w:rFonts w:ascii="Times New Roman" w:hAnsi="Times New Roman"/>
        </w:rPr>
        <w:t>hipelago during her travels.</w:t>
      </w:r>
    </w:p>
    <w:p w14:paraId="0182530A" w14:textId="60BF800F" w:rsidR="00B36BA8" w:rsidRPr="00527722" w:rsidRDefault="007A613E" w:rsidP="00B36BA8">
      <w:pPr>
        <w:pStyle w:val="NoSpacing"/>
        <w:spacing w:line="480" w:lineRule="auto"/>
        <w:ind w:firstLine="720"/>
        <w:rPr>
          <w:rFonts w:ascii="Times New Roman" w:hAnsi="Times New Roman"/>
        </w:rPr>
      </w:pPr>
      <w:r>
        <w:rPr>
          <w:rFonts w:ascii="Times New Roman" w:hAnsi="Times New Roman"/>
        </w:rPr>
        <w:t>This powerful creation story</w:t>
      </w:r>
      <w:r w:rsidR="00B36BA8" w:rsidRPr="00527722">
        <w:rPr>
          <w:rFonts w:ascii="Times New Roman" w:hAnsi="Times New Roman"/>
        </w:rPr>
        <w:t xml:space="preserve"> was ascendant under Kal</w:t>
      </w:r>
      <w:r w:rsidR="00B36BA8" w:rsidRPr="00527722">
        <w:rPr>
          <w:rFonts w:ascii="Times New Roman" w:hAnsi="Times New Roman"/>
        </w:rPr>
        <w:softHyphen/>
        <w:t xml:space="preserve">ākaua’s rule not just in the promotion of hula but also in the newspapers. Beginning in the 1860s, Pele appeared in both missionary establishment English-language papers and in Native-language newspapers. The missionary-controlled </w:t>
      </w:r>
      <w:r w:rsidR="00B36BA8" w:rsidRPr="00527722">
        <w:rPr>
          <w:rFonts w:ascii="Times New Roman" w:hAnsi="Times New Roman"/>
          <w:i/>
        </w:rPr>
        <w:t xml:space="preserve">Ka Hae </w:t>
      </w:r>
      <w:r w:rsidR="00B36BA8">
        <w:rPr>
          <w:rFonts w:ascii="Times New Roman" w:hAnsi="Times New Roman"/>
          <w:i/>
        </w:rPr>
        <w:t>Hawai’i</w:t>
      </w:r>
      <w:r w:rsidR="00B36BA8" w:rsidRPr="00527722">
        <w:rPr>
          <w:rFonts w:ascii="Times New Roman" w:hAnsi="Times New Roman"/>
        </w:rPr>
        <w:t xml:space="preserve"> (</w:t>
      </w:r>
      <w:r w:rsidR="00B36BA8">
        <w:rPr>
          <w:rFonts w:ascii="Times New Roman" w:hAnsi="Times New Roman"/>
        </w:rPr>
        <w:t>Hawaiian</w:t>
      </w:r>
      <w:r w:rsidR="00B36BA8" w:rsidRPr="00527722">
        <w:rPr>
          <w:rFonts w:ascii="Times New Roman" w:hAnsi="Times New Roman"/>
        </w:rPr>
        <w:t xml:space="preserve"> Flag) frequently printed reader comments condemn</w:t>
      </w:r>
      <w:r>
        <w:rPr>
          <w:rFonts w:ascii="Times New Roman" w:hAnsi="Times New Roman"/>
        </w:rPr>
        <w:t>ing</w:t>
      </w:r>
      <w:r w:rsidR="00B36BA8" w:rsidRPr="00527722">
        <w:rPr>
          <w:rFonts w:ascii="Times New Roman" w:hAnsi="Times New Roman"/>
        </w:rPr>
        <w:t xml:space="preserve"> traditional </w:t>
      </w:r>
      <w:r w:rsidR="00B36BA8">
        <w:rPr>
          <w:rFonts w:ascii="Times New Roman" w:hAnsi="Times New Roman"/>
        </w:rPr>
        <w:t>Hawaiian</w:t>
      </w:r>
      <w:r w:rsidR="00B36BA8" w:rsidRPr="00527722">
        <w:rPr>
          <w:rFonts w:ascii="Times New Roman" w:hAnsi="Times New Roman"/>
        </w:rPr>
        <w:t xml:space="preserve"> lifeways. </w:t>
      </w:r>
      <w:r w:rsidR="00C042D5">
        <w:rPr>
          <w:rFonts w:ascii="Times New Roman" w:hAnsi="Times New Roman"/>
        </w:rPr>
        <w:t xml:space="preserve">However, these same </w:t>
      </w:r>
      <w:r w:rsidRPr="00527722">
        <w:rPr>
          <w:rFonts w:ascii="Times New Roman" w:hAnsi="Times New Roman"/>
        </w:rPr>
        <w:t xml:space="preserve">reader comments </w:t>
      </w:r>
      <w:r w:rsidR="00C042D5">
        <w:rPr>
          <w:rFonts w:ascii="Times New Roman" w:hAnsi="Times New Roman"/>
        </w:rPr>
        <w:t xml:space="preserve">sometimes </w:t>
      </w:r>
      <w:r>
        <w:rPr>
          <w:rFonts w:ascii="Times New Roman" w:hAnsi="Times New Roman"/>
        </w:rPr>
        <w:t xml:space="preserve">recounted and endorsed </w:t>
      </w:r>
      <w:r w:rsidR="00B36BA8" w:rsidRPr="007A613E">
        <w:rPr>
          <w:rFonts w:ascii="Times New Roman" w:hAnsi="Times New Roman"/>
        </w:rPr>
        <w:t>resistance</w:t>
      </w:r>
      <w:r w:rsidR="00B36BA8" w:rsidRPr="00527722">
        <w:rPr>
          <w:rFonts w:ascii="Times New Roman" w:hAnsi="Times New Roman"/>
        </w:rPr>
        <w:t xml:space="preserve"> to colonization. For example, in the September 11, 1861 issue, K.W. Kawaiahao commented, “Some folk [take] bones to the crater of Pele, in order to consecrate Pele as a god for them. This is the persistent activity of some people living near Puna.”</w:t>
      </w:r>
      <w:r w:rsidR="00B36BA8" w:rsidRPr="00527722">
        <w:rPr>
          <w:rStyle w:val="FootnoteReference"/>
          <w:rFonts w:ascii="Times New Roman" w:hAnsi="Times New Roman"/>
        </w:rPr>
        <w:footnoteReference w:id="161"/>
      </w:r>
      <w:r w:rsidR="00B36BA8" w:rsidRPr="00527722">
        <w:rPr>
          <w:rFonts w:ascii="Times New Roman" w:hAnsi="Times New Roman"/>
        </w:rPr>
        <w:t xml:space="preserve"> The writer goes on to describe </w:t>
      </w:r>
      <w:r w:rsidR="00C042D5">
        <w:rPr>
          <w:rFonts w:ascii="Times New Roman" w:hAnsi="Times New Roman"/>
        </w:rPr>
        <w:t xml:space="preserve">one such </w:t>
      </w:r>
      <w:r w:rsidR="00B36BA8" w:rsidRPr="00527722">
        <w:rPr>
          <w:rFonts w:ascii="Times New Roman" w:hAnsi="Times New Roman"/>
        </w:rPr>
        <w:t>journey in some detail, and includes what sorts of offering these people bring, what route they take, the proper place within the crate</w:t>
      </w:r>
      <w:r w:rsidR="00B16805">
        <w:rPr>
          <w:rFonts w:ascii="Times New Roman" w:hAnsi="Times New Roman"/>
        </w:rPr>
        <w:t>r</w:t>
      </w:r>
      <w:r w:rsidR="00B36BA8" w:rsidRPr="00527722">
        <w:rPr>
          <w:rFonts w:ascii="Times New Roman" w:hAnsi="Times New Roman"/>
        </w:rPr>
        <w:t xml:space="preserve"> to place the offerings, and the chants they sang. Though the writer ends his missive with the lament, “shall we</w:t>
      </w:r>
      <w:r w:rsidR="00C042D5">
        <w:rPr>
          <w:rFonts w:ascii="Times New Roman" w:hAnsi="Times New Roman"/>
        </w:rPr>
        <w:t xml:space="preserve"> return to the ways of darkness</w:t>
      </w:r>
      <w:r w:rsidR="00B36BA8" w:rsidRPr="00527722">
        <w:rPr>
          <w:rFonts w:ascii="Times New Roman" w:hAnsi="Times New Roman"/>
        </w:rPr>
        <w:t>”</w:t>
      </w:r>
      <w:r w:rsidR="00C042D5">
        <w:rPr>
          <w:rFonts w:ascii="Times New Roman" w:hAnsi="Times New Roman"/>
        </w:rPr>
        <w:t>?</w:t>
      </w:r>
      <w:r w:rsidR="00B36BA8" w:rsidRPr="00527722">
        <w:rPr>
          <w:rFonts w:ascii="Times New Roman" w:hAnsi="Times New Roman"/>
        </w:rPr>
        <w:t>, he first gets across vital information to any Native person wanting to join in the</w:t>
      </w:r>
      <w:r w:rsidR="00883089">
        <w:rPr>
          <w:rFonts w:ascii="Times New Roman" w:hAnsi="Times New Roman"/>
        </w:rPr>
        <w:t xml:space="preserve"> outlawed worship of Pele.</w:t>
      </w:r>
    </w:p>
    <w:p w14:paraId="7FB8516A" w14:textId="037E877E" w:rsidR="00B36BA8" w:rsidRDefault="00B36BA8" w:rsidP="00B36BA8">
      <w:pPr>
        <w:pStyle w:val="NoSpacing"/>
        <w:spacing w:line="480" w:lineRule="auto"/>
        <w:ind w:firstLine="720"/>
        <w:rPr>
          <w:rFonts w:ascii="Times New Roman" w:hAnsi="Times New Roman"/>
        </w:rPr>
      </w:pPr>
      <w:r w:rsidRPr="00527722">
        <w:rPr>
          <w:rFonts w:ascii="Times New Roman" w:hAnsi="Times New Roman"/>
        </w:rPr>
        <w:t xml:space="preserve">More important for resistance, though, was </w:t>
      </w:r>
      <w:r w:rsidRPr="00527722">
        <w:rPr>
          <w:rFonts w:ascii="Times New Roman" w:hAnsi="Times New Roman"/>
          <w:i/>
        </w:rPr>
        <w:t>Ka Hoku o ka Pakipaki</w:t>
      </w:r>
      <w:r w:rsidRPr="00527722">
        <w:rPr>
          <w:rFonts w:ascii="Times New Roman" w:hAnsi="Times New Roman"/>
        </w:rPr>
        <w:t xml:space="preserve"> (Star of the Pacific)</w:t>
      </w:r>
      <w:r w:rsidR="00B16805">
        <w:rPr>
          <w:rFonts w:ascii="Times New Roman" w:hAnsi="Times New Roman"/>
        </w:rPr>
        <w:t>,</w:t>
      </w:r>
      <w:r w:rsidRPr="00527722">
        <w:rPr>
          <w:rFonts w:ascii="Times New Roman" w:hAnsi="Times New Roman"/>
        </w:rPr>
        <w:t xml:space="preserve"> part of a long tradition of resistance newspapers in Hawai’i.</w:t>
      </w:r>
      <w:r w:rsidRPr="00527722">
        <w:rPr>
          <w:rStyle w:val="FootnoteReference"/>
          <w:rFonts w:ascii="Times New Roman" w:hAnsi="Times New Roman"/>
        </w:rPr>
        <w:footnoteReference w:id="162"/>
      </w:r>
      <w:r w:rsidRPr="00527722">
        <w:rPr>
          <w:rFonts w:ascii="Times New Roman" w:hAnsi="Times New Roman"/>
        </w:rPr>
        <w:t xml:space="preserve"> Establish</w:t>
      </w:r>
      <w:r>
        <w:rPr>
          <w:rFonts w:ascii="Times New Roman" w:hAnsi="Times New Roman"/>
        </w:rPr>
        <w:t>ed</w:t>
      </w:r>
      <w:r w:rsidRPr="00527722">
        <w:rPr>
          <w:rFonts w:ascii="Times New Roman" w:hAnsi="Times New Roman"/>
        </w:rPr>
        <w:t xml:space="preserve"> in 1861 by David Kalākaua, future king of </w:t>
      </w:r>
      <w:r>
        <w:rPr>
          <w:rFonts w:ascii="Times New Roman" w:hAnsi="Times New Roman"/>
        </w:rPr>
        <w:t>Hawai’i</w:t>
      </w:r>
      <w:r w:rsidRPr="00527722">
        <w:rPr>
          <w:rFonts w:ascii="Times New Roman" w:hAnsi="Times New Roman"/>
        </w:rPr>
        <w:t xml:space="preserve">, </w:t>
      </w:r>
      <w:r w:rsidRPr="00527722">
        <w:rPr>
          <w:rFonts w:ascii="Times New Roman" w:hAnsi="Times New Roman"/>
          <w:i/>
        </w:rPr>
        <w:t>Ka Hoku o ka Pakipaki</w:t>
      </w:r>
      <w:r w:rsidRPr="00527722">
        <w:rPr>
          <w:rFonts w:ascii="Times New Roman" w:hAnsi="Times New Roman"/>
        </w:rPr>
        <w:t xml:space="preserve"> talked back to those in power by printing the grand epic of Hi’iakaikapoliopele, </w:t>
      </w:r>
      <w:r>
        <w:rPr>
          <w:rFonts w:ascii="Times New Roman" w:hAnsi="Times New Roman"/>
        </w:rPr>
        <w:t>th</w:t>
      </w:r>
      <w:r w:rsidRPr="00527722">
        <w:rPr>
          <w:rFonts w:ascii="Times New Roman" w:hAnsi="Times New Roman"/>
        </w:rPr>
        <w:t xml:space="preserve">e story of Pele and her youngest sister, Hi‘iaka. The publication of this important legend in </w:t>
      </w:r>
      <w:r>
        <w:rPr>
          <w:rFonts w:ascii="Times New Roman" w:hAnsi="Times New Roman"/>
        </w:rPr>
        <w:t>the Hawaiian language</w:t>
      </w:r>
      <w:r w:rsidRPr="00527722">
        <w:rPr>
          <w:rFonts w:ascii="Times New Roman" w:hAnsi="Times New Roman"/>
        </w:rPr>
        <w:t xml:space="preserve">, fifty years before Nathanial Emerson, son of American missionaries, used it as source material for his book, </w:t>
      </w:r>
      <w:r w:rsidRPr="00527722">
        <w:rPr>
          <w:rFonts w:ascii="Times New Roman" w:hAnsi="Times New Roman"/>
          <w:i/>
        </w:rPr>
        <w:t xml:space="preserve">Pele and Hiiaka: A Myth of </w:t>
      </w:r>
      <w:r>
        <w:rPr>
          <w:rFonts w:ascii="Times New Roman" w:hAnsi="Times New Roman"/>
          <w:i/>
        </w:rPr>
        <w:t>Hawai’i</w:t>
      </w:r>
      <w:r w:rsidRPr="00527722">
        <w:rPr>
          <w:rFonts w:ascii="Times New Roman" w:hAnsi="Times New Roman"/>
        </w:rPr>
        <w:t xml:space="preserve"> (1907), shows that Native </w:t>
      </w:r>
      <w:r>
        <w:rPr>
          <w:rFonts w:ascii="Times New Roman" w:hAnsi="Times New Roman"/>
        </w:rPr>
        <w:t>Hawaiian</w:t>
      </w:r>
      <w:r w:rsidRPr="00527722">
        <w:rPr>
          <w:rFonts w:ascii="Times New Roman" w:hAnsi="Times New Roman"/>
        </w:rPr>
        <w:t>s were already active in what would be labeled salvage wo</w:t>
      </w:r>
      <w:r w:rsidR="00487BC5">
        <w:rPr>
          <w:rFonts w:ascii="Times New Roman" w:hAnsi="Times New Roman"/>
        </w:rPr>
        <w:t>rk if done by or for outsiders.</w:t>
      </w:r>
    </w:p>
    <w:p w14:paraId="5D1844D8" w14:textId="12E96042" w:rsidR="00B36BA8" w:rsidRDefault="00B36BA8" w:rsidP="00B36BA8">
      <w:pPr>
        <w:pStyle w:val="NoSpacing"/>
        <w:spacing w:line="480" w:lineRule="auto"/>
        <w:ind w:firstLine="720"/>
        <w:rPr>
          <w:rFonts w:ascii="Times New Roman" w:hAnsi="Times New Roman"/>
        </w:rPr>
      </w:pPr>
      <w:r w:rsidRPr="00527722">
        <w:rPr>
          <w:rFonts w:ascii="Times New Roman" w:hAnsi="Times New Roman"/>
        </w:rPr>
        <w:t xml:space="preserve">Hula plays a large role in the story, which concerns the travels of Pele’s sister, Hi‘iaka, and the various loves and betrayal of the two sisters. </w:t>
      </w:r>
      <w:r w:rsidR="00C042D5">
        <w:rPr>
          <w:rFonts w:ascii="Times New Roman" w:hAnsi="Times New Roman"/>
        </w:rPr>
        <w:t xml:space="preserve">Ethno-historian </w:t>
      </w:r>
      <w:r w:rsidRPr="00527722">
        <w:rPr>
          <w:rFonts w:ascii="Times New Roman" w:hAnsi="Times New Roman"/>
        </w:rPr>
        <w:t>David Charlot observes, “the Pele religion is intimately connected with the hula. The episode at the shore with [Hi ‘iaka and] Hõpoe is considered in some traditions to be the origin of that dance form and the Pele story continues to be an inspiration today. [Hula] Dances can characterize the god and narrate stories. Series of dances can present extended sections of the complex or indeed the whole complex itself; that is, the whole story could be told in chant and dance with little or no prose connection.”</w:t>
      </w:r>
      <w:r w:rsidRPr="00527722">
        <w:rPr>
          <w:rStyle w:val="FootnoteReference"/>
          <w:rFonts w:ascii="Times New Roman" w:hAnsi="Times New Roman"/>
        </w:rPr>
        <w:footnoteReference w:id="163"/>
      </w:r>
      <w:r w:rsidRPr="00527722">
        <w:rPr>
          <w:rFonts w:ascii="Times New Roman" w:hAnsi="Times New Roman"/>
        </w:rPr>
        <w:t xml:space="preserve"> The resurgence of hula Pele during the reign of King Kalākaua, its performance </w:t>
      </w:r>
      <w:r w:rsidR="00C042D5">
        <w:rPr>
          <w:rFonts w:ascii="Times New Roman" w:hAnsi="Times New Roman"/>
        </w:rPr>
        <w:t>at h</w:t>
      </w:r>
      <w:r w:rsidRPr="00527722">
        <w:rPr>
          <w:rFonts w:ascii="Times New Roman" w:hAnsi="Times New Roman"/>
        </w:rPr>
        <w:t>is coronation, and the publication of the epic Pele story in the newspaper he founded, all point to an era when the meaning of Pele, and by extension her home, Kilauea, w</w:t>
      </w:r>
      <w:r w:rsidR="00C042D5">
        <w:rPr>
          <w:rFonts w:ascii="Times New Roman" w:hAnsi="Times New Roman"/>
        </w:rPr>
        <w:t>as</w:t>
      </w:r>
      <w:r w:rsidRPr="00527722">
        <w:rPr>
          <w:rFonts w:ascii="Times New Roman" w:hAnsi="Times New Roman"/>
        </w:rPr>
        <w:t xml:space="preserve"> being fiercely contested by Native </w:t>
      </w:r>
      <w:r>
        <w:rPr>
          <w:rFonts w:ascii="Times New Roman" w:hAnsi="Times New Roman"/>
        </w:rPr>
        <w:t>Hawaiian</w:t>
      </w:r>
      <w:r w:rsidR="00591681">
        <w:rPr>
          <w:rFonts w:ascii="Times New Roman" w:hAnsi="Times New Roman"/>
        </w:rPr>
        <w:t>s.</w:t>
      </w:r>
    </w:p>
    <w:p w14:paraId="07160916" w14:textId="0470CCAE" w:rsidR="00B36BA8" w:rsidRDefault="00B36BA8" w:rsidP="00B36BA8">
      <w:pPr>
        <w:pStyle w:val="NoSpacing"/>
        <w:spacing w:line="480" w:lineRule="auto"/>
        <w:ind w:firstLine="720"/>
        <w:rPr>
          <w:rFonts w:ascii="Times New Roman" w:hAnsi="Times New Roman"/>
        </w:rPr>
      </w:pPr>
      <w:r w:rsidRPr="00527722">
        <w:rPr>
          <w:rFonts w:ascii="Times New Roman" w:hAnsi="Times New Roman"/>
          <w:color w:val="000000"/>
          <w:lang w:bidi="ar-SA"/>
        </w:rPr>
        <w:t xml:space="preserve">Native </w:t>
      </w:r>
      <w:r>
        <w:rPr>
          <w:rFonts w:ascii="Times New Roman" w:hAnsi="Times New Roman"/>
          <w:color w:val="000000"/>
          <w:lang w:bidi="ar-SA"/>
        </w:rPr>
        <w:t>Hawaiian</w:t>
      </w:r>
      <w:r w:rsidRPr="00527722">
        <w:rPr>
          <w:rFonts w:ascii="Times New Roman" w:hAnsi="Times New Roman"/>
          <w:color w:val="000000"/>
          <w:lang w:bidi="ar-SA"/>
        </w:rPr>
        <w:t xml:space="preserve"> also resisted the colonial narrative, albeit in a more nuanced and subtle way, by acting as Pele’s gatekeeper. </w:t>
      </w:r>
      <w:r w:rsidRPr="00527722">
        <w:rPr>
          <w:rFonts w:ascii="Times New Roman" w:hAnsi="Times New Roman"/>
        </w:rPr>
        <w:t>The thousands of tourists hiking through the volcano supplied an ever increasing</w:t>
      </w:r>
      <w:r w:rsidR="00C042D5">
        <w:rPr>
          <w:rFonts w:ascii="Times New Roman" w:hAnsi="Times New Roman"/>
        </w:rPr>
        <w:t xml:space="preserve"> demanded for </w:t>
      </w:r>
      <w:r w:rsidRPr="00527722">
        <w:rPr>
          <w:rFonts w:ascii="Times New Roman" w:hAnsi="Times New Roman"/>
        </w:rPr>
        <w:t>native guides. One traveler, tongue in cheek, wrote “</w:t>
      </w:r>
      <w:r w:rsidRPr="00527722">
        <w:rPr>
          <w:rFonts w:ascii="Times New Roman" w:hAnsi="Times New Roman"/>
          <w:color w:val="000000"/>
        </w:rPr>
        <w:t>Notice. Parties attempting to visit the Lakes without a guide, will be supplied with the necessary articles on short notice, for a decent funeral, and certificate granted for the Life Insurance Co.'s.”</w:t>
      </w:r>
      <w:r w:rsidRPr="00527722">
        <w:rPr>
          <w:rStyle w:val="FootnoteReference"/>
          <w:rFonts w:ascii="Times New Roman" w:hAnsi="Times New Roman"/>
          <w:color w:val="000000"/>
        </w:rPr>
        <w:footnoteReference w:id="164"/>
      </w:r>
      <w:r w:rsidRPr="00527722">
        <w:rPr>
          <w:rFonts w:ascii="Times New Roman" w:hAnsi="Times New Roman"/>
          <w:color w:val="000000"/>
        </w:rPr>
        <w:t xml:space="preserve"> </w:t>
      </w:r>
      <w:r w:rsidRPr="00527722">
        <w:rPr>
          <w:rFonts w:ascii="Times New Roman" w:hAnsi="Times New Roman"/>
        </w:rPr>
        <w:t xml:space="preserve">Most tourists headed for the volcano stayed at the Volcano House and secured a guide </w:t>
      </w:r>
      <w:r w:rsidR="00C042D5">
        <w:rPr>
          <w:rFonts w:ascii="Times New Roman" w:hAnsi="Times New Roman"/>
        </w:rPr>
        <w:t xml:space="preserve">in the employ of the hotel </w:t>
      </w:r>
      <w:r w:rsidRPr="00527722">
        <w:rPr>
          <w:rFonts w:ascii="Times New Roman" w:hAnsi="Times New Roman"/>
        </w:rPr>
        <w:t>to lead them to the base of the caldera</w:t>
      </w:r>
      <w:r w:rsidR="00C042D5">
        <w:rPr>
          <w:rFonts w:ascii="Times New Roman" w:hAnsi="Times New Roman"/>
        </w:rPr>
        <w:t>.</w:t>
      </w:r>
      <w:r>
        <w:rPr>
          <w:rFonts w:ascii="Times New Roman" w:hAnsi="Times New Roman"/>
        </w:rPr>
        <w:t xml:space="preserve"> As early as 1840, native guides and porters were crucia</w:t>
      </w:r>
      <w:r w:rsidR="00C042D5">
        <w:rPr>
          <w:rFonts w:ascii="Times New Roman" w:hAnsi="Times New Roman"/>
        </w:rPr>
        <w:t xml:space="preserve">l to Titian Ramsay Peal reaching </w:t>
      </w:r>
      <w:r>
        <w:rPr>
          <w:rFonts w:ascii="Times New Roman" w:hAnsi="Times New Roman"/>
        </w:rPr>
        <w:t xml:space="preserve">Kilauea. </w:t>
      </w:r>
      <w:r>
        <w:rPr>
          <w:rFonts w:ascii="Times New Roman" w:hAnsi="Times New Roman"/>
          <w:color w:val="000000"/>
          <w:lang w:bidi="ar-SA"/>
        </w:rPr>
        <w:t>I</w:t>
      </w:r>
      <w:r w:rsidRPr="00527722">
        <w:rPr>
          <w:rFonts w:ascii="Times New Roman" w:hAnsi="Times New Roman"/>
        </w:rPr>
        <w:t xml:space="preserve">n </w:t>
      </w:r>
      <w:r w:rsidRPr="00527722">
        <w:rPr>
          <w:rFonts w:ascii="Times New Roman" w:hAnsi="Times New Roman"/>
          <w:i/>
        </w:rPr>
        <w:t xml:space="preserve">Kilauea </w:t>
      </w:r>
      <w:r w:rsidR="00B16805">
        <w:rPr>
          <w:rFonts w:ascii="Times New Roman" w:hAnsi="Times New Roman"/>
          <w:i/>
        </w:rPr>
        <w:t>y Day</w:t>
      </w:r>
      <w:r w:rsidR="00B16805">
        <w:rPr>
          <w:rFonts w:ascii="Times New Roman" w:hAnsi="Times New Roman"/>
        </w:rPr>
        <w:t xml:space="preserve">, </w:t>
      </w:r>
      <w:r>
        <w:rPr>
          <w:rFonts w:ascii="Times New Roman" w:hAnsi="Times New Roman"/>
        </w:rPr>
        <w:t>t</w:t>
      </w:r>
      <w:r w:rsidRPr="00527722">
        <w:rPr>
          <w:rFonts w:ascii="Times New Roman" w:hAnsi="Times New Roman"/>
        </w:rPr>
        <w:t>he three figures in Peale’s group, outfitted in military dress and carry the accoutrements of scientific discovery / military conquest</w:t>
      </w:r>
      <w:r>
        <w:rPr>
          <w:rFonts w:ascii="Times New Roman" w:hAnsi="Times New Roman"/>
        </w:rPr>
        <w:t xml:space="preserve"> are led by and depend on </w:t>
      </w:r>
      <w:r w:rsidRPr="00527722">
        <w:rPr>
          <w:rFonts w:ascii="Times New Roman" w:hAnsi="Times New Roman"/>
        </w:rPr>
        <w:t>Native porters</w:t>
      </w:r>
      <w:r w:rsidR="003E0F74">
        <w:rPr>
          <w:rFonts w:ascii="Times New Roman" w:hAnsi="Times New Roman"/>
        </w:rPr>
        <w:t xml:space="preserve"> </w:t>
      </w:r>
      <w:r w:rsidR="00C042D5">
        <w:rPr>
          <w:rFonts w:ascii="Times New Roman" w:hAnsi="Times New Roman"/>
        </w:rPr>
        <w:t>who carry</w:t>
      </w:r>
      <w:r>
        <w:rPr>
          <w:rFonts w:ascii="Times New Roman" w:hAnsi="Times New Roman"/>
        </w:rPr>
        <w:t xml:space="preserve"> supplies in net-covered calabashes balanced on either end of a burden stick</w:t>
      </w:r>
      <w:r w:rsidR="00C042D5">
        <w:rPr>
          <w:rFonts w:ascii="Times New Roman" w:hAnsi="Times New Roman"/>
        </w:rPr>
        <w:t xml:space="preserve"> </w:t>
      </w:r>
      <w:r w:rsidR="00C042D5" w:rsidRPr="00677848">
        <w:rPr>
          <w:rFonts w:ascii="Times New Roman" w:hAnsi="Times New Roman"/>
        </w:rPr>
        <w:t>(fig. 3.14)</w:t>
      </w:r>
      <w:r>
        <w:rPr>
          <w:rFonts w:ascii="Times New Roman" w:hAnsi="Times New Roman"/>
        </w:rPr>
        <w:t>. Despite their importance, they are un</w:t>
      </w:r>
      <w:r w:rsidR="009F0992">
        <w:rPr>
          <w:rFonts w:ascii="Times New Roman" w:hAnsi="Times New Roman"/>
        </w:rPr>
        <w:t>differentiated and anonymous</w:t>
      </w:r>
      <w:r w:rsidR="00B16805">
        <w:rPr>
          <w:rFonts w:ascii="Times New Roman" w:hAnsi="Times New Roman"/>
        </w:rPr>
        <w:t xml:space="preserve"> (fig. 3.15)</w:t>
      </w:r>
      <w:r w:rsidR="009F0992">
        <w:rPr>
          <w:rFonts w:ascii="Times New Roman" w:hAnsi="Times New Roman"/>
        </w:rPr>
        <w:t>.</w:t>
      </w:r>
    </w:p>
    <w:p w14:paraId="2D48A77C" w14:textId="11E9D13E" w:rsidR="008B5253" w:rsidRDefault="00C042D5" w:rsidP="00B36BA8">
      <w:pPr>
        <w:pStyle w:val="NoSpacing"/>
        <w:spacing w:line="480" w:lineRule="auto"/>
        <w:ind w:firstLine="720"/>
        <w:rPr>
          <w:rFonts w:ascii="Times New Roman" w:hAnsi="Times New Roman"/>
        </w:rPr>
      </w:pPr>
      <w:r>
        <w:rPr>
          <w:rFonts w:ascii="Times New Roman" w:hAnsi="Times New Roman"/>
        </w:rPr>
        <w:t>By the 1880s, some of the guide</w:t>
      </w:r>
      <w:r w:rsidR="00B36BA8">
        <w:rPr>
          <w:rFonts w:ascii="Times New Roman" w:hAnsi="Times New Roman"/>
        </w:rPr>
        <w:t xml:space="preserve">s </w:t>
      </w:r>
      <w:r>
        <w:rPr>
          <w:rFonts w:ascii="Times New Roman" w:hAnsi="Times New Roman"/>
        </w:rPr>
        <w:t xml:space="preserve">had reputations and were known by name. </w:t>
      </w:r>
      <w:r w:rsidR="00B36BA8" w:rsidRPr="00527722">
        <w:rPr>
          <w:rFonts w:ascii="Times New Roman" w:hAnsi="Times New Roman"/>
        </w:rPr>
        <w:t xml:space="preserve">One such guide, Alexander Lancaster, who was employed by the Volcano House from 1885-1924, </w:t>
      </w:r>
      <w:r>
        <w:rPr>
          <w:rFonts w:ascii="Times New Roman" w:hAnsi="Times New Roman"/>
        </w:rPr>
        <w:t xml:space="preserve">appears </w:t>
      </w:r>
      <w:r w:rsidR="00B36BA8" w:rsidRPr="00527722">
        <w:rPr>
          <w:rFonts w:ascii="Times New Roman" w:hAnsi="Times New Roman"/>
        </w:rPr>
        <w:t xml:space="preserve">in a photograph from </w:t>
      </w:r>
      <w:r w:rsidR="00B36BA8" w:rsidRPr="00AA11D8">
        <w:t>1912</w:t>
      </w:r>
      <w:r w:rsidR="003E0F74" w:rsidRPr="00AA11D8">
        <w:t xml:space="preserve"> (</w:t>
      </w:r>
      <w:r w:rsidR="00B16805">
        <w:t>fig. 3.16</w:t>
      </w:r>
      <w:r w:rsidR="003E0F74" w:rsidRPr="00AA11D8">
        <w:t>)</w:t>
      </w:r>
      <w:r w:rsidR="00B36BA8" w:rsidRPr="00AA11D8">
        <w:t xml:space="preserve">. </w:t>
      </w:r>
      <w:r w:rsidR="008B5253" w:rsidRPr="00AA11D8">
        <w:t>Lancaster’s service to the volcano made him something of a local celeb</w:t>
      </w:r>
      <w:r w:rsidR="00487BC5">
        <w:rPr>
          <w:rFonts w:ascii="Times New Roman" w:hAnsi="Times New Roman"/>
        </w:rPr>
        <w:t>rity:</w:t>
      </w:r>
    </w:p>
    <w:p w14:paraId="0FD18749" w14:textId="4CDEFFD9" w:rsidR="008B5253" w:rsidRPr="008B5253" w:rsidRDefault="008B5253" w:rsidP="008B5253">
      <w:pPr>
        <w:pStyle w:val="BlockQuotation"/>
      </w:pPr>
      <w:r w:rsidRPr="008B5253">
        <w:t>Alec Lancaster, the well-known guide at the crater, has made a trail to a ledge of pahoehoe, a distance of 200-feet from the brink, and takes down to that point those visitors who desire to make a closer inspection than can be made at the edge. So far not many have shown a willingness to accept Alec’s invitation.</w:t>
      </w:r>
      <w:r>
        <w:rPr>
          <w:rStyle w:val="FootnoteReference"/>
        </w:rPr>
        <w:footnoteReference w:id="165"/>
      </w:r>
    </w:p>
    <w:p w14:paraId="0FA0285A" w14:textId="70E98D1D" w:rsidR="00812073" w:rsidRPr="00605E98" w:rsidRDefault="008B5253" w:rsidP="00AA11D8">
      <w:r w:rsidRPr="00AA11D8">
        <w:t xml:space="preserve">In the photograph, Lancaster </w:t>
      </w:r>
      <w:r w:rsidR="00B36BA8" w:rsidRPr="00AA11D8">
        <w:t>is outfitted with a lantern, a canteen, thick boots, straw ha</w:t>
      </w:r>
      <w:r w:rsidR="00B36BA8" w:rsidRPr="00527722">
        <w:t>t, and walking stick</w:t>
      </w:r>
      <w:r w:rsidR="00605E98">
        <w:t xml:space="preserve">, all </w:t>
      </w:r>
      <w:r w:rsidR="00B36BA8" w:rsidRPr="00527722">
        <w:t xml:space="preserve">important tools which helped him guide tourists through </w:t>
      </w:r>
      <w:r w:rsidR="00605E98">
        <w:t xml:space="preserve">the </w:t>
      </w:r>
      <w:r w:rsidR="00B36BA8" w:rsidRPr="00527722">
        <w:t xml:space="preserve">fantastic, sometimes dangerous </w:t>
      </w:r>
      <w:r w:rsidR="00605E98">
        <w:t xml:space="preserve">volcanic </w:t>
      </w:r>
      <w:r w:rsidR="00B36BA8" w:rsidRPr="00527722">
        <w:t xml:space="preserve">landscape. If non-Native tourists serve </w:t>
      </w:r>
      <w:r w:rsidR="00C042D5">
        <w:t xml:space="preserve">in such images </w:t>
      </w:r>
      <w:r w:rsidR="00B36BA8" w:rsidRPr="00527722">
        <w:t xml:space="preserve">as a manifestation of Western cultural and political hegemony over </w:t>
      </w:r>
      <w:r w:rsidR="00B36BA8">
        <w:t>Hawai’i</w:t>
      </w:r>
      <w:r w:rsidR="00B36BA8" w:rsidRPr="00527722">
        <w:t xml:space="preserve">, the native guide serves as </w:t>
      </w:r>
      <w:r w:rsidR="00C042D5">
        <w:t xml:space="preserve">their </w:t>
      </w:r>
      <w:r w:rsidR="00B36BA8" w:rsidRPr="00527722">
        <w:t>ever-present guardian</w:t>
      </w:r>
      <w:r w:rsidR="00C042D5">
        <w:t>s</w:t>
      </w:r>
      <w:r w:rsidR="00B36BA8" w:rsidRPr="00527722">
        <w:t xml:space="preserve">. Forced to </w:t>
      </w:r>
      <w:r w:rsidR="00605E98">
        <w:t xml:space="preserve">survive in a </w:t>
      </w:r>
      <w:r w:rsidR="00B36BA8" w:rsidRPr="00527722">
        <w:t>cash</w:t>
      </w:r>
      <w:r w:rsidR="00605E98">
        <w:t>-based economic</w:t>
      </w:r>
      <w:r w:rsidR="00B36BA8" w:rsidRPr="00527722">
        <w:t xml:space="preserve"> system, native guide attempted to control what they could – access into, and in</w:t>
      </w:r>
      <w:r w:rsidR="00B36BA8" w:rsidRPr="00605E98">
        <w:t>terpretation of, a sacred place.</w:t>
      </w:r>
      <w:r w:rsidRPr="00605E98">
        <w:rPr>
          <w:rStyle w:val="FootnoteReference"/>
          <w:rFonts w:ascii="Times New Roman" w:hAnsi="Times New Roman"/>
        </w:rPr>
        <w:footnoteReference w:id="166"/>
      </w:r>
    </w:p>
    <w:p w14:paraId="3DD01962" w14:textId="6AC96491" w:rsidR="00AA11D8" w:rsidRDefault="00812073" w:rsidP="00AA11D8">
      <w:pPr>
        <w:ind w:firstLine="720"/>
      </w:pPr>
      <w:r w:rsidRPr="00605E98">
        <w:rPr>
          <w:rFonts w:asciiTheme="majorHAnsi" w:hAnsiTheme="majorHAnsi" w:cstheme="majorHAnsi"/>
        </w:rPr>
        <w:t xml:space="preserve">Lancaster, in fact, was </w:t>
      </w:r>
      <w:r w:rsidR="00C042D5">
        <w:rPr>
          <w:rFonts w:asciiTheme="majorHAnsi" w:hAnsiTheme="majorHAnsi" w:cstheme="majorHAnsi"/>
        </w:rPr>
        <w:t xml:space="preserve">widely </w:t>
      </w:r>
      <w:r w:rsidRPr="00605E98">
        <w:rPr>
          <w:rFonts w:asciiTheme="majorHAnsi" w:hAnsiTheme="majorHAnsi" w:cstheme="majorHAnsi"/>
        </w:rPr>
        <w:t xml:space="preserve">known to be a believer in Pele. One time, Lancaster, along with George Lycurgus, the </w:t>
      </w:r>
      <w:r w:rsidRPr="00605E98">
        <w:t xml:space="preserve">former owner of Volcano House, walked </w:t>
      </w:r>
      <w:r w:rsidR="00AA11D8" w:rsidRPr="00605E98">
        <w:t>to the crater of</w:t>
      </w:r>
      <w:r w:rsidR="00AA11D8">
        <w:t xml:space="preserve"> Kilauea</w:t>
      </w:r>
    </w:p>
    <w:p w14:paraId="63C3C372" w14:textId="01E63A7F" w:rsidR="00812073" w:rsidRPr="00CA0D59" w:rsidRDefault="00812073" w:rsidP="00AA11D8">
      <w:pPr>
        <w:pStyle w:val="BlockQuotation"/>
      </w:pPr>
      <w:r w:rsidRPr="00CA0D59">
        <w:t>and invoked some prayers to the volcano goddess. Following that, they tossed into the fire pit an Ohelo berry lei made by Lancaster</w:t>
      </w:r>
      <w:r>
        <w:t xml:space="preserve">. </w:t>
      </w:r>
      <w:r w:rsidRPr="00CA0D59">
        <w:t xml:space="preserve">As a final gesture, Lycurgus tossed in a bottle of gin which had been partially drained by him and Lancaster on the walk to the pit. More prayers followed and the two of them returned to the Volcano House for the night. Within hours after the men went to bed, the </w:t>
      </w:r>
      <w:r>
        <w:t>volcano began erupting.</w:t>
      </w:r>
      <w:r>
        <w:rPr>
          <w:rStyle w:val="FootnoteReference"/>
        </w:rPr>
        <w:footnoteReference w:id="167"/>
      </w:r>
    </w:p>
    <w:p w14:paraId="59113FEA" w14:textId="51D68DF6" w:rsidR="00B36BA8" w:rsidRPr="00527722" w:rsidRDefault="00B36BA8" w:rsidP="00AA11D8">
      <w:pPr>
        <w:ind w:firstLine="720"/>
      </w:pPr>
      <w:r w:rsidRPr="00812073">
        <w:rPr>
          <w:rFonts w:asciiTheme="majorHAnsi" w:hAnsiTheme="majorHAnsi" w:cstheme="majorHAnsi"/>
        </w:rPr>
        <w:t xml:space="preserve">Native guides </w:t>
      </w:r>
      <w:r w:rsidR="00AA11D8">
        <w:rPr>
          <w:rFonts w:asciiTheme="majorHAnsi" w:hAnsiTheme="majorHAnsi" w:cstheme="majorHAnsi"/>
        </w:rPr>
        <w:t xml:space="preserve">like Lancaster </w:t>
      </w:r>
      <w:r w:rsidRPr="00812073">
        <w:rPr>
          <w:rFonts w:asciiTheme="majorHAnsi" w:hAnsiTheme="majorHAnsi" w:cstheme="majorHAnsi"/>
        </w:rPr>
        <w:t>also make a sustained appearance in the guest books from the Volcano</w:t>
      </w:r>
      <w:r w:rsidRPr="00527722">
        <w:t xml:space="preserve"> House. Theses book, started in 1865 and kept through at least 1891, were used by guests to record volcanic activity.</w:t>
      </w:r>
      <w:r w:rsidRPr="00527722">
        <w:rPr>
          <w:rStyle w:val="FootnoteReference"/>
          <w:rFonts w:ascii="Times New Roman" w:hAnsi="Times New Roman"/>
        </w:rPr>
        <w:footnoteReference w:id="168"/>
      </w:r>
      <w:r w:rsidRPr="00527722">
        <w:t xml:space="preserve"> </w:t>
      </w:r>
      <w:r w:rsidR="00653142">
        <w:t>They</w:t>
      </w:r>
      <w:r w:rsidRPr="00527722">
        <w:t xml:space="preserve"> </w:t>
      </w:r>
      <w:r>
        <w:t xml:space="preserve">frequently </w:t>
      </w:r>
      <w:r w:rsidRPr="00527722">
        <w:t>describe</w:t>
      </w:r>
      <w:r>
        <w:t>d</w:t>
      </w:r>
      <w:r w:rsidRPr="00527722">
        <w:t xml:space="preserve"> their confrontation</w:t>
      </w:r>
      <w:r w:rsidR="00653142">
        <w:t>s</w:t>
      </w:r>
      <w:r w:rsidRPr="00527722">
        <w:t xml:space="preserve"> with the volcano</w:t>
      </w:r>
      <w:r w:rsidR="00653142">
        <w:t>,</w:t>
      </w:r>
      <w:r>
        <w:t xml:space="preserve"> c</w:t>
      </w:r>
      <w:r w:rsidRPr="00527722">
        <w:t>hanges in the size and height of the crater, or in the type or volume of volcanic material, or sudden differences in volcanic activity</w:t>
      </w:r>
      <w:r w:rsidR="00653142">
        <w:t xml:space="preserve">. </w:t>
      </w:r>
      <w:r w:rsidRPr="00527722">
        <w:t xml:space="preserve">For tourists, </w:t>
      </w:r>
      <w:r w:rsidR="00653142">
        <w:t xml:space="preserve">it </w:t>
      </w:r>
      <w:r w:rsidRPr="00527722">
        <w:t>was a strange, exotic, and ever-changing landscape that offered the opportunity to describe det</w:t>
      </w:r>
      <w:r w:rsidR="00487BC5">
        <w:t>ails in vivid, visual language.</w:t>
      </w:r>
    </w:p>
    <w:p w14:paraId="55C4957A" w14:textId="05B5E1BB" w:rsidR="00605E98" w:rsidRDefault="00B36BA8" w:rsidP="00605E98">
      <w:pPr>
        <w:pStyle w:val="NoSpacing"/>
        <w:spacing w:line="480" w:lineRule="auto"/>
        <w:ind w:firstLine="720"/>
        <w:rPr>
          <w:rFonts w:ascii="Times New Roman" w:hAnsi="Times New Roman"/>
        </w:rPr>
      </w:pPr>
      <w:r>
        <w:rPr>
          <w:rFonts w:ascii="Times New Roman" w:hAnsi="Times New Roman"/>
        </w:rPr>
        <w:t>Many</w:t>
      </w:r>
      <w:r w:rsidRPr="00527722">
        <w:rPr>
          <w:rFonts w:ascii="Times New Roman" w:hAnsi="Times New Roman"/>
        </w:rPr>
        <w:t xml:space="preserve"> guides take life in </w:t>
      </w:r>
      <w:r w:rsidR="00653142">
        <w:rPr>
          <w:rFonts w:ascii="Times New Roman" w:hAnsi="Times New Roman"/>
        </w:rPr>
        <w:t xml:space="preserve">these </w:t>
      </w:r>
      <w:r w:rsidRPr="00527722">
        <w:rPr>
          <w:rFonts w:ascii="Times New Roman" w:hAnsi="Times New Roman"/>
        </w:rPr>
        <w:t xml:space="preserve">passages. In the 1880s, tourists typically secured one or more native guides and porters at their port of entry, typically Hilo, to get them to the Volcano House. Some specialized in the Hilo-to-Volcano trip, while others continued with their groups onto the crater’s floor. </w:t>
      </w:r>
      <w:r w:rsidR="00653142">
        <w:rPr>
          <w:rFonts w:ascii="Times New Roman" w:hAnsi="Times New Roman"/>
        </w:rPr>
        <w:t>A</w:t>
      </w:r>
      <w:r w:rsidRPr="00527722">
        <w:rPr>
          <w:rFonts w:ascii="Times New Roman" w:hAnsi="Times New Roman"/>
        </w:rPr>
        <w:t>t the hotel, guests had several experienced guides to choose from. Of the several hundred entries left at the Volcano House from the early 1870s through the early 1890s, 67 specifically mention native guides. Of these, 32 name a specific guide, some of them in multiple entries, accounting for 23 total</w:t>
      </w:r>
      <w:r w:rsidR="009F0992">
        <w:rPr>
          <w:rFonts w:ascii="Times New Roman" w:hAnsi="Times New Roman"/>
        </w:rPr>
        <w:t xml:space="preserve"> guides named.</w:t>
      </w:r>
    </w:p>
    <w:p w14:paraId="0C01B3DC" w14:textId="093950B6" w:rsidR="00605E98" w:rsidRPr="00653142" w:rsidRDefault="00653142" w:rsidP="00653142">
      <w:pPr>
        <w:pStyle w:val="NoSpacing"/>
        <w:spacing w:line="480" w:lineRule="auto"/>
        <w:ind w:firstLine="720"/>
      </w:pPr>
      <w:r>
        <w:t xml:space="preserve">Guests </w:t>
      </w:r>
      <w:r w:rsidR="00B36BA8" w:rsidRPr="00527722">
        <w:t xml:space="preserve">almost universally celebrate the guides, </w:t>
      </w:r>
      <w:r w:rsidR="00B36BA8">
        <w:t xml:space="preserve">thank them for keeping them safe, and </w:t>
      </w:r>
      <w:r w:rsidR="00B36BA8" w:rsidRPr="00527722">
        <w:t xml:space="preserve">give them credit for knowledge of the terrain and various geological phenomena. Yet sometimes, the knowledge of the guides is </w:t>
      </w:r>
      <w:r>
        <w:t xml:space="preserve">described </w:t>
      </w:r>
      <w:r w:rsidR="00605E98">
        <w:t>as spiritual rather than scientific</w:t>
      </w:r>
      <w:r>
        <w:t>. R</w:t>
      </w:r>
      <w:r w:rsidR="00B36BA8" w:rsidRPr="00527722">
        <w:t>epeating stories attribut</w:t>
      </w:r>
      <w:r>
        <w:t>ing</w:t>
      </w:r>
      <w:r w:rsidR="00B36BA8" w:rsidRPr="00527722">
        <w:t xml:space="preserve"> supernatural phenomena to Pele, authors sometimes attribute these </w:t>
      </w:r>
      <w:r>
        <w:t xml:space="preserve">accounts </w:t>
      </w:r>
      <w:r w:rsidR="00B36BA8" w:rsidRPr="00527722">
        <w:t>explicitly to guides</w:t>
      </w:r>
      <w:r>
        <w:t xml:space="preserve">. At other times, </w:t>
      </w:r>
      <w:r w:rsidR="00B36BA8" w:rsidRPr="00527722">
        <w:t xml:space="preserve">they </w:t>
      </w:r>
      <w:r w:rsidR="003941EB">
        <w:t>repres</w:t>
      </w:r>
      <w:r>
        <w:t xml:space="preserve">ent a more generalized understanding, </w:t>
      </w:r>
      <w:r w:rsidR="00B36BA8" w:rsidRPr="00527722">
        <w:t>the received wisdom of the tourist zone. A February 24, 1873, entry by Lie</w:t>
      </w:r>
      <w:r w:rsidR="00591681">
        <w:t>utenant A.B. Carter is typical:</w:t>
      </w:r>
    </w:p>
    <w:p w14:paraId="121B11AA" w14:textId="6D2C5C66" w:rsidR="00605E98" w:rsidRDefault="00B36BA8" w:rsidP="00605E98">
      <w:pPr>
        <w:pStyle w:val="BlockQuotation"/>
      </w:pPr>
      <w:r w:rsidRPr="00527722">
        <w:t>This arrival [at the Volcano House] was mainly due to Joe Puni, our guide</w:t>
      </w:r>
      <w:r w:rsidR="00605E98">
        <w:t xml:space="preserve"> and a very good guide he is. </w:t>
      </w:r>
      <w:r w:rsidRPr="00527722">
        <w:t>We would advise anyone having him as guide to make him go to the crater as he is an excellent hand carrying specimens of lava etc., and as he is a pretty heavy man, he makes an excellent leader over doubtful pl</w:t>
      </w:r>
      <w:r w:rsidR="00605E98">
        <w:t>aces. (This is a puff for Joe.)</w:t>
      </w:r>
      <w:r w:rsidRPr="00527722">
        <w:rPr>
          <w:rStyle w:val="FootnoteReference"/>
          <w:rFonts w:ascii="Times New Roman" w:hAnsi="Times New Roman"/>
          <w:color w:val="000000"/>
        </w:rPr>
        <w:footnoteReference w:id="169"/>
      </w:r>
      <w:r w:rsidRPr="00527722">
        <w:t xml:space="preserve"> </w:t>
      </w:r>
    </w:p>
    <w:p w14:paraId="45F3F1C2" w14:textId="18FB54A9" w:rsidR="00B36BA8" w:rsidRPr="00527722" w:rsidRDefault="00B36BA8" w:rsidP="00605E98">
      <w:pPr>
        <w:pStyle w:val="NoSpacing"/>
        <w:spacing w:line="480" w:lineRule="auto"/>
        <w:rPr>
          <w:rFonts w:ascii="Times New Roman" w:hAnsi="Times New Roman"/>
          <w:color w:val="000000"/>
        </w:rPr>
      </w:pPr>
      <w:r w:rsidRPr="00527722">
        <w:rPr>
          <w:rFonts w:ascii="Times New Roman" w:hAnsi="Times New Roman"/>
          <w:color w:val="000000"/>
        </w:rPr>
        <w:t xml:space="preserve">Beyond the standard duties of guiding his group safely over </w:t>
      </w:r>
      <w:r w:rsidR="00653142">
        <w:rPr>
          <w:rFonts w:ascii="Times New Roman" w:hAnsi="Times New Roman"/>
          <w:color w:val="000000"/>
        </w:rPr>
        <w:t xml:space="preserve">challenging </w:t>
      </w:r>
      <w:r w:rsidRPr="00527722">
        <w:rPr>
          <w:rFonts w:ascii="Times New Roman" w:hAnsi="Times New Roman"/>
          <w:color w:val="000000"/>
        </w:rPr>
        <w:t>ground and collecting lava samples, Joe Puni also professed hi</w:t>
      </w:r>
      <w:r w:rsidR="009F0992">
        <w:rPr>
          <w:rFonts w:ascii="Times New Roman" w:hAnsi="Times New Roman"/>
          <w:color w:val="000000"/>
        </w:rPr>
        <w:t>s belief in Pele:</w:t>
      </w:r>
    </w:p>
    <w:p w14:paraId="3A8E841B" w14:textId="77777777" w:rsidR="00B36BA8" w:rsidRPr="00527722" w:rsidRDefault="00B36BA8" w:rsidP="00E17F89">
      <w:pPr>
        <w:pStyle w:val="NoSpacing"/>
        <w:ind w:left="720"/>
      </w:pPr>
      <w:r w:rsidRPr="00527722">
        <w:t>Found old Pele rather active during the day, and this evening the old girl is illuminating grandly, but she is not doing her best and as the natives tell us on undoubted authority will not do it again until this present king dies and another is elected. Joe is good Christian, but he believes in that freak of Miss Pele implicitly, giving the reason that it always has been so, even at the recent election of Lunalilo and strange to say argument couldn't convince him against what he has seen.</w:t>
      </w:r>
    </w:p>
    <w:p w14:paraId="1F4D2ABB" w14:textId="77777777" w:rsidR="00B36BA8" w:rsidRPr="00527722" w:rsidRDefault="00B36BA8" w:rsidP="00B36BA8">
      <w:pPr>
        <w:autoSpaceDE w:val="0"/>
        <w:adjustRightInd w:val="0"/>
        <w:ind w:firstLine="720"/>
        <w:rPr>
          <w:color w:val="000000"/>
        </w:rPr>
      </w:pPr>
    </w:p>
    <w:p w14:paraId="6E6CFF61" w14:textId="4B6BBA78" w:rsidR="00B36BA8" w:rsidRDefault="00B36BA8" w:rsidP="00B36BA8">
      <w:pPr>
        <w:pStyle w:val="NoSpacing"/>
        <w:spacing w:line="480" w:lineRule="auto"/>
        <w:ind w:firstLine="720"/>
        <w:rPr>
          <w:rFonts w:ascii="Times New Roman" w:hAnsi="Times New Roman"/>
          <w:color w:val="000000"/>
        </w:rPr>
      </w:pPr>
      <w:r w:rsidRPr="00527722">
        <w:rPr>
          <w:rFonts w:ascii="Times New Roman" w:hAnsi="Times New Roman"/>
          <w:color w:val="000000"/>
        </w:rPr>
        <w:t>Though a good Christian, Joe believed in, and promote</w:t>
      </w:r>
      <w:r>
        <w:rPr>
          <w:rFonts w:ascii="Times New Roman" w:hAnsi="Times New Roman"/>
          <w:color w:val="000000"/>
        </w:rPr>
        <w:t>d</w:t>
      </w:r>
      <w:r w:rsidRPr="00527722">
        <w:rPr>
          <w:rFonts w:ascii="Times New Roman" w:hAnsi="Times New Roman"/>
          <w:color w:val="000000"/>
        </w:rPr>
        <w:t xml:space="preserve"> to Western travelers, the idea that Pele interceded in the politics of modern day Hawai’i – in this case, the election of King Lunalilo in 1873, the first popularly-elected King. Like Pue</w:t>
      </w:r>
      <w:r w:rsidR="001246B1">
        <w:rPr>
          <w:rFonts w:ascii="Times New Roman" w:hAnsi="Times New Roman"/>
          <w:color w:val="000000"/>
        </w:rPr>
        <w:t xml:space="preserve">blo people of the Southwest who </w:t>
      </w:r>
      <w:r w:rsidRPr="00527722">
        <w:rPr>
          <w:rFonts w:ascii="Times New Roman" w:hAnsi="Times New Roman"/>
          <w:color w:val="000000"/>
        </w:rPr>
        <w:t xml:space="preserve">long incorporated Christian and Native beliefs in a syncretic hybrid, this guide believed both in the Christian faith and in the </w:t>
      </w:r>
      <w:r w:rsidRPr="00527722">
        <w:rPr>
          <w:rFonts w:ascii="Times New Roman" w:hAnsi="Times New Roman"/>
          <w:i/>
          <w:color w:val="000000"/>
        </w:rPr>
        <w:t>atuna</w:t>
      </w:r>
      <w:r w:rsidRPr="00527722">
        <w:rPr>
          <w:rFonts w:ascii="Times New Roman" w:hAnsi="Times New Roman"/>
          <w:color w:val="000000"/>
        </w:rPr>
        <w:t xml:space="preserve"> Pele. While Puni was exploiting the volcano for profit, he was also promoting Kilauea as the sacred home of Pele, just the sort of accommodation common</w:t>
      </w:r>
      <w:r w:rsidR="009F0992">
        <w:rPr>
          <w:rFonts w:ascii="Times New Roman" w:hAnsi="Times New Roman"/>
          <w:color w:val="000000"/>
        </w:rPr>
        <w:t xml:space="preserve"> in the colonial contact zone.</w:t>
      </w:r>
    </w:p>
    <w:p w14:paraId="668E15F6" w14:textId="57DB63A8" w:rsidR="00B36BA8" w:rsidRDefault="00B36BA8" w:rsidP="00B36BA8">
      <w:pPr>
        <w:pStyle w:val="NoSpacing"/>
        <w:spacing w:line="480" w:lineRule="auto"/>
        <w:ind w:firstLine="720"/>
        <w:rPr>
          <w:rFonts w:ascii="Times New Roman" w:hAnsi="Times New Roman"/>
          <w:color w:val="000000"/>
        </w:rPr>
      </w:pPr>
      <w:r w:rsidRPr="00527722">
        <w:rPr>
          <w:rFonts w:ascii="Times New Roman" w:hAnsi="Times New Roman"/>
          <w:color w:val="000000"/>
        </w:rPr>
        <w:t xml:space="preserve">It was, nevertheless, easy for guides to conflate the sacred and the profane, and turn Pele into something of a faux spirit, an ill-tempered Volcano mascot. One visitor reported that he had lost his hat: the </w:t>
      </w:r>
      <w:r w:rsidR="00605E98">
        <w:rPr>
          <w:rFonts w:ascii="Times New Roman" w:hAnsi="Times New Roman"/>
          <w:color w:val="000000"/>
        </w:rPr>
        <w:t xml:space="preserve">Hawaiian guide </w:t>
      </w:r>
      <w:r w:rsidRPr="00527722">
        <w:rPr>
          <w:rFonts w:ascii="Times New Roman" w:hAnsi="Times New Roman"/>
          <w:color w:val="000000"/>
        </w:rPr>
        <w:t>said “Pele came and took it. Certainly there was little wind.”</w:t>
      </w:r>
      <w:r w:rsidRPr="00527722">
        <w:rPr>
          <w:rStyle w:val="FootnoteReference"/>
          <w:rFonts w:ascii="Times New Roman" w:hAnsi="Times New Roman"/>
          <w:color w:val="000000"/>
        </w:rPr>
        <w:footnoteReference w:id="170"/>
      </w:r>
      <w:r w:rsidRPr="00527722">
        <w:rPr>
          <w:rFonts w:ascii="Times New Roman" w:hAnsi="Times New Roman"/>
          <w:color w:val="000000"/>
        </w:rPr>
        <w:t xml:space="preserve"> Attributing volcanic activity to Pele is a running theme through the pages of the Volcano House register, and it is difficult to know if these reports </w:t>
      </w:r>
      <w:r w:rsidR="00605E98">
        <w:rPr>
          <w:rFonts w:ascii="Times New Roman" w:hAnsi="Times New Roman"/>
          <w:color w:val="000000"/>
        </w:rPr>
        <w:t xml:space="preserve">of Pele come from sincere </w:t>
      </w:r>
      <w:r w:rsidRPr="00527722">
        <w:rPr>
          <w:rFonts w:ascii="Times New Roman" w:hAnsi="Times New Roman"/>
          <w:color w:val="000000"/>
        </w:rPr>
        <w:t xml:space="preserve">belief in the powerful </w:t>
      </w:r>
      <w:r w:rsidRPr="00527722">
        <w:rPr>
          <w:rFonts w:ascii="Times New Roman" w:hAnsi="Times New Roman"/>
          <w:i/>
          <w:color w:val="000000"/>
        </w:rPr>
        <w:t>atuna</w:t>
      </w:r>
      <w:r w:rsidRPr="00527722">
        <w:rPr>
          <w:rFonts w:ascii="Times New Roman" w:hAnsi="Times New Roman"/>
          <w:color w:val="000000"/>
        </w:rPr>
        <w:t>, tourists desire to experience the “authentic” H</w:t>
      </w:r>
      <w:r w:rsidR="009F0992">
        <w:rPr>
          <w:rFonts w:ascii="Times New Roman" w:hAnsi="Times New Roman"/>
          <w:color w:val="000000"/>
        </w:rPr>
        <w:t>awai’i, or a mixture of both.</w:t>
      </w:r>
    </w:p>
    <w:p w14:paraId="5AD99881" w14:textId="77777777" w:rsidR="00937781" w:rsidRPr="00591681" w:rsidRDefault="00937781" w:rsidP="00B36BA8">
      <w:pPr>
        <w:pStyle w:val="NoSpacing"/>
        <w:spacing w:line="480" w:lineRule="auto"/>
        <w:ind w:firstLine="720"/>
        <w:rPr>
          <w:rFonts w:ascii="Times New Roman" w:hAnsi="Times New Roman"/>
          <w:color w:val="000000"/>
        </w:rPr>
      </w:pPr>
    </w:p>
    <w:p w14:paraId="7512A744" w14:textId="6E9D41E2" w:rsidR="00B36BA8" w:rsidRPr="00481137" w:rsidRDefault="00B36BA8" w:rsidP="00605E98">
      <w:pPr>
        <w:pStyle w:val="NoSpacing"/>
        <w:spacing w:line="480" w:lineRule="auto"/>
        <w:ind w:firstLine="720"/>
        <w:jc w:val="center"/>
        <w:rPr>
          <w:rFonts w:ascii="Times New Roman" w:hAnsi="Times New Roman"/>
          <w:b/>
          <w:color w:val="000000"/>
        </w:rPr>
      </w:pPr>
      <w:r w:rsidRPr="00E8696E">
        <w:rPr>
          <w:rFonts w:ascii="Times New Roman" w:hAnsi="Times New Roman"/>
          <w:b/>
          <w:color w:val="000000"/>
        </w:rPr>
        <w:t>Domination and Resistance</w:t>
      </w:r>
    </w:p>
    <w:p w14:paraId="67A7CF04" w14:textId="60CFD266" w:rsidR="00B36BA8" w:rsidRDefault="00B36BA8" w:rsidP="00605E98">
      <w:pPr>
        <w:pStyle w:val="NoSpacing"/>
        <w:rPr>
          <w:rFonts w:ascii="Times New Roman" w:hAnsi="Times New Roman"/>
        </w:rPr>
      </w:pPr>
      <w:r w:rsidRPr="00481137">
        <w:rPr>
          <w:rFonts w:ascii="Times New Roman" w:hAnsi="Times New Roman"/>
          <w:i/>
        </w:rPr>
        <w:t xml:space="preserve">“The struggle over geography is not only about soldiers and canons but also about ideas, about forms, about images and imaginings.” </w:t>
      </w:r>
      <w:r w:rsidRPr="00481137">
        <w:rPr>
          <w:rFonts w:ascii="Times New Roman" w:hAnsi="Times New Roman"/>
        </w:rPr>
        <w:t>Edward Said</w:t>
      </w:r>
      <w:r w:rsidRPr="00481137">
        <w:rPr>
          <w:rStyle w:val="FootnoteReference"/>
          <w:rFonts w:ascii="Times New Roman" w:hAnsi="Times New Roman"/>
        </w:rPr>
        <w:footnoteReference w:id="171"/>
      </w:r>
    </w:p>
    <w:p w14:paraId="217ABEB8" w14:textId="77777777" w:rsidR="003E0F74" w:rsidRPr="00591681" w:rsidRDefault="003E0F74" w:rsidP="00B36BA8">
      <w:pPr>
        <w:pStyle w:val="NoSpacing"/>
        <w:ind w:left="720"/>
        <w:rPr>
          <w:rFonts w:ascii="Times New Roman" w:hAnsi="Times New Roman"/>
          <w:color w:val="000000"/>
        </w:rPr>
      </w:pPr>
    </w:p>
    <w:p w14:paraId="28C638B5" w14:textId="3385EBC5" w:rsidR="00B36BA8" w:rsidRPr="00481137" w:rsidRDefault="00B36BA8" w:rsidP="00B36BA8">
      <w:pPr>
        <w:pStyle w:val="NoSpacing"/>
        <w:spacing w:line="480" w:lineRule="auto"/>
        <w:ind w:firstLine="720"/>
        <w:rPr>
          <w:rFonts w:ascii="Times New Roman" w:hAnsi="Times New Roman"/>
          <w:color w:val="000000"/>
        </w:rPr>
      </w:pPr>
      <w:r w:rsidRPr="00481137">
        <w:rPr>
          <w:rFonts w:ascii="Times New Roman" w:hAnsi="Times New Roman"/>
        </w:rPr>
        <w:t>Kilauea is no ordinary Hawaiian site, just as lava is no ordinary geologic material</w:t>
      </w:r>
      <w:r w:rsidR="003E0F74">
        <w:rPr>
          <w:rFonts w:ascii="Times New Roman" w:hAnsi="Times New Roman"/>
        </w:rPr>
        <w:t xml:space="preserve"> </w:t>
      </w:r>
      <w:r w:rsidR="003E0F74" w:rsidRPr="00677848">
        <w:rPr>
          <w:rFonts w:ascii="Times New Roman" w:hAnsi="Times New Roman"/>
        </w:rPr>
        <w:t>(</w:t>
      </w:r>
      <w:r w:rsidR="00B76D8D">
        <w:rPr>
          <w:rFonts w:ascii="Times New Roman" w:hAnsi="Times New Roman"/>
        </w:rPr>
        <w:t>fig. 3.17</w:t>
      </w:r>
      <w:r w:rsidR="004817EC" w:rsidRPr="00677848">
        <w:rPr>
          <w:rFonts w:ascii="Times New Roman" w:hAnsi="Times New Roman"/>
        </w:rPr>
        <w:t>)</w:t>
      </w:r>
      <w:r w:rsidRPr="00481137">
        <w:rPr>
          <w:rFonts w:ascii="Times New Roman" w:hAnsi="Times New Roman"/>
        </w:rPr>
        <w:t>. Kilauea was, and continues to be, one of the most spectacular sites in the Hawaiian Islands precisely because lava represents, in physical form, transformation and metamorphosis. Lava created the Hawaiian Islands, and lava continuously adds to the very foundation of the Hawaiian land. Hawaiian culture was, and is, literally built upon lava. In providing a view into the crater of Hawaii’s most active volcanic crater, Tavernier and other artist in the 1880s provided a view into the very heart of Hawaii, and provided non-Hawaiians a view of a resource, and by extension, a people and a culture, mastered by colonial narratives and desires. On a meta-narrative level, lava suggests the transformative and regenerative possibilities offered to Euro-American’s through their encounter with the “primitive” inherent to nineteenth-century travel to “exotic” locales.</w:t>
      </w:r>
      <w:r w:rsidRPr="00481137">
        <w:rPr>
          <w:rStyle w:val="FootnoteReference"/>
          <w:rFonts w:ascii="Times New Roman" w:hAnsi="Times New Roman"/>
        </w:rPr>
        <w:footnoteReference w:id="172"/>
      </w:r>
    </w:p>
    <w:p w14:paraId="577A4E25" w14:textId="1C21590E" w:rsidR="00B36BA8" w:rsidRPr="00527722" w:rsidRDefault="00B36BA8" w:rsidP="00B36BA8">
      <w:pPr>
        <w:pStyle w:val="NoSpacing"/>
        <w:spacing w:line="480" w:lineRule="auto"/>
        <w:ind w:firstLine="720"/>
        <w:rPr>
          <w:rFonts w:ascii="Times New Roman" w:hAnsi="Times New Roman"/>
          <w:highlight w:val="green"/>
        </w:rPr>
      </w:pPr>
      <w:r>
        <w:rPr>
          <w:rFonts w:ascii="Times New Roman" w:hAnsi="Times New Roman"/>
        </w:rPr>
        <w:t>Yet to paraphrase Said</w:t>
      </w:r>
      <w:r w:rsidR="00E97C50">
        <w:rPr>
          <w:rFonts w:ascii="Times New Roman" w:hAnsi="Times New Roman"/>
        </w:rPr>
        <w:t xml:space="preserve">, </w:t>
      </w:r>
      <w:r w:rsidRPr="00481137">
        <w:rPr>
          <w:rFonts w:ascii="Times New Roman" w:hAnsi="Times New Roman"/>
        </w:rPr>
        <w:t xml:space="preserve">ideas matter, and who controls ideas matters. Kilauea continues to be contested to this day. </w:t>
      </w:r>
      <w:r w:rsidR="00605E98">
        <w:rPr>
          <w:rFonts w:ascii="Times New Roman" w:hAnsi="Times New Roman"/>
        </w:rPr>
        <w:t xml:space="preserve">Each </w:t>
      </w:r>
      <w:r w:rsidRPr="00481137">
        <w:rPr>
          <w:rFonts w:ascii="Times New Roman" w:hAnsi="Times New Roman"/>
        </w:rPr>
        <w:t>year, Haw</w:t>
      </w:r>
      <w:r w:rsidR="00605E98">
        <w:rPr>
          <w:rFonts w:ascii="Times New Roman" w:hAnsi="Times New Roman"/>
        </w:rPr>
        <w:t>ai’i Volcanoes Nation Park hosts</w:t>
      </w:r>
      <w:r w:rsidRPr="00481137">
        <w:rPr>
          <w:rFonts w:ascii="Times New Roman" w:hAnsi="Times New Roman"/>
        </w:rPr>
        <w:t xml:space="preserve"> </w:t>
      </w:r>
      <w:r w:rsidR="00605E98">
        <w:rPr>
          <w:rFonts w:ascii="Times New Roman" w:hAnsi="Times New Roman"/>
        </w:rPr>
        <w:t xml:space="preserve">approximately </w:t>
      </w:r>
      <w:r w:rsidRPr="00481137">
        <w:rPr>
          <w:rFonts w:ascii="Times New Roman" w:hAnsi="Times New Roman"/>
        </w:rPr>
        <w:t xml:space="preserve">2.6 million visitors, making it far and away Hawai’i’s most popular tourist destination, and one of </w:t>
      </w:r>
      <w:r w:rsidR="00605E98">
        <w:rPr>
          <w:rFonts w:ascii="Times New Roman" w:hAnsi="Times New Roman"/>
        </w:rPr>
        <w:t xml:space="preserve">the </w:t>
      </w:r>
      <w:r w:rsidRPr="00481137">
        <w:rPr>
          <w:rFonts w:ascii="Times New Roman" w:hAnsi="Times New Roman"/>
        </w:rPr>
        <w:t>top destinations worldwide.</w:t>
      </w:r>
      <w:r w:rsidRPr="00481137">
        <w:rPr>
          <w:rStyle w:val="FootnoteReference"/>
          <w:rFonts w:ascii="Times New Roman" w:hAnsi="Times New Roman"/>
        </w:rPr>
        <w:footnoteReference w:id="173"/>
      </w:r>
      <w:r w:rsidRPr="00481137">
        <w:rPr>
          <w:rFonts w:ascii="Times New Roman" w:hAnsi="Times New Roman"/>
        </w:rPr>
        <w:t xml:space="preserve"> The park</w:t>
      </w:r>
      <w:r w:rsidR="00E97C50">
        <w:rPr>
          <w:rFonts w:ascii="Times New Roman" w:hAnsi="Times New Roman"/>
        </w:rPr>
        <w:t>,</w:t>
      </w:r>
      <w:r w:rsidRPr="00481137">
        <w:rPr>
          <w:rFonts w:ascii="Times New Roman" w:hAnsi="Times New Roman"/>
        </w:rPr>
        <w:t xml:space="preserve"> part of the National Park System</w:t>
      </w:r>
      <w:r w:rsidR="00E97C50">
        <w:rPr>
          <w:rFonts w:ascii="Times New Roman" w:hAnsi="Times New Roman"/>
        </w:rPr>
        <w:t xml:space="preserve">, </w:t>
      </w:r>
      <w:r w:rsidRPr="00481137">
        <w:rPr>
          <w:rFonts w:ascii="Times New Roman" w:hAnsi="Times New Roman"/>
        </w:rPr>
        <w:t>is staffed and maintained by the United States government. While the text panels provide visitors with some basic understanding of Native Haw</w:t>
      </w:r>
      <w:r w:rsidR="00E97C50">
        <w:rPr>
          <w:rFonts w:ascii="Times New Roman" w:hAnsi="Times New Roman"/>
        </w:rPr>
        <w:t>aiian histories, the nineteenth-</w:t>
      </w:r>
      <w:r w:rsidRPr="00481137">
        <w:rPr>
          <w:rFonts w:ascii="Times New Roman" w:hAnsi="Times New Roman"/>
        </w:rPr>
        <w:t xml:space="preserve">century travel narrative is reenacted millions of times each year by tourists who come to see one of the wonders of the world. The Volcano House is </w:t>
      </w:r>
      <w:r>
        <w:rPr>
          <w:rFonts w:ascii="Times New Roman" w:hAnsi="Times New Roman"/>
        </w:rPr>
        <w:t>s</w:t>
      </w:r>
      <w:r w:rsidRPr="00481137">
        <w:rPr>
          <w:rFonts w:ascii="Times New Roman" w:hAnsi="Times New Roman"/>
        </w:rPr>
        <w:t>till in business</w:t>
      </w:r>
      <w:r>
        <w:rPr>
          <w:rFonts w:ascii="Times New Roman" w:hAnsi="Times New Roman"/>
        </w:rPr>
        <w:t xml:space="preserve">; the historic 1877 building now functions as </w:t>
      </w:r>
      <w:r w:rsidRPr="00481137">
        <w:rPr>
          <w:rFonts w:ascii="Times New Roman" w:hAnsi="Times New Roman"/>
        </w:rPr>
        <w:t>a gift shop</w:t>
      </w:r>
      <w:r>
        <w:rPr>
          <w:rFonts w:ascii="Times New Roman" w:hAnsi="Times New Roman"/>
        </w:rPr>
        <w:t xml:space="preserve"> located across from the crater</w:t>
      </w:r>
      <w:r w:rsidRPr="00481137">
        <w:rPr>
          <w:rFonts w:ascii="Times New Roman" w:hAnsi="Times New Roman"/>
        </w:rPr>
        <w:t xml:space="preserve">. Yet some Native Hawaiians still worship the </w:t>
      </w:r>
      <w:r w:rsidRPr="00481137">
        <w:rPr>
          <w:rFonts w:ascii="Times New Roman" w:hAnsi="Times New Roman"/>
          <w:i/>
        </w:rPr>
        <w:t>atua</w:t>
      </w:r>
      <w:r w:rsidRPr="00481137">
        <w:rPr>
          <w:rFonts w:ascii="Times New Roman" w:hAnsi="Times New Roman"/>
        </w:rPr>
        <w:t xml:space="preserve"> Pele; they leave her offerings, sing ancient chants, and perform hula Pele. Some even protest the park’s use of this sacred site, dispute its interpretations, and call for the park to vacate th</w:t>
      </w:r>
      <w:r w:rsidR="00B76D8D">
        <w:rPr>
          <w:rFonts w:ascii="Times New Roman" w:hAnsi="Times New Roman"/>
        </w:rPr>
        <w:t xml:space="preserve">is and other Hawaiian </w:t>
      </w:r>
      <w:r w:rsidRPr="00481137">
        <w:rPr>
          <w:rFonts w:ascii="Times New Roman" w:hAnsi="Times New Roman"/>
        </w:rPr>
        <w:t>volcano</w:t>
      </w:r>
      <w:r w:rsidR="00B76D8D">
        <w:rPr>
          <w:rFonts w:ascii="Times New Roman" w:hAnsi="Times New Roman"/>
        </w:rPr>
        <w:t>s</w:t>
      </w:r>
      <w:r w:rsidRPr="00481137">
        <w:rPr>
          <w:rFonts w:ascii="Times New Roman" w:hAnsi="Times New Roman"/>
        </w:rPr>
        <w:t>.</w:t>
      </w:r>
      <w:r>
        <w:rPr>
          <w:rStyle w:val="FootnoteReference"/>
          <w:rFonts w:ascii="Times New Roman" w:hAnsi="Times New Roman"/>
        </w:rPr>
        <w:footnoteReference w:id="174"/>
      </w:r>
      <w:r w:rsidRPr="00481137">
        <w:rPr>
          <w:rFonts w:ascii="Times New Roman" w:hAnsi="Times New Roman"/>
        </w:rPr>
        <w:t xml:space="preserve"> </w:t>
      </w:r>
      <w:r>
        <w:rPr>
          <w:rFonts w:ascii="Times New Roman" w:hAnsi="Times New Roman"/>
        </w:rPr>
        <w:t xml:space="preserve">For many Hawaiians, </w:t>
      </w:r>
      <w:r w:rsidRPr="00481137">
        <w:rPr>
          <w:rFonts w:ascii="Times New Roman" w:hAnsi="Times New Roman"/>
        </w:rPr>
        <w:t xml:space="preserve">Kilauea </w:t>
      </w:r>
      <w:r w:rsidR="00E97C50">
        <w:rPr>
          <w:rFonts w:ascii="Times New Roman" w:hAnsi="Times New Roman"/>
        </w:rPr>
        <w:t>remains</w:t>
      </w:r>
      <w:r w:rsidRPr="00481137">
        <w:rPr>
          <w:rFonts w:ascii="Times New Roman" w:hAnsi="Times New Roman"/>
        </w:rPr>
        <w:t xml:space="preserve"> a c</w:t>
      </w:r>
      <w:r w:rsidR="009F0992">
        <w:rPr>
          <w:rFonts w:ascii="Times New Roman" w:hAnsi="Times New Roman"/>
        </w:rPr>
        <w:t>ontested colonial contact zone.</w:t>
      </w:r>
    </w:p>
    <w:p w14:paraId="46C789F2" w14:textId="772FBE6D" w:rsidR="00B055DA" w:rsidRDefault="00B055DA">
      <w:pPr>
        <w:spacing w:line="240" w:lineRule="auto"/>
        <w:rPr>
          <w:rFonts w:eastAsia="Cambria"/>
          <w:color w:val="000000" w:themeColor="text1"/>
          <w:lang w:bidi="ar-SA"/>
        </w:rPr>
      </w:pPr>
      <w:r>
        <w:rPr>
          <w:rFonts w:eastAsia="Cambria"/>
          <w:color w:val="000000" w:themeColor="text1"/>
          <w:lang w:bidi="ar-SA"/>
        </w:rPr>
        <w:br w:type="page"/>
      </w:r>
    </w:p>
    <w:p w14:paraId="575E202A" w14:textId="77777777" w:rsidR="00F95CF5" w:rsidRDefault="008757F3" w:rsidP="00924C72">
      <w:pPr>
        <w:spacing w:line="240" w:lineRule="auto"/>
      </w:pPr>
      <w:r>
        <w:rPr>
          <w:noProof/>
          <w:lang w:bidi="ar-SA"/>
        </w:rPr>
        <w:drawing>
          <wp:inline distT="0" distB="0" distL="0" distR="0" wp14:anchorId="423B7CB5" wp14:editId="2CFDD9D8">
            <wp:extent cx="3657600" cy="219211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Jules_Tavernier_-_-Kilauea_Caldera--_oil_on_canvas-_1885.jpg"/>
                    <pic:cNvPicPr/>
                  </pic:nvPicPr>
                  <pic:blipFill>
                    <a:blip r:embed="rId32">
                      <a:extLst>
                        <a:ext uri="{28A0092B-C50C-407E-A947-70E740481C1C}">
                          <a14:useLocalDpi xmlns:a14="http://schemas.microsoft.com/office/drawing/2010/main" val="0"/>
                        </a:ext>
                      </a:extLst>
                    </a:blip>
                    <a:stretch>
                      <a:fillRect/>
                    </a:stretch>
                  </pic:blipFill>
                  <pic:spPr>
                    <a:xfrm>
                      <a:off x="0" y="0"/>
                      <a:ext cx="3657600" cy="2192119"/>
                    </a:xfrm>
                    <a:prstGeom prst="rect">
                      <a:avLst/>
                    </a:prstGeom>
                  </pic:spPr>
                </pic:pic>
              </a:graphicData>
            </a:graphic>
          </wp:inline>
        </w:drawing>
      </w:r>
    </w:p>
    <w:p w14:paraId="3943BE5B" w14:textId="4FABD3B2" w:rsidR="002B78D2" w:rsidRPr="00924C72" w:rsidRDefault="00F95CF5" w:rsidP="00924C72">
      <w:pPr>
        <w:spacing w:line="240" w:lineRule="auto"/>
      </w:pPr>
      <w:bookmarkStart w:id="42" w:name="_Toc464499089"/>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1</w:t>
      </w:r>
      <w:r w:rsidR="00B31D83">
        <w:rPr>
          <w:noProof/>
        </w:rPr>
        <w:fldChar w:fldCharType="end"/>
      </w:r>
      <w:r w:rsidRPr="00924C72">
        <w:t xml:space="preserve"> </w:t>
      </w:r>
      <w:r w:rsidR="00FE3B7A">
        <w:t>–</w:t>
      </w:r>
      <w:r w:rsidR="00A4025B">
        <w:t xml:space="preserve"> </w:t>
      </w:r>
      <w:r w:rsidRPr="00924C72">
        <w:rPr>
          <w:rFonts w:eastAsia="Cambria"/>
        </w:rPr>
        <w:t>Jules T</w:t>
      </w:r>
      <w:r w:rsidRPr="00924C72">
        <w:rPr>
          <w:rStyle w:val="NoSpacingChar"/>
          <w:rFonts w:eastAsia="Cambria"/>
        </w:rPr>
        <w:t xml:space="preserve">avernier, </w:t>
      </w:r>
      <w:r w:rsidRPr="00924C72">
        <w:rPr>
          <w:rStyle w:val="NoSpacingChar"/>
          <w:rFonts w:eastAsia="Cambria"/>
          <w:i/>
        </w:rPr>
        <w:t>Kilauea at Night</w:t>
      </w:r>
      <w:bookmarkEnd w:id="42"/>
    </w:p>
    <w:p w14:paraId="45599195" w14:textId="77777777" w:rsidR="00924C72" w:rsidRDefault="00924C72" w:rsidP="00924C72">
      <w:pPr>
        <w:spacing w:line="240" w:lineRule="auto"/>
        <w:rPr>
          <w:rFonts w:eastAsia="Cambria"/>
          <w:lang w:bidi="ar-SA"/>
        </w:rPr>
      </w:pPr>
    </w:p>
    <w:p w14:paraId="3218E8DD" w14:textId="0BF03C35" w:rsidR="002B78D2" w:rsidRPr="00924C72" w:rsidRDefault="002B78D2" w:rsidP="00924C72">
      <w:pPr>
        <w:spacing w:line="240" w:lineRule="auto"/>
        <w:rPr>
          <w:rFonts w:eastAsia="Cambria"/>
          <w:lang w:bidi="ar-SA"/>
        </w:rPr>
      </w:pPr>
      <w:r w:rsidRPr="00924C72">
        <w:rPr>
          <w:rFonts w:eastAsia="Cambria"/>
          <w:lang w:bidi="ar-SA"/>
        </w:rPr>
        <w:t>Jules T</w:t>
      </w:r>
      <w:r w:rsidRPr="00924C72">
        <w:rPr>
          <w:rStyle w:val="NoSpacingChar"/>
          <w:rFonts w:eastAsia="Cambria"/>
        </w:rPr>
        <w:t xml:space="preserve">avernier, </w:t>
      </w:r>
      <w:r w:rsidR="00F95CF5" w:rsidRPr="00924C72">
        <w:rPr>
          <w:rStyle w:val="NoSpacingChar"/>
          <w:rFonts w:eastAsia="Cambria"/>
          <w:i/>
        </w:rPr>
        <w:t>Kilauea</w:t>
      </w:r>
      <w:r w:rsidRPr="00924C72">
        <w:rPr>
          <w:rStyle w:val="NoSpacingChar"/>
          <w:rFonts w:eastAsia="Cambria"/>
          <w:i/>
        </w:rPr>
        <w:t xml:space="preserve"> at Night</w:t>
      </w:r>
      <w:r w:rsidRPr="00924C72">
        <w:rPr>
          <w:rStyle w:val="NoSpacingChar"/>
          <w:rFonts w:eastAsia="Cambria"/>
        </w:rPr>
        <w:t>, 1885</w:t>
      </w:r>
      <w:r w:rsidR="008757F3" w:rsidRPr="00924C72">
        <w:rPr>
          <w:rStyle w:val="NoSpacingChar"/>
          <w:rFonts w:eastAsia="Cambria"/>
        </w:rPr>
        <w:t xml:space="preserve">, oil on canvas, </w:t>
      </w:r>
      <w:r w:rsidR="00FE3B7A">
        <w:rPr>
          <w:rStyle w:val="NoSpacingChar"/>
          <w:rFonts w:eastAsia="Cambria"/>
        </w:rPr>
        <w:t>24 x 30 inches</w:t>
      </w:r>
      <w:r w:rsidR="008757F3" w:rsidRPr="00924C72">
        <w:rPr>
          <w:rStyle w:val="NoSpacingChar"/>
          <w:rFonts w:eastAsia="Cambria"/>
        </w:rPr>
        <w:t xml:space="preserve">. </w:t>
      </w:r>
      <w:r w:rsidRPr="00924C72">
        <w:rPr>
          <w:rStyle w:val="NoSpacingChar"/>
          <w:rFonts w:eastAsia="Cambria"/>
        </w:rPr>
        <w:t>Private Collection</w:t>
      </w:r>
      <w:r w:rsidR="008757F3" w:rsidRPr="00924C72">
        <w:rPr>
          <w:rStyle w:val="NoSpacingChar"/>
          <w:rFonts w:eastAsia="Cambria"/>
        </w:rPr>
        <w:t>, Hawaii</w:t>
      </w:r>
      <w:r w:rsidRPr="00924C72">
        <w:rPr>
          <w:rFonts w:eastAsia="Cambria"/>
          <w:lang w:bidi="ar-SA"/>
        </w:rPr>
        <w:t>.</w:t>
      </w:r>
    </w:p>
    <w:p w14:paraId="10B3BDC9" w14:textId="77777777" w:rsidR="00F95CF5" w:rsidRPr="00924C72" w:rsidRDefault="00F95CF5" w:rsidP="00771EAA">
      <w:pPr>
        <w:rPr>
          <w:rFonts w:eastAsia="Cambria"/>
          <w:lang w:bidi="ar-SA"/>
        </w:rPr>
      </w:pPr>
    </w:p>
    <w:p w14:paraId="2B7874D9" w14:textId="77777777" w:rsidR="003D0B38" w:rsidRPr="00924C72" w:rsidRDefault="00D97897" w:rsidP="00924C72">
      <w:pPr>
        <w:spacing w:line="240" w:lineRule="auto"/>
      </w:pPr>
      <w:r w:rsidRPr="00924C72">
        <w:rPr>
          <w:rFonts w:eastAsia="Cambria"/>
          <w:noProof/>
          <w:color w:val="000000" w:themeColor="text1"/>
          <w:lang w:bidi="ar-SA"/>
        </w:rPr>
        <w:drawing>
          <wp:inline distT="0" distB="0" distL="0" distR="0" wp14:anchorId="141151E0" wp14:editId="2AFB0061">
            <wp:extent cx="1827610" cy="393192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noname (4).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827610" cy="3931920"/>
                    </a:xfrm>
                    <a:prstGeom prst="rect">
                      <a:avLst/>
                    </a:prstGeom>
                  </pic:spPr>
                </pic:pic>
              </a:graphicData>
            </a:graphic>
          </wp:inline>
        </w:drawing>
      </w:r>
    </w:p>
    <w:p w14:paraId="6CE80360" w14:textId="1818851D" w:rsidR="00D97897" w:rsidRPr="00924C72" w:rsidRDefault="003D0B38" w:rsidP="00924C72">
      <w:pPr>
        <w:spacing w:line="240" w:lineRule="auto"/>
        <w:rPr>
          <w:rFonts w:eastAsia="Cambria"/>
          <w:i/>
        </w:rPr>
      </w:pPr>
      <w:bookmarkStart w:id="43" w:name="_Toc464499090"/>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2</w:t>
      </w:r>
      <w:r w:rsidR="00B31D83">
        <w:rPr>
          <w:noProof/>
        </w:rPr>
        <w:fldChar w:fldCharType="end"/>
      </w:r>
      <w:r w:rsidRPr="00924C72">
        <w:t xml:space="preserve"> </w:t>
      </w:r>
      <w:r w:rsidR="00FE3B7A">
        <w:t>–</w:t>
      </w:r>
      <w:r w:rsidR="00A4025B">
        <w:t xml:space="preserve"> </w:t>
      </w:r>
      <w:r w:rsidRPr="00924C72">
        <w:rPr>
          <w:rFonts w:eastAsia="Cambria"/>
        </w:rPr>
        <w:t xml:space="preserve">Jules Tavernier, </w:t>
      </w:r>
      <w:r w:rsidRPr="00924C72">
        <w:rPr>
          <w:rFonts w:eastAsia="Cambria"/>
          <w:i/>
        </w:rPr>
        <w:t>A Disputed Passage</w:t>
      </w:r>
      <w:bookmarkEnd w:id="43"/>
    </w:p>
    <w:p w14:paraId="72DB6B2D" w14:textId="77777777" w:rsidR="00924C72" w:rsidRDefault="00924C72" w:rsidP="00924C72">
      <w:pPr>
        <w:spacing w:line="240" w:lineRule="auto"/>
        <w:rPr>
          <w:rFonts w:eastAsia="Cambria"/>
          <w:lang w:bidi="ar-SA"/>
        </w:rPr>
      </w:pPr>
    </w:p>
    <w:p w14:paraId="18CB201C" w14:textId="36DA6181" w:rsidR="00D97897" w:rsidRPr="00924C72" w:rsidRDefault="00D97897" w:rsidP="00924C72">
      <w:pPr>
        <w:spacing w:line="240" w:lineRule="auto"/>
        <w:rPr>
          <w:rFonts w:eastAsia="Cambria"/>
          <w:lang w:bidi="ar-SA"/>
        </w:rPr>
      </w:pPr>
      <w:r w:rsidRPr="00924C72">
        <w:rPr>
          <w:rFonts w:eastAsia="Cambria"/>
          <w:lang w:bidi="ar-SA"/>
        </w:rPr>
        <w:t xml:space="preserve">Jules Tavernier, </w:t>
      </w:r>
      <w:r w:rsidRPr="00924C72">
        <w:rPr>
          <w:rFonts w:eastAsia="Cambria"/>
          <w:i/>
          <w:lang w:bidi="ar-SA"/>
        </w:rPr>
        <w:t>A Disputed Passage (in the Days of ‘46)</w:t>
      </w:r>
      <w:r w:rsidRPr="00924C72">
        <w:rPr>
          <w:rFonts w:eastAsia="Cambria"/>
          <w:lang w:bidi="ar-SA"/>
        </w:rPr>
        <w:t>, 1876</w:t>
      </w:r>
      <w:r w:rsidR="008757F3" w:rsidRPr="00924C72">
        <w:rPr>
          <w:rFonts w:eastAsia="Cambria"/>
          <w:lang w:bidi="ar-SA"/>
        </w:rPr>
        <w:t>, o</w:t>
      </w:r>
      <w:r w:rsidRPr="00924C72">
        <w:rPr>
          <w:rFonts w:eastAsia="Cambria"/>
          <w:lang w:bidi="ar-SA"/>
        </w:rPr>
        <w:t xml:space="preserve">il on canvas, 50 x 24 inches. Gilcrease Museum, Tulsa, OK. </w:t>
      </w:r>
    </w:p>
    <w:p w14:paraId="7F8C2611" w14:textId="77777777" w:rsidR="003D0B38" w:rsidRPr="00924C72" w:rsidRDefault="004418C2" w:rsidP="00924C72">
      <w:pPr>
        <w:spacing w:line="240" w:lineRule="auto"/>
      </w:pPr>
      <w:r w:rsidRPr="00924C72">
        <w:rPr>
          <w:rFonts w:eastAsia="Cambria"/>
          <w:noProof/>
          <w:color w:val="000000" w:themeColor="text1"/>
          <w:lang w:bidi="ar-SA"/>
        </w:rPr>
        <w:drawing>
          <wp:inline distT="0" distB="0" distL="0" distR="0" wp14:anchorId="189A45DE" wp14:editId="546B7E04">
            <wp:extent cx="3657600" cy="2239072"/>
            <wp:effectExtent l="0" t="0" r="0" b="889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JT Artist reverie.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657600" cy="2239072"/>
                    </a:xfrm>
                    <a:prstGeom prst="rect">
                      <a:avLst/>
                    </a:prstGeom>
                  </pic:spPr>
                </pic:pic>
              </a:graphicData>
            </a:graphic>
          </wp:inline>
        </w:drawing>
      </w:r>
    </w:p>
    <w:p w14:paraId="6D587F01" w14:textId="5B84338D" w:rsidR="004418C2" w:rsidRPr="00924C72" w:rsidRDefault="003D0B38" w:rsidP="00924C72">
      <w:pPr>
        <w:spacing w:line="240" w:lineRule="auto"/>
      </w:pPr>
      <w:bookmarkStart w:id="44" w:name="_Toc464499091"/>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3</w:t>
      </w:r>
      <w:r w:rsidR="00B31D83">
        <w:rPr>
          <w:noProof/>
        </w:rPr>
        <w:fldChar w:fldCharType="end"/>
      </w:r>
      <w:r w:rsidRPr="00924C72">
        <w:t xml:space="preserve"> </w:t>
      </w:r>
      <w:r w:rsidR="00FE3B7A">
        <w:t>–</w:t>
      </w:r>
      <w:r w:rsidR="00A4025B">
        <w:t xml:space="preserve"> </w:t>
      </w:r>
      <w:r w:rsidRPr="00924C72">
        <w:rPr>
          <w:rFonts w:eastAsia="Cambria"/>
        </w:rPr>
        <w:t xml:space="preserve">Jules Tavernier, </w:t>
      </w:r>
      <w:r w:rsidRPr="00924C72">
        <w:rPr>
          <w:rFonts w:eastAsia="Cambria"/>
          <w:i/>
        </w:rPr>
        <w:t>Artist’s Reverie</w:t>
      </w:r>
      <w:bookmarkEnd w:id="44"/>
    </w:p>
    <w:p w14:paraId="480C69B0" w14:textId="77777777" w:rsidR="00924C72" w:rsidRDefault="00924C72" w:rsidP="00924C72">
      <w:pPr>
        <w:spacing w:line="240" w:lineRule="auto"/>
        <w:rPr>
          <w:rFonts w:eastAsia="Cambria"/>
          <w:lang w:bidi="ar-SA"/>
        </w:rPr>
      </w:pPr>
    </w:p>
    <w:p w14:paraId="17E7EBF2" w14:textId="764FC9B4" w:rsidR="004418C2" w:rsidRPr="00924C72" w:rsidRDefault="00DC0D27" w:rsidP="00924C72">
      <w:pPr>
        <w:spacing w:line="240" w:lineRule="auto"/>
        <w:rPr>
          <w:rFonts w:eastAsia="Cambria"/>
          <w:lang w:bidi="ar-SA"/>
        </w:rPr>
      </w:pPr>
      <w:r>
        <w:rPr>
          <w:rFonts w:eastAsia="Cambria"/>
          <w:lang w:bidi="ar-SA"/>
        </w:rPr>
        <w:t xml:space="preserve">Detail. </w:t>
      </w:r>
      <w:r w:rsidR="004418C2" w:rsidRPr="00924C72">
        <w:rPr>
          <w:rFonts w:eastAsia="Cambria"/>
          <w:lang w:bidi="ar-SA"/>
        </w:rPr>
        <w:t xml:space="preserve">Jules Tavernier, </w:t>
      </w:r>
      <w:r w:rsidR="004418C2" w:rsidRPr="00924C72">
        <w:rPr>
          <w:rFonts w:eastAsia="Cambria"/>
          <w:i/>
          <w:lang w:bidi="ar-SA"/>
        </w:rPr>
        <w:t>Artist’s Reverie, Dreams at Twilight</w:t>
      </w:r>
      <w:r w:rsidR="004418C2" w:rsidRPr="00924C72">
        <w:rPr>
          <w:rFonts w:eastAsia="Cambria"/>
          <w:lang w:bidi="ar-SA"/>
        </w:rPr>
        <w:t>, 1876, oil on canvas, 61 x 127 inches. Collection of Oscar and Judy Lemer, long term loan to the Capitol Art Program, California State Capitol.</w:t>
      </w:r>
    </w:p>
    <w:p w14:paraId="786FBFFE" w14:textId="22D31743" w:rsidR="004418C2" w:rsidRDefault="004418C2" w:rsidP="00924C72">
      <w:pPr>
        <w:spacing w:line="240" w:lineRule="auto"/>
        <w:rPr>
          <w:rFonts w:eastAsia="Cambria"/>
          <w:lang w:bidi="ar-SA"/>
        </w:rPr>
      </w:pPr>
    </w:p>
    <w:p w14:paraId="17302B1A" w14:textId="77777777" w:rsidR="00FB6178" w:rsidRPr="00924C72" w:rsidRDefault="00FB6178" w:rsidP="00924C72">
      <w:pPr>
        <w:spacing w:line="240" w:lineRule="auto"/>
        <w:rPr>
          <w:rFonts w:eastAsia="Cambria"/>
          <w:lang w:bidi="ar-SA"/>
        </w:rPr>
      </w:pPr>
    </w:p>
    <w:p w14:paraId="3C3D6B1F" w14:textId="77777777" w:rsidR="003D0B38" w:rsidRPr="00924C72" w:rsidRDefault="004418C2" w:rsidP="00924C72">
      <w:pPr>
        <w:spacing w:line="240" w:lineRule="auto"/>
      </w:pPr>
      <w:r w:rsidRPr="00924C72">
        <w:rPr>
          <w:rFonts w:eastAsia="Cambria"/>
          <w:noProof/>
          <w:lang w:bidi="ar-SA"/>
        </w:rPr>
        <w:drawing>
          <wp:inline distT="0" distB="0" distL="0" distR="0" wp14:anchorId="2E54D79A" wp14:editId="4A6611C0">
            <wp:extent cx="2743200" cy="19682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1.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743200" cy="1968285"/>
                    </a:xfrm>
                    <a:prstGeom prst="rect">
                      <a:avLst/>
                    </a:prstGeom>
                  </pic:spPr>
                </pic:pic>
              </a:graphicData>
            </a:graphic>
          </wp:inline>
        </w:drawing>
      </w:r>
    </w:p>
    <w:p w14:paraId="44353084" w14:textId="0AF357CC" w:rsidR="004418C2" w:rsidRDefault="003D0B38" w:rsidP="00924C72">
      <w:pPr>
        <w:spacing w:line="240" w:lineRule="auto"/>
        <w:rPr>
          <w:rFonts w:eastAsia="Cambria"/>
        </w:rPr>
      </w:pPr>
      <w:bookmarkStart w:id="45" w:name="_Toc464499092"/>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4</w:t>
      </w:r>
      <w:r w:rsidR="00B31D83">
        <w:rPr>
          <w:noProof/>
        </w:rPr>
        <w:fldChar w:fldCharType="end"/>
      </w:r>
      <w:r w:rsidRPr="00924C72">
        <w:t xml:space="preserve"> </w:t>
      </w:r>
      <w:r w:rsidR="00FE3B7A">
        <w:t>–</w:t>
      </w:r>
      <w:r w:rsidR="00A4025B">
        <w:t xml:space="preserve"> </w:t>
      </w:r>
      <w:r w:rsidRPr="00924C72">
        <w:rPr>
          <w:rFonts w:eastAsia="Cambria"/>
        </w:rPr>
        <w:t>Typical Volcano Paintings</w:t>
      </w:r>
      <w:bookmarkEnd w:id="45"/>
    </w:p>
    <w:p w14:paraId="65CC7BE6" w14:textId="77777777" w:rsidR="00924C72" w:rsidRPr="00924C72" w:rsidRDefault="00924C72" w:rsidP="00924C72">
      <w:pPr>
        <w:spacing w:line="240" w:lineRule="auto"/>
      </w:pPr>
    </w:p>
    <w:p w14:paraId="7D51607F" w14:textId="5DDA7ED9" w:rsidR="004418C2" w:rsidRPr="00924C72" w:rsidRDefault="004418C2" w:rsidP="00924C72">
      <w:pPr>
        <w:spacing w:line="240" w:lineRule="auto"/>
        <w:rPr>
          <w:rFonts w:eastAsia="Cambria"/>
          <w:lang w:bidi="ar-SA"/>
        </w:rPr>
      </w:pPr>
      <w:r w:rsidRPr="00924C72">
        <w:rPr>
          <w:rFonts w:eastAsia="Cambria"/>
          <w:lang w:bidi="ar-SA"/>
        </w:rPr>
        <w:t>Typical Volcano Paintings by Joseph Strong, Charles Furneaux, and Jules Tavernier, circa 1880-1885</w:t>
      </w:r>
      <w:r w:rsidR="003D0B38" w:rsidRPr="00924C72">
        <w:rPr>
          <w:rFonts w:eastAsia="Cambria"/>
          <w:lang w:bidi="ar-SA"/>
        </w:rPr>
        <w:t>.</w:t>
      </w:r>
    </w:p>
    <w:p w14:paraId="4CBED3EF" w14:textId="77777777" w:rsidR="004418C2" w:rsidRPr="00924C72" w:rsidRDefault="004418C2" w:rsidP="00924C72">
      <w:pPr>
        <w:spacing w:line="240" w:lineRule="auto"/>
        <w:rPr>
          <w:rFonts w:eastAsia="Cambria"/>
          <w:lang w:bidi="ar-SA"/>
        </w:rPr>
      </w:pPr>
    </w:p>
    <w:p w14:paraId="3156ADC2" w14:textId="578C81C0" w:rsidR="004418C2" w:rsidRPr="00924C72" w:rsidRDefault="004418C2" w:rsidP="00924C72">
      <w:pPr>
        <w:spacing w:line="240" w:lineRule="auto"/>
        <w:rPr>
          <w:rFonts w:eastAsia="Cambria"/>
          <w:lang w:bidi="ar-SA"/>
        </w:rPr>
      </w:pPr>
    </w:p>
    <w:p w14:paraId="233771A2" w14:textId="77777777" w:rsidR="003D0B38" w:rsidRPr="00924C72" w:rsidRDefault="004418C2" w:rsidP="00924C72">
      <w:pPr>
        <w:spacing w:line="240" w:lineRule="auto"/>
      </w:pPr>
      <w:r w:rsidRPr="00924C72">
        <w:rPr>
          <w:rFonts w:eastAsia="Cambria"/>
          <w:noProof/>
          <w:lang w:bidi="ar-SA"/>
        </w:rPr>
        <w:drawing>
          <wp:inline distT="0" distB="0" distL="0" distR="0" wp14:anchorId="515EDF07" wp14:editId="7BAC2D1D">
            <wp:extent cx="3017520" cy="238354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canvas (1).png"/>
                    <pic:cNvPicPr/>
                  </pic:nvPicPr>
                  <pic:blipFill rotWithShape="1">
                    <a:blip r:embed="rId36">
                      <a:extLst>
                        <a:ext uri="{28A0092B-C50C-407E-A947-70E740481C1C}">
                          <a14:useLocalDpi xmlns:a14="http://schemas.microsoft.com/office/drawing/2010/main" val="0"/>
                        </a:ext>
                      </a:extLst>
                    </a:blip>
                    <a:srcRect l="11652" t="2423" r="16078" b="19224"/>
                    <a:stretch/>
                  </pic:blipFill>
                  <pic:spPr bwMode="auto">
                    <a:xfrm>
                      <a:off x="0" y="0"/>
                      <a:ext cx="3017520" cy="2383543"/>
                    </a:xfrm>
                    <a:prstGeom prst="rect">
                      <a:avLst/>
                    </a:prstGeom>
                    <a:ln>
                      <a:noFill/>
                    </a:ln>
                    <a:extLst>
                      <a:ext uri="{53640926-AAD7-44D8-BBD7-CCE9431645EC}">
                        <a14:shadowObscured xmlns:a14="http://schemas.microsoft.com/office/drawing/2010/main"/>
                      </a:ext>
                    </a:extLst>
                  </pic:spPr>
                </pic:pic>
              </a:graphicData>
            </a:graphic>
          </wp:inline>
        </w:drawing>
      </w:r>
    </w:p>
    <w:p w14:paraId="1279A66D" w14:textId="24089436" w:rsidR="004418C2" w:rsidRPr="00924C72" w:rsidRDefault="003D0B38" w:rsidP="00924C72">
      <w:pPr>
        <w:spacing w:line="240" w:lineRule="auto"/>
      </w:pPr>
      <w:bookmarkStart w:id="46" w:name="_Toc464499093"/>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5</w:t>
      </w:r>
      <w:r w:rsidR="00B31D83">
        <w:rPr>
          <w:noProof/>
        </w:rPr>
        <w:fldChar w:fldCharType="end"/>
      </w:r>
      <w:r w:rsidRPr="00924C72">
        <w:t xml:space="preserve"> </w:t>
      </w:r>
      <w:r w:rsidR="004735A5">
        <w:t>–</w:t>
      </w:r>
      <w:r w:rsidR="00A4025B">
        <w:t xml:space="preserve"> </w:t>
      </w:r>
      <w:r w:rsidRPr="00924C72">
        <w:rPr>
          <w:rFonts w:eastAsia="Cambria"/>
          <w:i/>
        </w:rPr>
        <w:t>Fire Fountains</w:t>
      </w:r>
      <w:bookmarkEnd w:id="46"/>
    </w:p>
    <w:p w14:paraId="28560D28" w14:textId="77777777" w:rsidR="00924C72" w:rsidRDefault="00924C72" w:rsidP="00924C72">
      <w:pPr>
        <w:spacing w:line="240" w:lineRule="auto"/>
        <w:rPr>
          <w:rFonts w:eastAsia="Cambria"/>
          <w:i/>
          <w:lang w:bidi="ar-SA"/>
        </w:rPr>
      </w:pPr>
    </w:p>
    <w:p w14:paraId="311235C7" w14:textId="77777777" w:rsidR="004735A5" w:rsidRDefault="003C0FB7" w:rsidP="00924C72">
      <w:pPr>
        <w:spacing w:line="240" w:lineRule="auto"/>
        <w:rPr>
          <w:rFonts w:eastAsia="Cambria"/>
          <w:lang w:bidi="ar-SA"/>
        </w:rPr>
      </w:pPr>
      <w:r w:rsidRPr="00924C72">
        <w:rPr>
          <w:rFonts w:eastAsia="Cambria"/>
          <w:i/>
          <w:lang w:bidi="ar-SA"/>
        </w:rPr>
        <w:t>Fire Fountains</w:t>
      </w:r>
      <w:r w:rsidRPr="00924C72">
        <w:rPr>
          <w:rFonts w:eastAsia="Cambria"/>
          <w:lang w:bidi="ar-SA"/>
        </w:rPr>
        <w:t>, i</w:t>
      </w:r>
      <w:r w:rsidR="004418C2" w:rsidRPr="00924C72">
        <w:rPr>
          <w:rFonts w:eastAsia="Cambria"/>
          <w:lang w:bidi="ar-SA"/>
        </w:rPr>
        <w:t>llustration</w:t>
      </w:r>
      <w:r w:rsidRPr="00924C72">
        <w:rPr>
          <w:rFonts w:eastAsia="Cambria"/>
          <w:lang w:bidi="ar-SA"/>
        </w:rPr>
        <w:t xml:space="preserve"> from </w:t>
      </w:r>
      <w:r w:rsidR="004418C2" w:rsidRPr="00924C72">
        <w:rPr>
          <w:rFonts w:eastAsia="Cambria"/>
          <w:lang w:bidi="ar-SA"/>
        </w:rPr>
        <w:t xml:space="preserve">Mark Twain, </w:t>
      </w:r>
      <w:r w:rsidR="004418C2" w:rsidRPr="00924C72">
        <w:rPr>
          <w:rFonts w:eastAsia="Cambria"/>
          <w:i/>
          <w:lang w:bidi="ar-SA"/>
        </w:rPr>
        <w:t>Rough</w:t>
      </w:r>
      <w:r w:rsidR="008A5A08" w:rsidRPr="00924C72">
        <w:rPr>
          <w:rFonts w:eastAsia="Cambria"/>
          <w:i/>
          <w:lang w:bidi="ar-SA"/>
        </w:rPr>
        <w:t>ing It</w:t>
      </w:r>
      <w:r w:rsidR="008A5A08" w:rsidRPr="00924C72">
        <w:rPr>
          <w:rFonts w:eastAsia="Cambria"/>
          <w:lang w:bidi="ar-SA"/>
        </w:rPr>
        <w:t xml:space="preserve"> </w:t>
      </w:r>
      <w:r w:rsidR="004735A5">
        <w:rPr>
          <w:rFonts w:eastAsia="Cambria"/>
          <w:lang w:bidi="ar-SA"/>
        </w:rPr>
        <w:t>(</w:t>
      </w:r>
      <w:r w:rsidR="008A5A08" w:rsidRPr="00924C72">
        <w:rPr>
          <w:rFonts w:eastAsia="Cambria"/>
          <w:lang w:bidi="ar-SA"/>
        </w:rPr>
        <w:t>Hartford: American Publishing Co, 1873</w:t>
      </w:r>
      <w:r w:rsidR="004735A5">
        <w:rPr>
          <w:rFonts w:eastAsia="Cambria"/>
          <w:lang w:bidi="ar-SA"/>
        </w:rPr>
        <w:t>)</w:t>
      </w:r>
      <w:r w:rsidR="008A5A08" w:rsidRPr="00924C72">
        <w:rPr>
          <w:rFonts w:eastAsia="Cambria"/>
          <w:lang w:bidi="ar-SA"/>
        </w:rPr>
        <w:t>, 540</w:t>
      </w:r>
      <w:r w:rsidR="004418C2" w:rsidRPr="00924C72">
        <w:rPr>
          <w:rFonts w:eastAsia="Cambria"/>
          <w:lang w:bidi="ar-SA"/>
        </w:rPr>
        <w:t>.</w:t>
      </w:r>
    </w:p>
    <w:p w14:paraId="6BF3DF67" w14:textId="77777777" w:rsidR="004735A5" w:rsidRDefault="004735A5" w:rsidP="00924C72">
      <w:pPr>
        <w:spacing w:line="240" w:lineRule="auto"/>
        <w:rPr>
          <w:rFonts w:eastAsia="Cambria"/>
          <w:lang w:bidi="ar-SA"/>
        </w:rPr>
      </w:pPr>
    </w:p>
    <w:p w14:paraId="4905F7FA" w14:textId="525A441D" w:rsidR="004418C2" w:rsidRPr="00924C72" w:rsidRDefault="004418C2" w:rsidP="00924C72">
      <w:pPr>
        <w:spacing w:line="240" w:lineRule="auto"/>
        <w:rPr>
          <w:rFonts w:eastAsia="Cambria"/>
          <w:lang w:bidi="ar-SA"/>
        </w:rPr>
      </w:pPr>
      <w:r w:rsidRPr="00924C72">
        <w:rPr>
          <w:rFonts w:eastAsia="Cambria"/>
          <w:lang w:bidi="ar-SA"/>
        </w:rPr>
        <w:t xml:space="preserve"> </w:t>
      </w:r>
    </w:p>
    <w:p w14:paraId="0285BCC8" w14:textId="429BC670" w:rsidR="004418C2" w:rsidRPr="00924C72" w:rsidRDefault="004418C2" w:rsidP="00924C72">
      <w:pPr>
        <w:spacing w:line="240" w:lineRule="auto"/>
        <w:rPr>
          <w:rFonts w:eastAsia="Cambria"/>
          <w:lang w:bidi="ar-SA"/>
        </w:rPr>
      </w:pPr>
    </w:p>
    <w:p w14:paraId="32268D9F" w14:textId="77777777" w:rsidR="00902CCC" w:rsidRPr="00924C72" w:rsidRDefault="008A5A08" w:rsidP="00924C72">
      <w:pPr>
        <w:spacing w:line="240" w:lineRule="auto"/>
      </w:pPr>
      <w:r w:rsidRPr="00924C72">
        <w:rPr>
          <w:rFonts w:eastAsia="Cambria"/>
          <w:noProof/>
          <w:lang w:bidi="ar-SA"/>
        </w:rPr>
        <w:drawing>
          <wp:inline distT="0" distB="0" distL="0" distR="0" wp14:anchorId="76611F74" wp14:editId="2D3832EC">
            <wp:extent cx="4605975" cy="2743200"/>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MS Blonde Kilaeua 2.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605975" cy="2743200"/>
                    </a:xfrm>
                    <a:prstGeom prst="rect">
                      <a:avLst/>
                    </a:prstGeom>
                  </pic:spPr>
                </pic:pic>
              </a:graphicData>
            </a:graphic>
          </wp:inline>
        </w:drawing>
      </w:r>
    </w:p>
    <w:p w14:paraId="0FE5250E" w14:textId="69248D4C" w:rsidR="008A5A08" w:rsidRPr="00924C72" w:rsidRDefault="00902CCC" w:rsidP="00924C72">
      <w:pPr>
        <w:spacing w:line="240" w:lineRule="auto"/>
      </w:pPr>
      <w:bookmarkStart w:id="47" w:name="_Toc464499094"/>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6</w:t>
      </w:r>
      <w:r w:rsidR="00B31D83">
        <w:rPr>
          <w:noProof/>
        </w:rPr>
        <w:fldChar w:fldCharType="end"/>
      </w:r>
      <w:r w:rsidRPr="00924C72">
        <w:t xml:space="preserve"> </w:t>
      </w:r>
      <w:r w:rsidR="004735A5">
        <w:t>–</w:t>
      </w:r>
      <w:r w:rsidR="00A4025B">
        <w:t xml:space="preserve"> </w:t>
      </w:r>
      <w:r w:rsidRPr="00924C72">
        <w:rPr>
          <w:rFonts w:ascii="Times New Roman" w:hAnsi="Times New Roman"/>
        </w:rPr>
        <w:t xml:space="preserve">Frontispiece, from </w:t>
      </w:r>
      <w:r w:rsidRPr="00924C72">
        <w:rPr>
          <w:rFonts w:ascii="Times New Roman" w:hAnsi="Times New Roman"/>
          <w:i/>
          <w:iCs/>
        </w:rPr>
        <w:t>Voyage of H.M.S. Blonde</w:t>
      </w:r>
      <w:bookmarkEnd w:id="47"/>
    </w:p>
    <w:p w14:paraId="58837546" w14:textId="77777777" w:rsidR="00924C72" w:rsidRDefault="00924C72" w:rsidP="00924C72">
      <w:pPr>
        <w:spacing w:line="240" w:lineRule="auto"/>
        <w:rPr>
          <w:rFonts w:ascii="Times New Roman" w:hAnsi="Times New Roman"/>
        </w:rPr>
      </w:pPr>
    </w:p>
    <w:p w14:paraId="53C3E347" w14:textId="685279B8" w:rsidR="008A5A08" w:rsidRPr="00924C72" w:rsidRDefault="008A5A08" w:rsidP="00924C72">
      <w:pPr>
        <w:spacing w:line="240" w:lineRule="auto"/>
        <w:rPr>
          <w:rFonts w:ascii="Times New Roman" w:hAnsi="Times New Roman"/>
        </w:rPr>
      </w:pPr>
      <w:r w:rsidRPr="00924C72">
        <w:rPr>
          <w:rFonts w:ascii="Times New Roman" w:hAnsi="Times New Roman"/>
        </w:rPr>
        <w:t xml:space="preserve">Frontispiece, from </w:t>
      </w:r>
      <w:r w:rsidRPr="00924C72">
        <w:rPr>
          <w:rFonts w:ascii="Times New Roman" w:hAnsi="Times New Roman"/>
          <w:i/>
          <w:iCs/>
        </w:rPr>
        <w:t>Voyage of H.M.S. Blonde to the Sandwich Islands, in the Years 1824-1825</w:t>
      </w:r>
      <w:r w:rsidRPr="00924C72">
        <w:rPr>
          <w:rFonts w:ascii="Times New Roman" w:hAnsi="Times New Roman"/>
        </w:rPr>
        <w:t xml:space="preserve"> </w:t>
      </w:r>
      <w:r w:rsidR="004735A5">
        <w:rPr>
          <w:rFonts w:ascii="Times New Roman" w:hAnsi="Times New Roman"/>
        </w:rPr>
        <w:t>(</w:t>
      </w:r>
      <w:r w:rsidRPr="00924C72">
        <w:rPr>
          <w:rFonts w:ascii="Times New Roman" w:hAnsi="Times New Roman"/>
        </w:rPr>
        <w:t>London: J. Murray, 1826</w:t>
      </w:r>
      <w:r w:rsidR="004735A5">
        <w:rPr>
          <w:rFonts w:ascii="Times New Roman" w:hAnsi="Times New Roman"/>
        </w:rPr>
        <w:t>)</w:t>
      </w:r>
      <w:r w:rsidRPr="00924C72">
        <w:rPr>
          <w:rFonts w:ascii="Times New Roman" w:hAnsi="Times New Roman"/>
        </w:rPr>
        <w:t xml:space="preserve">. </w:t>
      </w:r>
    </w:p>
    <w:p w14:paraId="55E20653" w14:textId="2CC3ECC3" w:rsidR="008A5A08" w:rsidRPr="00924C72" w:rsidRDefault="008A5A08" w:rsidP="00924C72">
      <w:pPr>
        <w:spacing w:line="240" w:lineRule="auto"/>
        <w:rPr>
          <w:rFonts w:eastAsia="Cambria"/>
          <w:lang w:bidi="ar-SA"/>
        </w:rPr>
      </w:pPr>
    </w:p>
    <w:p w14:paraId="65D1DDE7" w14:textId="77777777" w:rsidR="00902CCC" w:rsidRPr="00924C72" w:rsidRDefault="008A5A08" w:rsidP="00924C72">
      <w:pPr>
        <w:spacing w:line="240" w:lineRule="auto"/>
      </w:pPr>
      <w:r w:rsidRPr="00924C72">
        <w:rPr>
          <w:rFonts w:eastAsia="Cambria"/>
          <w:noProof/>
          <w:lang w:bidi="ar-SA"/>
        </w:rPr>
        <w:drawing>
          <wp:inline distT="0" distB="0" distL="0" distR="0" wp14:anchorId="3D28186C" wp14:editId="16D611E0">
            <wp:extent cx="1773145" cy="32004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MS Blonde kilauea.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773145" cy="3200400"/>
                    </a:xfrm>
                    <a:prstGeom prst="rect">
                      <a:avLst/>
                    </a:prstGeom>
                  </pic:spPr>
                </pic:pic>
              </a:graphicData>
            </a:graphic>
          </wp:inline>
        </w:drawing>
      </w:r>
    </w:p>
    <w:p w14:paraId="58D3570F" w14:textId="2E5875BA" w:rsidR="008A5A08" w:rsidRPr="00924C72" w:rsidRDefault="00902CCC" w:rsidP="00924C72">
      <w:pPr>
        <w:spacing w:line="240" w:lineRule="auto"/>
      </w:pPr>
      <w:bookmarkStart w:id="48" w:name="_Toc464499095"/>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7</w:t>
      </w:r>
      <w:r w:rsidR="00B31D83">
        <w:rPr>
          <w:noProof/>
        </w:rPr>
        <w:fldChar w:fldCharType="end"/>
      </w:r>
      <w:r w:rsidRPr="00924C72">
        <w:t xml:space="preserve"> </w:t>
      </w:r>
      <w:r w:rsidR="004735A5">
        <w:t>–</w:t>
      </w:r>
      <w:r w:rsidR="00A4025B">
        <w:t xml:space="preserve"> </w:t>
      </w:r>
      <w:r w:rsidRPr="00924C72">
        <w:rPr>
          <w:rFonts w:ascii="Times New Roman" w:hAnsi="Times New Roman"/>
        </w:rPr>
        <w:t xml:space="preserve">Detail, Frontispiece, from </w:t>
      </w:r>
      <w:r w:rsidRPr="00924C72">
        <w:rPr>
          <w:rFonts w:ascii="Times New Roman" w:hAnsi="Times New Roman"/>
          <w:i/>
          <w:iCs/>
        </w:rPr>
        <w:t>Voyage of H.M.S. Blonde</w:t>
      </w:r>
      <w:bookmarkEnd w:id="48"/>
    </w:p>
    <w:p w14:paraId="67E5CB4C" w14:textId="77777777" w:rsidR="00924C72" w:rsidRDefault="00924C72" w:rsidP="00924C72">
      <w:pPr>
        <w:spacing w:line="240" w:lineRule="auto"/>
        <w:rPr>
          <w:rFonts w:ascii="Times New Roman" w:hAnsi="Times New Roman"/>
        </w:rPr>
      </w:pPr>
    </w:p>
    <w:p w14:paraId="2A6C012C" w14:textId="7860F350" w:rsidR="008A5A08" w:rsidRPr="00924C72" w:rsidRDefault="008A5A08" w:rsidP="00924C72">
      <w:pPr>
        <w:spacing w:line="240" w:lineRule="auto"/>
        <w:rPr>
          <w:rFonts w:ascii="Times New Roman" w:hAnsi="Times New Roman"/>
        </w:rPr>
      </w:pPr>
      <w:r w:rsidRPr="00924C72">
        <w:rPr>
          <w:rFonts w:ascii="Times New Roman" w:hAnsi="Times New Roman"/>
        </w:rPr>
        <w:t xml:space="preserve">Detail, Frontispiece, from </w:t>
      </w:r>
      <w:r w:rsidRPr="00924C72">
        <w:rPr>
          <w:rFonts w:ascii="Times New Roman" w:hAnsi="Times New Roman"/>
          <w:i/>
          <w:iCs/>
        </w:rPr>
        <w:t>Voyage of H.M.S. Blonde to the Sandwich Islands, in the Years 1824-1825</w:t>
      </w:r>
      <w:r w:rsidRPr="00924C72">
        <w:rPr>
          <w:rFonts w:ascii="Times New Roman" w:hAnsi="Times New Roman"/>
        </w:rPr>
        <w:t xml:space="preserve"> </w:t>
      </w:r>
      <w:r w:rsidR="004735A5">
        <w:rPr>
          <w:rFonts w:ascii="Times New Roman" w:hAnsi="Times New Roman"/>
        </w:rPr>
        <w:t>(</w:t>
      </w:r>
      <w:r w:rsidRPr="00924C72">
        <w:rPr>
          <w:rFonts w:ascii="Times New Roman" w:hAnsi="Times New Roman"/>
        </w:rPr>
        <w:t>London: J. Murray, 1826</w:t>
      </w:r>
      <w:r w:rsidR="004735A5">
        <w:rPr>
          <w:rFonts w:ascii="Times New Roman" w:hAnsi="Times New Roman"/>
        </w:rPr>
        <w:t>)</w:t>
      </w:r>
      <w:r w:rsidRPr="00924C72">
        <w:rPr>
          <w:rFonts w:ascii="Times New Roman" w:hAnsi="Times New Roman"/>
        </w:rPr>
        <w:t>.</w:t>
      </w:r>
    </w:p>
    <w:p w14:paraId="4322CF96" w14:textId="755FA01A" w:rsidR="008A5A08" w:rsidRPr="00924C72" w:rsidRDefault="008A5A08" w:rsidP="00924C72">
      <w:pPr>
        <w:spacing w:line="240" w:lineRule="auto"/>
        <w:rPr>
          <w:rFonts w:ascii="Times New Roman" w:hAnsi="Times New Roman"/>
        </w:rPr>
      </w:pPr>
    </w:p>
    <w:p w14:paraId="708DF3AA" w14:textId="79229CCD" w:rsidR="00902CCC" w:rsidRDefault="004427E0" w:rsidP="00924C72">
      <w:pPr>
        <w:spacing w:line="240" w:lineRule="auto"/>
        <w:rPr>
          <w:rFonts w:ascii="Times New Roman" w:hAnsi="Times New Roman"/>
        </w:rPr>
      </w:pPr>
      <w:r>
        <w:rPr>
          <w:rFonts w:ascii="Times New Roman" w:hAnsi="Times New Roman"/>
        </w:rPr>
        <w:t xml:space="preserve"> </w:t>
      </w:r>
    </w:p>
    <w:p w14:paraId="3EA4C59D" w14:textId="77777777" w:rsidR="004735A5" w:rsidRPr="00924C72" w:rsidRDefault="004735A5" w:rsidP="00924C72">
      <w:pPr>
        <w:spacing w:line="240" w:lineRule="auto"/>
        <w:rPr>
          <w:rFonts w:ascii="Times New Roman" w:hAnsi="Times New Roman"/>
        </w:rPr>
      </w:pPr>
    </w:p>
    <w:p w14:paraId="0BE35F6D" w14:textId="77777777" w:rsidR="00902CCC" w:rsidRPr="00924C72" w:rsidRDefault="008A5A08" w:rsidP="00924C72">
      <w:pPr>
        <w:spacing w:line="240" w:lineRule="auto"/>
      </w:pPr>
      <w:r w:rsidRPr="00924C72">
        <w:rPr>
          <w:rFonts w:eastAsia="Cambria"/>
          <w:noProof/>
          <w:lang w:bidi="ar-SA"/>
        </w:rPr>
        <w:drawing>
          <wp:inline distT="0" distB="0" distL="0" distR="0" wp14:anchorId="4696698A" wp14:editId="51A115F2">
            <wp:extent cx="2743200" cy="2021883"/>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eale Black Ledge.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43200" cy="2021883"/>
                    </a:xfrm>
                    <a:prstGeom prst="rect">
                      <a:avLst/>
                    </a:prstGeom>
                  </pic:spPr>
                </pic:pic>
              </a:graphicData>
            </a:graphic>
          </wp:inline>
        </w:drawing>
      </w:r>
    </w:p>
    <w:p w14:paraId="0A42FFAD" w14:textId="4F688CEC" w:rsidR="008A5A08" w:rsidRPr="00924C72" w:rsidRDefault="00902CCC" w:rsidP="00924C72">
      <w:pPr>
        <w:spacing w:line="240" w:lineRule="auto"/>
      </w:pPr>
      <w:bookmarkStart w:id="49" w:name="_Toc464499096"/>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8</w:t>
      </w:r>
      <w:r w:rsidR="00B31D83">
        <w:rPr>
          <w:noProof/>
        </w:rPr>
        <w:fldChar w:fldCharType="end"/>
      </w:r>
      <w:r w:rsidRPr="00924C72">
        <w:t xml:space="preserve"> </w:t>
      </w:r>
      <w:r w:rsidR="004735A5">
        <w:t>–</w:t>
      </w:r>
      <w:r w:rsidR="00A4025B">
        <w:t xml:space="preserve"> </w:t>
      </w:r>
      <w:r w:rsidRPr="00924C72">
        <w:rPr>
          <w:rFonts w:eastAsia="Cambria" w:cstheme="majorHAnsi"/>
        </w:rPr>
        <w:t xml:space="preserve">Titian Ramsay Peale, </w:t>
      </w:r>
      <w:r w:rsidR="004735A5">
        <w:rPr>
          <w:rFonts w:cstheme="majorHAnsi"/>
          <w:i/>
          <w:color w:val="000000"/>
          <w:shd w:val="clear" w:color="auto" w:fill="FFFFFF"/>
        </w:rPr>
        <w:t>West C</w:t>
      </w:r>
      <w:r w:rsidRPr="00924C72">
        <w:rPr>
          <w:rFonts w:cstheme="majorHAnsi"/>
          <w:i/>
          <w:color w:val="000000"/>
          <w:shd w:val="clear" w:color="auto" w:fill="FFFFFF"/>
        </w:rPr>
        <w:t>rater of “Kaluea Pele”</w:t>
      </w:r>
      <w:bookmarkEnd w:id="49"/>
    </w:p>
    <w:p w14:paraId="4E5F4435" w14:textId="77777777" w:rsidR="00924C72" w:rsidRDefault="00924C72" w:rsidP="00924C72">
      <w:pPr>
        <w:spacing w:line="240" w:lineRule="auto"/>
        <w:rPr>
          <w:rFonts w:asciiTheme="majorHAnsi" w:eastAsia="Cambria" w:hAnsiTheme="majorHAnsi" w:cstheme="majorHAnsi"/>
          <w:lang w:bidi="ar-SA"/>
        </w:rPr>
      </w:pPr>
    </w:p>
    <w:p w14:paraId="7C18DA18" w14:textId="21DEC360" w:rsidR="008A5A08" w:rsidRPr="00924C72" w:rsidRDefault="008A5A08" w:rsidP="00924C72">
      <w:pPr>
        <w:spacing w:line="240" w:lineRule="auto"/>
        <w:rPr>
          <w:rFonts w:asciiTheme="majorHAnsi" w:eastAsia="Cambria" w:hAnsiTheme="majorHAnsi" w:cstheme="majorHAnsi"/>
          <w:lang w:bidi="ar-SA"/>
        </w:rPr>
      </w:pPr>
      <w:r w:rsidRPr="00924C72">
        <w:rPr>
          <w:rFonts w:asciiTheme="majorHAnsi" w:eastAsia="Cambria" w:hAnsiTheme="majorHAnsi" w:cstheme="majorHAnsi"/>
          <w:lang w:bidi="ar-SA"/>
        </w:rPr>
        <w:t xml:space="preserve">Titian Ramsay Peale, </w:t>
      </w:r>
      <w:r w:rsidR="0060502A" w:rsidRPr="00924C72">
        <w:rPr>
          <w:rFonts w:asciiTheme="majorHAnsi" w:hAnsiTheme="majorHAnsi" w:cstheme="majorHAnsi"/>
          <w:i/>
          <w:color w:val="000000"/>
          <w:shd w:val="clear" w:color="auto" w:fill="FFFFFF"/>
        </w:rPr>
        <w:t>West crater of “</w:t>
      </w:r>
      <w:r w:rsidR="00663CF7" w:rsidRPr="00924C72">
        <w:rPr>
          <w:rFonts w:asciiTheme="majorHAnsi" w:hAnsiTheme="majorHAnsi" w:cstheme="majorHAnsi"/>
          <w:i/>
          <w:color w:val="000000"/>
          <w:shd w:val="clear" w:color="auto" w:fill="FFFFFF"/>
        </w:rPr>
        <w:t>Kal</w:t>
      </w:r>
      <w:r w:rsidR="0060502A" w:rsidRPr="00924C72">
        <w:rPr>
          <w:rFonts w:asciiTheme="majorHAnsi" w:hAnsiTheme="majorHAnsi" w:cstheme="majorHAnsi"/>
          <w:i/>
          <w:color w:val="000000"/>
          <w:shd w:val="clear" w:color="auto" w:fill="FFFFFF"/>
        </w:rPr>
        <w:t xml:space="preserve">uea Pele” from the </w:t>
      </w:r>
      <w:r w:rsidR="00663CF7" w:rsidRPr="00924C72">
        <w:rPr>
          <w:rFonts w:asciiTheme="majorHAnsi" w:hAnsiTheme="majorHAnsi" w:cstheme="majorHAnsi"/>
          <w:i/>
          <w:color w:val="000000"/>
          <w:shd w:val="clear" w:color="auto" w:fill="FFFFFF"/>
        </w:rPr>
        <w:t>Black Ledge</w:t>
      </w:r>
      <w:r w:rsidRPr="00924C72">
        <w:rPr>
          <w:rFonts w:asciiTheme="majorHAnsi" w:hAnsiTheme="majorHAnsi" w:cstheme="majorHAnsi"/>
        </w:rPr>
        <w:t>, 184</w:t>
      </w:r>
      <w:r w:rsidR="004A713E" w:rsidRPr="00924C72">
        <w:rPr>
          <w:rFonts w:asciiTheme="majorHAnsi" w:hAnsiTheme="majorHAnsi" w:cstheme="majorHAnsi"/>
        </w:rPr>
        <w:t xml:space="preserve">1, oil on board, </w:t>
      </w:r>
      <w:r w:rsidR="0060502A" w:rsidRPr="00924C72">
        <w:rPr>
          <w:rFonts w:asciiTheme="majorHAnsi" w:hAnsiTheme="majorHAnsi" w:cstheme="majorHAnsi"/>
          <w:color w:val="000000"/>
          <w:shd w:val="clear" w:color="auto" w:fill="FFFFFF"/>
        </w:rPr>
        <w:t xml:space="preserve">10 ¼ </w:t>
      </w:r>
      <w:r w:rsidR="004A713E" w:rsidRPr="00924C72">
        <w:rPr>
          <w:rFonts w:asciiTheme="majorHAnsi" w:hAnsiTheme="majorHAnsi" w:cstheme="majorHAnsi"/>
          <w:color w:val="000000"/>
          <w:shd w:val="clear" w:color="auto" w:fill="FFFFFF"/>
        </w:rPr>
        <w:t>x 1</w:t>
      </w:r>
      <w:r w:rsidR="0060502A" w:rsidRPr="00924C72">
        <w:rPr>
          <w:rFonts w:asciiTheme="majorHAnsi" w:hAnsiTheme="majorHAnsi" w:cstheme="majorHAnsi"/>
          <w:color w:val="000000"/>
          <w:shd w:val="clear" w:color="auto" w:fill="FFFFFF"/>
        </w:rPr>
        <w:t xml:space="preserve">3 ¼ </w:t>
      </w:r>
      <w:r w:rsidR="004A713E" w:rsidRPr="00924C72">
        <w:rPr>
          <w:rFonts w:asciiTheme="majorHAnsi" w:hAnsiTheme="majorHAnsi" w:cstheme="majorHAnsi"/>
          <w:color w:val="000000"/>
          <w:shd w:val="clear" w:color="auto" w:fill="FFFFFF"/>
        </w:rPr>
        <w:t>inches</w:t>
      </w:r>
      <w:r w:rsidRPr="00924C72">
        <w:rPr>
          <w:rFonts w:asciiTheme="majorHAnsi" w:hAnsiTheme="majorHAnsi" w:cstheme="majorHAnsi"/>
        </w:rPr>
        <w:t>.</w:t>
      </w:r>
      <w:r w:rsidR="004A713E" w:rsidRPr="00924C72">
        <w:rPr>
          <w:rFonts w:asciiTheme="majorHAnsi" w:hAnsiTheme="majorHAnsi" w:cstheme="majorHAnsi"/>
        </w:rPr>
        <w:t xml:space="preserve"> </w:t>
      </w:r>
      <w:r w:rsidR="0060502A" w:rsidRPr="00924C72">
        <w:rPr>
          <w:rFonts w:asciiTheme="majorHAnsi" w:hAnsiTheme="majorHAnsi" w:cstheme="majorHAnsi"/>
        </w:rPr>
        <w:t xml:space="preserve">Department of Library </w:t>
      </w:r>
      <w:r w:rsidR="004735A5">
        <w:rPr>
          <w:rFonts w:asciiTheme="majorHAnsi" w:hAnsiTheme="majorHAnsi" w:cstheme="majorHAnsi"/>
        </w:rPr>
        <w:t>S</w:t>
      </w:r>
      <w:r w:rsidR="0060502A" w:rsidRPr="00924C72">
        <w:rPr>
          <w:rFonts w:asciiTheme="majorHAnsi" w:hAnsiTheme="majorHAnsi" w:cstheme="majorHAnsi"/>
        </w:rPr>
        <w:t xml:space="preserve">ervices, </w:t>
      </w:r>
      <w:r w:rsidR="004A713E" w:rsidRPr="00924C72">
        <w:rPr>
          <w:rFonts w:asciiTheme="majorHAnsi" w:hAnsiTheme="majorHAnsi" w:cstheme="majorHAnsi"/>
        </w:rPr>
        <w:t>American Museum of Natural History</w:t>
      </w:r>
      <w:r w:rsidR="0060502A" w:rsidRPr="00924C72">
        <w:rPr>
          <w:rFonts w:asciiTheme="majorHAnsi" w:hAnsiTheme="majorHAnsi" w:cstheme="majorHAnsi"/>
        </w:rPr>
        <w:t>, New York</w:t>
      </w:r>
      <w:r w:rsidR="004A713E" w:rsidRPr="00924C72">
        <w:rPr>
          <w:rFonts w:asciiTheme="majorHAnsi" w:hAnsiTheme="majorHAnsi" w:cstheme="majorHAnsi"/>
        </w:rPr>
        <w:t xml:space="preserve">. </w:t>
      </w:r>
    </w:p>
    <w:p w14:paraId="515B3768" w14:textId="77777777" w:rsidR="008A5A08" w:rsidRPr="00924C72" w:rsidRDefault="008A5A08" w:rsidP="00771EAA">
      <w:pPr>
        <w:rPr>
          <w:rFonts w:asciiTheme="majorHAnsi" w:eastAsia="Cambria" w:hAnsiTheme="majorHAnsi" w:cstheme="majorHAnsi"/>
          <w:lang w:bidi="ar-SA"/>
        </w:rPr>
      </w:pPr>
    </w:p>
    <w:p w14:paraId="5C9A6962" w14:textId="77777777" w:rsidR="00902CCC" w:rsidRPr="00924C72" w:rsidRDefault="00663CF7" w:rsidP="00924C72">
      <w:pPr>
        <w:spacing w:line="240" w:lineRule="auto"/>
      </w:pPr>
      <w:r w:rsidRPr="00924C72">
        <w:rPr>
          <w:rFonts w:eastAsia="Cambria"/>
          <w:noProof/>
          <w:lang w:bidi="ar-SA"/>
        </w:rPr>
        <w:drawing>
          <wp:inline distT="0" distB="0" distL="0" distR="0" wp14:anchorId="18F1433C" wp14:editId="08E7F516">
            <wp:extent cx="3657600" cy="2359620"/>
            <wp:effectExtent l="0" t="0" r="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Kern Kilauea.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657600" cy="2359620"/>
                    </a:xfrm>
                    <a:prstGeom prst="rect">
                      <a:avLst/>
                    </a:prstGeom>
                  </pic:spPr>
                </pic:pic>
              </a:graphicData>
            </a:graphic>
          </wp:inline>
        </w:drawing>
      </w:r>
    </w:p>
    <w:p w14:paraId="6C8248C4" w14:textId="388EBDEA" w:rsidR="00663CF7" w:rsidRPr="00924C72" w:rsidRDefault="00902CCC" w:rsidP="00924C72">
      <w:pPr>
        <w:spacing w:line="240" w:lineRule="auto"/>
      </w:pPr>
      <w:bookmarkStart w:id="50" w:name="_Toc464499097"/>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9</w:t>
      </w:r>
      <w:r w:rsidR="00B31D83">
        <w:rPr>
          <w:noProof/>
        </w:rPr>
        <w:fldChar w:fldCharType="end"/>
      </w:r>
      <w:r w:rsidRPr="00924C72">
        <w:t xml:space="preserve"> </w:t>
      </w:r>
      <w:r w:rsidR="004735A5">
        <w:t>–</w:t>
      </w:r>
      <w:r w:rsidR="00A4025B">
        <w:t xml:space="preserve"> </w:t>
      </w:r>
      <w:r w:rsidRPr="00924C72">
        <w:rPr>
          <w:iCs/>
        </w:rPr>
        <w:t xml:space="preserve">Edward Myer Kern, </w:t>
      </w:r>
      <w:r w:rsidRPr="00924C72">
        <w:rPr>
          <w:i/>
          <w:iCs/>
        </w:rPr>
        <w:t>Lava Lake, Volcano Kilauea</w:t>
      </w:r>
      <w:bookmarkEnd w:id="50"/>
    </w:p>
    <w:p w14:paraId="22E5A687" w14:textId="77777777" w:rsidR="00924C72" w:rsidRDefault="00924C72" w:rsidP="00924C72">
      <w:pPr>
        <w:spacing w:line="240" w:lineRule="auto"/>
        <w:rPr>
          <w:iCs/>
        </w:rPr>
      </w:pPr>
    </w:p>
    <w:p w14:paraId="31DC1E7F" w14:textId="4675F501" w:rsidR="00663CF7" w:rsidRDefault="00663CF7" w:rsidP="00924C72">
      <w:pPr>
        <w:spacing w:line="240" w:lineRule="auto"/>
        <w:rPr>
          <w:iCs/>
        </w:rPr>
      </w:pPr>
      <w:r w:rsidRPr="00924C72">
        <w:rPr>
          <w:iCs/>
        </w:rPr>
        <w:t xml:space="preserve">Edward Myer Kern, </w:t>
      </w:r>
      <w:r w:rsidRPr="00924C72">
        <w:rPr>
          <w:i/>
          <w:iCs/>
        </w:rPr>
        <w:t>Lava Lake, Volcano Kilauea, Hawaii</w:t>
      </w:r>
      <w:r w:rsidRPr="00924C72">
        <w:rPr>
          <w:iCs/>
        </w:rPr>
        <w:t xml:space="preserve">, 1856, watercolor on </w:t>
      </w:r>
      <w:r w:rsidR="0060502A" w:rsidRPr="00924C72">
        <w:rPr>
          <w:iCs/>
        </w:rPr>
        <w:t>paper,</w:t>
      </w:r>
      <w:r w:rsidR="00591681">
        <w:rPr>
          <w:iCs/>
        </w:rPr>
        <w:t xml:space="preserve"> </w:t>
      </w:r>
      <w:r w:rsidR="0060502A" w:rsidRPr="00924C72">
        <w:rPr>
          <w:iCs/>
        </w:rPr>
        <w:t xml:space="preserve">6 </w:t>
      </w:r>
      <w:r w:rsidR="0060502A" w:rsidRPr="00924C72">
        <w:rPr>
          <w:iCs/>
          <w:vertAlign w:val="superscript"/>
        </w:rPr>
        <w:t>1/8</w:t>
      </w:r>
      <w:r w:rsidR="0060502A" w:rsidRPr="00924C72">
        <w:rPr>
          <w:iCs/>
        </w:rPr>
        <w:t xml:space="preserve"> x 9 </w:t>
      </w:r>
      <w:r w:rsidR="0060502A" w:rsidRPr="00924C72">
        <w:rPr>
          <w:iCs/>
          <w:vertAlign w:val="superscript"/>
        </w:rPr>
        <w:t>5/16</w:t>
      </w:r>
      <w:r w:rsidR="0060502A" w:rsidRPr="00924C72">
        <w:rPr>
          <w:iCs/>
        </w:rPr>
        <w:t xml:space="preserve"> </w:t>
      </w:r>
      <w:r w:rsidRPr="00924C72">
        <w:rPr>
          <w:iCs/>
        </w:rPr>
        <w:t>inc</w:t>
      </w:r>
      <w:r w:rsidR="0060502A" w:rsidRPr="00924C72">
        <w:rPr>
          <w:iCs/>
        </w:rPr>
        <w:t>hes. Museum of Fine Arts, Boston, Gift of Maxim Karolik.</w:t>
      </w:r>
    </w:p>
    <w:p w14:paraId="7D311399" w14:textId="6FA435B2" w:rsidR="004735A5" w:rsidRDefault="004735A5" w:rsidP="00924C72">
      <w:pPr>
        <w:spacing w:line="240" w:lineRule="auto"/>
        <w:rPr>
          <w:iCs/>
        </w:rPr>
      </w:pPr>
    </w:p>
    <w:p w14:paraId="09ACD8E4" w14:textId="77777777" w:rsidR="004735A5" w:rsidRPr="00924C72" w:rsidRDefault="004735A5" w:rsidP="00924C72">
      <w:pPr>
        <w:spacing w:line="240" w:lineRule="auto"/>
        <w:rPr>
          <w:rFonts w:eastAsia="Cambria"/>
          <w:lang w:bidi="ar-SA"/>
        </w:rPr>
      </w:pPr>
    </w:p>
    <w:p w14:paraId="4CDB8292" w14:textId="5B192CBF" w:rsidR="004418C2" w:rsidRPr="00924C72" w:rsidRDefault="004418C2" w:rsidP="00924C72">
      <w:pPr>
        <w:spacing w:line="240" w:lineRule="auto"/>
        <w:rPr>
          <w:rFonts w:eastAsia="Cambria"/>
          <w:lang w:bidi="ar-SA"/>
        </w:rPr>
      </w:pPr>
    </w:p>
    <w:p w14:paraId="4C10207C" w14:textId="77777777" w:rsidR="00902CCC" w:rsidRPr="00924C72" w:rsidRDefault="0060502A" w:rsidP="00924C72">
      <w:pPr>
        <w:spacing w:line="240" w:lineRule="auto"/>
      </w:pPr>
      <w:r w:rsidRPr="00924C72">
        <w:rPr>
          <w:noProof/>
          <w:lang w:bidi="ar-SA"/>
        </w:rPr>
        <w:drawing>
          <wp:inline distT="0" distB="0" distL="0" distR="0" wp14:anchorId="53A56DFF" wp14:editId="5041687B">
            <wp:extent cx="4023360" cy="272710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Tavernier Interior Volcano House wc 1886 private coll via HAA.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023360" cy="2727100"/>
                    </a:xfrm>
                    <a:prstGeom prst="rect">
                      <a:avLst/>
                    </a:prstGeom>
                  </pic:spPr>
                </pic:pic>
              </a:graphicData>
            </a:graphic>
          </wp:inline>
        </w:drawing>
      </w:r>
    </w:p>
    <w:p w14:paraId="354262F4" w14:textId="33E6DDEB" w:rsidR="0060502A" w:rsidRPr="00924C72" w:rsidRDefault="00902CCC" w:rsidP="00924C72">
      <w:pPr>
        <w:spacing w:line="240" w:lineRule="auto"/>
      </w:pPr>
      <w:bookmarkStart w:id="51" w:name="_Toc464499098"/>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10</w:t>
      </w:r>
      <w:r w:rsidR="00B31D83">
        <w:rPr>
          <w:noProof/>
        </w:rPr>
        <w:fldChar w:fldCharType="end"/>
      </w:r>
      <w:r w:rsidRPr="00924C72">
        <w:t xml:space="preserve"> </w:t>
      </w:r>
      <w:r w:rsidR="004735A5">
        <w:t>–</w:t>
      </w:r>
      <w:r w:rsidR="00A4025B">
        <w:t xml:space="preserve"> </w:t>
      </w:r>
      <w:r w:rsidRPr="00924C72">
        <w:t xml:space="preserve">Jules Tavernier, </w:t>
      </w:r>
      <w:r w:rsidRPr="00924C72">
        <w:rPr>
          <w:i/>
        </w:rPr>
        <w:t>Volcano House Interior</w:t>
      </w:r>
      <w:bookmarkEnd w:id="51"/>
    </w:p>
    <w:p w14:paraId="1773848E" w14:textId="77777777" w:rsidR="00924C72" w:rsidRDefault="00924C72" w:rsidP="00924C72">
      <w:pPr>
        <w:spacing w:line="240" w:lineRule="auto"/>
        <w:rPr>
          <w:lang w:bidi="ar-SA"/>
        </w:rPr>
      </w:pPr>
    </w:p>
    <w:p w14:paraId="736F6C20" w14:textId="69D798C5" w:rsidR="0060502A" w:rsidRPr="00924C72" w:rsidRDefault="0060502A" w:rsidP="00924C72">
      <w:pPr>
        <w:spacing w:line="240" w:lineRule="auto"/>
        <w:rPr>
          <w:lang w:bidi="ar-SA"/>
        </w:rPr>
      </w:pPr>
      <w:r w:rsidRPr="00924C72">
        <w:rPr>
          <w:lang w:bidi="ar-SA"/>
        </w:rPr>
        <w:t xml:space="preserve">Jules Tavernier, </w:t>
      </w:r>
      <w:r w:rsidRPr="00924C72">
        <w:rPr>
          <w:i/>
          <w:lang w:bidi="ar-SA"/>
        </w:rPr>
        <w:t>Volcano House Interior</w:t>
      </w:r>
      <w:r w:rsidRPr="00924C72">
        <w:rPr>
          <w:lang w:bidi="ar-SA"/>
        </w:rPr>
        <w:t xml:space="preserve">, c. 1886, watercolor heightened with white over pencil on paper, 10 </w:t>
      </w:r>
      <w:r w:rsidRPr="004735A5">
        <w:rPr>
          <w:vertAlign w:val="superscript"/>
          <w:lang w:bidi="ar-SA"/>
        </w:rPr>
        <w:t>1/16</w:t>
      </w:r>
      <w:r w:rsidRPr="00924C72">
        <w:rPr>
          <w:lang w:bidi="ar-SA"/>
        </w:rPr>
        <w:t xml:space="preserve"> x 14 </w:t>
      </w:r>
      <w:r w:rsidRPr="004735A5">
        <w:rPr>
          <w:vertAlign w:val="superscript"/>
          <w:lang w:bidi="ar-SA"/>
        </w:rPr>
        <w:t>5/8</w:t>
      </w:r>
      <w:r w:rsidR="00591681">
        <w:rPr>
          <w:lang w:bidi="ar-SA"/>
        </w:rPr>
        <w:t xml:space="preserve"> inches. Private collection.</w:t>
      </w:r>
    </w:p>
    <w:p w14:paraId="468894EC" w14:textId="0D8C279F" w:rsidR="0060502A" w:rsidRPr="00924C72" w:rsidRDefault="0060502A" w:rsidP="00924C72">
      <w:pPr>
        <w:spacing w:line="240" w:lineRule="auto"/>
        <w:rPr>
          <w:lang w:bidi="ar-SA"/>
        </w:rPr>
      </w:pPr>
    </w:p>
    <w:p w14:paraId="54D8BBAD" w14:textId="68526BE8" w:rsidR="0060502A" w:rsidRPr="00924C72" w:rsidRDefault="0060502A" w:rsidP="00924C72">
      <w:pPr>
        <w:spacing w:line="240" w:lineRule="auto"/>
        <w:rPr>
          <w:lang w:bidi="ar-SA"/>
        </w:rPr>
      </w:pPr>
    </w:p>
    <w:p w14:paraId="3803BCEE" w14:textId="77777777" w:rsidR="00902CCC" w:rsidRPr="00924C72" w:rsidRDefault="0060502A" w:rsidP="00924C72">
      <w:pPr>
        <w:spacing w:line="240" w:lineRule="auto"/>
      </w:pPr>
      <w:r w:rsidRPr="00924C72">
        <w:rPr>
          <w:noProof/>
          <w:lang w:bidi="ar-SA"/>
        </w:rPr>
        <w:drawing>
          <wp:inline distT="0" distB="0" distL="0" distR="0" wp14:anchorId="4E4ACF1F" wp14:editId="299A28FC">
            <wp:extent cx="2599286" cy="22860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2.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99286" cy="2286000"/>
                    </a:xfrm>
                    <a:prstGeom prst="rect">
                      <a:avLst/>
                    </a:prstGeom>
                  </pic:spPr>
                </pic:pic>
              </a:graphicData>
            </a:graphic>
          </wp:inline>
        </w:drawing>
      </w:r>
    </w:p>
    <w:p w14:paraId="132C76F4" w14:textId="5B628C97" w:rsidR="0060502A" w:rsidRPr="00924C72" w:rsidRDefault="00902CCC" w:rsidP="00924C72">
      <w:pPr>
        <w:spacing w:line="240" w:lineRule="auto"/>
      </w:pPr>
      <w:bookmarkStart w:id="52" w:name="_Toc464499099"/>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11</w:t>
      </w:r>
      <w:r w:rsidR="00B31D83">
        <w:rPr>
          <w:noProof/>
        </w:rPr>
        <w:fldChar w:fldCharType="end"/>
      </w:r>
      <w:r w:rsidR="00A4025B">
        <w:t xml:space="preserve"> </w:t>
      </w:r>
      <w:r w:rsidR="004735A5">
        <w:t>–</w:t>
      </w:r>
      <w:r w:rsidR="00A4025B">
        <w:t xml:space="preserve"> </w:t>
      </w:r>
      <w:r w:rsidRPr="00924C72">
        <w:t>Fireplace and Chimney, Volcano House</w:t>
      </w:r>
      <w:bookmarkEnd w:id="52"/>
    </w:p>
    <w:p w14:paraId="71959BB2" w14:textId="77777777" w:rsidR="00924C72" w:rsidRDefault="00924C72" w:rsidP="00924C72">
      <w:pPr>
        <w:spacing w:line="240" w:lineRule="auto"/>
        <w:rPr>
          <w:lang w:bidi="ar-SA"/>
        </w:rPr>
      </w:pPr>
    </w:p>
    <w:p w14:paraId="0E3C370A" w14:textId="69C2CF3F" w:rsidR="0060502A" w:rsidRPr="00924C72" w:rsidRDefault="0060502A" w:rsidP="00924C72">
      <w:pPr>
        <w:spacing w:line="240" w:lineRule="auto"/>
        <w:rPr>
          <w:lang w:bidi="ar-SA"/>
        </w:rPr>
      </w:pPr>
      <w:r w:rsidRPr="00924C72">
        <w:rPr>
          <w:lang w:bidi="ar-SA"/>
        </w:rPr>
        <w:t xml:space="preserve">Fireplace and Chimney, Volcano House, 2012. Photograph </w:t>
      </w:r>
      <w:r w:rsidRPr="00924C72">
        <w:rPr>
          <w:rFonts w:cstheme="minorHAnsi"/>
          <w:lang w:bidi="ar-SA"/>
        </w:rPr>
        <w:t>©</w:t>
      </w:r>
      <w:r w:rsidRPr="00924C72">
        <w:rPr>
          <w:lang w:bidi="ar-SA"/>
        </w:rPr>
        <w:t>James Peck.</w:t>
      </w:r>
    </w:p>
    <w:p w14:paraId="27DD4777" w14:textId="70519450" w:rsidR="0060502A" w:rsidRPr="00924C72" w:rsidRDefault="0060502A" w:rsidP="00771EAA">
      <w:pPr>
        <w:rPr>
          <w:lang w:bidi="ar-SA"/>
        </w:rPr>
      </w:pPr>
    </w:p>
    <w:p w14:paraId="41819CAC" w14:textId="77777777" w:rsidR="00902CCC" w:rsidRPr="00924C72" w:rsidRDefault="0060502A" w:rsidP="00924C72">
      <w:pPr>
        <w:spacing w:line="240" w:lineRule="auto"/>
      </w:pPr>
      <w:r w:rsidRPr="00924C72">
        <w:rPr>
          <w:noProof/>
          <w:lang w:bidi="ar-SA"/>
        </w:rPr>
        <w:drawing>
          <wp:inline distT="0" distB="0" distL="0" distR="0" wp14:anchorId="3A7A4995" wp14:editId="4751ADF9">
            <wp:extent cx="3693762" cy="2286000"/>
            <wp:effectExtent l="0" t="0" r="254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G.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93762" cy="2286000"/>
                    </a:xfrm>
                    <a:prstGeom prst="rect">
                      <a:avLst/>
                    </a:prstGeom>
                  </pic:spPr>
                </pic:pic>
              </a:graphicData>
            </a:graphic>
          </wp:inline>
        </w:drawing>
      </w:r>
    </w:p>
    <w:p w14:paraId="5DF47A96" w14:textId="2C96827F" w:rsidR="0060502A" w:rsidRPr="004735A5" w:rsidRDefault="00902CCC" w:rsidP="00924C72">
      <w:pPr>
        <w:spacing w:line="240" w:lineRule="auto"/>
        <w:rPr>
          <w:i/>
        </w:rPr>
      </w:pPr>
      <w:bookmarkStart w:id="53" w:name="_Toc464499100"/>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12</w:t>
      </w:r>
      <w:r w:rsidR="00B31D83">
        <w:rPr>
          <w:noProof/>
        </w:rPr>
        <w:fldChar w:fldCharType="end"/>
      </w:r>
      <w:r w:rsidR="005A6284" w:rsidRPr="00924C72">
        <w:t xml:space="preserve"> </w:t>
      </w:r>
      <w:r w:rsidR="004735A5">
        <w:t>–</w:t>
      </w:r>
      <w:r w:rsidR="00A4025B">
        <w:t xml:space="preserve"> </w:t>
      </w:r>
      <w:r w:rsidR="005A6284" w:rsidRPr="004735A5">
        <w:rPr>
          <w:i/>
        </w:rPr>
        <w:t>Kilauea in Action</w:t>
      </w:r>
      <w:bookmarkEnd w:id="53"/>
    </w:p>
    <w:p w14:paraId="561C75AD" w14:textId="77777777" w:rsidR="00924C72" w:rsidRDefault="00924C72" w:rsidP="00924C72">
      <w:pPr>
        <w:spacing w:line="240" w:lineRule="auto"/>
        <w:rPr>
          <w:i/>
          <w:lang w:bidi="ar-SA"/>
        </w:rPr>
      </w:pPr>
    </w:p>
    <w:p w14:paraId="006740F3" w14:textId="7918EF60" w:rsidR="00E77B25" w:rsidRPr="00924C72" w:rsidRDefault="0060502A" w:rsidP="00924C72">
      <w:pPr>
        <w:spacing w:line="240" w:lineRule="auto"/>
        <w:rPr>
          <w:rFonts w:ascii="Times New Roman" w:hAnsi="Times New Roman"/>
        </w:rPr>
      </w:pPr>
      <w:r w:rsidRPr="00924C72">
        <w:rPr>
          <w:i/>
          <w:lang w:bidi="ar-SA"/>
        </w:rPr>
        <w:t>Kilauea in Action, 1908</w:t>
      </w:r>
      <w:r w:rsidRPr="00924C72">
        <w:rPr>
          <w:lang w:bidi="ar-SA"/>
        </w:rPr>
        <w:t>.</w:t>
      </w:r>
      <w:r w:rsidR="00E77B25" w:rsidRPr="00924C72">
        <w:rPr>
          <w:lang w:bidi="ar-SA"/>
        </w:rPr>
        <w:t xml:space="preserve"> Illustration from Darcy </w:t>
      </w:r>
      <w:r w:rsidR="00E77B25" w:rsidRPr="00924C72">
        <w:rPr>
          <w:rFonts w:ascii="Times New Roman" w:hAnsi="Times New Roman"/>
        </w:rPr>
        <w:t xml:space="preserve">Bevins, ed. </w:t>
      </w:r>
      <w:r w:rsidR="00E77B25" w:rsidRPr="00924C72">
        <w:rPr>
          <w:rFonts w:ascii="Times New Roman" w:hAnsi="Times New Roman"/>
          <w:i/>
        </w:rPr>
        <w:t>On the Rim of Kilauea: Excepts from the Volcano House Register, 1865-1955</w:t>
      </w:r>
      <w:r w:rsidR="00E77B25" w:rsidRPr="00924C72">
        <w:rPr>
          <w:rFonts w:ascii="Times New Roman" w:hAnsi="Times New Roman"/>
        </w:rPr>
        <w:t xml:space="preserve"> </w:t>
      </w:r>
      <w:r w:rsidR="004735A5">
        <w:rPr>
          <w:rFonts w:ascii="Times New Roman" w:hAnsi="Times New Roman"/>
        </w:rPr>
        <w:t>(</w:t>
      </w:r>
      <w:r w:rsidR="00E77B25" w:rsidRPr="00924C72">
        <w:rPr>
          <w:rFonts w:ascii="Times New Roman" w:hAnsi="Times New Roman"/>
        </w:rPr>
        <w:t>Honolulu: Hawai’i Natural History Association, 1992</w:t>
      </w:r>
      <w:r w:rsidR="004735A5">
        <w:rPr>
          <w:rFonts w:ascii="Times New Roman" w:hAnsi="Times New Roman"/>
        </w:rPr>
        <w:t>), 150</w:t>
      </w:r>
      <w:r w:rsidR="00E77B25" w:rsidRPr="00924C72">
        <w:rPr>
          <w:rFonts w:ascii="Times New Roman" w:hAnsi="Times New Roman"/>
        </w:rPr>
        <w:t>.</w:t>
      </w:r>
    </w:p>
    <w:p w14:paraId="6147B0DC" w14:textId="77777777" w:rsidR="00E77B25" w:rsidRPr="00924C72" w:rsidRDefault="00E77B25" w:rsidP="00924C72">
      <w:pPr>
        <w:spacing w:line="240" w:lineRule="auto"/>
        <w:rPr>
          <w:rFonts w:ascii="Times New Roman" w:hAnsi="Times New Roman"/>
        </w:rPr>
      </w:pPr>
    </w:p>
    <w:p w14:paraId="3DC842B4" w14:textId="77777777" w:rsidR="005A6284" w:rsidRPr="00924C72" w:rsidRDefault="00E77B25" w:rsidP="00924C72">
      <w:pPr>
        <w:spacing w:line="240" w:lineRule="auto"/>
      </w:pPr>
      <w:r w:rsidRPr="00924C72">
        <w:rPr>
          <w:noProof/>
          <w:lang w:bidi="ar-SA"/>
        </w:rPr>
        <w:drawing>
          <wp:inline distT="0" distB="0" distL="0" distR="0" wp14:anchorId="0793A7B3" wp14:editId="682A2EDA">
            <wp:extent cx="3382645" cy="2731045"/>
            <wp:effectExtent l="0" t="0" r="825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3.jpg"/>
                    <pic:cNvPicPr/>
                  </pic:nvPicPr>
                  <pic:blipFill rotWithShape="1">
                    <a:blip r:embed="rId44" cstate="print">
                      <a:extLst>
                        <a:ext uri="{28A0092B-C50C-407E-A947-70E740481C1C}">
                          <a14:useLocalDpi xmlns:a14="http://schemas.microsoft.com/office/drawing/2010/main" val="0"/>
                        </a:ext>
                      </a:extLst>
                    </a:blip>
                    <a:srcRect t="1141" b="685"/>
                    <a:stretch/>
                  </pic:blipFill>
                  <pic:spPr bwMode="auto">
                    <a:xfrm>
                      <a:off x="0" y="0"/>
                      <a:ext cx="3383280" cy="2731558"/>
                    </a:xfrm>
                    <a:prstGeom prst="rect">
                      <a:avLst/>
                    </a:prstGeom>
                    <a:ln>
                      <a:noFill/>
                    </a:ln>
                    <a:extLst>
                      <a:ext uri="{53640926-AAD7-44D8-BBD7-CCE9431645EC}">
                        <a14:shadowObscured xmlns:a14="http://schemas.microsoft.com/office/drawing/2010/main"/>
                      </a:ext>
                    </a:extLst>
                  </pic:spPr>
                </pic:pic>
              </a:graphicData>
            </a:graphic>
          </wp:inline>
        </w:drawing>
      </w:r>
    </w:p>
    <w:p w14:paraId="15582F30" w14:textId="7353A7AA" w:rsidR="00E77B25" w:rsidRPr="00924C72" w:rsidRDefault="005A6284" w:rsidP="00924C72">
      <w:pPr>
        <w:spacing w:line="240" w:lineRule="auto"/>
      </w:pPr>
      <w:bookmarkStart w:id="54" w:name="_Toc464499101"/>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13</w:t>
      </w:r>
      <w:r w:rsidR="00B31D83">
        <w:rPr>
          <w:noProof/>
        </w:rPr>
        <w:fldChar w:fldCharType="end"/>
      </w:r>
      <w:r w:rsidRPr="00924C72">
        <w:t xml:space="preserve"> </w:t>
      </w:r>
      <w:r w:rsidR="004735A5">
        <w:t>–</w:t>
      </w:r>
      <w:r w:rsidR="000D2318">
        <w:t xml:space="preserve"> </w:t>
      </w:r>
      <w:r w:rsidRPr="00924C72">
        <w:t>Illustrations of World’s Fair Cyclorama</w:t>
      </w:r>
      <w:bookmarkEnd w:id="54"/>
    </w:p>
    <w:p w14:paraId="7B2B08C3" w14:textId="77777777" w:rsidR="00924C72" w:rsidRDefault="00924C72" w:rsidP="00924C72">
      <w:pPr>
        <w:spacing w:line="240" w:lineRule="auto"/>
        <w:rPr>
          <w:lang w:bidi="ar-SA"/>
        </w:rPr>
      </w:pPr>
    </w:p>
    <w:p w14:paraId="61E38A4D" w14:textId="5ECD0AFA" w:rsidR="00E77B25" w:rsidRPr="00924C72" w:rsidRDefault="00BA2470" w:rsidP="00924C72">
      <w:pPr>
        <w:spacing w:line="240" w:lineRule="auto"/>
        <w:rPr>
          <w:rFonts w:ascii="Times New Roman" w:hAnsi="Times New Roman"/>
        </w:rPr>
      </w:pPr>
      <w:r w:rsidRPr="00924C72">
        <w:rPr>
          <w:lang w:bidi="ar-SA"/>
        </w:rPr>
        <w:t>“</w:t>
      </w:r>
      <w:r w:rsidR="00E77B25" w:rsidRPr="00924C72">
        <w:rPr>
          <w:lang w:bidi="ar-SA"/>
        </w:rPr>
        <w:t>Painting the Great Volcano Cyclorama</w:t>
      </w:r>
      <w:r w:rsidRPr="00924C72">
        <w:rPr>
          <w:lang w:bidi="ar-SA"/>
        </w:rPr>
        <w:t>” and “</w:t>
      </w:r>
      <w:r w:rsidR="00E77B25" w:rsidRPr="00924C72">
        <w:rPr>
          <w:lang w:bidi="ar-SA"/>
        </w:rPr>
        <w:t>Framework for Volcano Blow-Hole,</w:t>
      </w:r>
      <w:r w:rsidRPr="00924C72">
        <w:rPr>
          <w:lang w:bidi="ar-SA"/>
        </w:rPr>
        <w:t>”</w:t>
      </w:r>
      <w:r w:rsidR="00E77B25" w:rsidRPr="00924C72">
        <w:rPr>
          <w:lang w:bidi="ar-SA"/>
        </w:rPr>
        <w:t xml:space="preserve"> Illustration</w:t>
      </w:r>
      <w:r w:rsidR="005A6284" w:rsidRPr="00924C72">
        <w:rPr>
          <w:lang w:bidi="ar-SA"/>
        </w:rPr>
        <w:t>s</w:t>
      </w:r>
      <w:r w:rsidR="00E77B25" w:rsidRPr="00924C72">
        <w:rPr>
          <w:lang w:bidi="ar-SA"/>
        </w:rPr>
        <w:t xml:space="preserve"> from </w:t>
      </w:r>
      <w:r w:rsidRPr="00924C72">
        <w:rPr>
          <w:rFonts w:ascii="Times New Roman" w:hAnsi="Times New Roman"/>
        </w:rPr>
        <w:t xml:space="preserve">“World’s Fair Doings.” </w:t>
      </w:r>
      <w:r w:rsidRPr="00924C72">
        <w:rPr>
          <w:rFonts w:ascii="Times New Roman" w:hAnsi="Times New Roman"/>
          <w:i/>
        </w:rPr>
        <w:t>Daily Inter Ocean</w:t>
      </w:r>
      <w:r w:rsidRPr="00924C72">
        <w:rPr>
          <w:rFonts w:ascii="Times New Roman" w:hAnsi="Times New Roman"/>
        </w:rPr>
        <w:t xml:space="preserve"> (Chicago), March 1, 1893.</w:t>
      </w:r>
    </w:p>
    <w:p w14:paraId="60968225" w14:textId="77777777" w:rsidR="00677848" w:rsidRPr="00924C72" w:rsidRDefault="00677848" w:rsidP="00924C72">
      <w:pPr>
        <w:spacing w:line="240" w:lineRule="auto"/>
        <w:rPr>
          <w:rFonts w:ascii="Times New Roman" w:hAnsi="Times New Roman"/>
        </w:rPr>
      </w:pPr>
    </w:p>
    <w:p w14:paraId="6E3BBD6A" w14:textId="77777777" w:rsidR="00A276F2" w:rsidRPr="00924C72" w:rsidRDefault="00A276F2" w:rsidP="00924C72">
      <w:pPr>
        <w:spacing w:line="240" w:lineRule="auto"/>
        <w:rPr>
          <w:rFonts w:ascii="Times New Roman" w:hAnsi="Times New Roman"/>
        </w:rPr>
      </w:pPr>
    </w:p>
    <w:p w14:paraId="53452B74" w14:textId="77777777" w:rsidR="005A6284" w:rsidRPr="00924C72" w:rsidRDefault="00A276F2" w:rsidP="00924C72">
      <w:pPr>
        <w:spacing w:line="240" w:lineRule="auto"/>
      </w:pPr>
      <w:r w:rsidRPr="00924C72">
        <w:rPr>
          <w:rFonts w:ascii="Times New Roman" w:hAnsi="Times New Roman"/>
          <w:noProof/>
          <w:lang w:bidi="ar-SA"/>
        </w:rPr>
        <w:drawing>
          <wp:inline distT="0" distB="0" distL="0" distR="0" wp14:anchorId="5F1FFB85" wp14:editId="3C428F09">
            <wp:extent cx="3200400" cy="2033773"/>
            <wp:effectExtent l="0" t="0" r="0" b="508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f72GsKTMY.jpg"/>
                    <pic:cNvPicPr/>
                  </pic:nvPicPr>
                  <pic:blipFill rotWithShape="1">
                    <a:blip r:embed="rId45" cstate="print">
                      <a:extLst>
                        <a:ext uri="{28A0092B-C50C-407E-A947-70E740481C1C}">
                          <a14:useLocalDpi xmlns:a14="http://schemas.microsoft.com/office/drawing/2010/main" val="0"/>
                        </a:ext>
                      </a:extLst>
                    </a:blip>
                    <a:srcRect t="2351"/>
                    <a:stretch/>
                  </pic:blipFill>
                  <pic:spPr bwMode="auto">
                    <a:xfrm>
                      <a:off x="0" y="0"/>
                      <a:ext cx="3200400" cy="2033773"/>
                    </a:xfrm>
                    <a:prstGeom prst="rect">
                      <a:avLst/>
                    </a:prstGeom>
                    <a:ln>
                      <a:noFill/>
                    </a:ln>
                    <a:extLst>
                      <a:ext uri="{53640926-AAD7-44D8-BBD7-CCE9431645EC}">
                        <a14:shadowObscured xmlns:a14="http://schemas.microsoft.com/office/drawing/2010/main"/>
                      </a:ext>
                    </a:extLst>
                  </pic:spPr>
                </pic:pic>
              </a:graphicData>
            </a:graphic>
          </wp:inline>
        </w:drawing>
      </w:r>
    </w:p>
    <w:p w14:paraId="1FA0F0DC" w14:textId="3B2438AC" w:rsidR="005A6284" w:rsidRPr="00924C72" w:rsidRDefault="005A6284" w:rsidP="00924C72">
      <w:pPr>
        <w:spacing w:line="240" w:lineRule="auto"/>
        <w:rPr>
          <w:rFonts w:ascii="Times New Roman" w:hAnsi="Times New Roman"/>
          <w:i/>
        </w:rPr>
      </w:pPr>
      <w:bookmarkStart w:id="55" w:name="_Toc464499102"/>
      <w:r w:rsidRPr="00924C72">
        <w:t xml:space="preserve">Figure </w:t>
      </w:r>
      <w:r w:rsidR="00B055DA">
        <w:t>3</w:t>
      </w:r>
      <w:r w:rsidR="00E47A28">
        <w:t>.</w:t>
      </w:r>
      <w:r w:rsidR="00B31D83">
        <w:fldChar w:fldCharType="begin"/>
      </w:r>
      <w:r w:rsidR="00B31D83">
        <w:instrText xml:space="preserve"> SEQ Figure \* ARABIC \s 1 </w:instrText>
      </w:r>
      <w:r w:rsidR="00B31D83">
        <w:fldChar w:fldCharType="separate"/>
      </w:r>
      <w:r w:rsidR="00FE5897">
        <w:rPr>
          <w:noProof/>
        </w:rPr>
        <w:t>14</w:t>
      </w:r>
      <w:r w:rsidR="00B31D83">
        <w:rPr>
          <w:noProof/>
        </w:rPr>
        <w:fldChar w:fldCharType="end"/>
      </w:r>
      <w:r w:rsidRPr="00924C72">
        <w:t xml:space="preserve"> </w:t>
      </w:r>
      <w:r w:rsidR="004735A5">
        <w:t>–</w:t>
      </w:r>
      <w:r w:rsidR="000D2318">
        <w:t xml:space="preserve"> </w:t>
      </w:r>
      <w:r w:rsidRPr="00924C72">
        <w:rPr>
          <w:rFonts w:ascii="Times New Roman" w:hAnsi="Times New Roman"/>
        </w:rPr>
        <w:t>Titian Ramsay Peale,</w:t>
      </w:r>
      <w:r w:rsidRPr="00924C72">
        <w:rPr>
          <w:rFonts w:ascii="Times New Roman" w:hAnsi="Times New Roman"/>
          <w:i/>
        </w:rPr>
        <w:t xml:space="preserve"> Kilauea by Day</w:t>
      </w:r>
      <w:bookmarkEnd w:id="55"/>
    </w:p>
    <w:p w14:paraId="5412078A" w14:textId="77777777" w:rsidR="00924C72" w:rsidRDefault="00924C72" w:rsidP="00924C72">
      <w:pPr>
        <w:spacing w:line="240" w:lineRule="auto"/>
        <w:rPr>
          <w:rFonts w:ascii="Times New Roman" w:hAnsi="Times New Roman"/>
        </w:rPr>
      </w:pPr>
    </w:p>
    <w:p w14:paraId="6971AADB" w14:textId="4B77F580" w:rsidR="005A6284" w:rsidRPr="00924C72" w:rsidRDefault="005A6284" w:rsidP="00924C72">
      <w:pPr>
        <w:spacing w:line="240" w:lineRule="auto"/>
        <w:rPr>
          <w:rFonts w:ascii="Times New Roman" w:hAnsi="Times New Roman"/>
        </w:rPr>
      </w:pPr>
      <w:r w:rsidRPr="00924C72">
        <w:rPr>
          <w:rFonts w:ascii="Times New Roman" w:hAnsi="Times New Roman"/>
        </w:rPr>
        <w:t>Titian Ramsay Peale,</w:t>
      </w:r>
      <w:r w:rsidRPr="00924C72">
        <w:rPr>
          <w:rFonts w:ascii="Times New Roman" w:hAnsi="Times New Roman"/>
          <w:i/>
        </w:rPr>
        <w:t xml:space="preserve"> Kilauea by Day</w:t>
      </w:r>
      <w:r w:rsidRPr="00924C72">
        <w:rPr>
          <w:rFonts w:ascii="Times New Roman" w:hAnsi="Times New Roman"/>
        </w:rPr>
        <w:t xml:space="preserve">, 1841, oil on canvas, 20 ¼ 30 </w:t>
      </w:r>
      <w:r w:rsidRPr="008B5253">
        <w:rPr>
          <w:rFonts w:ascii="Times New Roman" w:hAnsi="Times New Roman"/>
          <w:vertAlign w:val="superscript"/>
        </w:rPr>
        <w:t>1/8</w:t>
      </w:r>
      <w:r w:rsidRPr="00924C72">
        <w:rPr>
          <w:rFonts w:ascii="Times New Roman" w:hAnsi="Times New Roman"/>
        </w:rPr>
        <w:t xml:space="preserve"> inches. Bernice P. Bishop Museum, Honolulu. Gift of Albert Rosenthal.</w:t>
      </w:r>
    </w:p>
    <w:p w14:paraId="54DC80EC" w14:textId="79807D8B" w:rsidR="005A6284" w:rsidRPr="00924C72" w:rsidRDefault="005A6284" w:rsidP="00924C72">
      <w:pPr>
        <w:spacing w:line="240" w:lineRule="auto"/>
        <w:rPr>
          <w:lang w:bidi="ar-SA"/>
        </w:rPr>
      </w:pPr>
    </w:p>
    <w:p w14:paraId="515D46B0" w14:textId="1486E793" w:rsidR="00E321EC" w:rsidRPr="00924C72" w:rsidRDefault="00E321EC" w:rsidP="00924C72">
      <w:pPr>
        <w:spacing w:line="240" w:lineRule="auto"/>
        <w:rPr>
          <w:lang w:bidi="ar-SA"/>
        </w:rPr>
      </w:pPr>
    </w:p>
    <w:p w14:paraId="166E9DF0" w14:textId="1E0B4126" w:rsidR="00E321EC" w:rsidRPr="00924C72" w:rsidRDefault="00E321EC" w:rsidP="00924C72">
      <w:pPr>
        <w:spacing w:line="240" w:lineRule="auto"/>
        <w:rPr>
          <w:lang w:bidi="ar-SA"/>
        </w:rPr>
      </w:pPr>
    </w:p>
    <w:p w14:paraId="3C656D95" w14:textId="4DC8C1C2" w:rsidR="00BA2470" w:rsidRPr="00924C72" w:rsidRDefault="006C4B42" w:rsidP="00924C72">
      <w:pPr>
        <w:spacing w:line="240" w:lineRule="auto"/>
        <w:rPr>
          <w:rFonts w:ascii="Times New Roman" w:hAnsi="Times New Roman"/>
        </w:rPr>
      </w:pPr>
      <w:r w:rsidRPr="00924C72">
        <w:rPr>
          <w:rFonts w:ascii="Times New Roman" w:hAnsi="Times New Roman"/>
          <w:noProof/>
          <w:lang w:bidi="ar-SA"/>
        </w:rPr>
        <w:drawing>
          <wp:inline distT="0" distB="0" distL="0" distR="0" wp14:anchorId="28E391E3" wp14:editId="411AA72D">
            <wp:extent cx="2670225" cy="13716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f72GsKTMY.jpg"/>
                    <pic:cNvPicPr/>
                  </pic:nvPicPr>
                  <pic:blipFill rotWithShape="1">
                    <a:blip r:embed="rId46" cstate="print">
                      <a:extLst>
                        <a:ext uri="{28A0092B-C50C-407E-A947-70E740481C1C}">
                          <a14:useLocalDpi xmlns:a14="http://schemas.microsoft.com/office/drawing/2010/main" val="0"/>
                        </a:ext>
                      </a:extLst>
                    </a:blip>
                    <a:srcRect l="54507" t="77339" r="16784"/>
                    <a:stretch/>
                  </pic:blipFill>
                  <pic:spPr bwMode="auto">
                    <a:xfrm>
                      <a:off x="0" y="0"/>
                      <a:ext cx="2670225" cy="1371600"/>
                    </a:xfrm>
                    <a:prstGeom prst="rect">
                      <a:avLst/>
                    </a:prstGeom>
                    <a:ln>
                      <a:noFill/>
                    </a:ln>
                    <a:extLst>
                      <a:ext uri="{53640926-AAD7-44D8-BBD7-CCE9431645EC}">
                        <a14:shadowObscured xmlns:a14="http://schemas.microsoft.com/office/drawing/2010/main"/>
                      </a:ext>
                    </a:extLst>
                  </pic:spPr>
                </pic:pic>
              </a:graphicData>
            </a:graphic>
          </wp:inline>
        </w:drawing>
      </w:r>
    </w:p>
    <w:p w14:paraId="19CBCFD1" w14:textId="2F42488A" w:rsidR="00E321EC" w:rsidRPr="00924C72" w:rsidRDefault="00BA2470" w:rsidP="00924C72">
      <w:pPr>
        <w:spacing w:line="240" w:lineRule="auto"/>
        <w:rPr>
          <w:rFonts w:ascii="Times New Roman" w:hAnsi="Times New Roman"/>
          <w:i/>
        </w:rPr>
      </w:pPr>
      <w:bookmarkStart w:id="56" w:name="_Toc464499103"/>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15</w:t>
      </w:r>
      <w:r w:rsidR="00B31D83">
        <w:rPr>
          <w:noProof/>
        </w:rPr>
        <w:fldChar w:fldCharType="end"/>
      </w:r>
      <w:r w:rsidR="00E321EC" w:rsidRPr="00924C72">
        <w:t xml:space="preserve"> </w:t>
      </w:r>
      <w:r w:rsidR="000D2318">
        <w:t xml:space="preserve">- </w:t>
      </w:r>
      <w:r w:rsidR="00E321EC" w:rsidRPr="00924C72">
        <w:rPr>
          <w:rFonts w:ascii="Times New Roman" w:hAnsi="Times New Roman"/>
        </w:rPr>
        <w:t xml:space="preserve">Detail, </w:t>
      </w:r>
      <w:r w:rsidR="00E321EC" w:rsidRPr="00924C72">
        <w:rPr>
          <w:rFonts w:ascii="Times New Roman" w:hAnsi="Times New Roman"/>
          <w:i/>
        </w:rPr>
        <w:t>Kilauea by Day</w:t>
      </w:r>
      <w:bookmarkEnd w:id="56"/>
    </w:p>
    <w:p w14:paraId="014717EF" w14:textId="77777777" w:rsidR="00924C72" w:rsidRDefault="00924C72" w:rsidP="00924C72">
      <w:pPr>
        <w:spacing w:line="240" w:lineRule="auto"/>
        <w:rPr>
          <w:rFonts w:ascii="Times New Roman" w:hAnsi="Times New Roman"/>
        </w:rPr>
      </w:pPr>
    </w:p>
    <w:p w14:paraId="4FDC3C51" w14:textId="0C53AE01" w:rsidR="00677848" w:rsidRPr="00924C72" w:rsidRDefault="00E321EC" w:rsidP="00924C72">
      <w:pPr>
        <w:spacing w:line="240" w:lineRule="auto"/>
        <w:rPr>
          <w:rFonts w:ascii="Times New Roman" w:hAnsi="Times New Roman"/>
        </w:rPr>
      </w:pPr>
      <w:r w:rsidRPr="00924C72">
        <w:rPr>
          <w:rFonts w:ascii="Times New Roman" w:hAnsi="Times New Roman"/>
        </w:rPr>
        <w:t xml:space="preserve">Detail. </w:t>
      </w:r>
      <w:r w:rsidR="009D70A9" w:rsidRPr="00924C72">
        <w:rPr>
          <w:rFonts w:ascii="Times New Roman" w:hAnsi="Times New Roman"/>
        </w:rPr>
        <w:t>Titian Ramsay Peale,</w:t>
      </w:r>
      <w:r w:rsidR="009D70A9" w:rsidRPr="00924C72">
        <w:rPr>
          <w:rFonts w:ascii="Times New Roman" w:hAnsi="Times New Roman"/>
          <w:i/>
        </w:rPr>
        <w:t xml:space="preserve"> </w:t>
      </w:r>
      <w:r w:rsidR="007C7B36" w:rsidRPr="00924C72">
        <w:rPr>
          <w:rFonts w:ascii="Times New Roman" w:hAnsi="Times New Roman"/>
          <w:i/>
        </w:rPr>
        <w:t xml:space="preserve">Kilauea </w:t>
      </w:r>
      <w:r w:rsidR="00A276F2" w:rsidRPr="00924C72">
        <w:rPr>
          <w:rFonts w:ascii="Times New Roman" w:hAnsi="Times New Roman"/>
          <w:i/>
        </w:rPr>
        <w:t>by Day</w:t>
      </w:r>
      <w:r w:rsidR="00A276F2" w:rsidRPr="00924C72">
        <w:rPr>
          <w:rFonts w:ascii="Times New Roman" w:hAnsi="Times New Roman"/>
        </w:rPr>
        <w:t>, 18</w:t>
      </w:r>
      <w:r w:rsidR="009D70A9" w:rsidRPr="00924C72">
        <w:rPr>
          <w:rFonts w:ascii="Times New Roman" w:hAnsi="Times New Roman"/>
        </w:rPr>
        <w:t>41</w:t>
      </w:r>
      <w:r w:rsidR="00A276F2" w:rsidRPr="00924C72">
        <w:rPr>
          <w:rFonts w:ascii="Times New Roman" w:hAnsi="Times New Roman"/>
        </w:rPr>
        <w:t xml:space="preserve">, oil on canvas, 20 ¼ 30 </w:t>
      </w:r>
      <w:r w:rsidR="00A276F2" w:rsidRPr="008B5253">
        <w:rPr>
          <w:rFonts w:ascii="Times New Roman" w:hAnsi="Times New Roman"/>
          <w:vertAlign w:val="superscript"/>
        </w:rPr>
        <w:t>1/8</w:t>
      </w:r>
      <w:r w:rsidR="006C4B42" w:rsidRPr="00924C72">
        <w:rPr>
          <w:rFonts w:ascii="Times New Roman" w:hAnsi="Times New Roman"/>
        </w:rPr>
        <w:t xml:space="preserve"> inches. Bernice P. Bishop Museum, Honolulu. Gift of Albert Rosenthal.</w:t>
      </w:r>
    </w:p>
    <w:p w14:paraId="46776BA0" w14:textId="78B6CB11" w:rsidR="00A276F2" w:rsidRPr="00924C72" w:rsidRDefault="00A276F2" w:rsidP="00924C72">
      <w:pPr>
        <w:spacing w:line="240" w:lineRule="auto"/>
        <w:rPr>
          <w:rFonts w:ascii="Times New Roman" w:hAnsi="Times New Roman"/>
        </w:rPr>
      </w:pPr>
    </w:p>
    <w:p w14:paraId="7B8958F2" w14:textId="77777777" w:rsidR="00E321EC" w:rsidRPr="00924C72" w:rsidRDefault="00E321EC" w:rsidP="00924C72">
      <w:pPr>
        <w:spacing w:line="240" w:lineRule="auto"/>
        <w:rPr>
          <w:rFonts w:ascii="Times New Roman" w:hAnsi="Times New Roman"/>
        </w:rPr>
      </w:pPr>
    </w:p>
    <w:p w14:paraId="576B4F5A" w14:textId="77777777" w:rsidR="00E321EC" w:rsidRPr="00924C72" w:rsidRDefault="007C7B36" w:rsidP="00924C72">
      <w:pPr>
        <w:spacing w:line="240" w:lineRule="auto"/>
      </w:pPr>
      <w:r w:rsidRPr="00924C72">
        <w:rPr>
          <w:noProof/>
          <w:lang w:bidi="ar-SA"/>
        </w:rPr>
        <w:drawing>
          <wp:inline distT="0" distB="0" distL="0" distR="0" wp14:anchorId="1BC9EDD3" wp14:editId="57EB6015">
            <wp:extent cx="1847337" cy="2926080"/>
            <wp:effectExtent l="0" t="0" r="635"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Alexander Lancaster, employed by Volcano House 1885-1924, TA Jagger 1912-1928, USGS photo - Copy.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847337" cy="2926080"/>
                    </a:xfrm>
                    <a:prstGeom prst="rect">
                      <a:avLst/>
                    </a:prstGeom>
                  </pic:spPr>
                </pic:pic>
              </a:graphicData>
            </a:graphic>
          </wp:inline>
        </w:drawing>
      </w:r>
    </w:p>
    <w:p w14:paraId="2B3E9443" w14:textId="1E3C8C92" w:rsidR="006C4B42" w:rsidRDefault="00E321EC" w:rsidP="00924C72">
      <w:pPr>
        <w:spacing w:line="240" w:lineRule="auto"/>
      </w:pPr>
      <w:bookmarkStart w:id="57" w:name="_Toc464499104"/>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16</w:t>
      </w:r>
      <w:r w:rsidR="00B31D83">
        <w:rPr>
          <w:noProof/>
        </w:rPr>
        <w:fldChar w:fldCharType="end"/>
      </w:r>
      <w:r w:rsidRPr="00924C72">
        <w:t xml:space="preserve"> </w:t>
      </w:r>
      <w:r w:rsidR="000D2318">
        <w:t xml:space="preserve">- </w:t>
      </w:r>
      <w:r w:rsidRPr="00924C72">
        <w:t>Alexander Lancaster</w:t>
      </w:r>
      <w:bookmarkEnd w:id="57"/>
    </w:p>
    <w:p w14:paraId="4FA3F49B" w14:textId="77777777" w:rsidR="00924C72" w:rsidRPr="00924C72" w:rsidRDefault="00924C72" w:rsidP="00924C72">
      <w:pPr>
        <w:spacing w:line="240" w:lineRule="auto"/>
      </w:pPr>
    </w:p>
    <w:p w14:paraId="4A728F5D" w14:textId="61B3BF79" w:rsidR="00BA2470" w:rsidRPr="00924C72" w:rsidRDefault="00BA2470" w:rsidP="00924C72">
      <w:pPr>
        <w:spacing w:line="240" w:lineRule="auto"/>
        <w:rPr>
          <w:lang w:bidi="ar-SA"/>
        </w:rPr>
      </w:pPr>
      <w:r w:rsidRPr="00924C72">
        <w:rPr>
          <w:lang w:bidi="ar-SA"/>
        </w:rPr>
        <w:t>Alexander Lancaster, Employed by the Volcano House</w:t>
      </w:r>
      <w:r w:rsidR="006C4B42" w:rsidRPr="00924C72">
        <w:rPr>
          <w:lang w:bidi="ar-SA"/>
        </w:rPr>
        <w:t xml:space="preserve"> from1885 to 1912</w:t>
      </w:r>
      <w:r w:rsidR="005617CE">
        <w:rPr>
          <w:lang w:bidi="ar-SA"/>
        </w:rPr>
        <w:t>, a</w:t>
      </w:r>
      <w:r w:rsidR="007D753B">
        <w:rPr>
          <w:lang w:bidi="ar-SA"/>
        </w:rPr>
        <w:t>ccessed</w:t>
      </w:r>
      <w:r w:rsidR="005617CE">
        <w:rPr>
          <w:lang w:bidi="ar-SA"/>
        </w:rPr>
        <w:t xml:space="preserve"> October 5, 2016.</w:t>
      </w:r>
      <w:r w:rsidR="008B5253">
        <w:rPr>
          <w:lang w:bidi="ar-SA"/>
        </w:rPr>
        <w:t xml:space="preserve"> </w:t>
      </w:r>
      <w:r w:rsidR="006C4B42" w:rsidRPr="00924C72">
        <w:rPr>
          <w:lang w:bidi="ar-SA"/>
        </w:rPr>
        <w:t>http://imagesofoldhawaii.com</w:t>
      </w:r>
      <w:r w:rsidR="007C7B36" w:rsidRPr="00924C72">
        <w:rPr>
          <w:lang w:bidi="ar-SA"/>
        </w:rPr>
        <w:t>/alexander_p_lancaster/</w:t>
      </w:r>
      <w:r w:rsidR="00054F0D" w:rsidRPr="00924C72">
        <w:rPr>
          <w:lang w:bidi="ar-SA"/>
        </w:rPr>
        <w:t xml:space="preserve"> </w:t>
      </w:r>
    </w:p>
    <w:p w14:paraId="7AD1DC36" w14:textId="732E9C60" w:rsidR="00BA2470" w:rsidRPr="00924C72" w:rsidRDefault="00BA2470" w:rsidP="00771EAA">
      <w:pPr>
        <w:rPr>
          <w:lang w:bidi="ar-SA"/>
        </w:rPr>
      </w:pPr>
    </w:p>
    <w:p w14:paraId="326DFAEA" w14:textId="77777777" w:rsidR="00E321EC" w:rsidRPr="00924C72" w:rsidRDefault="006C4B42" w:rsidP="00924C72">
      <w:pPr>
        <w:spacing w:line="240" w:lineRule="auto"/>
      </w:pPr>
      <w:r w:rsidRPr="00924C72">
        <w:rPr>
          <w:noProof/>
          <w:lang w:bidi="ar-SA"/>
        </w:rPr>
        <w:drawing>
          <wp:inline distT="0" distB="0" distL="0" distR="0" wp14:anchorId="35B703F9" wp14:editId="44D7B728">
            <wp:extent cx="4023360" cy="2263140"/>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G_20130612_122204_664.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023360" cy="2263140"/>
                    </a:xfrm>
                    <a:prstGeom prst="rect">
                      <a:avLst/>
                    </a:prstGeom>
                  </pic:spPr>
                </pic:pic>
              </a:graphicData>
            </a:graphic>
          </wp:inline>
        </w:drawing>
      </w:r>
    </w:p>
    <w:p w14:paraId="03F91B59" w14:textId="7F807C72" w:rsidR="006C4B42" w:rsidRPr="00924C72" w:rsidRDefault="00E321EC" w:rsidP="00924C72">
      <w:pPr>
        <w:spacing w:line="240" w:lineRule="auto"/>
      </w:pPr>
      <w:bookmarkStart w:id="58" w:name="_Toc464499105"/>
      <w:r w:rsidRPr="00924C72">
        <w:t xml:space="preserve">Figure </w:t>
      </w:r>
      <w:r w:rsidR="00B055DA">
        <w:t>3</w:t>
      </w:r>
      <w:r w:rsidR="00924C72">
        <w:t>.</w:t>
      </w:r>
      <w:r w:rsidR="00B31D83">
        <w:fldChar w:fldCharType="begin"/>
      </w:r>
      <w:r w:rsidR="00B31D83">
        <w:instrText xml:space="preserve"> SEQ Figure \* ARABIC \s 1 </w:instrText>
      </w:r>
      <w:r w:rsidR="00B31D83">
        <w:fldChar w:fldCharType="separate"/>
      </w:r>
      <w:r w:rsidR="00FE5897">
        <w:rPr>
          <w:noProof/>
        </w:rPr>
        <w:t>17</w:t>
      </w:r>
      <w:r w:rsidR="00B31D83">
        <w:rPr>
          <w:noProof/>
        </w:rPr>
        <w:fldChar w:fldCharType="end"/>
      </w:r>
      <w:r w:rsidRPr="00924C72">
        <w:t xml:space="preserve"> </w:t>
      </w:r>
      <w:r w:rsidR="00AA11D8">
        <w:t>–</w:t>
      </w:r>
      <w:r w:rsidR="000D2318">
        <w:t xml:space="preserve"> </w:t>
      </w:r>
      <w:r w:rsidRPr="00924C72">
        <w:t>View of Kilauea</w:t>
      </w:r>
      <w:r w:rsidR="00FB6178">
        <w:t>, 2012</w:t>
      </w:r>
      <w:bookmarkEnd w:id="58"/>
    </w:p>
    <w:p w14:paraId="0F4EEA67" w14:textId="77777777" w:rsidR="00924C72" w:rsidRDefault="00924C72" w:rsidP="00924C72">
      <w:pPr>
        <w:spacing w:line="240" w:lineRule="auto"/>
        <w:rPr>
          <w:lang w:bidi="ar-SA"/>
        </w:rPr>
      </w:pPr>
    </w:p>
    <w:p w14:paraId="1DEFC025" w14:textId="20DE682B" w:rsidR="00F95CF5" w:rsidRPr="00924C72" w:rsidRDefault="00F95CF5" w:rsidP="00924C72">
      <w:pPr>
        <w:spacing w:line="240" w:lineRule="auto"/>
        <w:rPr>
          <w:lang w:bidi="ar-SA"/>
        </w:rPr>
      </w:pPr>
      <w:r w:rsidRPr="00924C72">
        <w:rPr>
          <w:lang w:bidi="ar-SA"/>
        </w:rPr>
        <w:t xml:space="preserve">View of Kilauea from the Volcano House. June 12, 2012. Photograph </w:t>
      </w:r>
      <w:r w:rsidRPr="00924C72">
        <w:rPr>
          <w:rFonts w:cstheme="minorHAnsi"/>
          <w:lang w:bidi="ar-SA"/>
        </w:rPr>
        <w:t>©</w:t>
      </w:r>
      <w:r w:rsidRPr="00924C72">
        <w:rPr>
          <w:lang w:bidi="ar-SA"/>
        </w:rPr>
        <w:t>James Peck</w:t>
      </w:r>
    </w:p>
    <w:p w14:paraId="2F14EF37" w14:textId="0A951BCD" w:rsidR="0060502A" w:rsidRPr="0060502A" w:rsidRDefault="00E77B25" w:rsidP="00771EAA">
      <w:pPr>
        <w:rPr>
          <w:lang w:bidi="ar-SA"/>
        </w:rPr>
      </w:pPr>
      <w:r>
        <w:rPr>
          <w:lang w:bidi="ar-SA"/>
        </w:rPr>
        <w:t xml:space="preserve"> </w:t>
      </w:r>
    </w:p>
    <w:p w14:paraId="7911780B" w14:textId="750C622E" w:rsidR="0060502A" w:rsidRDefault="0060502A" w:rsidP="0060502A">
      <w:pPr>
        <w:rPr>
          <w:lang w:bidi="ar-SA"/>
        </w:rPr>
      </w:pPr>
    </w:p>
    <w:p w14:paraId="771F7F5C" w14:textId="77777777" w:rsidR="0060502A" w:rsidRPr="0060502A" w:rsidRDefault="0060502A" w:rsidP="0060502A">
      <w:pPr>
        <w:rPr>
          <w:lang w:bidi="ar-SA"/>
        </w:rPr>
        <w:sectPr w:rsidR="0060502A" w:rsidRPr="0060502A" w:rsidSect="008260C6">
          <w:footnotePr>
            <w:numRestart w:val="eachSect"/>
          </w:footnotePr>
          <w:endnotePr>
            <w:numFmt w:val="decimal"/>
          </w:endnotePr>
          <w:pgSz w:w="12240" w:h="15840" w:code="1"/>
          <w:pgMar w:top="1440" w:right="1440" w:bottom="1440" w:left="2304" w:header="720" w:footer="720" w:gutter="0"/>
          <w:cols w:space="720"/>
          <w:docGrid w:linePitch="360"/>
        </w:sectPr>
      </w:pPr>
    </w:p>
    <w:p w14:paraId="24114901" w14:textId="42438B85" w:rsidR="002202F2" w:rsidRDefault="008A5026" w:rsidP="00D33940">
      <w:pPr>
        <w:pStyle w:val="Heading1"/>
      </w:pPr>
      <w:bookmarkStart w:id="59" w:name="_Toc468379262"/>
      <w:bookmarkStart w:id="60" w:name="_Toc462940482"/>
      <w:r>
        <w:t xml:space="preserve">Chapter 4 </w:t>
      </w:r>
      <w:r w:rsidR="002B78D2">
        <w:t xml:space="preserve">– </w:t>
      </w:r>
      <w:r w:rsidR="005B7071" w:rsidRPr="005B7071">
        <w:t>Painting Indians: The Gaze and Pueblo Modernism</w:t>
      </w:r>
      <w:bookmarkEnd w:id="59"/>
    </w:p>
    <w:p w14:paraId="344C3D91" w14:textId="77777777" w:rsidR="009B1217" w:rsidRPr="009B1217" w:rsidRDefault="009B1217" w:rsidP="009B1217">
      <w:pPr>
        <w:rPr>
          <w:lang w:bidi="ar-SA"/>
        </w:rPr>
      </w:pPr>
    </w:p>
    <w:p w14:paraId="6487CFA1" w14:textId="0529B5BB" w:rsidR="002202F2" w:rsidRPr="004937B6" w:rsidRDefault="002202F2" w:rsidP="002202F2">
      <w:pPr>
        <w:ind w:firstLine="720"/>
        <w:rPr>
          <w:rFonts w:ascii="Times New Roman" w:hAnsi="Times New Roman"/>
        </w:rPr>
      </w:pPr>
      <w:r w:rsidRPr="004937B6">
        <w:rPr>
          <w:rFonts w:ascii="Times New Roman" w:hAnsi="Times New Roman"/>
        </w:rPr>
        <w:t>Between 1916 and 1920, Walter Ufer differentiated himself artistically from his colleagues in the Taos Society of Artists (TSA) in two important ways. First, he painted Native Americans in contemporary dress toiling at everyday activities</w:t>
      </w:r>
      <w:r w:rsidR="00E44DCF">
        <w:rPr>
          <w:rFonts w:ascii="Times New Roman" w:hAnsi="Times New Roman"/>
        </w:rPr>
        <w:t xml:space="preserve">, while </w:t>
      </w:r>
      <w:r w:rsidRPr="004937B6">
        <w:rPr>
          <w:rFonts w:ascii="Times New Roman" w:hAnsi="Times New Roman"/>
        </w:rPr>
        <w:t xml:space="preserve">most TSA members preferred to depict Native Americans </w:t>
      </w:r>
      <w:r w:rsidR="00167400">
        <w:rPr>
          <w:rFonts w:ascii="Times New Roman" w:hAnsi="Times New Roman"/>
        </w:rPr>
        <w:t xml:space="preserve">in the </w:t>
      </w:r>
      <w:r w:rsidR="00167400" w:rsidRPr="004937B6">
        <w:rPr>
          <w:rFonts w:ascii="Times New Roman" w:hAnsi="Times New Roman"/>
        </w:rPr>
        <w:t>ethnographic present</w:t>
      </w:r>
      <w:r w:rsidR="00167400">
        <w:rPr>
          <w:rFonts w:ascii="Times New Roman" w:hAnsi="Times New Roman"/>
        </w:rPr>
        <w:t xml:space="preserve">, </w:t>
      </w:r>
      <w:r w:rsidR="00E44DCF">
        <w:rPr>
          <w:rFonts w:ascii="Times New Roman" w:hAnsi="Times New Roman"/>
        </w:rPr>
        <w:t xml:space="preserve">i.e., </w:t>
      </w:r>
      <w:r w:rsidR="00E97C50">
        <w:rPr>
          <w:rFonts w:ascii="Times New Roman" w:hAnsi="Times New Roman"/>
        </w:rPr>
        <w:t xml:space="preserve">imagined </w:t>
      </w:r>
      <w:r w:rsidR="00167400">
        <w:rPr>
          <w:rFonts w:ascii="Times New Roman" w:hAnsi="Times New Roman"/>
        </w:rPr>
        <w:t>as they</w:t>
      </w:r>
      <w:r w:rsidR="00E44DCF">
        <w:rPr>
          <w:rFonts w:ascii="Times New Roman" w:hAnsi="Times New Roman"/>
        </w:rPr>
        <w:t xml:space="preserve"> looked and acted before </w:t>
      </w:r>
      <w:r w:rsidR="00167400">
        <w:rPr>
          <w:rFonts w:ascii="Times New Roman" w:hAnsi="Times New Roman"/>
        </w:rPr>
        <w:t xml:space="preserve">contact with Euro-America. </w:t>
      </w:r>
      <w:r w:rsidRPr="004937B6">
        <w:rPr>
          <w:rFonts w:ascii="Times New Roman" w:hAnsi="Times New Roman"/>
        </w:rPr>
        <w:t xml:space="preserve">Second, </w:t>
      </w:r>
      <w:r w:rsidR="00167400">
        <w:rPr>
          <w:rFonts w:ascii="Times New Roman" w:hAnsi="Times New Roman"/>
        </w:rPr>
        <w:t xml:space="preserve">Ufer </w:t>
      </w:r>
      <w:r w:rsidRPr="004937B6">
        <w:rPr>
          <w:rFonts w:ascii="Times New Roman" w:hAnsi="Times New Roman"/>
        </w:rPr>
        <w:t xml:space="preserve">frequently featured Native Americans gazing out directly, even defiantly, at the viewer. In contrast, most TSA </w:t>
      </w:r>
      <w:r w:rsidR="00167400">
        <w:rPr>
          <w:rFonts w:ascii="Times New Roman" w:hAnsi="Times New Roman"/>
        </w:rPr>
        <w:t xml:space="preserve">artists </w:t>
      </w:r>
      <w:r w:rsidRPr="004937B6">
        <w:rPr>
          <w:rFonts w:ascii="Times New Roman" w:hAnsi="Times New Roman"/>
        </w:rPr>
        <w:t>depicted Native Americans passively receiv</w:t>
      </w:r>
      <w:r w:rsidR="00E44DCF">
        <w:rPr>
          <w:rFonts w:ascii="Times New Roman" w:hAnsi="Times New Roman"/>
        </w:rPr>
        <w:t xml:space="preserve">ing </w:t>
      </w:r>
      <w:r w:rsidRPr="004937B6">
        <w:rPr>
          <w:rFonts w:ascii="Times New Roman" w:hAnsi="Times New Roman"/>
        </w:rPr>
        <w:t xml:space="preserve">the European-American gaze. Beyond noticing these differences in dress, occupation, and use of the gaze in Ufer’s </w:t>
      </w:r>
      <w:r w:rsidR="00167400">
        <w:rPr>
          <w:rFonts w:ascii="Times New Roman" w:hAnsi="Times New Roman"/>
        </w:rPr>
        <w:t xml:space="preserve">Indian </w:t>
      </w:r>
      <w:r w:rsidRPr="004937B6">
        <w:rPr>
          <w:rFonts w:ascii="Times New Roman" w:hAnsi="Times New Roman"/>
        </w:rPr>
        <w:t>paintings, historians and critics have</w:t>
      </w:r>
      <w:r w:rsidR="00167400">
        <w:rPr>
          <w:rFonts w:ascii="Times New Roman" w:hAnsi="Times New Roman"/>
        </w:rPr>
        <w:t xml:space="preserve"> largely </w:t>
      </w:r>
      <w:r w:rsidRPr="004937B6">
        <w:rPr>
          <w:rFonts w:ascii="Times New Roman" w:hAnsi="Times New Roman"/>
        </w:rPr>
        <w:t>left these aspects of Ufer’s artistic production unexamined.</w:t>
      </w:r>
      <w:r w:rsidRPr="004937B6">
        <w:rPr>
          <w:rStyle w:val="FootnoteReference"/>
          <w:rFonts w:ascii="Times New Roman" w:hAnsi="Times New Roman"/>
        </w:rPr>
        <w:footnoteReference w:id="175"/>
      </w:r>
      <w:r w:rsidRPr="004937B6">
        <w:rPr>
          <w:rFonts w:ascii="Times New Roman" w:hAnsi="Times New Roman"/>
        </w:rPr>
        <w:t xml:space="preserve"> </w:t>
      </w:r>
    </w:p>
    <w:p w14:paraId="49354168" w14:textId="2EF770D3" w:rsidR="002202F2" w:rsidRPr="004937B6" w:rsidRDefault="002202F2" w:rsidP="002202F2">
      <w:pPr>
        <w:ind w:firstLine="720"/>
        <w:rPr>
          <w:rFonts w:ascii="Times New Roman" w:hAnsi="Times New Roman"/>
        </w:rPr>
      </w:pPr>
      <w:r w:rsidRPr="004937B6">
        <w:rPr>
          <w:rFonts w:ascii="Times New Roman" w:hAnsi="Times New Roman"/>
        </w:rPr>
        <w:t xml:space="preserve">Ufer’s </w:t>
      </w:r>
      <w:r w:rsidR="00BA1AF7">
        <w:rPr>
          <w:rFonts w:ascii="Times New Roman" w:hAnsi="Times New Roman"/>
        </w:rPr>
        <w:t xml:space="preserve">tendency to show Native figures in his images looking back </w:t>
      </w:r>
      <w:r w:rsidRPr="004937B6">
        <w:rPr>
          <w:rFonts w:ascii="Times New Roman" w:hAnsi="Times New Roman"/>
        </w:rPr>
        <w:t xml:space="preserve">deserves further scrutiny. Ufer’s paintings are unsettling because, at a fundamental level, the outward gaze of the subject inherently </w:t>
      </w:r>
      <w:r w:rsidR="00BA1AF7">
        <w:rPr>
          <w:rFonts w:ascii="Times New Roman" w:hAnsi="Times New Roman"/>
        </w:rPr>
        <w:t xml:space="preserve">confronts </w:t>
      </w:r>
      <w:r w:rsidRPr="004937B6">
        <w:rPr>
          <w:rFonts w:ascii="Times New Roman" w:hAnsi="Times New Roman"/>
        </w:rPr>
        <w:t xml:space="preserve">the viewer with the inner life of the subject depicted. Thus by using the gaze, Ufer </w:t>
      </w:r>
      <w:r w:rsidR="00BA1AF7">
        <w:rPr>
          <w:rFonts w:ascii="Times New Roman" w:hAnsi="Times New Roman"/>
        </w:rPr>
        <w:t xml:space="preserve">reminds the viewer </w:t>
      </w:r>
      <w:r w:rsidRPr="004937B6">
        <w:rPr>
          <w:rFonts w:ascii="Times New Roman" w:hAnsi="Times New Roman"/>
        </w:rPr>
        <w:t xml:space="preserve">that his subjects, Native Americans and Hispanics from Taos, New Mexico, are real people, and that the painting itself is an artificial space created by the artist. The process of viewing one of Ufer’s “gaze” paintings is thus manifestly an act of visually consuming an artistic fiction created by the artist. The gaze </w:t>
      </w:r>
      <w:r w:rsidR="001A6189">
        <w:rPr>
          <w:rFonts w:ascii="Times New Roman" w:hAnsi="Times New Roman"/>
        </w:rPr>
        <w:t xml:space="preserve">thus represented </w:t>
      </w:r>
      <w:r w:rsidRPr="004937B6">
        <w:rPr>
          <w:rFonts w:ascii="Times New Roman" w:hAnsi="Times New Roman"/>
        </w:rPr>
        <w:t xml:space="preserve">is also fundamentally indexical; it reflexively implies not only the viewer’s presence, but </w:t>
      </w:r>
      <w:r w:rsidR="001A6189">
        <w:rPr>
          <w:rFonts w:ascii="Times New Roman" w:hAnsi="Times New Roman"/>
        </w:rPr>
        <w:t xml:space="preserve">that of </w:t>
      </w:r>
      <w:r w:rsidRPr="004937B6">
        <w:rPr>
          <w:rFonts w:ascii="Times New Roman" w:hAnsi="Times New Roman"/>
        </w:rPr>
        <w:t>the artist</w:t>
      </w:r>
      <w:r w:rsidR="001A6189">
        <w:rPr>
          <w:rFonts w:ascii="Times New Roman" w:hAnsi="Times New Roman"/>
        </w:rPr>
        <w:t xml:space="preserve"> as well, encouraging </w:t>
      </w:r>
      <w:r w:rsidRPr="004937B6">
        <w:rPr>
          <w:rFonts w:ascii="Times New Roman" w:hAnsi="Times New Roman"/>
        </w:rPr>
        <w:t xml:space="preserve">the viewer to understand a painting as manifestly </w:t>
      </w:r>
      <w:r w:rsidRPr="004937B6">
        <w:rPr>
          <w:rFonts w:ascii="Times New Roman" w:hAnsi="Times New Roman"/>
          <w:i/>
        </w:rPr>
        <w:t>about</w:t>
      </w:r>
      <w:r w:rsidRPr="004937B6">
        <w:rPr>
          <w:rFonts w:ascii="Times New Roman" w:hAnsi="Times New Roman"/>
        </w:rPr>
        <w:t xml:space="preserve"> the artist, the artistic process, and the act of looking.</w:t>
      </w:r>
    </w:p>
    <w:p w14:paraId="1B1B1E88" w14:textId="6B7E26B8" w:rsidR="002202F2" w:rsidRPr="004937B6" w:rsidRDefault="002202F2" w:rsidP="002202F2">
      <w:pPr>
        <w:ind w:firstLine="720"/>
        <w:rPr>
          <w:rFonts w:ascii="Times New Roman" w:hAnsi="Times New Roman"/>
        </w:rPr>
      </w:pPr>
      <w:r w:rsidRPr="004937B6">
        <w:rPr>
          <w:rFonts w:ascii="Times New Roman" w:eastAsia="Batang" w:hAnsi="Times New Roman"/>
        </w:rPr>
        <w:t xml:space="preserve">In </w:t>
      </w:r>
      <w:r w:rsidRPr="004937B6">
        <w:rPr>
          <w:rFonts w:ascii="Times New Roman" w:eastAsia="Batang" w:hAnsi="Times New Roman"/>
          <w:i/>
          <w:iCs/>
        </w:rPr>
        <w:t>Their Audience</w:t>
      </w:r>
      <w:r w:rsidRPr="004937B6">
        <w:rPr>
          <w:rFonts w:ascii="Times New Roman" w:eastAsia="Batang" w:hAnsi="Times New Roman"/>
        </w:rPr>
        <w:t xml:space="preserve">, </w:t>
      </w:r>
      <w:r w:rsidRPr="004937B6">
        <w:rPr>
          <w:rFonts w:ascii="Times New Roman" w:eastAsia="Batang" w:hAnsi="Times New Roman"/>
          <w:i/>
          <w:iCs/>
        </w:rPr>
        <w:t>Land of Mañana</w:t>
      </w:r>
      <w:r w:rsidRPr="004937B6">
        <w:rPr>
          <w:rFonts w:ascii="Times New Roman" w:eastAsia="Batang" w:hAnsi="Times New Roman"/>
        </w:rPr>
        <w:t xml:space="preserve">, </w:t>
      </w:r>
      <w:r w:rsidRPr="004937B6">
        <w:rPr>
          <w:rFonts w:ascii="Times New Roman" w:eastAsia="Batang" w:hAnsi="Times New Roman"/>
          <w:i/>
          <w:iCs/>
        </w:rPr>
        <w:t>Going East</w:t>
      </w:r>
      <w:r w:rsidRPr="004937B6">
        <w:rPr>
          <w:rFonts w:ascii="Times New Roman" w:eastAsia="Batang" w:hAnsi="Times New Roman"/>
        </w:rPr>
        <w:t xml:space="preserve">, and </w:t>
      </w:r>
      <w:r w:rsidRPr="004937B6">
        <w:rPr>
          <w:rFonts w:ascii="Times New Roman" w:eastAsia="Batang" w:hAnsi="Times New Roman"/>
          <w:i/>
          <w:iCs/>
        </w:rPr>
        <w:t>Luzanna and Her Sisters</w:t>
      </w:r>
      <w:r w:rsidRPr="004937B6">
        <w:rPr>
          <w:rFonts w:ascii="Times New Roman" w:eastAsia="Batang" w:hAnsi="Times New Roman"/>
        </w:rPr>
        <w:t>, Ufer had good reason to emphasize process and artistry over mimetic illusionism. Nearly 40 years old at the time of his first real artistic successes in 1916-1917, Ufer</w:t>
      </w:r>
      <w:r w:rsidR="001A6189">
        <w:rPr>
          <w:rFonts w:ascii="Times New Roman" w:eastAsia="Batang" w:hAnsi="Times New Roman"/>
        </w:rPr>
        <w:t xml:space="preserve">, throughout his </w:t>
      </w:r>
      <w:r w:rsidRPr="004937B6">
        <w:rPr>
          <w:rFonts w:ascii="Times New Roman" w:eastAsia="Batang" w:hAnsi="Times New Roman"/>
        </w:rPr>
        <w:t xml:space="preserve">career oscillated between artistic apotheosis and financial disaster. </w:t>
      </w:r>
      <w:r w:rsidR="001A6189">
        <w:rPr>
          <w:rFonts w:ascii="Times New Roman" w:eastAsia="Batang" w:hAnsi="Times New Roman"/>
        </w:rPr>
        <w:t>From 1916 to 1920, he</w:t>
      </w:r>
      <w:r w:rsidRPr="004937B6">
        <w:rPr>
          <w:rFonts w:ascii="Times New Roman" w:eastAsia="Batang" w:hAnsi="Times New Roman"/>
        </w:rPr>
        <w:t xml:space="preserve"> won five major prize medals in juried East coast exhibitions and saw his sales and prices soar, yet a series of personal, professional, and societal upheavals served to keep him in a liminal position in the art world; thus, I analyze Ufer’s “gaze” paintings </w:t>
      </w:r>
      <w:r w:rsidR="001A6189">
        <w:rPr>
          <w:rFonts w:ascii="Times New Roman" w:eastAsia="Batang" w:hAnsi="Times New Roman"/>
        </w:rPr>
        <w:t xml:space="preserve">also </w:t>
      </w:r>
      <w:r w:rsidRPr="004937B6">
        <w:rPr>
          <w:rFonts w:ascii="Times New Roman" w:eastAsia="Batang" w:hAnsi="Times New Roman"/>
        </w:rPr>
        <w:t>as a byproduct of these personal and professional insecurities. Ultimately, the gaze also serve</w:t>
      </w:r>
      <w:r w:rsidR="00B10282">
        <w:rPr>
          <w:rFonts w:ascii="Times New Roman" w:eastAsia="Batang" w:hAnsi="Times New Roman"/>
        </w:rPr>
        <w:t>s</w:t>
      </w:r>
      <w:r w:rsidRPr="004937B6">
        <w:rPr>
          <w:rFonts w:ascii="Times New Roman" w:eastAsia="Batang" w:hAnsi="Times New Roman"/>
        </w:rPr>
        <w:t xml:space="preserve"> as a point of entry to evaluate paintings </w:t>
      </w:r>
      <w:r w:rsidR="001A6189">
        <w:rPr>
          <w:rFonts w:ascii="Times New Roman" w:eastAsia="Batang" w:hAnsi="Times New Roman"/>
        </w:rPr>
        <w:t xml:space="preserve">by </w:t>
      </w:r>
      <w:r w:rsidRPr="004937B6">
        <w:rPr>
          <w:rFonts w:ascii="Times New Roman" w:eastAsia="Batang" w:hAnsi="Times New Roman"/>
        </w:rPr>
        <w:t xml:space="preserve">Ufer and </w:t>
      </w:r>
      <w:r w:rsidR="001A6189">
        <w:rPr>
          <w:rFonts w:ascii="Times New Roman" w:eastAsia="Batang" w:hAnsi="Times New Roman"/>
        </w:rPr>
        <w:t xml:space="preserve">his other </w:t>
      </w:r>
      <w:r w:rsidRPr="004937B6">
        <w:rPr>
          <w:rFonts w:ascii="Times New Roman" w:eastAsia="Batang" w:hAnsi="Times New Roman"/>
        </w:rPr>
        <w:t>TSA</w:t>
      </w:r>
      <w:r w:rsidR="001A6189">
        <w:rPr>
          <w:rFonts w:ascii="Times New Roman" w:eastAsia="Batang" w:hAnsi="Times New Roman"/>
        </w:rPr>
        <w:t xml:space="preserve"> cohort </w:t>
      </w:r>
      <w:r w:rsidRPr="004937B6">
        <w:rPr>
          <w:rFonts w:ascii="Times New Roman" w:eastAsia="Batang" w:hAnsi="Times New Roman"/>
        </w:rPr>
        <w:t>as a site of negotiation between colonial and anti-colonial aims and ambitions of artists and models alike.</w:t>
      </w:r>
    </w:p>
    <w:p w14:paraId="0751E1B2" w14:textId="6A47968B" w:rsidR="000C56D8" w:rsidRDefault="00E44DCF" w:rsidP="002202F2">
      <w:pPr>
        <w:ind w:firstLine="720"/>
        <w:rPr>
          <w:rFonts w:ascii="Times New Roman" w:hAnsi="Times New Roman"/>
        </w:rPr>
      </w:pPr>
      <w:r>
        <w:rPr>
          <w:rFonts w:ascii="Times New Roman" w:hAnsi="Times New Roman"/>
        </w:rPr>
        <w:t xml:space="preserve">Not only were </w:t>
      </w:r>
      <w:r w:rsidR="00701132">
        <w:rPr>
          <w:rFonts w:ascii="Times New Roman" w:hAnsi="Times New Roman"/>
        </w:rPr>
        <w:t xml:space="preserve">the Taos </w:t>
      </w:r>
      <w:r>
        <w:rPr>
          <w:rFonts w:ascii="Times New Roman" w:hAnsi="Times New Roman"/>
        </w:rPr>
        <w:t xml:space="preserve">Indian models </w:t>
      </w:r>
      <w:r w:rsidR="00701132">
        <w:rPr>
          <w:rFonts w:ascii="Times New Roman" w:hAnsi="Times New Roman"/>
        </w:rPr>
        <w:t xml:space="preserve">who posed for TSA artists </w:t>
      </w:r>
      <w:r>
        <w:rPr>
          <w:rFonts w:ascii="Times New Roman" w:hAnsi="Times New Roman"/>
        </w:rPr>
        <w:t>real people, they live</w:t>
      </w:r>
      <w:r w:rsidR="00701132">
        <w:rPr>
          <w:rFonts w:ascii="Times New Roman" w:hAnsi="Times New Roman"/>
        </w:rPr>
        <w:t xml:space="preserve">d real </w:t>
      </w:r>
      <w:r>
        <w:rPr>
          <w:rFonts w:ascii="Times New Roman" w:hAnsi="Times New Roman"/>
        </w:rPr>
        <w:t>live</w:t>
      </w:r>
      <w:r w:rsidR="00701132">
        <w:rPr>
          <w:rFonts w:ascii="Times New Roman" w:hAnsi="Times New Roman"/>
        </w:rPr>
        <w:t>s</w:t>
      </w:r>
      <w:r>
        <w:rPr>
          <w:rFonts w:ascii="Times New Roman" w:hAnsi="Times New Roman"/>
        </w:rPr>
        <w:t xml:space="preserve">. </w:t>
      </w:r>
      <w:r w:rsidR="00167400">
        <w:rPr>
          <w:rFonts w:ascii="Times New Roman" w:hAnsi="Times New Roman"/>
        </w:rPr>
        <w:t xml:space="preserve">Several </w:t>
      </w:r>
      <w:r w:rsidR="00701132">
        <w:rPr>
          <w:rFonts w:ascii="Times New Roman" w:hAnsi="Times New Roman"/>
        </w:rPr>
        <w:t xml:space="preserve">models </w:t>
      </w:r>
      <w:r>
        <w:rPr>
          <w:rFonts w:ascii="Times New Roman" w:hAnsi="Times New Roman"/>
        </w:rPr>
        <w:t>used their experience in the artist’</w:t>
      </w:r>
      <w:r w:rsidR="00701132">
        <w:rPr>
          <w:rFonts w:ascii="Times New Roman" w:hAnsi="Times New Roman"/>
        </w:rPr>
        <w:t xml:space="preserve">s </w:t>
      </w:r>
      <w:r>
        <w:rPr>
          <w:rFonts w:ascii="Times New Roman" w:hAnsi="Times New Roman"/>
        </w:rPr>
        <w:t>studios to enhance their lives by becoming artists in their own right. Albert Lujan, Albert Looking Elk, and Juan Mirabal each spent time posing for members of the TSA</w:t>
      </w:r>
      <w:r w:rsidR="00701132">
        <w:rPr>
          <w:rFonts w:ascii="Times New Roman" w:hAnsi="Times New Roman"/>
        </w:rPr>
        <w:t>,</w:t>
      </w:r>
      <w:r>
        <w:rPr>
          <w:rFonts w:ascii="Times New Roman" w:hAnsi="Times New Roman"/>
        </w:rPr>
        <w:t xml:space="preserve"> and each in turn </w:t>
      </w:r>
      <w:r w:rsidR="00701132">
        <w:rPr>
          <w:rFonts w:ascii="Times New Roman" w:hAnsi="Times New Roman"/>
        </w:rPr>
        <w:t xml:space="preserve">used that experience to negotiate modernity. Forced to </w:t>
      </w:r>
      <w:r w:rsidR="000C56D8">
        <w:rPr>
          <w:rFonts w:ascii="Times New Roman" w:hAnsi="Times New Roman"/>
        </w:rPr>
        <w:t xml:space="preserve">survive in </w:t>
      </w:r>
      <w:r w:rsidR="00701132">
        <w:rPr>
          <w:rFonts w:ascii="Times New Roman" w:hAnsi="Times New Roman"/>
        </w:rPr>
        <w:t>a cash-based economy, these Pueblo artists used their own agency to gain a modicum of fame and money at a time when neither were easy to come by at Taos Pueblo.</w:t>
      </w:r>
    </w:p>
    <w:p w14:paraId="03858717" w14:textId="5556103A" w:rsidR="000C56D8" w:rsidRDefault="000C56D8" w:rsidP="00AC0182">
      <w:pPr>
        <w:ind w:firstLine="720"/>
        <w:rPr>
          <w:rFonts w:ascii="Times New Roman" w:hAnsi="Times New Roman"/>
        </w:rPr>
      </w:pPr>
      <w:r>
        <w:rPr>
          <w:rFonts w:ascii="Times New Roman" w:hAnsi="Times New Roman"/>
        </w:rPr>
        <w:t>I</w:t>
      </w:r>
      <w:r w:rsidR="00701132">
        <w:rPr>
          <w:rFonts w:ascii="Times New Roman" w:hAnsi="Times New Roman"/>
        </w:rPr>
        <w:t xml:space="preserve">n the case of Albert Lujan and Albert Looking Elk, they did </w:t>
      </w:r>
      <w:r w:rsidR="00B10282">
        <w:rPr>
          <w:rFonts w:ascii="Times New Roman" w:hAnsi="Times New Roman"/>
        </w:rPr>
        <w:t>so</w:t>
      </w:r>
      <w:r w:rsidR="00701132">
        <w:rPr>
          <w:rFonts w:ascii="Times New Roman" w:hAnsi="Times New Roman"/>
        </w:rPr>
        <w:t xml:space="preserve"> by performing their identity publicly at the Pueblo, trading in on Euro-American fantasies for an income. </w:t>
      </w:r>
      <w:r>
        <w:rPr>
          <w:rFonts w:ascii="Times New Roman" w:hAnsi="Times New Roman"/>
        </w:rPr>
        <w:t xml:space="preserve">For each, their identity as an artist provided cash while allowing them to </w:t>
      </w:r>
      <w:r w:rsidR="00343F66">
        <w:rPr>
          <w:rFonts w:ascii="Times New Roman" w:hAnsi="Times New Roman"/>
        </w:rPr>
        <w:t xml:space="preserve">participate </w:t>
      </w:r>
      <w:r>
        <w:rPr>
          <w:rFonts w:ascii="Times New Roman" w:hAnsi="Times New Roman"/>
        </w:rPr>
        <w:t xml:space="preserve">fully in Pueblo life. </w:t>
      </w:r>
      <w:r w:rsidR="00701132">
        <w:rPr>
          <w:rFonts w:ascii="Times New Roman" w:hAnsi="Times New Roman"/>
        </w:rPr>
        <w:t xml:space="preserve">They painted one </w:t>
      </w:r>
      <w:r>
        <w:rPr>
          <w:rFonts w:ascii="Times New Roman" w:hAnsi="Times New Roman"/>
        </w:rPr>
        <w:t xml:space="preserve">primary </w:t>
      </w:r>
      <w:r w:rsidR="00701132">
        <w:rPr>
          <w:rFonts w:ascii="Times New Roman" w:hAnsi="Times New Roman"/>
        </w:rPr>
        <w:t>subject</w:t>
      </w:r>
      <w:r w:rsidR="00B10282">
        <w:rPr>
          <w:rFonts w:ascii="Times New Roman" w:hAnsi="Times New Roman"/>
        </w:rPr>
        <w:t xml:space="preserve">, </w:t>
      </w:r>
      <w:r w:rsidR="00701132">
        <w:rPr>
          <w:rFonts w:ascii="Times New Roman" w:hAnsi="Times New Roman"/>
        </w:rPr>
        <w:t>Taos Pueblo</w:t>
      </w:r>
      <w:r w:rsidR="00B10282">
        <w:rPr>
          <w:rFonts w:ascii="Times New Roman" w:hAnsi="Times New Roman"/>
        </w:rPr>
        <w:t xml:space="preserve">; </w:t>
      </w:r>
      <w:r>
        <w:rPr>
          <w:rFonts w:ascii="Times New Roman" w:hAnsi="Times New Roman"/>
        </w:rPr>
        <w:t>they painted in</w:t>
      </w:r>
      <w:r w:rsidR="00B10282">
        <w:rPr>
          <w:rFonts w:ascii="Times New Roman" w:hAnsi="Times New Roman"/>
        </w:rPr>
        <w:t xml:space="preserve"> a Western, or non-Indian style;</w:t>
      </w:r>
      <w:r>
        <w:rPr>
          <w:rFonts w:ascii="Times New Roman" w:hAnsi="Times New Roman"/>
        </w:rPr>
        <w:t xml:space="preserve"> and they </w:t>
      </w:r>
      <w:r w:rsidR="00701132">
        <w:rPr>
          <w:rFonts w:ascii="Times New Roman" w:hAnsi="Times New Roman"/>
        </w:rPr>
        <w:t xml:space="preserve">sold their works </w:t>
      </w:r>
      <w:r>
        <w:rPr>
          <w:rFonts w:ascii="Times New Roman" w:hAnsi="Times New Roman"/>
        </w:rPr>
        <w:t xml:space="preserve">relatively cheaply. </w:t>
      </w:r>
      <w:r w:rsidR="00AC0182">
        <w:rPr>
          <w:rFonts w:ascii="Times New Roman" w:hAnsi="Times New Roman"/>
        </w:rPr>
        <w:t>Previously</w:t>
      </w:r>
      <w:r>
        <w:rPr>
          <w:rFonts w:ascii="Times New Roman" w:hAnsi="Times New Roman"/>
        </w:rPr>
        <w:t xml:space="preserve"> written off as tourist art, their paintings </w:t>
      </w:r>
      <w:r w:rsidR="00343F66">
        <w:rPr>
          <w:rFonts w:ascii="Times New Roman" w:hAnsi="Times New Roman"/>
        </w:rPr>
        <w:t xml:space="preserve">attentively read </w:t>
      </w:r>
      <w:r>
        <w:rPr>
          <w:rFonts w:ascii="Times New Roman" w:hAnsi="Times New Roman"/>
        </w:rPr>
        <w:t xml:space="preserve">reveal much about </w:t>
      </w:r>
      <w:r w:rsidR="00343F66">
        <w:rPr>
          <w:rFonts w:ascii="Times New Roman" w:hAnsi="Times New Roman"/>
        </w:rPr>
        <w:t xml:space="preserve">the </w:t>
      </w:r>
      <w:r>
        <w:rPr>
          <w:rFonts w:ascii="Times New Roman" w:hAnsi="Times New Roman"/>
        </w:rPr>
        <w:t xml:space="preserve">resistance and survivance inherent in their artistic practice. Juan Mirabal, </w:t>
      </w:r>
      <w:r w:rsidR="00AC0182">
        <w:rPr>
          <w:rFonts w:ascii="Times New Roman" w:hAnsi="Times New Roman"/>
        </w:rPr>
        <w:t xml:space="preserve">conversely, practiced a different type of resistance </w:t>
      </w:r>
      <w:r w:rsidR="005A2BBA">
        <w:rPr>
          <w:rFonts w:ascii="Times New Roman" w:hAnsi="Times New Roman"/>
        </w:rPr>
        <w:t xml:space="preserve">– he </w:t>
      </w:r>
      <w:r w:rsidR="00AC0182">
        <w:rPr>
          <w:rFonts w:ascii="Times New Roman" w:hAnsi="Times New Roman"/>
        </w:rPr>
        <w:t xml:space="preserve">fell in love with a white </w:t>
      </w:r>
      <w:r w:rsidR="005A2BBA">
        <w:rPr>
          <w:rFonts w:ascii="Times New Roman" w:hAnsi="Times New Roman"/>
        </w:rPr>
        <w:t>artist,</w:t>
      </w:r>
      <w:r w:rsidR="00AC0182">
        <w:rPr>
          <w:rFonts w:ascii="Times New Roman" w:hAnsi="Times New Roman"/>
        </w:rPr>
        <w:t xml:space="preserve"> Marjorie Eaton, </w:t>
      </w:r>
      <w:r w:rsidR="005A2BBA">
        <w:rPr>
          <w:rFonts w:ascii="Times New Roman" w:hAnsi="Times New Roman"/>
        </w:rPr>
        <w:t>trained with a</w:t>
      </w:r>
      <w:r w:rsidR="00AC0182">
        <w:rPr>
          <w:rFonts w:ascii="Times New Roman" w:hAnsi="Times New Roman"/>
        </w:rPr>
        <w:t xml:space="preserve"> Lithuanian-American </w:t>
      </w:r>
      <w:r w:rsidR="005A2BBA">
        <w:rPr>
          <w:rFonts w:ascii="Times New Roman" w:hAnsi="Times New Roman"/>
        </w:rPr>
        <w:t xml:space="preserve">Modernist </w:t>
      </w:r>
      <w:r w:rsidR="00AC0182">
        <w:rPr>
          <w:rFonts w:ascii="Times New Roman" w:hAnsi="Times New Roman"/>
        </w:rPr>
        <w:t xml:space="preserve">artist and </w:t>
      </w:r>
      <w:r w:rsidR="005A2BBA">
        <w:rPr>
          <w:rFonts w:ascii="Times New Roman" w:hAnsi="Times New Roman"/>
        </w:rPr>
        <w:t xml:space="preserve">teacher, </w:t>
      </w:r>
      <w:r w:rsidR="00AC0182">
        <w:rPr>
          <w:rFonts w:ascii="Times New Roman" w:hAnsi="Times New Roman"/>
        </w:rPr>
        <w:t xml:space="preserve">Louis Ribak, </w:t>
      </w:r>
      <w:r w:rsidR="005A2BBA">
        <w:rPr>
          <w:rFonts w:ascii="Times New Roman" w:hAnsi="Times New Roman"/>
        </w:rPr>
        <w:t xml:space="preserve">and </w:t>
      </w:r>
      <w:r w:rsidR="00AC0182">
        <w:rPr>
          <w:rFonts w:ascii="Times New Roman" w:hAnsi="Times New Roman"/>
        </w:rPr>
        <w:t>pursued the type of fine art career typically not accessible to Indians in the 1930s.</w:t>
      </w:r>
    </w:p>
    <w:p w14:paraId="7A6F0285" w14:textId="1403D808" w:rsidR="002202F2" w:rsidRPr="004937B6" w:rsidRDefault="002202F2" w:rsidP="002202F2">
      <w:pPr>
        <w:ind w:firstLine="720"/>
        <w:rPr>
          <w:rFonts w:ascii="Times New Roman" w:hAnsi="Times New Roman"/>
        </w:rPr>
      </w:pPr>
    </w:p>
    <w:p w14:paraId="0FC0B496" w14:textId="42293648" w:rsidR="002202F2" w:rsidRPr="004937B6" w:rsidRDefault="00AC0182" w:rsidP="00B10282">
      <w:pPr>
        <w:jc w:val="center"/>
        <w:rPr>
          <w:rFonts w:ascii="Times New Roman" w:hAnsi="Times New Roman"/>
          <w:b/>
          <w:i/>
        </w:rPr>
      </w:pPr>
      <w:r>
        <w:rPr>
          <w:rFonts w:ascii="Times New Roman" w:hAnsi="Times New Roman"/>
          <w:b/>
          <w:i/>
        </w:rPr>
        <w:t>Walter Ufer and the Gaze</w:t>
      </w:r>
    </w:p>
    <w:p w14:paraId="6EDC932A" w14:textId="01EEF5D4" w:rsidR="002202F2" w:rsidRPr="005B7071" w:rsidRDefault="00AC0182" w:rsidP="00591681">
      <w:pPr>
        <w:pStyle w:val="Standard"/>
        <w:spacing w:line="480" w:lineRule="auto"/>
        <w:ind w:firstLine="709"/>
      </w:pPr>
      <w:r>
        <w:t>Between 1916 and 1920, Walter Ufer made a series of paintings in Taos that problematize</w:t>
      </w:r>
      <w:r w:rsidR="00343F66">
        <w:t>d</w:t>
      </w:r>
      <w:r>
        <w:t xml:space="preserve"> the role of the artist, the Indian, an</w:t>
      </w:r>
      <w:r w:rsidR="001253F8">
        <w:t>d</w:t>
      </w:r>
      <w:r>
        <w:t xml:space="preserve"> the gaze</w:t>
      </w:r>
      <w:r w:rsidR="001253F8">
        <w:t xml:space="preserve">. The earliest of these, </w:t>
      </w:r>
      <w:r w:rsidR="002202F2" w:rsidRPr="004937B6">
        <w:rPr>
          <w:i/>
        </w:rPr>
        <w:t>Their Audience</w:t>
      </w:r>
      <w:r w:rsidR="002202F2" w:rsidRPr="004937B6">
        <w:t xml:space="preserve"> </w:t>
      </w:r>
      <w:r>
        <w:t>(1916)</w:t>
      </w:r>
      <w:r w:rsidR="001253F8">
        <w:t>,</w:t>
      </w:r>
      <w:r>
        <w:t xml:space="preserve"> </w:t>
      </w:r>
      <w:r w:rsidR="002202F2" w:rsidRPr="004937B6">
        <w:t>an arresting painting</w:t>
      </w:r>
      <w:r w:rsidR="00343F66">
        <w:t>, was</w:t>
      </w:r>
      <w:r w:rsidR="002202F2" w:rsidRPr="004937B6">
        <w:t xml:space="preserve"> at once unsettling and immensely intrigui</w:t>
      </w:r>
      <w:r w:rsidR="002202F2" w:rsidRPr="005B7071">
        <w:t xml:space="preserve">ng </w:t>
      </w:r>
      <w:r w:rsidR="00AA3937" w:rsidRPr="005B7071">
        <w:t>(fig. 4.1)</w:t>
      </w:r>
      <w:r w:rsidR="001253F8">
        <w:t xml:space="preserve">. </w:t>
      </w:r>
      <w:r w:rsidR="002202F2" w:rsidRPr="005B7071">
        <w:t xml:space="preserve">Seven pueblo Indian women, ranging in age from young adolescence to early adulthood, </w:t>
      </w:r>
      <w:r w:rsidR="00343F66">
        <w:t xml:space="preserve">stand in the </w:t>
      </w:r>
      <w:r w:rsidR="002202F2" w:rsidRPr="005B7071">
        <w:t>foreground of the composition</w:t>
      </w:r>
      <w:r w:rsidR="00343F66">
        <w:t>. Their bodies</w:t>
      </w:r>
      <w:r w:rsidR="002202F2" w:rsidRPr="005B7071">
        <w:t xml:space="preserve"> physically block the entrance to the pueblo on which they stand; their cross-armed stances and defiant gazes are not welcoming</w:t>
      </w:r>
      <w:r w:rsidR="000540B1">
        <w:t>.</w:t>
      </w:r>
      <w:r w:rsidR="002202F2" w:rsidRPr="005B7071">
        <w:t xml:space="preserve"> They stand right at the edge of the pueblo rooftop; another step and they would be over the edge, tumbling out of the picture space and into the viewer’s space. Painted from a low perspective, they seem larger th</w:t>
      </w:r>
      <w:r w:rsidR="009F0992" w:rsidRPr="005B7071">
        <w:t xml:space="preserve">an life and </w:t>
      </w:r>
      <w:r w:rsidR="00B10282">
        <w:t xml:space="preserve">even </w:t>
      </w:r>
      <w:r w:rsidR="009F0992" w:rsidRPr="005B7071">
        <w:t>somewhat menacing.</w:t>
      </w:r>
    </w:p>
    <w:p w14:paraId="1F06A6B3" w14:textId="6D1D84E8" w:rsidR="002202F2" w:rsidRPr="005B7071" w:rsidRDefault="002202F2" w:rsidP="002202F2">
      <w:pPr>
        <w:ind w:firstLine="720"/>
        <w:rPr>
          <w:rFonts w:ascii="Times New Roman" w:hAnsi="Times New Roman"/>
        </w:rPr>
      </w:pPr>
      <w:r w:rsidRPr="005B7071">
        <w:rPr>
          <w:rFonts w:ascii="Times New Roman" w:hAnsi="Times New Roman"/>
        </w:rPr>
        <w:t>The formal dress of these</w:t>
      </w:r>
      <w:r w:rsidR="000540B1">
        <w:rPr>
          <w:rFonts w:ascii="Times New Roman" w:hAnsi="Times New Roman"/>
        </w:rPr>
        <w:t xml:space="preserve"> female </w:t>
      </w:r>
      <w:r w:rsidRPr="005B7071">
        <w:rPr>
          <w:rFonts w:ascii="Times New Roman" w:hAnsi="Times New Roman"/>
        </w:rPr>
        <w:t xml:space="preserve">figures suggests that they might be gazing down </w:t>
      </w:r>
      <w:r w:rsidR="000540B1">
        <w:rPr>
          <w:rFonts w:ascii="Times New Roman" w:hAnsi="Times New Roman"/>
        </w:rPr>
        <w:t xml:space="preserve">from to Pueblo down </w:t>
      </w:r>
      <w:r w:rsidRPr="005B7071">
        <w:rPr>
          <w:rFonts w:ascii="Times New Roman" w:hAnsi="Times New Roman"/>
        </w:rPr>
        <w:t>at a viewer, or viewers, while a dance or other religious ceremony is in progress in the plaza below.</w:t>
      </w:r>
      <w:r w:rsidRPr="005B7071">
        <w:rPr>
          <w:rStyle w:val="FootnoteReference"/>
          <w:rFonts w:ascii="Times New Roman" w:hAnsi="Times New Roman"/>
        </w:rPr>
        <w:footnoteReference w:id="176"/>
      </w:r>
      <w:r w:rsidRPr="005B7071">
        <w:rPr>
          <w:rFonts w:ascii="Times New Roman" w:hAnsi="Times New Roman"/>
        </w:rPr>
        <w:t xml:space="preserve"> In a 1916 postcard, Ufer gazes out at the viewer while attending such an event</w:t>
      </w:r>
      <w:r w:rsidR="00AA3937" w:rsidRPr="005B7071">
        <w:rPr>
          <w:rFonts w:ascii="Times New Roman" w:hAnsi="Times New Roman"/>
        </w:rPr>
        <w:t xml:space="preserve"> (fig. 4.2)</w:t>
      </w:r>
      <w:r w:rsidR="00B10282">
        <w:rPr>
          <w:rFonts w:ascii="Times New Roman" w:hAnsi="Times New Roman"/>
        </w:rPr>
        <w:t xml:space="preserve">, possibly the </w:t>
      </w:r>
      <w:r w:rsidR="003941EB">
        <w:rPr>
          <w:rFonts w:ascii="Times New Roman" w:hAnsi="Times New Roman"/>
        </w:rPr>
        <w:t>1916 San G</w:t>
      </w:r>
      <w:r w:rsidR="00B10282" w:rsidRPr="00C37A50">
        <w:rPr>
          <w:rFonts w:ascii="Times New Roman" w:hAnsi="Times New Roman"/>
        </w:rPr>
        <w:t>eronimo Dance, which might have served as inspiration for</w:t>
      </w:r>
      <w:r w:rsidR="00B10282" w:rsidRPr="00C37A50">
        <w:rPr>
          <w:rFonts w:ascii="Times New Roman" w:hAnsi="Times New Roman"/>
          <w:i/>
        </w:rPr>
        <w:t xml:space="preserve"> Their Audience</w:t>
      </w:r>
      <w:r w:rsidR="00B10282" w:rsidRPr="00C37A50">
        <w:rPr>
          <w:rFonts w:ascii="Times New Roman" w:hAnsi="Times New Roman"/>
        </w:rPr>
        <w:t xml:space="preserve">. </w:t>
      </w:r>
      <w:r w:rsidRPr="005B7071">
        <w:rPr>
          <w:rFonts w:ascii="Times New Roman" w:hAnsi="Times New Roman"/>
        </w:rPr>
        <w:t>The figures draw a line between public and private spheres. Six of the seven cross their arms around themselves, protectively drawing their shawls close around their bodies. The middle five figures look out and slightly off to the left, as if distracted by something in the distance. The young women to the extreme right and left, however, guard their territory with their startl</w:t>
      </w:r>
      <w:r w:rsidR="009F0992" w:rsidRPr="005B7071">
        <w:rPr>
          <w:rFonts w:ascii="Times New Roman" w:hAnsi="Times New Roman"/>
        </w:rPr>
        <w:t>ingly direct, unwavering gazes.</w:t>
      </w:r>
    </w:p>
    <w:p w14:paraId="5D35DEFE" w14:textId="0CD0D795" w:rsidR="002202F2" w:rsidRPr="005B7071" w:rsidRDefault="002202F2" w:rsidP="002202F2">
      <w:pPr>
        <w:ind w:firstLine="720"/>
        <w:rPr>
          <w:rFonts w:ascii="Times New Roman" w:hAnsi="Times New Roman"/>
        </w:rPr>
      </w:pPr>
      <w:r w:rsidRPr="005B7071">
        <w:rPr>
          <w:rFonts w:ascii="Times New Roman" w:hAnsi="Times New Roman"/>
        </w:rPr>
        <w:t xml:space="preserve">The young woman to the left, sitting or kneeling, draws her black shawl tightly around her body, even obscuring part of her face. Her eyes </w:t>
      </w:r>
      <w:r w:rsidR="000540B1">
        <w:rPr>
          <w:rFonts w:ascii="Times New Roman" w:hAnsi="Times New Roman"/>
        </w:rPr>
        <w:t xml:space="preserve">drill </w:t>
      </w:r>
      <w:r w:rsidRPr="005B7071">
        <w:rPr>
          <w:rFonts w:ascii="Times New Roman" w:hAnsi="Times New Roman"/>
        </w:rPr>
        <w:t>straight forward, engaging the viewer. Th</w:t>
      </w:r>
      <w:r w:rsidR="000540B1">
        <w:rPr>
          <w:rFonts w:ascii="Times New Roman" w:hAnsi="Times New Roman"/>
        </w:rPr>
        <w:t xml:space="preserve">is aspect of </w:t>
      </w:r>
      <w:r w:rsidRPr="005B7071">
        <w:rPr>
          <w:rFonts w:ascii="Times New Roman" w:hAnsi="Times New Roman"/>
        </w:rPr>
        <w:t>her gaze is unmistakable; distant, distrustful, and challenging. She is dressed simply, in a solid blue dress covered by a black shawl. The black of her shawl echoes th</w:t>
      </w:r>
      <w:r w:rsidR="000540B1">
        <w:rPr>
          <w:rFonts w:ascii="Times New Roman" w:hAnsi="Times New Roman"/>
        </w:rPr>
        <w:t xml:space="preserve">at of </w:t>
      </w:r>
      <w:r w:rsidRPr="005B7071">
        <w:rPr>
          <w:rFonts w:ascii="Times New Roman" w:hAnsi="Times New Roman"/>
        </w:rPr>
        <w:t xml:space="preserve">the pot at her feet, connecting her both to Native American artistry (both shawls and pots made by the pueblo inhabitants) and with the body of a pot or vase. Her form intersects with the figure to her right, </w:t>
      </w:r>
      <w:r w:rsidR="00A57477">
        <w:rPr>
          <w:rFonts w:ascii="Times New Roman" w:hAnsi="Times New Roman"/>
        </w:rPr>
        <w:t>blocking</w:t>
      </w:r>
      <w:r w:rsidRPr="005B7071">
        <w:rPr>
          <w:rFonts w:ascii="Times New Roman" w:hAnsi="Times New Roman"/>
        </w:rPr>
        <w:t xml:space="preserve"> viewer access into this private space. A flower garland snakes a</w:t>
      </w:r>
      <w:r w:rsidR="00A57477">
        <w:rPr>
          <w:rFonts w:ascii="Times New Roman" w:hAnsi="Times New Roman"/>
        </w:rPr>
        <w:t>round the black pot, and reaches</w:t>
      </w:r>
      <w:r w:rsidRPr="005B7071">
        <w:rPr>
          <w:rFonts w:ascii="Times New Roman" w:hAnsi="Times New Roman"/>
        </w:rPr>
        <w:t xml:space="preserve"> down into the viewer’s space from the rooftop, connecting, however tenuously, sacred and profane</w:t>
      </w:r>
      <w:r w:rsidR="009F0992" w:rsidRPr="005B7071">
        <w:rPr>
          <w:rFonts w:ascii="Times New Roman" w:hAnsi="Times New Roman"/>
        </w:rPr>
        <w:t>, private and public.</w:t>
      </w:r>
    </w:p>
    <w:p w14:paraId="76B8986D" w14:textId="07A24E9C" w:rsidR="002202F2" w:rsidRPr="005B7071" w:rsidRDefault="002202F2" w:rsidP="002202F2">
      <w:pPr>
        <w:ind w:firstLine="720"/>
        <w:rPr>
          <w:rFonts w:ascii="Times New Roman" w:hAnsi="Times New Roman"/>
        </w:rPr>
      </w:pPr>
      <w:r w:rsidRPr="005B7071">
        <w:rPr>
          <w:rFonts w:ascii="Times New Roman" w:hAnsi="Times New Roman"/>
        </w:rPr>
        <w:t>The young woman to the far right offers a compelling counterpoint</w:t>
      </w:r>
      <w:r w:rsidR="00A57477">
        <w:rPr>
          <w:rFonts w:ascii="Times New Roman" w:hAnsi="Times New Roman"/>
        </w:rPr>
        <w:t>.</w:t>
      </w:r>
      <w:r w:rsidRPr="005B7071">
        <w:rPr>
          <w:rFonts w:ascii="Times New Roman" w:hAnsi="Times New Roman"/>
        </w:rPr>
        <w:t xml:space="preserve"> Standing, wearing a red dress with a floral-patterned white shawl, her eyes are more questioning, her face more open. Her feet rest on a blanket, again analog</w:t>
      </w:r>
      <w:r w:rsidR="00B10282">
        <w:rPr>
          <w:rFonts w:ascii="Times New Roman" w:hAnsi="Times New Roman"/>
        </w:rPr>
        <w:t>izing the woman with her tribe through material culture</w:t>
      </w:r>
      <w:r w:rsidRPr="005B7071">
        <w:rPr>
          <w:rFonts w:ascii="Times New Roman" w:hAnsi="Times New Roman"/>
        </w:rPr>
        <w:t>. The blanket spreads out over the pueblo in such a way as to lie partially on the rooftop and partially on the ex</w:t>
      </w:r>
      <w:r w:rsidR="00A57477">
        <w:rPr>
          <w:rFonts w:ascii="Times New Roman" w:hAnsi="Times New Roman"/>
        </w:rPr>
        <w:t xml:space="preserve">terior wall of the pueblo, </w:t>
      </w:r>
      <w:r w:rsidRPr="005B7071">
        <w:rPr>
          <w:rFonts w:ascii="Times New Roman" w:hAnsi="Times New Roman"/>
        </w:rPr>
        <w:t xml:space="preserve">gently </w:t>
      </w:r>
      <w:r w:rsidR="00A57477">
        <w:rPr>
          <w:rFonts w:ascii="Times New Roman" w:hAnsi="Times New Roman"/>
        </w:rPr>
        <w:t xml:space="preserve">mediating </w:t>
      </w:r>
      <w:r w:rsidRPr="005B7071">
        <w:rPr>
          <w:rFonts w:ascii="Times New Roman" w:hAnsi="Times New Roman"/>
        </w:rPr>
        <w:t xml:space="preserve">the inner </w:t>
      </w:r>
      <w:r w:rsidRPr="005B7071">
        <w:rPr>
          <w:rFonts w:ascii="Times New Roman" w:hAnsi="Times New Roman"/>
          <w:i/>
        </w:rPr>
        <w:t>sanctum sanctorum</w:t>
      </w:r>
      <w:r w:rsidRPr="005B7071">
        <w:rPr>
          <w:rFonts w:ascii="Times New Roman" w:hAnsi="Times New Roman"/>
        </w:rPr>
        <w:t xml:space="preserve"> occupied by the young woman and the public space of the square below. In spite of her crossed arms, her eyes are more questioning than distrustful or challenging. This relative openness echoes her open stance and body language; she stands slightly off to the side, offering the viewer the only break in the impenetrable fence of bodies along the roofline.</w:t>
      </w:r>
    </w:p>
    <w:p w14:paraId="22BC8BDB" w14:textId="11C44142" w:rsidR="002202F2" w:rsidRPr="005B7071" w:rsidRDefault="002202F2" w:rsidP="002202F2">
      <w:pPr>
        <w:ind w:firstLine="720"/>
        <w:rPr>
          <w:rFonts w:ascii="Times New Roman" w:hAnsi="Times New Roman"/>
        </w:rPr>
      </w:pPr>
      <w:r w:rsidRPr="005B7071">
        <w:rPr>
          <w:rFonts w:ascii="Times New Roman" w:hAnsi="Times New Roman"/>
        </w:rPr>
        <w:t>Perhaps this painting is so unsettling and intriguing because it conforms to Western expectations and disappoints them at the same time.</w:t>
      </w:r>
      <w:r w:rsidRPr="005B7071">
        <w:rPr>
          <w:rStyle w:val="FootnoteReference"/>
          <w:rFonts w:ascii="Times New Roman" w:hAnsi="Times New Roman"/>
        </w:rPr>
        <w:footnoteReference w:id="177"/>
      </w:r>
      <w:r w:rsidRPr="005B7071">
        <w:rPr>
          <w:rFonts w:ascii="Times New Roman" w:hAnsi="Times New Roman"/>
        </w:rPr>
        <w:t xml:space="preserve"> The artist lines the female figures up for inspection and implicitly offers them up for the viewer to consume. Ufer has connected them through analogy to femininity (pot, flower garland) and to arts and crafts (blanket, shawls, pot), and has, implicitly, commoditized them as well. In these ways, </w:t>
      </w:r>
      <w:r w:rsidRPr="005B7071">
        <w:rPr>
          <w:rFonts w:ascii="Times New Roman" w:hAnsi="Times New Roman"/>
          <w:i/>
        </w:rPr>
        <w:t>Their Audience</w:t>
      </w:r>
      <w:r w:rsidRPr="005B7071">
        <w:rPr>
          <w:rFonts w:ascii="Times New Roman" w:hAnsi="Times New Roman"/>
        </w:rPr>
        <w:t xml:space="preserve"> illustrates a colonial relationship between a Euro-American artist an</w:t>
      </w:r>
      <w:r w:rsidR="00591681">
        <w:rPr>
          <w:rFonts w:ascii="Times New Roman" w:hAnsi="Times New Roman"/>
        </w:rPr>
        <w:t>d his Native American subjects.</w:t>
      </w:r>
    </w:p>
    <w:p w14:paraId="364E0695" w14:textId="2730A05D" w:rsidR="002202F2" w:rsidRPr="005B7071" w:rsidRDefault="002202F2" w:rsidP="002202F2">
      <w:pPr>
        <w:ind w:firstLine="720"/>
        <w:rPr>
          <w:rFonts w:ascii="Times New Roman" w:hAnsi="Times New Roman"/>
        </w:rPr>
      </w:pPr>
      <w:r w:rsidRPr="005B7071">
        <w:rPr>
          <w:rFonts w:ascii="Times New Roman" w:hAnsi="Times New Roman"/>
        </w:rPr>
        <w:t xml:space="preserve">By around 1900, Euro-American artists and other intellectuals started to see Native Americans as an artistic resource. As </w:t>
      </w:r>
      <w:r w:rsidR="00A57477">
        <w:rPr>
          <w:rFonts w:ascii="Times New Roman" w:hAnsi="Times New Roman"/>
        </w:rPr>
        <w:t xml:space="preserve">cultural historian </w:t>
      </w:r>
      <w:r w:rsidRPr="005B7071">
        <w:rPr>
          <w:rFonts w:ascii="Times New Roman" w:hAnsi="Times New Roman"/>
        </w:rPr>
        <w:t>Leah Dilworth has argued:</w:t>
      </w:r>
    </w:p>
    <w:p w14:paraId="7CBB9076" w14:textId="20FD7C94" w:rsidR="009E383F" w:rsidRDefault="002202F2" w:rsidP="009E383F">
      <w:pPr>
        <w:pStyle w:val="NoSpacing"/>
        <w:ind w:left="720"/>
        <w:rPr>
          <w:rFonts w:ascii="Times New Roman" w:hAnsi="Times New Roman"/>
          <w:szCs w:val="24"/>
        </w:rPr>
      </w:pPr>
      <w:r w:rsidRPr="005B7071">
        <w:rPr>
          <w:rFonts w:ascii="Times New Roman" w:hAnsi="Times New Roman"/>
          <w:szCs w:val="24"/>
        </w:rPr>
        <w:t xml:space="preserve">Artists, anthropologists, promoters of tourism, and </w:t>
      </w:r>
      <w:r w:rsidR="002D6CAC" w:rsidRPr="005B7071">
        <w:rPr>
          <w:rFonts w:ascii="Times New Roman" w:hAnsi="Times New Roman"/>
          <w:szCs w:val="24"/>
        </w:rPr>
        <w:t>writers . . .</w:t>
      </w:r>
      <w:r w:rsidRPr="005B7071">
        <w:rPr>
          <w:rFonts w:ascii="Times New Roman" w:hAnsi="Times New Roman"/>
          <w:szCs w:val="24"/>
        </w:rPr>
        <w:t xml:space="preserve"> established an essentially colonial relationship with them [Native Americans]. Those who made representations of Indians used Native American cultures as a kind of raw material that they turned into art, scientific data, or dollars. ”</w:t>
      </w:r>
      <w:r w:rsidRPr="005B7071">
        <w:rPr>
          <w:rStyle w:val="FootnoteReference"/>
          <w:rFonts w:ascii="Times New Roman" w:hAnsi="Times New Roman"/>
          <w:szCs w:val="24"/>
        </w:rPr>
        <w:footnoteReference w:id="178"/>
      </w:r>
    </w:p>
    <w:p w14:paraId="37A0F7BB" w14:textId="5E804E3B" w:rsidR="005975DA" w:rsidRDefault="005975DA" w:rsidP="009E383F">
      <w:pPr>
        <w:pStyle w:val="NoSpacing"/>
        <w:ind w:left="720"/>
        <w:rPr>
          <w:rFonts w:ascii="Times New Roman" w:hAnsi="Times New Roman"/>
          <w:szCs w:val="24"/>
        </w:rPr>
      </w:pPr>
    </w:p>
    <w:p w14:paraId="199698F0" w14:textId="6619BAAF" w:rsidR="009E383F" w:rsidRDefault="002202F2" w:rsidP="009E383F">
      <w:r w:rsidRPr="005B7071">
        <w:t>Inherent to any imperialistic enterprise is the belief that “primitive” natives cannot fully or efficiently extract the value from their land or their culture.</w:t>
      </w:r>
      <w:r w:rsidRPr="005B7071">
        <w:rPr>
          <w:rStyle w:val="FootnoteReference"/>
          <w:rFonts w:ascii="Times New Roman" w:hAnsi="Times New Roman"/>
        </w:rPr>
        <w:footnoteReference w:id="179"/>
      </w:r>
      <w:r w:rsidRPr="005B7071">
        <w:t xml:space="preserve"> For European-American artist, this </w:t>
      </w:r>
      <w:r w:rsidR="00A57477">
        <w:t>justified</w:t>
      </w:r>
      <w:r w:rsidRPr="005B7071">
        <w:t xml:space="preserve"> taking raw materials –i.e., images of Native Americans and their culture – from the land and translated them in</w:t>
      </w:r>
      <w:r w:rsidR="009F0992" w:rsidRPr="005B7071">
        <w:t>to art, and ultimately, money.</w:t>
      </w:r>
    </w:p>
    <w:p w14:paraId="18A1D398" w14:textId="5613753D" w:rsidR="002202F2" w:rsidRPr="005B7071" w:rsidRDefault="002202F2" w:rsidP="009E383F">
      <w:pPr>
        <w:ind w:firstLine="720"/>
      </w:pPr>
      <w:r w:rsidRPr="005B7071">
        <w:t xml:space="preserve">This was the operative paradigm for the painters who came to Taos between 1898 and the 1920s. </w:t>
      </w:r>
      <w:r w:rsidRPr="005B7071">
        <w:rPr>
          <w:i/>
        </w:rPr>
        <w:t>The Pottery Vendor</w:t>
      </w:r>
      <w:r w:rsidRPr="005B7071">
        <w:t xml:space="preserve"> </w:t>
      </w:r>
      <w:r w:rsidR="00AA3937" w:rsidRPr="005B7071">
        <w:t>b</w:t>
      </w:r>
      <w:r w:rsidRPr="005B7071">
        <w:t xml:space="preserve">y Eanger Irving Couse features a half-nude male Indian left of center against </w:t>
      </w:r>
      <w:r w:rsidR="00A57477">
        <w:t xml:space="preserve">an </w:t>
      </w:r>
      <w:r w:rsidRPr="005B7071">
        <w:t>abstract, muted grey brown background</w:t>
      </w:r>
      <w:r w:rsidR="009E383F">
        <w:t xml:space="preserve"> (fig. 4.3)</w:t>
      </w:r>
      <w:r w:rsidRPr="005B7071">
        <w:t xml:space="preserve">. The artist </w:t>
      </w:r>
      <w:r w:rsidR="00A57477">
        <w:t xml:space="preserve">has </w:t>
      </w:r>
      <w:r w:rsidRPr="005B7071">
        <w:t>balance</w:t>
      </w:r>
      <w:r w:rsidR="003941EB">
        <w:t>d</w:t>
      </w:r>
      <w:r w:rsidRPr="005B7071">
        <w:t xml:space="preserve"> the right side of the composition with various Southwestern Indian pottery pieces. A large, earth-colored </w:t>
      </w:r>
      <w:r w:rsidRPr="005B7071">
        <w:rPr>
          <w:i/>
        </w:rPr>
        <w:t>olla</w:t>
      </w:r>
      <w:r w:rsidRPr="005B7071">
        <w:t xml:space="preserve"> dominates an impressive grouping of pottery probably derived from Couse’s own burgeoning collection.</w:t>
      </w:r>
      <w:r w:rsidR="009B26F7">
        <w:rPr>
          <w:rStyle w:val="FootnoteReference"/>
        </w:rPr>
        <w:footnoteReference w:id="180"/>
      </w:r>
      <w:r w:rsidRPr="005B7071">
        <w:t xml:space="preserve"> The implied vertical line that runs from the large pot on the ground to the smaller pot hanging above it provides a rough visual echo of the Indian’s body and head. The overall effect reduces the Indian to a commodity comparable to the attendant pottery.</w:t>
      </w:r>
    </w:p>
    <w:p w14:paraId="133F3029" w14:textId="254AA048" w:rsidR="002202F2" w:rsidRPr="005B7071" w:rsidRDefault="009B26F7" w:rsidP="002202F2">
      <w:pPr>
        <w:ind w:firstLine="720"/>
        <w:rPr>
          <w:rFonts w:ascii="Times New Roman" w:hAnsi="Times New Roman"/>
        </w:rPr>
      </w:pPr>
      <w:r>
        <w:rPr>
          <w:rFonts w:ascii="Times New Roman" w:hAnsi="Times New Roman"/>
        </w:rPr>
        <w:t>The figure</w:t>
      </w:r>
      <w:r w:rsidR="002202F2" w:rsidRPr="005B7071">
        <w:rPr>
          <w:rFonts w:ascii="Times New Roman" w:hAnsi="Times New Roman"/>
        </w:rPr>
        <w:t xml:space="preserve"> looks out from his studio space but does not really see the viewer. His distracted, sidelong glance does not interact with </w:t>
      </w:r>
      <w:r w:rsidR="009E383F">
        <w:rPr>
          <w:rFonts w:ascii="Times New Roman" w:hAnsi="Times New Roman"/>
        </w:rPr>
        <w:t xml:space="preserve">nor implicate </w:t>
      </w:r>
      <w:r w:rsidR="002202F2" w:rsidRPr="005B7071">
        <w:rPr>
          <w:rFonts w:ascii="Times New Roman" w:hAnsi="Times New Roman"/>
        </w:rPr>
        <w:t>the viewer, and thus, the viewer does not become involved psychologically with the subject. Distancing the subject further, the focus on ethnographic details – the beaded leggings and the pot, for example</w:t>
      </w:r>
      <w:r>
        <w:rPr>
          <w:rFonts w:ascii="Times New Roman" w:hAnsi="Times New Roman"/>
        </w:rPr>
        <w:t xml:space="preserve"> – </w:t>
      </w:r>
      <w:r w:rsidR="002202F2" w:rsidRPr="005B7071">
        <w:rPr>
          <w:rFonts w:ascii="Times New Roman" w:hAnsi="Times New Roman"/>
        </w:rPr>
        <w:t>salvages those details at the expense of the sitter’s personality.</w:t>
      </w:r>
      <w:r w:rsidR="002202F2" w:rsidRPr="005B7071">
        <w:rPr>
          <w:rStyle w:val="FootnoteReference"/>
          <w:rFonts w:ascii="Times New Roman" w:hAnsi="Times New Roman"/>
        </w:rPr>
        <w:footnoteReference w:id="181"/>
      </w:r>
    </w:p>
    <w:p w14:paraId="7A27425F" w14:textId="60CE76CA" w:rsidR="002202F2" w:rsidRPr="005B7071" w:rsidRDefault="002202F2" w:rsidP="002202F2">
      <w:pPr>
        <w:ind w:firstLine="720"/>
        <w:rPr>
          <w:rFonts w:ascii="Times New Roman" w:hAnsi="Times New Roman"/>
        </w:rPr>
      </w:pPr>
      <w:r w:rsidRPr="005B7071">
        <w:rPr>
          <w:rFonts w:ascii="Times New Roman" w:hAnsi="Times New Roman"/>
        </w:rPr>
        <w:t xml:space="preserve">In contrast, the two flanking figures in </w:t>
      </w:r>
      <w:r w:rsidRPr="005B7071">
        <w:rPr>
          <w:rFonts w:ascii="Times New Roman" w:hAnsi="Times New Roman"/>
          <w:i/>
        </w:rPr>
        <w:t>Their Audience</w:t>
      </w:r>
      <w:r w:rsidRPr="005B7071">
        <w:rPr>
          <w:rFonts w:ascii="Times New Roman" w:hAnsi="Times New Roman"/>
        </w:rPr>
        <w:t xml:space="preserve">, by means of their direct gazes, do not allow the viewer to regard them simply as commodities. In this way, </w:t>
      </w:r>
      <w:r w:rsidR="00CD43CC">
        <w:rPr>
          <w:rFonts w:ascii="Times New Roman" w:hAnsi="Times New Roman"/>
        </w:rPr>
        <w:t xml:space="preserve">the </w:t>
      </w:r>
      <w:r w:rsidRPr="005B7071">
        <w:rPr>
          <w:rFonts w:ascii="Times New Roman" w:hAnsi="Times New Roman"/>
        </w:rPr>
        <w:t xml:space="preserve">viewer </w:t>
      </w:r>
      <w:r w:rsidR="00CD43CC">
        <w:rPr>
          <w:rFonts w:ascii="Times New Roman" w:hAnsi="Times New Roman"/>
        </w:rPr>
        <w:t xml:space="preserve">cannot </w:t>
      </w:r>
      <w:r w:rsidRPr="005B7071">
        <w:rPr>
          <w:rFonts w:ascii="Times New Roman" w:hAnsi="Times New Roman"/>
        </w:rPr>
        <w:t xml:space="preserve">read </w:t>
      </w:r>
      <w:r w:rsidRPr="005B7071">
        <w:rPr>
          <w:rFonts w:ascii="Times New Roman" w:hAnsi="Times New Roman"/>
          <w:i/>
        </w:rPr>
        <w:t>Their Audience</w:t>
      </w:r>
      <w:r w:rsidRPr="005B7071">
        <w:rPr>
          <w:rFonts w:ascii="Times New Roman" w:hAnsi="Times New Roman"/>
        </w:rPr>
        <w:t xml:space="preserve"> reductively as an image of male, and by extension imperialist, domination. Instead, the Native American subjects </w:t>
      </w:r>
      <w:r w:rsidR="00CD43CC">
        <w:rPr>
          <w:rFonts w:ascii="Times New Roman" w:hAnsi="Times New Roman"/>
        </w:rPr>
        <w:t xml:space="preserve">were </w:t>
      </w:r>
      <w:r w:rsidRPr="005B7071">
        <w:rPr>
          <w:rFonts w:ascii="Times New Roman" w:hAnsi="Times New Roman"/>
        </w:rPr>
        <w:t>an integral part of the viewing experience because the viewer c</w:t>
      </w:r>
      <w:r w:rsidR="00CD43CC">
        <w:rPr>
          <w:rFonts w:ascii="Times New Roman" w:hAnsi="Times New Roman"/>
        </w:rPr>
        <w:t xml:space="preserve">ould not </w:t>
      </w:r>
      <w:r w:rsidRPr="005B7071">
        <w:rPr>
          <w:rFonts w:ascii="Times New Roman" w:hAnsi="Times New Roman"/>
        </w:rPr>
        <w:t xml:space="preserve">help but to engage in the psychology of the moment. If </w:t>
      </w:r>
      <w:r w:rsidR="00CD43CC">
        <w:rPr>
          <w:rFonts w:ascii="Times New Roman" w:hAnsi="Times New Roman"/>
        </w:rPr>
        <w:t xml:space="preserve">viewers were </w:t>
      </w:r>
      <w:r w:rsidRPr="005B7071">
        <w:rPr>
          <w:rFonts w:ascii="Times New Roman" w:hAnsi="Times New Roman"/>
        </w:rPr>
        <w:t xml:space="preserve">indeed present at a ceremonial dance, why, exactly, </w:t>
      </w:r>
      <w:r w:rsidR="00CD43CC">
        <w:rPr>
          <w:rFonts w:ascii="Times New Roman" w:hAnsi="Times New Roman"/>
        </w:rPr>
        <w:t xml:space="preserve">were they </w:t>
      </w:r>
      <w:r w:rsidRPr="005B7071">
        <w:rPr>
          <w:rFonts w:ascii="Times New Roman" w:hAnsi="Times New Roman"/>
        </w:rPr>
        <w:t xml:space="preserve">looking not at the dance below, but at an impenetrable row of statuesque female figures, denying our gaze into their culture? Perhaps because by the time </w:t>
      </w:r>
      <w:r w:rsidRPr="005B7071">
        <w:rPr>
          <w:rFonts w:ascii="Times New Roman" w:hAnsi="Times New Roman"/>
          <w:i/>
        </w:rPr>
        <w:t>Their Audience</w:t>
      </w:r>
      <w:r w:rsidRPr="005B7071">
        <w:rPr>
          <w:rFonts w:ascii="Times New Roman" w:hAnsi="Times New Roman"/>
        </w:rPr>
        <w:t xml:space="preserve"> was painted, several southwest Native American cultures were restricting access and image maki</w:t>
      </w:r>
      <w:r w:rsidR="009F0992" w:rsidRPr="005B7071">
        <w:rPr>
          <w:rFonts w:ascii="Times New Roman" w:hAnsi="Times New Roman"/>
        </w:rPr>
        <w:t>ng at their sacred ceremonies.</w:t>
      </w:r>
    </w:p>
    <w:p w14:paraId="4F2A4087" w14:textId="1AB786D4" w:rsidR="002202F2" w:rsidRPr="005B7071" w:rsidRDefault="002202F2" w:rsidP="002202F2">
      <w:pPr>
        <w:ind w:firstLine="720"/>
        <w:rPr>
          <w:rFonts w:ascii="Times New Roman" w:hAnsi="Times New Roman"/>
        </w:rPr>
      </w:pPr>
      <w:r w:rsidRPr="005B7071">
        <w:rPr>
          <w:rFonts w:ascii="Times New Roman" w:hAnsi="Times New Roman"/>
        </w:rPr>
        <w:t xml:space="preserve">By 1916, Euro-American artists had already successfully </w:t>
      </w:r>
      <w:r w:rsidR="00CD43CC">
        <w:rPr>
          <w:rFonts w:ascii="Times New Roman" w:hAnsi="Times New Roman"/>
        </w:rPr>
        <w:t xml:space="preserve">packaged and sold </w:t>
      </w:r>
      <w:r w:rsidRPr="005B7071">
        <w:rPr>
          <w:rFonts w:ascii="Times New Roman" w:hAnsi="Times New Roman"/>
        </w:rPr>
        <w:t>Native Americans and their culture through representations of their sacred ceremonies and dances. The railroads aided in this commoditization. In the 1880s, the Atchison, Topeka, and Santa Fe Railroad began service to and from Santa Fe, New Mexico.</w:t>
      </w:r>
      <w:r w:rsidRPr="005B7071">
        <w:rPr>
          <w:rStyle w:val="FootnoteReference"/>
          <w:rFonts w:ascii="Times New Roman" w:hAnsi="Times New Roman"/>
        </w:rPr>
        <w:footnoteReference w:id="182"/>
      </w:r>
      <w:r w:rsidRPr="005B7071">
        <w:rPr>
          <w:rFonts w:ascii="Times New Roman" w:hAnsi="Times New Roman"/>
        </w:rPr>
        <w:t xml:space="preserve"> The railroads, originally seen as a conduit to relocate easterners who wanted to settle the west, increasingly </w:t>
      </w:r>
      <w:r w:rsidR="009E383F">
        <w:rPr>
          <w:rFonts w:ascii="Times New Roman" w:hAnsi="Times New Roman"/>
        </w:rPr>
        <w:t xml:space="preserve">began </w:t>
      </w:r>
      <w:r w:rsidRPr="005B7071">
        <w:rPr>
          <w:rFonts w:ascii="Times New Roman" w:hAnsi="Times New Roman"/>
        </w:rPr>
        <w:t>promot</w:t>
      </w:r>
      <w:r w:rsidR="009E383F">
        <w:rPr>
          <w:rFonts w:ascii="Times New Roman" w:hAnsi="Times New Roman"/>
        </w:rPr>
        <w:t xml:space="preserve">ing </w:t>
      </w:r>
      <w:r w:rsidRPr="005B7071">
        <w:rPr>
          <w:rFonts w:ascii="Times New Roman" w:hAnsi="Times New Roman"/>
        </w:rPr>
        <w:t xml:space="preserve">tourism as a means to increase revenues. By the turn of the twentieth century, tourism was expanding throughout the southwest. Attracted by the warm climate, the picturesque setting, and </w:t>
      </w:r>
      <w:r w:rsidR="00CD43CC">
        <w:rPr>
          <w:rFonts w:ascii="Times New Roman" w:hAnsi="Times New Roman"/>
        </w:rPr>
        <w:t xml:space="preserve">remnants of </w:t>
      </w:r>
      <w:r w:rsidRPr="005B7071">
        <w:rPr>
          <w:rFonts w:ascii="Times New Roman" w:hAnsi="Times New Roman"/>
        </w:rPr>
        <w:t xml:space="preserve">ancient Native American cultures, European-Americans started visiting Indian communities and ceremonies as </w:t>
      </w:r>
      <w:r w:rsidR="009E383F">
        <w:rPr>
          <w:rFonts w:ascii="Times New Roman" w:hAnsi="Times New Roman"/>
        </w:rPr>
        <w:t xml:space="preserve">tourist attractions. </w:t>
      </w:r>
      <w:r w:rsidRPr="005B7071">
        <w:rPr>
          <w:rFonts w:ascii="Times New Roman" w:hAnsi="Times New Roman"/>
        </w:rPr>
        <w:t>Those promoting the southwest as a tourist destination characterized Native Americans of the Taos Pueblos as part of the “American Orient</w:t>
      </w:r>
      <w:r w:rsidR="009E383F">
        <w:rPr>
          <w:rFonts w:ascii="Times New Roman" w:hAnsi="Times New Roman"/>
        </w:rPr>
        <w:t>,</w:t>
      </w:r>
      <w:r w:rsidRPr="005B7071">
        <w:rPr>
          <w:rFonts w:ascii="Times New Roman" w:hAnsi="Times New Roman"/>
        </w:rPr>
        <w:t>” a happy “ancient” culture of “ethnic others” who lived in houses, were agricultural, nominally Christian, and non-threatening to whites.</w:t>
      </w:r>
      <w:r w:rsidRPr="005B7071">
        <w:rPr>
          <w:rStyle w:val="FootnoteReference"/>
          <w:rFonts w:ascii="Times New Roman" w:hAnsi="Times New Roman"/>
        </w:rPr>
        <w:footnoteReference w:id="183"/>
      </w:r>
    </w:p>
    <w:p w14:paraId="22FA6B5D" w14:textId="58BB5615" w:rsidR="002202F2" w:rsidRPr="005B7071" w:rsidRDefault="002202F2" w:rsidP="002202F2">
      <w:pPr>
        <w:ind w:firstLine="720"/>
        <w:rPr>
          <w:rFonts w:ascii="Times New Roman" w:hAnsi="Times New Roman"/>
        </w:rPr>
      </w:pPr>
      <w:r w:rsidRPr="005B7071">
        <w:rPr>
          <w:rFonts w:ascii="Times New Roman" w:hAnsi="Times New Roman"/>
        </w:rPr>
        <w:t>Yet, the “exotic” continued to excite and fascinate the white colonial mind. From 1880 to 1920, the Hopi Snake Dance was the most represented of all southwest Indian ceremonies.</w:t>
      </w:r>
      <w:r w:rsidRPr="005B7071">
        <w:rPr>
          <w:rStyle w:val="FootnoteReference"/>
          <w:rFonts w:ascii="Times New Roman" w:hAnsi="Times New Roman"/>
        </w:rPr>
        <w:t xml:space="preserve"> </w:t>
      </w:r>
      <w:r w:rsidRPr="005B7071">
        <w:rPr>
          <w:rStyle w:val="FootnoteReference"/>
          <w:rFonts w:ascii="Times New Roman" w:hAnsi="Times New Roman"/>
        </w:rPr>
        <w:footnoteReference w:id="184"/>
      </w:r>
      <w:r w:rsidRPr="005B7071">
        <w:rPr>
          <w:rFonts w:ascii="Times New Roman" w:hAnsi="Times New Roman"/>
        </w:rPr>
        <w:t xml:space="preserve"> </w:t>
      </w:r>
      <w:r w:rsidR="00CD43CC">
        <w:rPr>
          <w:rFonts w:ascii="Times New Roman" w:hAnsi="Times New Roman"/>
        </w:rPr>
        <w:t xml:space="preserve">As a result, </w:t>
      </w:r>
      <w:r w:rsidRPr="005B7071">
        <w:rPr>
          <w:rFonts w:ascii="Times New Roman" w:hAnsi="Times New Roman"/>
        </w:rPr>
        <w:t>white Americans increasingly identified Native peoples of the southwest with this and other dances and ceremonies. As the Snake Dance circulated through texts, images, and as a tourist attraction, it became a commodity sold by whites to other whites.</w:t>
      </w:r>
      <w:r w:rsidRPr="005B7071">
        <w:rPr>
          <w:rStyle w:val="FootnoteReference"/>
          <w:rFonts w:ascii="Times New Roman" w:hAnsi="Times New Roman"/>
        </w:rPr>
        <w:footnoteReference w:id="185"/>
      </w:r>
      <w:r w:rsidRPr="005B7071">
        <w:rPr>
          <w:rFonts w:ascii="Times New Roman" w:hAnsi="Times New Roman"/>
        </w:rPr>
        <w:t xml:space="preserve"> As an example, Eanger Irving Couse’s </w:t>
      </w:r>
      <w:r w:rsidRPr="005B7071">
        <w:rPr>
          <w:rFonts w:ascii="Times New Roman" w:hAnsi="Times New Roman"/>
          <w:i/>
        </w:rPr>
        <w:t>Moki Snake Dance</w:t>
      </w:r>
      <w:r w:rsidR="009E383F">
        <w:rPr>
          <w:rFonts w:ascii="Times New Roman" w:hAnsi="Times New Roman"/>
        </w:rPr>
        <w:t xml:space="preserve"> of 1904,</w:t>
      </w:r>
      <w:r w:rsidR="00AA3937" w:rsidRPr="005B7071">
        <w:rPr>
          <w:rFonts w:ascii="Times New Roman" w:hAnsi="Times New Roman"/>
        </w:rPr>
        <w:t xml:space="preserve"> </w:t>
      </w:r>
      <w:r w:rsidRPr="005B7071">
        <w:rPr>
          <w:rFonts w:ascii="Times New Roman" w:hAnsi="Times New Roman"/>
        </w:rPr>
        <w:t>purchased by the Santa Fe railroad in 1907 and used by the Fred Harvey Company as a poster and illustration thereafter, places the white viewer in the middle of the action at the most dramatic moment of the dance</w:t>
      </w:r>
      <w:r w:rsidR="009E383F">
        <w:rPr>
          <w:rFonts w:ascii="Times New Roman" w:hAnsi="Times New Roman"/>
        </w:rPr>
        <w:t xml:space="preserve"> </w:t>
      </w:r>
      <w:r w:rsidR="009E383F" w:rsidRPr="005B7071">
        <w:rPr>
          <w:rFonts w:ascii="Times New Roman" w:hAnsi="Times New Roman"/>
        </w:rPr>
        <w:t>(fig. 4.4)</w:t>
      </w:r>
      <w:r w:rsidRPr="005B7071">
        <w:rPr>
          <w:rFonts w:ascii="Times New Roman" w:hAnsi="Times New Roman"/>
        </w:rPr>
        <w:t>. In response to th</w:t>
      </w:r>
      <w:r w:rsidR="00CD43CC">
        <w:rPr>
          <w:rFonts w:ascii="Times New Roman" w:hAnsi="Times New Roman"/>
        </w:rPr>
        <w:t xml:space="preserve">is commercial use of </w:t>
      </w:r>
      <w:r w:rsidRPr="005B7071">
        <w:rPr>
          <w:rFonts w:ascii="Times New Roman" w:hAnsi="Times New Roman"/>
        </w:rPr>
        <w:t>their sacred dances, between 1913 and 1920, the Hopi gradually restricted, then banned, sketching and photograph</w:t>
      </w:r>
      <w:r w:rsidR="00CD43CC">
        <w:rPr>
          <w:rFonts w:ascii="Times New Roman" w:hAnsi="Times New Roman"/>
        </w:rPr>
        <w:t xml:space="preserve">ing </w:t>
      </w:r>
      <w:r w:rsidRPr="005B7071">
        <w:rPr>
          <w:rFonts w:ascii="Times New Roman" w:hAnsi="Times New Roman"/>
        </w:rPr>
        <w:t>these events. Region-wide, by the 1920s many southwest Indian groups followed the Hopi and either restricted or banned artists from representi</w:t>
      </w:r>
      <w:r w:rsidR="00591681">
        <w:rPr>
          <w:rFonts w:ascii="Times New Roman" w:hAnsi="Times New Roman"/>
        </w:rPr>
        <w:t>ng many such sacred ceremonies.</w:t>
      </w:r>
    </w:p>
    <w:p w14:paraId="7BF58CF9" w14:textId="1E3D78C4" w:rsidR="002202F2" w:rsidRPr="005B7071" w:rsidRDefault="002202F2" w:rsidP="002202F2">
      <w:pPr>
        <w:ind w:firstLine="720"/>
        <w:rPr>
          <w:rFonts w:ascii="Times New Roman" w:hAnsi="Times New Roman"/>
        </w:rPr>
      </w:pPr>
      <w:r w:rsidRPr="005B7071">
        <w:rPr>
          <w:rFonts w:ascii="Times New Roman" w:hAnsi="Times New Roman"/>
        </w:rPr>
        <w:t>Walter Ufer first arrived in Taos in 1914, at about the time the Hopi and other groups were starting to restrict access</w:t>
      </w:r>
      <w:r w:rsidR="00CD43CC">
        <w:rPr>
          <w:rFonts w:ascii="Times New Roman" w:hAnsi="Times New Roman"/>
        </w:rPr>
        <w:t>.</w:t>
      </w:r>
      <w:r w:rsidRPr="005B7071">
        <w:rPr>
          <w:rFonts w:ascii="Times New Roman" w:hAnsi="Times New Roman"/>
        </w:rPr>
        <w:t xml:space="preserve"> Though famous for his statement, “I paint the Indian as he is. In the garden digging – In the field working – Riding amongst the sage – Meeting his woman in the desert – Angling for trout – In meditation,”</w:t>
      </w:r>
      <w:r w:rsidRPr="005B7071">
        <w:rPr>
          <w:rStyle w:val="FootnoteReference"/>
          <w:rFonts w:ascii="Times New Roman" w:hAnsi="Times New Roman"/>
        </w:rPr>
        <w:footnoteReference w:id="186"/>
      </w:r>
      <w:r w:rsidRPr="005B7071">
        <w:rPr>
          <w:rFonts w:ascii="Times New Roman" w:hAnsi="Times New Roman"/>
        </w:rPr>
        <w:t xml:space="preserve"> it took Ufer a few years to come </w:t>
      </w:r>
      <w:r w:rsidR="00CD43CC">
        <w:rPr>
          <w:rFonts w:ascii="Times New Roman" w:hAnsi="Times New Roman"/>
        </w:rPr>
        <w:t xml:space="preserve">around </w:t>
      </w:r>
      <w:r w:rsidRPr="005B7071">
        <w:rPr>
          <w:rFonts w:ascii="Times New Roman" w:hAnsi="Times New Roman"/>
        </w:rPr>
        <w:t>to this point of view. Ufer’s principle patron, H. Carter Harrison, then mayor of Chicago, advised him, “The man who makes himself the [Jean-François] Millet of the Indian, who paints him just as he is, as he lives, will strike the lasting note, persuaded him to this view.</w:t>
      </w:r>
      <w:r w:rsidRPr="005B7071">
        <w:rPr>
          <w:rStyle w:val="FootnoteReference"/>
          <w:rFonts w:ascii="Times New Roman" w:hAnsi="Times New Roman"/>
        </w:rPr>
        <w:footnoteReference w:id="187"/>
      </w:r>
      <w:r w:rsidRPr="005B7071">
        <w:rPr>
          <w:rFonts w:ascii="Times New Roman" w:hAnsi="Times New Roman"/>
        </w:rPr>
        <w:t xml:space="preserve"> Perhaps Ufer was persuaded by his patron’s words, and perhaps he saw the writing on the wall. Not only did other members of the TSA su</w:t>
      </w:r>
      <w:r w:rsidR="00B92225">
        <w:rPr>
          <w:rFonts w:ascii="Times New Roman" w:hAnsi="Times New Roman"/>
        </w:rPr>
        <w:t>ch as Couse and Sharp have the ethnographic</w:t>
      </w:r>
      <w:r w:rsidRPr="005B7071">
        <w:rPr>
          <w:rFonts w:ascii="Times New Roman" w:hAnsi="Times New Roman"/>
        </w:rPr>
        <w:t xml:space="preserve"> paintings market cornered, but the window of access to paint sacred ceremonies such as the S</w:t>
      </w:r>
      <w:r w:rsidR="00B92225">
        <w:rPr>
          <w:rFonts w:ascii="Times New Roman" w:hAnsi="Times New Roman"/>
        </w:rPr>
        <w:t>nake Dance was quickly closing.</w:t>
      </w:r>
    </w:p>
    <w:p w14:paraId="162E2385" w14:textId="651C990D" w:rsidR="002202F2" w:rsidRPr="005B7071" w:rsidRDefault="002202F2" w:rsidP="00275C35">
      <w:pPr>
        <w:ind w:firstLine="720"/>
        <w:rPr>
          <w:rFonts w:ascii="Times New Roman" w:hAnsi="Times New Roman"/>
        </w:rPr>
      </w:pPr>
      <w:r w:rsidRPr="005B7071">
        <w:rPr>
          <w:rFonts w:ascii="Times New Roman" w:hAnsi="Times New Roman"/>
        </w:rPr>
        <w:t xml:space="preserve">The final bit of intrigue surrounding </w:t>
      </w:r>
      <w:r w:rsidR="00275C35">
        <w:rPr>
          <w:rFonts w:ascii="Times New Roman" w:hAnsi="Times New Roman"/>
        </w:rPr>
        <w:t>its</w:t>
      </w:r>
      <w:r w:rsidRPr="005B7071">
        <w:rPr>
          <w:rFonts w:ascii="Times New Roman" w:hAnsi="Times New Roman"/>
        </w:rPr>
        <w:t xml:space="preserve"> title, </w:t>
      </w:r>
      <w:r w:rsidRPr="005B7071">
        <w:rPr>
          <w:rFonts w:ascii="Times New Roman" w:hAnsi="Times New Roman"/>
          <w:i/>
        </w:rPr>
        <w:t>Their Audience</w:t>
      </w:r>
      <w:r w:rsidRPr="005B7071">
        <w:rPr>
          <w:rFonts w:ascii="Times New Roman" w:hAnsi="Times New Roman"/>
        </w:rPr>
        <w:t>, bot</w:t>
      </w:r>
      <w:r w:rsidR="00275C35">
        <w:rPr>
          <w:rFonts w:ascii="Times New Roman" w:hAnsi="Times New Roman"/>
        </w:rPr>
        <w:t>h overdetermined and ambivalent:</w:t>
      </w:r>
      <w:r w:rsidRPr="005B7071">
        <w:rPr>
          <w:rFonts w:ascii="Times New Roman" w:hAnsi="Times New Roman"/>
        </w:rPr>
        <w:t xml:space="preserve"> </w:t>
      </w:r>
      <w:r w:rsidR="00275C35">
        <w:rPr>
          <w:rFonts w:ascii="Times New Roman" w:hAnsi="Times New Roman"/>
        </w:rPr>
        <w:t>o</w:t>
      </w:r>
      <w:r w:rsidRPr="005B7071">
        <w:rPr>
          <w:rFonts w:ascii="Times New Roman" w:hAnsi="Times New Roman"/>
        </w:rPr>
        <w:t>verdetermined in that</w:t>
      </w:r>
      <w:r w:rsidR="00275C35">
        <w:rPr>
          <w:rFonts w:ascii="Times New Roman" w:hAnsi="Times New Roman"/>
        </w:rPr>
        <w:t>,</w:t>
      </w:r>
      <w:r w:rsidRPr="005B7071">
        <w:rPr>
          <w:rFonts w:ascii="Times New Roman" w:hAnsi="Times New Roman"/>
        </w:rPr>
        <w:t xml:space="preserve"> even without a title, it is clear that this painting is all about viewing and being viewed; ambivalent in that the title underlines the instability at </w:t>
      </w:r>
      <w:r w:rsidR="00275C35">
        <w:rPr>
          <w:rFonts w:ascii="Times New Roman" w:hAnsi="Times New Roman"/>
        </w:rPr>
        <w:t xml:space="preserve">its heart, </w:t>
      </w:r>
      <w:r w:rsidRPr="005B7071">
        <w:rPr>
          <w:rFonts w:ascii="Times New Roman" w:hAnsi="Times New Roman"/>
        </w:rPr>
        <w:t>namely the identity of the subject. Are the stern-faced women viewing the ceremony below</w:t>
      </w:r>
      <w:r w:rsidR="00275C35">
        <w:rPr>
          <w:rFonts w:ascii="Times New Roman" w:hAnsi="Times New Roman"/>
        </w:rPr>
        <w:t xml:space="preserve"> the “audience” for that ceremony, so that “their” refers to the unseen dancers, or, is the audience the imagined viewer below. Indeed, u</w:t>
      </w:r>
      <w:r w:rsidRPr="005B7071">
        <w:rPr>
          <w:rFonts w:ascii="Times New Roman" w:hAnsi="Times New Roman"/>
        </w:rPr>
        <w:t xml:space="preserve">ltimately, could </w:t>
      </w:r>
      <w:r w:rsidR="00275C35">
        <w:rPr>
          <w:rFonts w:ascii="Times New Roman" w:hAnsi="Times New Roman"/>
        </w:rPr>
        <w:t xml:space="preserve">not </w:t>
      </w:r>
      <w:r w:rsidRPr="005B7071">
        <w:rPr>
          <w:rFonts w:ascii="Times New Roman" w:hAnsi="Times New Roman"/>
        </w:rPr>
        <w:t xml:space="preserve">the figures in the upper left of the composition, positioned on a more distant, higher rooftop, be the audience for the seven female figures, the viewer, and the ceremony? The pictorial ambiguity makes it clear that the title serves as a purposeful reminder of the artificiality of the canvas. All the world’s a stage, Ufer’s Indians play their parts. In </w:t>
      </w:r>
      <w:r w:rsidRPr="005B7071">
        <w:rPr>
          <w:rFonts w:ascii="Times New Roman" w:hAnsi="Times New Roman"/>
          <w:i/>
        </w:rPr>
        <w:t>Their Audience</w:t>
      </w:r>
      <w:r w:rsidR="00B92225">
        <w:rPr>
          <w:rFonts w:ascii="Times New Roman" w:hAnsi="Times New Roman"/>
        </w:rPr>
        <w:t>,</w:t>
      </w:r>
      <w:r w:rsidRPr="005B7071">
        <w:rPr>
          <w:rFonts w:ascii="Times New Roman" w:hAnsi="Times New Roman"/>
        </w:rPr>
        <w:t xml:space="preserve"> Ufer has created a manifestly fictive space wherein the figures </w:t>
      </w:r>
      <w:r w:rsidR="00275C35">
        <w:rPr>
          <w:rFonts w:ascii="Times New Roman" w:hAnsi="Times New Roman"/>
        </w:rPr>
        <w:t xml:space="preserve">act </w:t>
      </w:r>
      <w:r w:rsidRPr="005B7071">
        <w:rPr>
          <w:rFonts w:ascii="Times New Roman" w:hAnsi="Times New Roman"/>
        </w:rPr>
        <w:t>out a dramatic play or vignette that has the effect of</w:t>
      </w:r>
      <w:r w:rsidR="00275C35">
        <w:rPr>
          <w:rFonts w:ascii="Times New Roman" w:hAnsi="Times New Roman"/>
        </w:rPr>
        <w:t xml:space="preserve"> making a commodity not of </w:t>
      </w:r>
      <w:r w:rsidRPr="005B7071">
        <w:rPr>
          <w:rFonts w:ascii="Times New Roman" w:hAnsi="Times New Roman"/>
        </w:rPr>
        <w:t>the Indians, but the canv</w:t>
      </w:r>
      <w:r w:rsidR="009F0992" w:rsidRPr="005B7071">
        <w:rPr>
          <w:rFonts w:ascii="Times New Roman" w:hAnsi="Times New Roman"/>
        </w:rPr>
        <w:t>as upon which they are acting.</w:t>
      </w:r>
    </w:p>
    <w:p w14:paraId="031570EC" w14:textId="07A071FC" w:rsidR="002202F2" w:rsidRPr="005B7071" w:rsidRDefault="002202F2" w:rsidP="002202F2">
      <w:pPr>
        <w:ind w:firstLine="720"/>
        <w:rPr>
          <w:rFonts w:ascii="Times New Roman" w:hAnsi="Times New Roman"/>
        </w:rPr>
      </w:pPr>
      <w:r w:rsidRPr="005B7071">
        <w:rPr>
          <w:rFonts w:ascii="Times New Roman" w:hAnsi="Times New Roman"/>
          <w:i/>
        </w:rPr>
        <w:t xml:space="preserve">Their Audience </w:t>
      </w:r>
      <w:r w:rsidR="00275C35">
        <w:rPr>
          <w:rFonts w:ascii="Times New Roman" w:hAnsi="Times New Roman"/>
        </w:rPr>
        <w:t xml:space="preserve">might </w:t>
      </w:r>
      <w:r w:rsidRPr="005B7071">
        <w:rPr>
          <w:rFonts w:ascii="Times New Roman" w:hAnsi="Times New Roman"/>
        </w:rPr>
        <w:t xml:space="preserve">also have served as a template for </w:t>
      </w:r>
      <w:r w:rsidR="00275C35">
        <w:rPr>
          <w:rFonts w:ascii="Times New Roman" w:hAnsi="Times New Roman"/>
        </w:rPr>
        <w:t xml:space="preserve">such </w:t>
      </w:r>
      <w:r w:rsidRPr="005B7071">
        <w:rPr>
          <w:rFonts w:ascii="Times New Roman" w:hAnsi="Times New Roman"/>
        </w:rPr>
        <w:t xml:space="preserve">purposefully ironic works as Woody Crumbo’s </w:t>
      </w:r>
      <w:r w:rsidRPr="005B7071">
        <w:rPr>
          <w:rFonts w:ascii="Times New Roman" w:hAnsi="Times New Roman"/>
          <w:i/>
        </w:rPr>
        <w:t>Land of Enchantment</w:t>
      </w:r>
      <w:r w:rsidR="00275C35">
        <w:rPr>
          <w:rFonts w:ascii="Times New Roman" w:hAnsi="Times New Roman"/>
        </w:rPr>
        <w:t xml:space="preserve">, 1946 </w:t>
      </w:r>
      <w:r w:rsidRPr="005B7071">
        <w:rPr>
          <w:rFonts w:ascii="Times New Roman" w:hAnsi="Times New Roman"/>
        </w:rPr>
        <w:t>(</w:t>
      </w:r>
      <w:r w:rsidR="00AA3937" w:rsidRPr="005B7071">
        <w:rPr>
          <w:rFonts w:ascii="Times New Roman" w:hAnsi="Times New Roman"/>
        </w:rPr>
        <w:t>fig. 4.5</w:t>
      </w:r>
      <w:r w:rsidRPr="005B7071">
        <w:rPr>
          <w:rFonts w:ascii="Times New Roman" w:hAnsi="Times New Roman"/>
        </w:rPr>
        <w:t xml:space="preserve">). </w:t>
      </w:r>
      <w:r w:rsidR="00302534">
        <w:rPr>
          <w:rFonts w:ascii="Times New Roman" w:hAnsi="Times New Roman"/>
        </w:rPr>
        <w:t xml:space="preserve">Located somewhere in the Southwest, Crumbo’s now-iconic image describes a typical roadside encounter between white patrons, parodied as clueless and out of touch, and Indians, stereotyped as solemn and spiritual beings. Crumbo place the Indian family behind their art, which serves as a metaphorical shield blocking both the tourists and the Indians from really seeing one another. </w:t>
      </w:r>
      <w:r w:rsidRPr="005B7071">
        <w:rPr>
          <w:rFonts w:ascii="Times New Roman" w:hAnsi="Times New Roman"/>
        </w:rPr>
        <w:t>While Ufer’s art had to pass within the conservative</w:t>
      </w:r>
      <w:r w:rsidRPr="005B7071">
        <w:rPr>
          <w:rFonts w:ascii="Times New Roman" w:hAnsi="Times New Roman"/>
          <w:i/>
        </w:rPr>
        <w:t xml:space="preserve"> milieu</w:t>
      </w:r>
      <w:r w:rsidRPr="005B7071">
        <w:rPr>
          <w:rFonts w:ascii="Times New Roman" w:hAnsi="Times New Roman"/>
        </w:rPr>
        <w:t xml:space="preserve"> of Chicago patrons in the nineteen-teens and the </w:t>
      </w:r>
      <w:r w:rsidRPr="005B7071">
        <w:rPr>
          <w:rFonts w:ascii="Times New Roman" w:hAnsi="Times New Roman"/>
          <w:bCs/>
          <w:i/>
        </w:rPr>
        <w:t>retardataire</w:t>
      </w:r>
      <w:r w:rsidRPr="005B7071">
        <w:rPr>
          <w:rFonts w:ascii="Times New Roman" w:hAnsi="Times New Roman"/>
        </w:rPr>
        <w:t xml:space="preserve"> TSA, Crumbo, a Potowatomi Indian from Oklahoma best known for his work in the 1940s and 1950s, was more free than Ufer to satirize the theatrical moment of contact between </w:t>
      </w:r>
      <w:r w:rsidR="00B92225">
        <w:rPr>
          <w:rFonts w:ascii="Times New Roman" w:hAnsi="Times New Roman"/>
        </w:rPr>
        <w:t>white tourists and the</w:t>
      </w:r>
      <w:r w:rsidRPr="005B7071">
        <w:rPr>
          <w:rFonts w:ascii="Times New Roman" w:hAnsi="Times New Roman"/>
        </w:rPr>
        <w:t xml:space="preserve"> Indians selling their wares. Whether Crumbo knew of Ufer</w:t>
      </w:r>
      <w:r w:rsidR="00B92225">
        <w:rPr>
          <w:rFonts w:ascii="Times New Roman" w:hAnsi="Times New Roman"/>
        </w:rPr>
        <w:t>’s</w:t>
      </w:r>
      <w:r w:rsidR="00275C35">
        <w:rPr>
          <w:rFonts w:ascii="Times New Roman" w:hAnsi="Times New Roman"/>
        </w:rPr>
        <w:t xml:space="preserve"> work is less </w:t>
      </w:r>
      <w:r w:rsidRPr="005B7071">
        <w:rPr>
          <w:rFonts w:ascii="Times New Roman" w:hAnsi="Times New Roman"/>
        </w:rPr>
        <w:t>important</w:t>
      </w:r>
      <w:r w:rsidR="00275C35">
        <w:rPr>
          <w:rFonts w:ascii="Times New Roman" w:hAnsi="Times New Roman"/>
        </w:rPr>
        <w:t xml:space="preserve"> than that </w:t>
      </w:r>
      <w:r w:rsidRPr="005B7071">
        <w:rPr>
          <w:rFonts w:ascii="Times New Roman" w:hAnsi="Times New Roman"/>
        </w:rPr>
        <w:t xml:space="preserve">they both appreciated the ironic and humorous possibilities offered by the </w:t>
      </w:r>
      <w:r w:rsidR="00DD3D18">
        <w:rPr>
          <w:rFonts w:ascii="Times New Roman" w:hAnsi="Times New Roman"/>
        </w:rPr>
        <w:t xml:space="preserve">buying and selling of </w:t>
      </w:r>
      <w:r w:rsidRPr="005B7071">
        <w:rPr>
          <w:rFonts w:ascii="Times New Roman" w:hAnsi="Times New Roman"/>
        </w:rPr>
        <w:t>Indian life, culture and arts</w:t>
      </w:r>
      <w:r w:rsidR="00DD3D18">
        <w:rPr>
          <w:rFonts w:ascii="Times New Roman" w:hAnsi="Times New Roman"/>
        </w:rPr>
        <w:t>,</w:t>
      </w:r>
      <w:r w:rsidRPr="005B7071">
        <w:rPr>
          <w:rFonts w:ascii="Times New Roman" w:hAnsi="Times New Roman"/>
        </w:rPr>
        <w:t xml:space="preserve"> and the sometimes unwitting role played by whites in promoting and promulgating a colonial relationship w</w:t>
      </w:r>
      <w:r w:rsidR="00591681">
        <w:rPr>
          <w:rFonts w:ascii="Times New Roman" w:hAnsi="Times New Roman"/>
        </w:rPr>
        <w:t>ell into the twentieth century.</w:t>
      </w:r>
    </w:p>
    <w:p w14:paraId="6899CBC6" w14:textId="1FA36F6C" w:rsidR="002202F2" w:rsidRPr="005B7071" w:rsidRDefault="002202F2" w:rsidP="00591681">
      <w:pPr>
        <w:ind w:firstLine="720"/>
        <w:rPr>
          <w:rFonts w:ascii="Times New Roman" w:hAnsi="Times New Roman"/>
        </w:rPr>
      </w:pPr>
      <w:r w:rsidRPr="005B7071">
        <w:rPr>
          <w:rFonts w:ascii="Times New Roman" w:hAnsi="Times New Roman"/>
        </w:rPr>
        <w:t xml:space="preserve">That Ufer should emphasize that </w:t>
      </w:r>
      <w:r w:rsidRPr="005B7071">
        <w:rPr>
          <w:rFonts w:ascii="Times New Roman" w:hAnsi="Times New Roman"/>
          <w:i/>
        </w:rPr>
        <w:t>Their Audience</w:t>
      </w:r>
      <w:r w:rsidRPr="005B7071">
        <w:rPr>
          <w:rFonts w:ascii="Times New Roman" w:hAnsi="Times New Roman"/>
        </w:rPr>
        <w:t xml:space="preserve"> was a depiction of a fictive space and thus a work of art makes more sense when we co</w:t>
      </w:r>
      <w:r w:rsidR="00DD3D18">
        <w:rPr>
          <w:rFonts w:ascii="Times New Roman" w:hAnsi="Times New Roman"/>
        </w:rPr>
        <w:t>nsider his career in 1916. A</w:t>
      </w:r>
      <w:r w:rsidRPr="005B7071">
        <w:rPr>
          <w:rFonts w:ascii="Times New Roman" w:hAnsi="Times New Roman"/>
        </w:rPr>
        <w:t xml:space="preserve">t the moment he painted </w:t>
      </w:r>
      <w:r w:rsidRPr="005B7071">
        <w:rPr>
          <w:rFonts w:ascii="Times New Roman" w:hAnsi="Times New Roman"/>
          <w:i/>
        </w:rPr>
        <w:t>Their Audience</w:t>
      </w:r>
      <w:r w:rsidRPr="005B7071">
        <w:rPr>
          <w:rFonts w:ascii="Times New Roman" w:hAnsi="Times New Roman"/>
        </w:rPr>
        <w:t>, Ufer was on the cusp of losing his most important patron</w:t>
      </w:r>
      <w:r w:rsidR="00DD3D18">
        <w:rPr>
          <w:rFonts w:ascii="Times New Roman" w:hAnsi="Times New Roman"/>
        </w:rPr>
        <w:t xml:space="preserve">. Though </w:t>
      </w:r>
      <w:r w:rsidRPr="005B7071">
        <w:rPr>
          <w:rFonts w:ascii="Times New Roman" w:hAnsi="Times New Roman"/>
        </w:rPr>
        <w:t xml:space="preserve">within the next three years, he would win multiple national juried exhibitions, and be heralded as </w:t>
      </w:r>
      <w:r w:rsidR="00B92225">
        <w:rPr>
          <w:rFonts w:ascii="Times New Roman" w:hAnsi="Times New Roman"/>
        </w:rPr>
        <w:t>a major force in the Chicago art scene</w:t>
      </w:r>
      <w:r w:rsidR="00DD3D18">
        <w:rPr>
          <w:rFonts w:ascii="Times New Roman" w:hAnsi="Times New Roman"/>
        </w:rPr>
        <w:t xml:space="preserve">, he remained at the </w:t>
      </w:r>
      <w:r w:rsidRPr="005B7071">
        <w:rPr>
          <w:rFonts w:ascii="Times New Roman" w:hAnsi="Times New Roman"/>
        </w:rPr>
        <w:t>same time, despe</w:t>
      </w:r>
      <w:r w:rsidR="009F0992" w:rsidRPr="005B7071">
        <w:rPr>
          <w:rFonts w:ascii="Times New Roman" w:hAnsi="Times New Roman"/>
        </w:rPr>
        <w:t>rate for money and patronage.</w:t>
      </w:r>
    </w:p>
    <w:p w14:paraId="6C4487DB" w14:textId="20EC5EDF" w:rsidR="002202F2" w:rsidRPr="005B7071" w:rsidRDefault="002202F2" w:rsidP="00DC0D27">
      <w:pPr>
        <w:jc w:val="center"/>
        <w:rPr>
          <w:rFonts w:ascii="Times New Roman" w:hAnsi="Times New Roman"/>
          <w:b/>
        </w:rPr>
      </w:pPr>
      <w:r w:rsidRPr="005B7071">
        <w:rPr>
          <w:rFonts w:ascii="Times New Roman" w:hAnsi="Times New Roman"/>
          <w:b/>
          <w:i/>
        </w:rPr>
        <w:t xml:space="preserve">Land of Mañana </w:t>
      </w:r>
      <w:r w:rsidRPr="005B7071">
        <w:rPr>
          <w:rFonts w:ascii="Times New Roman" w:hAnsi="Times New Roman"/>
          <w:b/>
        </w:rPr>
        <w:t>(1916)</w:t>
      </w:r>
    </w:p>
    <w:p w14:paraId="1C1CD69F" w14:textId="48909E56" w:rsidR="002202F2" w:rsidRPr="005B7071" w:rsidRDefault="002202F2" w:rsidP="002202F2">
      <w:pPr>
        <w:ind w:firstLine="720"/>
        <w:rPr>
          <w:rFonts w:ascii="Times New Roman" w:hAnsi="Times New Roman"/>
        </w:rPr>
      </w:pPr>
      <w:r w:rsidRPr="005B7071">
        <w:rPr>
          <w:rFonts w:ascii="Times New Roman" w:hAnsi="Times New Roman"/>
        </w:rPr>
        <w:t xml:space="preserve">In </w:t>
      </w:r>
      <w:r w:rsidRPr="005B7071">
        <w:rPr>
          <w:rFonts w:ascii="Times New Roman" w:hAnsi="Times New Roman"/>
          <w:i/>
        </w:rPr>
        <w:t>Land of Mañana</w:t>
      </w:r>
      <w:r w:rsidR="001228FF">
        <w:rPr>
          <w:rFonts w:ascii="Times New Roman" w:hAnsi="Times New Roman"/>
        </w:rPr>
        <w:t xml:space="preserve"> (tomorrow)</w:t>
      </w:r>
      <w:r w:rsidRPr="005B7071">
        <w:rPr>
          <w:rFonts w:ascii="Times New Roman" w:hAnsi="Times New Roman"/>
        </w:rPr>
        <w:t>, three male figures d</w:t>
      </w:r>
      <w:r w:rsidR="00DD3D18">
        <w:rPr>
          <w:rFonts w:ascii="Times New Roman" w:hAnsi="Times New Roman"/>
        </w:rPr>
        <w:t>ominate the center of the composition</w:t>
      </w:r>
      <w:r w:rsidR="00AA3937" w:rsidRPr="005B7071">
        <w:rPr>
          <w:rFonts w:ascii="Times New Roman" w:hAnsi="Times New Roman"/>
        </w:rPr>
        <w:t xml:space="preserve"> (fig. 4.6)</w:t>
      </w:r>
      <w:r w:rsidRPr="005B7071">
        <w:rPr>
          <w:rFonts w:ascii="Times New Roman" w:hAnsi="Times New Roman"/>
        </w:rPr>
        <w:t xml:space="preserve">. The figure to the left sits with his back against an adobe wall. He has wrapped himself tightly in a blanket; just behind and to the left of his feet sit a black-colored and a cream-colored pot. Like in </w:t>
      </w:r>
      <w:r w:rsidRPr="005B7071">
        <w:rPr>
          <w:rFonts w:ascii="Times New Roman" w:hAnsi="Times New Roman"/>
          <w:i/>
        </w:rPr>
        <w:t>Their Audience</w:t>
      </w:r>
      <w:r w:rsidRPr="005B7071">
        <w:rPr>
          <w:rFonts w:ascii="Times New Roman" w:hAnsi="Times New Roman"/>
        </w:rPr>
        <w:t xml:space="preserve">, the blanket and pottery analogize the Indian to “traditional” arts and crafts. The figure to the right is dressed in western cloths. The hat, the mustache, and the man’s dark skin mark him as Hispanic. To his right an odd, amorphous figure crowds the edge of the picture space. At first glance, it appears to be an Indian blanket that stands up to form an odd, anthropomorphic figure. Yet on closer analysis, a form that suggests a head caps the black and white striped blanket, </w:t>
      </w:r>
      <w:r w:rsidR="00B92225">
        <w:rPr>
          <w:rFonts w:ascii="Times New Roman" w:hAnsi="Times New Roman"/>
        </w:rPr>
        <w:t>similar to a Navajo first phase chief</w:t>
      </w:r>
      <w:r w:rsidR="00DD3D18">
        <w:rPr>
          <w:rFonts w:ascii="Times New Roman" w:hAnsi="Times New Roman"/>
        </w:rPr>
        <w:t>’</w:t>
      </w:r>
      <w:r w:rsidR="00B92225">
        <w:rPr>
          <w:rFonts w:ascii="Times New Roman" w:hAnsi="Times New Roman"/>
        </w:rPr>
        <w:t xml:space="preserve">s blanket, </w:t>
      </w:r>
      <w:r w:rsidRPr="005B7071">
        <w:rPr>
          <w:rFonts w:ascii="Times New Roman" w:hAnsi="Times New Roman"/>
        </w:rPr>
        <w:t>which oddly echoes the form of human legs. The black-and-white color and the odd</w:t>
      </w:r>
      <w:r w:rsidR="00B92225">
        <w:rPr>
          <w:rFonts w:ascii="Times New Roman" w:hAnsi="Times New Roman"/>
        </w:rPr>
        <w:t xml:space="preserve"> anthropomorphic nature of the form</w:t>
      </w:r>
      <w:r w:rsidRPr="005B7071">
        <w:rPr>
          <w:rFonts w:ascii="Times New Roman" w:hAnsi="Times New Roman"/>
        </w:rPr>
        <w:t xml:space="preserve"> suggests that it represents a </w:t>
      </w:r>
      <w:r w:rsidRPr="00DD3D18">
        <w:rPr>
          <w:rFonts w:ascii="Times New Roman" w:hAnsi="Times New Roman"/>
          <w:i/>
        </w:rPr>
        <w:t>koshare</w:t>
      </w:r>
      <w:r w:rsidRPr="005B7071">
        <w:rPr>
          <w:rFonts w:ascii="Times New Roman" w:hAnsi="Times New Roman"/>
        </w:rPr>
        <w:t>, an embodiment of the trickster</w:t>
      </w:r>
      <w:r w:rsidR="00AA3937" w:rsidRPr="005B7071">
        <w:rPr>
          <w:rFonts w:ascii="Times New Roman" w:hAnsi="Times New Roman"/>
        </w:rPr>
        <w:t xml:space="preserve"> (fig. 4.7)</w:t>
      </w:r>
      <w:r w:rsidRPr="005B7071">
        <w:rPr>
          <w:rFonts w:ascii="Times New Roman" w:hAnsi="Times New Roman"/>
        </w:rPr>
        <w:t xml:space="preserve">. The trickster informs the </w:t>
      </w:r>
      <w:r w:rsidR="00DD3D18">
        <w:rPr>
          <w:rFonts w:ascii="Times New Roman" w:hAnsi="Times New Roman"/>
        </w:rPr>
        <w:t xml:space="preserve">humor </w:t>
      </w:r>
      <w:r w:rsidRPr="005B7071">
        <w:rPr>
          <w:rFonts w:ascii="Times New Roman" w:hAnsi="Times New Roman"/>
        </w:rPr>
        <w:t>of the title manifest in the composition</w:t>
      </w:r>
      <w:r w:rsidR="00AA3937" w:rsidRPr="005B7071">
        <w:rPr>
          <w:rFonts w:ascii="Times New Roman" w:hAnsi="Times New Roman"/>
        </w:rPr>
        <w:t>.</w:t>
      </w:r>
      <w:r w:rsidRPr="005B7071">
        <w:rPr>
          <w:rStyle w:val="FootnoteReference"/>
          <w:rFonts w:ascii="Times New Roman" w:hAnsi="Times New Roman"/>
        </w:rPr>
        <w:footnoteReference w:id="188"/>
      </w:r>
    </w:p>
    <w:p w14:paraId="19624132" w14:textId="13C54AC8" w:rsidR="002202F2" w:rsidRPr="005B7071" w:rsidRDefault="002202F2" w:rsidP="002202F2">
      <w:pPr>
        <w:ind w:firstLine="720"/>
        <w:rPr>
          <w:rFonts w:ascii="Times New Roman" w:hAnsi="Times New Roman"/>
        </w:rPr>
      </w:pPr>
      <w:r w:rsidRPr="005B7071">
        <w:rPr>
          <w:rFonts w:ascii="Times New Roman" w:hAnsi="Times New Roman"/>
        </w:rPr>
        <w:t xml:space="preserve">Ufer seems to have struck a chord with the public with </w:t>
      </w:r>
      <w:r w:rsidRPr="005B7071">
        <w:rPr>
          <w:rFonts w:ascii="Times New Roman" w:hAnsi="Times New Roman"/>
          <w:i/>
        </w:rPr>
        <w:t>Land of Mañana</w:t>
      </w:r>
      <w:r w:rsidRPr="005B7071">
        <w:rPr>
          <w:rFonts w:ascii="Times New Roman" w:hAnsi="Times New Roman"/>
        </w:rPr>
        <w:t>. In 191</w:t>
      </w:r>
      <w:r w:rsidR="001228FF">
        <w:rPr>
          <w:rFonts w:ascii="Times New Roman" w:hAnsi="Times New Roman"/>
        </w:rPr>
        <w:t>7, it won the Frank G. Logan Med</w:t>
      </w:r>
      <w:r w:rsidRPr="005B7071">
        <w:rPr>
          <w:rFonts w:ascii="Times New Roman" w:hAnsi="Times New Roman"/>
        </w:rPr>
        <w:t xml:space="preserve">al at the Chicago Art Institute, which led a </w:t>
      </w:r>
      <w:r w:rsidRPr="005B7071">
        <w:rPr>
          <w:rFonts w:ascii="Times New Roman" w:hAnsi="Times New Roman"/>
          <w:i/>
        </w:rPr>
        <w:t>Chicago Herald Examiner</w:t>
      </w:r>
      <w:r w:rsidRPr="005B7071">
        <w:rPr>
          <w:rFonts w:ascii="Times New Roman" w:hAnsi="Times New Roman"/>
        </w:rPr>
        <w:t xml:space="preserve"> reporter to dub Ufer “Chicago’s biggest figure in art today.” The reporter also gives the only recorded contemporary reaction to </w:t>
      </w:r>
      <w:r w:rsidRPr="005B7071">
        <w:rPr>
          <w:rFonts w:ascii="Times New Roman" w:hAnsi="Times New Roman"/>
          <w:i/>
        </w:rPr>
        <w:t>Land of Mañana</w:t>
      </w:r>
      <w:r w:rsidRPr="005B7071">
        <w:rPr>
          <w:rFonts w:ascii="Times New Roman" w:hAnsi="Times New Roman"/>
        </w:rPr>
        <w:t>, describ</w:t>
      </w:r>
      <w:r w:rsidR="00DD3D18">
        <w:rPr>
          <w:rFonts w:ascii="Times New Roman" w:hAnsi="Times New Roman"/>
        </w:rPr>
        <w:t xml:space="preserve">ing </w:t>
      </w:r>
      <w:r w:rsidRPr="005B7071">
        <w:rPr>
          <w:rFonts w:ascii="Times New Roman" w:hAnsi="Times New Roman"/>
        </w:rPr>
        <w:t xml:space="preserve">the painting as “bright, deep, full of nothing but painting and feeling, modern and yet restrained . . .” </w:t>
      </w:r>
      <w:r w:rsidRPr="005B7071">
        <w:rPr>
          <w:rStyle w:val="FootnoteReference"/>
          <w:rFonts w:ascii="Times New Roman" w:hAnsi="Times New Roman"/>
        </w:rPr>
        <w:footnoteReference w:id="189"/>
      </w:r>
      <w:r w:rsidRPr="005B7071">
        <w:rPr>
          <w:rFonts w:ascii="Times New Roman" w:hAnsi="Times New Roman"/>
        </w:rPr>
        <w:t xml:space="preserve"> The reporter hit upon one salient feature of </w:t>
      </w:r>
      <w:r w:rsidRPr="005B7071">
        <w:rPr>
          <w:rFonts w:ascii="Times New Roman" w:hAnsi="Times New Roman"/>
          <w:i/>
        </w:rPr>
        <w:t>Land of Mañana</w:t>
      </w:r>
      <w:r w:rsidRPr="005B7071">
        <w:rPr>
          <w:rFonts w:ascii="Times New Roman" w:hAnsi="Times New Roman"/>
        </w:rPr>
        <w:t xml:space="preserve"> which makes it stand out, namely its “modernism.” Yet it is through composition, figure relationships, the use of the gaze, and an ironic title – all things well within the reach of a fairly conservative academically-trained artist – that Ufer makes hi</w:t>
      </w:r>
      <w:r w:rsidR="009F0992" w:rsidRPr="005B7071">
        <w:rPr>
          <w:rFonts w:ascii="Times New Roman" w:hAnsi="Times New Roman"/>
        </w:rPr>
        <w:t>s biggest artistic impact.</w:t>
      </w:r>
    </w:p>
    <w:p w14:paraId="696BCDD0" w14:textId="6A5F4392" w:rsidR="002202F2" w:rsidRPr="005B7071" w:rsidRDefault="002202F2" w:rsidP="002202F2">
      <w:pPr>
        <w:ind w:firstLine="720"/>
        <w:rPr>
          <w:rFonts w:ascii="Times New Roman" w:hAnsi="Times New Roman"/>
        </w:rPr>
      </w:pPr>
      <w:r w:rsidRPr="005B7071">
        <w:rPr>
          <w:rFonts w:ascii="Times New Roman" w:hAnsi="Times New Roman"/>
        </w:rPr>
        <w:t xml:space="preserve">If the </w:t>
      </w:r>
      <w:r w:rsidR="00BC058C">
        <w:rPr>
          <w:rFonts w:ascii="Times New Roman" w:hAnsi="Times New Roman"/>
        </w:rPr>
        <w:t xml:space="preserve">outward </w:t>
      </w:r>
      <w:r w:rsidRPr="005B7071">
        <w:rPr>
          <w:rFonts w:ascii="Times New Roman" w:hAnsi="Times New Roman"/>
        </w:rPr>
        <w:t xml:space="preserve">gaze in </w:t>
      </w:r>
      <w:r w:rsidRPr="005B7071">
        <w:rPr>
          <w:rFonts w:ascii="Times New Roman" w:hAnsi="Times New Roman"/>
          <w:i/>
        </w:rPr>
        <w:t>Their Audience</w:t>
      </w:r>
      <w:r w:rsidRPr="005B7071">
        <w:rPr>
          <w:rFonts w:ascii="Times New Roman" w:hAnsi="Times New Roman"/>
        </w:rPr>
        <w:t xml:space="preserve"> remind</w:t>
      </w:r>
      <w:r w:rsidR="00BC058C">
        <w:rPr>
          <w:rFonts w:ascii="Times New Roman" w:hAnsi="Times New Roman"/>
        </w:rPr>
        <w:t>s</w:t>
      </w:r>
      <w:r w:rsidRPr="005B7071">
        <w:rPr>
          <w:rFonts w:ascii="Times New Roman" w:hAnsi="Times New Roman"/>
        </w:rPr>
        <w:t xml:space="preserve"> the viewer of the artificiality and theatricality of the artistic process, in </w:t>
      </w:r>
      <w:r w:rsidRPr="005B7071">
        <w:rPr>
          <w:rFonts w:ascii="Times New Roman" w:hAnsi="Times New Roman"/>
          <w:i/>
        </w:rPr>
        <w:t>Land of Mañana</w:t>
      </w:r>
      <w:r w:rsidRPr="005B7071">
        <w:rPr>
          <w:rFonts w:ascii="Times New Roman" w:hAnsi="Times New Roman"/>
        </w:rPr>
        <w:t xml:space="preserve"> </w:t>
      </w:r>
      <w:r w:rsidR="00BC058C">
        <w:rPr>
          <w:rFonts w:ascii="Times New Roman" w:hAnsi="Times New Roman"/>
        </w:rPr>
        <w:t xml:space="preserve">serves </w:t>
      </w:r>
      <w:r w:rsidRPr="005B7071">
        <w:rPr>
          <w:rFonts w:ascii="Times New Roman" w:hAnsi="Times New Roman"/>
        </w:rPr>
        <w:t>to make sure the viewer understands the none-so-subtle double meaning of the title. The three figures represent both of Taos’s “ancient” cultures, Indian and Hispanic. The figures are caught in a genre snapshot of everyday life in Taos. Yet Ufer forces the viewer into a conversation with the figures by placing them so close to the picture plane. Further, the central figure,</w:t>
      </w:r>
      <w:r w:rsidR="00BC058C">
        <w:rPr>
          <w:rFonts w:ascii="Times New Roman" w:hAnsi="Times New Roman"/>
        </w:rPr>
        <w:t xml:space="preserve"> </w:t>
      </w:r>
      <w:r w:rsidR="00BC058C" w:rsidRPr="005B7071">
        <w:rPr>
          <w:rFonts w:ascii="Times New Roman" w:hAnsi="Times New Roman"/>
        </w:rPr>
        <w:t>Jim Mirabel</w:t>
      </w:r>
      <w:r w:rsidR="00BC058C">
        <w:rPr>
          <w:rFonts w:ascii="Times New Roman" w:hAnsi="Times New Roman"/>
        </w:rPr>
        <w:t>,</w:t>
      </w:r>
      <w:r w:rsidRPr="005B7071">
        <w:rPr>
          <w:rFonts w:ascii="Times New Roman" w:hAnsi="Times New Roman"/>
        </w:rPr>
        <w:t xml:space="preserve"> Ufer’s longtime model and close friend, gazes at the viewer quizzically, almost challenging us, making sure we get the importance of his gaze as it relates to the wry title, </w:t>
      </w:r>
      <w:r w:rsidRPr="005B7071">
        <w:rPr>
          <w:rFonts w:ascii="Times New Roman" w:hAnsi="Times New Roman"/>
          <w:i/>
        </w:rPr>
        <w:t>The Land of Mañana</w:t>
      </w:r>
      <w:r w:rsidR="002D6CAC" w:rsidRPr="005B7071">
        <w:rPr>
          <w:rFonts w:ascii="Times New Roman" w:hAnsi="Times New Roman"/>
        </w:rPr>
        <w:t>, the land of tomorrow.</w:t>
      </w:r>
    </w:p>
    <w:p w14:paraId="67C39CAC" w14:textId="006004A4" w:rsidR="002202F2" w:rsidRPr="005B7071" w:rsidRDefault="002202F2" w:rsidP="002202F2">
      <w:pPr>
        <w:ind w:firstLine="720"/>
        <w:rPr>
          <w:rFonts w:ascii="Times New Roman" w:hAnsi="Times New Roman"/>
        </w:rPr>
      </w:pPr>
      <w:r w:rsidRPr="005B7071">
        <w:rPr>
          <w:rFonts w:ascii="Times New Roman" w:hAnsi="Times New Roman"/>
        </w:rPr>
        <w:t xml:space="preserve">The playfulness of the title becomes clear </w:t>
      </w:r>
      <w:r w:rsidR="00BC058C">
        <w:rPr>
          <w:rFonts w:ascii="Times New Roman" w:hAnsi="Times New Roman"/>
        </w:rPr>
        <w:t xml:space="preserve">in </w:t>
      </w:r>
      <w:r w:rsidRPr="005B7071">
        <w:rPr>
          <w:rFonts w:ascii="Times New Roman" w:hAnsi="Times New Roman"/>
        </w:rPr>
        <w:t xml:space="preserve">Jim’s doubtful eyes. Even the seated man, who at first glance appears asleep, seems to have a half-smile </w:t>
      </w:r>
      <w:r w:rsidR="00B92225">
        <w:rPr>
          <w:rFonts w:ascii="Times New Roman" w:hAnsi="Times New Roman"/>
        </w:rPr>
        <w:t>playing o</w:t>
      </w:r>
      <w:r w:rsidRPr="005B7071">
        <w:rPr>
          <w:rFonts w:ascii="Times New Roman" w:hAnsi="Times New Roman"/>
        </w:rPr>
        <w:t>n his lips, gentl</w:t>
      </w:r>
      <w:r w:rsidR="00BC058C">
        <w:rPr>
          <w:rFonts w:ascii="Times New Roman" w:hAnsi="Times New Roman"/>
        </w:rPr>
        <w:t>y mocking the viewer. T</w:t>
      </w:r>
      <w:r w:rsidRPr="005B7071">
        <w:rPr>
          <w:rFonts w:ascii="Times New Roman" w:hAnsi="Times New Roman"/>
        </w:rPr>
        <w:t xml:space="preserve">he Hispanic figure to the right, who </w:t>
      </w:r>
      <w:r w:rsidR="00BC058C">
        <w:rPr>
          <w:rFonts w:ascii="Times New Roman" w:hAnsi="Times New Roman"/>
        </w:rPr>
        <w:t xml:space="preserve">does not </w:t>
      </w:r>
      <w:r w:rsidRPr="005B7071">
        <w:rPr>
          <w:rFonts w:ascii="Times New Roman" w:hAnsi="Times New Roman"/>
        </w:rPr>
        <w:t xml:space="preserve">look out </w:t>
      </w:r>
      <w:r w:rsidR="00B92225">
        <w:rPr>
          <w:rFonts w:ascii="Times New Roman" w:hAnsi="Times New Roman"/>
        </w:rPr>
        <w:t>at the viewer, wears a typical Taos</w:t>
      </w:r>
      <w:r w:rsidRPr="005B7071">
        <w:rPr>
          <w:rFonts w:ascii="Times New Roman" w:hAnsi="Times New Roman"/>
        </w:rPr>
        <w:t xml:space="preserve"> cowboy hat, closer to a sombrero than a traditional cowboy hat</w:t>
      </w:r>
      <w:r w:rsidR="00B92225">
        <w:rPr>
          <w:rFonts w:ascii="Times New Roman" w:hAnsi="Times New Roman"/>
        </w:rPr>
        <w:t xml:space="preserve"> and related to </w:t>
      </w:r>
      <w:r w:rsidR="00B54390">
        <w:rPr>
          <w:rFonts w:ascii="Times New Roman" w:hAnsi="Times New Roman"/>
        </w:rPr>
        <w:t xml:space="preserve">cavalry </w:t>
      </w:r>
      <w:r w:rsidR="00B92225">
        <w:rPr>
          <w:rFonts w:ascii="Times New Roman" w:hAnsi="Times New Roman"/>
        </w:rPr>
        <w:t>hats</w:t>
      </w:r>
      <w:r w:rsidR="00B54390">
        <w:rPr>
          <w:rFonts w:ascii="Times New Roman" w:hAnsi="Times New Roman"/>
        </w:rPr>
        <w:t xml:space="preserve"> </w:t>
      </w:r>
      <w:r w:rsidR="00BC058C">
        <w:rPr>
          <w:rFonts w:ascii="Times New Roman" w:hAnsi="Times New Roman"/>
        </w:rPr>
        <w:t>o</w:t>
      </w:r>
      <w:r w:rsidR="00B54390">
        <w:rPr>
          <w:rFonts w:ascii="Times New Roman" w:hAnsi="Times New Roman"/>
        </w:rPr>
        <w:t>f the</w:t>
      </w:r>
      <w:r w:rsidR="00B92225">
        <w:rPr>
          <w:rFonts w:ascii="Times New Roman" w:hAnsi="Times New Roman"/>
        </w:rPr>
        <w:t xml:space="preserve"> day</w:t>
      </w:r>
      <w:r w:rsidR="00B54390">
        <w:rPr>
          <w:rFonts w:ascii="Times New Roman" w:hAnsi="Times New Roman"/>
        </w:rPr>
        <w:t>. It ha</w:t>
      </w:r>
      <w:r w:rsidR="00BC058C">
        <w:rPr>
          <w:rFonts w:ascii="Times New Roman" w:hAnsi="Times New Roman"/>
        </w:rPr>
        <w:t>s</w:t>
      </w:r>
      <w:r w:rsidR="00B54390">
        <w:rPr>
          <w:rFonts w:ascii="Times New Roman" w:hAnsi="Times New Roman"/>
        </w:rPr>
        <w:t xml:space="preserve"> a </w:t>
      </w:r>
      <w:r w:rsidRPr="005B7071">
        <w:rPr>
          <w:rFonts w:ascii="Times New Roman" w:hAnsi="Times New Roman"/>
        </w:rPr>
        <w:t>high peak in the center and a wide, even brim all around</w:t>
      </w:r>
      <w:r w:rsidR="00BC058C">
        <w:rPr>
          <w:rFonts w:ascii="Times New Roman" w:hAnsi="Times New Roman"/>
        </w:rPr>
        <w:t>.</w:t>
      </w:r>
      <w:r w:rsidRPr="005B7071">
        <w:rPr>
          <w:rFonts w:ascii="Times New Roman" w:hAnsi="Times New Roman"/>
        </w:rPr>
        <w:t xml:space="preserve"> Ufer was fond of wearing just this sort of mod</w:t>
      </w:r>
      <w:r w:rsidR="00BC058C">
        <w:rPr>
          <w:rFonts w:ascii="Times New Roman" w:hAnsi="Times New Roman"/>
        </w:rPr>
        <w:t xml:space="preserve">ified </w:t>
      </w:r>
      <w:r w:rsidRPr="005B7071">
        <w:rPr>
          <w:rFonts w:ascii="Times New Roman" w:hAnsi="Times New Roman"/>
        </w:rPr>
        <w:t>cowboy</w:t>
      </w:r>
      <w:r w:rsidR="00302534">
        <w:rPr>
          <w:rFonts w:ascii="Times New Roman" w:hAnsi="Times New Roman"/>
        </w:rPr>
        <w:t xml:space="preserve"> hat</w:t>
      </w:r>
      <w:r w:rsidRPr="005B7071">
        <w:rPr>
          <w:rFonts w:ascii="Times New Roman" w:hAnsi="Times New Roman"/>
        </w:rPr>
        <w:t xml:space="preserve"> </w:t>
      </w:r>
      <w:r w:rsidR="00BC058C">
        <w:rPr>
          <w:rFonts w:ascii="Times New Roman" w:hAnsi="Times New Roman"/>
        </w:rPr>
        <w:t xml:space="preserve">which </w:t>
      </w:r>
      <w:r w:rsidR="00B54390">
        <w:rPr>
          <w:rFonts w:ascii="Times New Roman" w:hAnsi="Times New Roman"/>
        </w:rPr>
        <w:t xml:space="preserve">therefore </w:t>
      </w:r>
      <w:r w:rsidRPr="005B7071">
        <w:rPr>
          <w:rFonts w:ascii="Times New Roman" w:hAnsi="Times New Roman"/>
        </w:rPr>
        <w:t xml:space="preserve">analogizes the Hispanic figure </w:t>
      </w:r>
      <w:r w:rsidR="00BC058C">
        <w:rPr>
          <w:rFonts w:ascii="Times New Roman" w:hAnsi="Times New Roman"/>
        </w:rPr>
        <w:t>with the artist, and the artist</w:t>
      </w:r>
      <w:r w:rsidRPr="005B7071">
        <w:rPr>
          <w:rFonts w:ascii="Times New Roman" w:hAnsi="Times New Roman"/>
        </w:rPr>
        <w:t xml:space="preserve"> with Jim Mirabel </w:t>
      </w:r>
      <w:r w:rsidR="00DF367E" w:rsidRPr="005B7071">
        <w:rPr>
          <w:rFonts w:ascii="Times New Roman" w:hAnsi="Times New Roman"/>
        </w:rPr>
        <w:t>(fig. 4.8</w:t>
      </w:r>
      <w:r w:rsidR="00AA3937" w:rsidRPr="005B7071">
        <w:rPr>
          <w:rFonts w:ascii="Times New Roman" w:hAnsi="Times New Roman"/>
        </w:rPr>
        <w:t>).</w:t>
      </w:r>
      <w:r w:rsidRPr="005B7071">
        <w:rPr>
          <w:rFonts w:ascii="Times New Roman" w:hAnsi="Times New Roman"/>
        </w:rPr>
        <w:t xml:space="preserve"> In this way, the artist and his good friend Jim deliver</w:t>
      </w:r>
      <w:r w:rsidR="00BC058C">
        <w:rPr>
          <w:rFonts w:ascii="Times New Roman" w:hAnsi="Times New Roman"/>
        </w:rPr>
        <w:t xml:space="preserve"> </w:t>
      </w:r>
      <w:r w:rsidRPr="005B7071">
        <w:rPr>
          <w:rFonts w:ascii="Times New Roman" w:hAnsi="Times New Roman"/>
        </w:rPr>
        <w:t xml:space="preserve">a wry message to the viewer: in looking at this image of Taos today, you are looking at the Taos of tomorrow. It is not a land of enchantment, a land of tourism, but a land where Anglos, Hispanics, and American Indians live side-by-side. In this construction, the </w:t>
      </w:r>
      <w:r w:rsidR="00BC058C">
        <w:rPr>
          <w:rFonts w:ascii="Times New Roman" w:hAnsi="Times New Roman"/>
        </w:rPr>
        <w:t xml:space="preserve">“vanishing” </w:t>
      </w:r>
      <w:r w:rsidRPr="005B7071">
        <w:rPr>
          <w:rFonts w:ascii="Times New Roman" w:hAnsi="Times New Roman"/>
        </w:rPr>
        <w:t>Indian</w:t>
      </w:r>
      <w:r w:rsidR="00BC058C">
        <w:rPr>
          <w:rFonts w:ascii="Times New Roman" w:hAnsi="Times New Roman"/>
        </w:rPr>
        <w:t xml:space="preserve"> has neither disappeared nor </w:t>
      </w:r>
      <w:r w:rsidR="009F0992" w:rsidRPr="005B7071">
        <w:rPr>
          <w:rFonts w:ascii="Times New Roman" w:hAnsi="Times New Roman"/>
        </w:rPr>
        <w:t>really assimilated.</w:t>
      </w:r>
    </w:p>
    <w:p w14:paraId="565E52D7" w14:textId="733CCD72" w:rsidR="002202F2" w:rsidRPr="005B7071" w:rsidRDefault="002202F2" w:rsidP="002202F2">
      <w:pPr>
        <w:pStyle w:val="ListParagraph"/>
        <w:ind w:left="0" w:firstLine="720"/>
        <w:rPr>
          <w:rFonts w:ascii="Times New Roman" w:hAnsi="Times New Roman"/>
        </w:rPr>
      </w:pPr>
      <w:r w:rsidRPr="005B7071">
        <w:rPr>
          <w:rFonts w:ascii="Times New Roman" w:hAnsi="Times New Roman"/>
        </w:rPr>
        <w:t xml:space="preserve">Thus by reversing the gaze, the central figure in </w:t>
      </w:r>
      <w:r w:rsidRPr="005B7071">
        <w:rPr>
          <w:rFonts w:ascii="Times New Roman" w:hAnsi="Times New Roman"/>
          <w:i/>
        </w:rPr>
        <w:t>The Land of Mañana</w:t>
      </w:r>
      <w:r w:rsidRPr="005B7071">
        <w:rPr>
          <w:rFonts w:ascii="Times New Roman" w:hAnsi="Times New Roman"/>
        </w:rPr>
        <w:t xml:space="preserve"> reverses the salvage paradigm</w:t>
      </w:r>
      <w:r w:rsidR="00BC058C">
        <w:rPr>
          <w:rFonts w:ascii="Times New Roman" w:hAnsi="Times New Roman"/>
        </w:rPr>
        <w:t xml:space="preserve">, presupposing </w:t>
      </w:r>
      <w:r w:rsidRPr="005B7071">
        <w:rPr>
          <w:rFonts w:ascii="Times New Roman" w:hAnsi="Times New Roman"/>
        </w:rPr>
        <w:t xml:space="preserve">that Indian culture was dying out and that it was the task of the non-Native archaeologists, artists, and historians to </w:t>
      </w:r>
      <w:r w:rsidR="00BC058C">
        <w:rPr>
          <w:rFonts w:ascii="Times New Roman" w:hAnsi="Times New Roman"/>
        </w:rPr>
        <w:t>“</w:t>
      </w:r>
      <w:r w:rsidRPr="005B7071">
        <w:rPr>
          <w:rFonts w:ascii="Times New Roman" w:hAnsi="Times New Roman"/>
        </w:rPr>
        <w:t>salvage</w:t>
      </w:r>
      <w:r w:rsidR="00BC058C">
        <w:rPr>
          <w:rFonts w:ascii="Times New Roman" w:hAnsi="Times New Roman"/>
        </w:rPr>
        <w:t>”</w:t>
      </w:r>
      <w:r w:rsidRPr="005B7071">
        <w:rPr>
          <w:rFonts w:ascii="Times New Roman" w:hAnsi="Times New Roman"/>
        </w:rPr>
        <w:t xml:space="preserve"> </w:t>
      </w:r>
      <w:r w:rsidR="00BC058C">
        <w:rPr>
          <w:rFonts w:ascii="Times New Roman" w:hAnsi="Times New Roman"/>
        </w:rPr>
        <w:t xml:space="preserve">it </w:t>
      </w:r>
      <w:r w:rsidRPr="005B7071">
        <w:rPr>
          <w:rFonts w:ascii="Times New Roman" w:hAnsi="Times New Roman"/>
        </w:rPr>
        <w:t>for future generations. Because only the old, the authentic, and the pure had any value to well-intentioned non-Native scholars and artists who operated within the salvage paradigm, they created a</w:t>
      </w:r>
      <w:r w:rsidR="00BC058C">
        <w:rPr>
          <w:rFonts w:ascii="Times New Roman" w:hAnsi="Times New Roman"/>
        </w:rPr>
        <w:t xml:space="preserve"> self-fulfilling prophesy: true</w:t>
      </w:r>
      <w:r w:rsidRPr="005B7071">
        <w:rPr>
          <w:rFonts w:ascii="Times New Roman" w:hAnsi="Times New Roman"/>
        </w:rPr>
        <w:t xml:space="preserve"> Indian art existed only in the mythic past and not in the present.</w:t>
      </w:r>
      <w:r w:rsidRPr="005B7071">
        <w:rPr>
          <w:rStyle w:val="FootnoteReference"/>
          <w:rFonts w:ascii="Times New Roman" w:hAnsi="Times New Roman"/>
        </w:rPr>
        <w:footnoteReference w:id="190"/>
      </w:r>
      <w:r w:rsidRPr="005B7071">
        <w:rPr>
          <w:rFonts w:ascii="Times New Roman" w:hAnsi="Times New Roman"/>
        </w:rPr>
        <w:t xml:space="preserve"> However, by the nineteen-teens, many E</w:t>
      </w:r>
      <w:r w:rsidR="00B54390">
        <w:rPr>
          <w:rFonts w:ascii="Times New Roman" w:hAnsi="Times New Roman"/>
        </w:rPr>
        <w:t>uro</w:t>
      </w:r>
      <w:r w:rsidRPr="005B7071">
        <w:rPr>
          <w:rFonts w:ascii="Times New Roman" w:hAnsi="Times New Roman"/>
        </w:rPr>
        <w:t>-Americans were beginning to realize that Native Americans were not vanishing, and were not really assimilating, either. While it is true that American Indians were under immense social, political, and economic pressure during the first two decades of the twentieth century, they were not disappearing</w:t>
      </w:r>
      <w:r w:rsidR="00BC058C">
        <w:rPr>
          <w:rFonts w:ascii="Times New Roman" w:hAnsi="Times New Roman"/>
        </w:rPr>
        <w:t xml:space="preserve"> but changing and </w:t>
      </w:r>
      <w:r w:rsidR="009F0992" w:rsidRPr="005B7071">
        <w:rPr>
          <w:rFonts w:ascii="Times New Roman" w:hAnsi="Times New Roman"/>
        </w:rPr>
        <w:t>adapting.</w:t>
      </w:r>
    </w:p>
    <w:p w14:paraId="7B9CF292" w14:textId="76C4F2E3" w:rsidR="002202F2" w:rsidRPr="005B7071" w:rsidRDefault="00402A4A" w:rsidP="002202F2">
      <w:pPr>
        <w:pStyle w:val="ListParagraph"/>
        <w:ind w:left="0" w:firstLine="720"/>
        <w:rPr>
          <w:rFonts w:ascii="Times New Roman" w:hAnsi="Times New Roman"/>
        </w:rPr>
      </w:pPr>
      <w:r>
        <w:rPr>
          <w:rFonts w:ascii="Times New Roman" w:hAnsi="Times New Roman"/>
        </w:rPr>
        <w:t xml:space="preserve">Euro-Americans nevertheless </w:t>
      </w:r>
      <w:r w:rsidR="002202F2" w:rsidRPr="005B7071">
        <w:rPr>
          <w:rFonts w:ascii="Times New Roman" w:hAnsi="Times New Roman"/>
        </w:rPr>
        <w:t>typically continued to portray Native Americans in one of several stereotyp</w:t>
      </w:r>
      <w:r>
        <w:rPr>
          <w:rFonts w:ascii="Times New Roman" w:hAnsi="Times New Roman"/>
        </w:rPr>
        <w:t xml:space="preserve">ical modes </w:t>
      </w:r>
      <w:r w:rsidR="002202F2" w:rsidRPr="005B7071">
        <w:rPr>
          <w:rFonts w:ascii="Times New Roman" w:hAnsi="Times New Roman"/>
        </w:rPr>
        <w:t xml:space="preserve">– </w:t>
      </w:r>
      <w:r>
        <w:rPr>
          <w:rFonts w:ascii="Times New Roman" w:hAnsi="Times New Roman"/>
        </w:rPr>
        <w:t xml:space="preserve">as </w:t>
      </w:r>
      <w:r w:rsidR="002202F2" w:rsidRPr="005B7071">
        <w:rPr>
          <w:rFonts w:ascii="Times New Roman" w:hAnsi="Times New Roman"/>
        </w:rPr>
        <w:t>noble savage, vanish Indian</w:t>
      </w:r>
      <w:r>
        <w:rPr>
          <w:rFonts w:ascii="Times New Roman" w:hAnsi="Times New Roman"/>
        </w:rPr>
        <w:t>s</w:t>
      </w:r>
      <w:r w:rsidR="002202F2" w:rsidRPr="005B7071">
        <w:rPr>
          <w:rFonts w:ascii="Times New Roman" w:hAnsi="Times New Roman"/>
        </w:rPr>
        <w:t>, et</w:t>
      </w:r>
      <w:r>
        <w:rPr>
          <w:rFonts w:ascii="Times New Roman" w:hAnsi="Times New Roman"/>
        </w:rPr>
        <w:t xml:space="preserve">c., </w:t>
      </w:r>
      <w:r w:rsidR="002202F2" w:rsidRPr="005B7071">
        <w:rPr>
          <w:rFonts w:ascii="Times New Roman" w:hAnsi="Times New Roman"/>
        </w:rPr>
        <w:t>inhabiting a vag</w:t>
      </w:r>
      <w:r w:rsidR="00B54390">
        <w:rPr>
          <w:rFonts w:ascii="Times New Roman" w:hAnsi="Times New Roman"/>
        </w:rPr>
        <w:t>ue “ethnographic present” where the actual prese</w:t>
      </w:r>
      <w:r>
        <w:rPr>
          <w:rFonts w:ascii="Times New Roman" w:hAnsi="Times New Roman"/>
        </w:rPr>
        <w:t>n</w:t>
      </w:r>
      <w:r w:rsidR="00B54390">
        <w:rPr>
          <w:rFonts w:ascii="Times New Roman" w:hAnsi="Times New Roman"/>
        </w:rPr>
        <w:t xml:space="preserve">t led by Indians </w:t>
      </w:r>
      <w:r w:rsidR="002202F2" w:rsidRPr="005B7071">
        <w:rPr>
          <w:rFonts w:ascii="Times New Roman" w:hAnsi="Times New Roman"/>
        </w:rPr>
        <w:t>was erased. This was perhaps most evi</w:t>
      </w:r>
      <w:r>
        <w:rPr>
          <w:rFonts w:ascii="Times New Roman" w:hAnsi="Times New Roman"/>
        </w:rPr>
        <w:t>dent in the relatively new medium</w:t>
      </w:r>
      <w:r w:rsidR="002202F2" w:rsidRPr="005B7071">
        <w:rPr>
          <w:rFonts w:ascii="Times New Roman" w:hAnsi="Times New Roman"/>
        </w:rPr>
        <w:t xml:space="preserve"> of film, which confined Native Americans “to other temporal and cultural orders . . . through containment within fields of nostalgia.”</w:t>
      </w:r>
      <w:r w:rsidR="002202F2" w:rsidRPr="005B7071">
        <w:rPr>
          <w:rStyle w:val="FootnoteReference"/>
          <w:rFonts w:ascii="Times New Roman" w:hAnsi="Times New Roman"/>
        </w:rPr>
        <w:footnoteReference w:id="191"/>
      </w:r>
      <w:r w:rsidR="002202F2" w:rsidRPr="005B7071">
        <w:rPr>
          <w:rFonts w:ascii="Times New Roman" w:hAnsi="Times New Roman"/>
        </w:rPr>
        <w:t xml:space="preserve"> From 1900 to 1913, motion picture companies released over 100 silent films about Native Americans, and from 1914 until the end of the silent movie era in 1927, they released nearly 100 </w:t>
      </w:r>
      <w:r>
        <w:rPr>
          <w:rFonts w:ascii="Times New Roman" w:hAnsi="Times New Roman"/>
        </w:rPr>
        <w:t>more</w:t>
      </w:r>
      <w:r w:rsidR="002202F2" w:rsidRPr="005B7071">
        <w:rPr>
          <w:rFonts w:ascii="Times New Roman" w:hAnsi="Times New Roman"/>
        </w:rPr>
        <w:t xml:space="preserve"> each year.</w:t>
      </w:r>
      <w:r w:rsidR="002202F2" w:rsidRPr="005B7071">
        <w:rPr>
          <w:rStyle w:val="FootnoteReference"/>
          <w:rFonts w:ascii="Times New Roman" w:hAnsi="Times New Roman"/>
        </w:rPr>
        <w:footnoteReference w:id="192"/>
      </w:r>
      <w:r w:rsidR="002202F2" w:rsidRPr="005B7071">
        <w:rPr>
          <w:rFonts w:ascii="Times New Roman" w:hAnsi="Times New Roman"/>
        </w:rPr>
        <w:t xml:space="preserve"> All of these early films fit Native Americans into one stereotype or another, and because hundreds of thousands, if not millions of viewers saw these films, they were far more effective in shaping racist and imp</w:t>
      </w:r>
      <w:r>
        <w:rPr>
          <w:rFonts w:ascii="Times New Roman" w:hAnsi="Times New Roman"/>
        </w:rPr>
        <w:t xml:space="preserve">erialistic views of Indians than artists ever could. </w:t>
      </w:r>
      <w:r w:rsidR="002202F2" w:rsidRPr="005B7071">
        <w:rPr>
          <w:rFonts w:ascii="Times New Roman" w:hAnsi="Times New Roman"/>
        </w:rPr>
        <w:t xml:space="preserve">Even </w:t>
      </w:r>
      <w:r w:rsidR="00657102">
        <w:rPr>
          <w:rFonts w:ascii="Times New Roman" w:hAnsi="Times New Roman"/>
        </w:rPr>
        <w:t xml:space="preserve">Joseph K. Dixons’s </w:t>
      </w:r>
      <w:r w:rsidR="002202F2" w:rsidRPr="005B7071">
        <w:rPr>
          <w:rFonts w:ascii="Times New Roman" w:hAnsi="Times New Roman"/>
        </w:rPr>
        <w:t xml:space="preserve">low-budget 1913 independently produced and distributed </w:t>
      </w:r>
      <w:r w:rsidR="00657102" w:rsidRPr="00657102">
        <w:rPr>
          <w:rFonts w:ascii="Times New Roman" w:hAnsi="Times New Roman"/>
          <w:i/>
        </w:rPr>
        <w:t>Song of Hiawatha</w:t>
      </w:r>
      <w:r w:rsidR="00657102">
        <w:rPr>
          <w:rFonts w:ascii="Times New Roman" w:hAnsi="Times New Roman"/>
        </w:rPr>
        <w:t xml:space="preserve"> </w:t>
      </w:r>
      <w:r w:rsidR="00657102">
        <w:rPr>
          <w:rFonts w:ascii="Times New Roman" w:hAnsi="Times New Roman"/>
          <w:bCs/>
        </w:rPr>
        <w:t>was viewed by 4</w:t>
      </w:r>
      <w:r w:rsidR="002202F2" w:rsidRPr="005B7071">
        <w:rPr>
          <w:rFonts w:ascii="Times New Roman" w:hAnsi="Times New Roman"/>
          <w:bCs/>
        </w:rPr>
        <w:t>0</w:t>
      </w:r>
      <w:r w:rsidR="00657102">
        <w:rPr>
          <w:rFonts w:ascii="Times New Roman" w:hAnsi="Times New Roman"/>
          <w:bCs/>
        </w:rPr>
        <w:t>0</w:t>
      </w:r>
      <w:r w:rsidR="002202F2" w:rsidRPr="005B7071">
        <w:rPr>
          <w:rFonts w:ascii="Times New Roman" w:hAnsi="Times New Roman"/>
          <w:bCs/>
        </w:rPr>
        <w:t>,000 people</w:t>
      </w:r>
      <w:r w:rsidR="00657102">
        <w:rPr>
          <w:rFonts w:ascii="Times New Roman" w:hAnsi="Times New Roman"/>
          <w:bCs/>
        </w:rPr>
        <w:t xml:space="preserve"> across the country</w:t>
      </w:r>
      <w:r w:rsidR="002202F2" w:rsidRPr="005B7071">
        <w:rPr>
          <w:rFonts w:ascii="Times New Roman" w:hAnsi="Times New Roman"/>
          <w:bCs/>
        </w:rPr>
        <w:t>.</w:t>
      </w:r>
      <w:r w:rsidR="002202F2" w:rsidRPr="005B7071">
        <w:rPr>
          <w:rStyle w:val="FootnoteReference"/>
          <w:rFonts w:ascii="Times New Roman" w:hAnsi="Times New Roman"/>
        </w:rPr>
        <w:footnoteReference w:id="193"/>
      </w:r>
    </w:p>
    <w:p w14:paraId="4F12BD87" w14:textId="671A6C17" w:rsidR="002202F2" w:rsidRPr="005B7071" w:rsidRDefault="002202F2" w:rsidP="00B54390">
      <w:pPr>
        <w:ind w:firstLine="720"/>
        <w:rPr>
          <w:rFonts w:ascii="Times New Roman" w:hAnsi="Times New Roman"/>
        </w:rPr>
      </w:pPr>
      <w:r w:rsidRPr="005B7071">
        <w:rPr>
          <w:rFonts w:ascii="Times New Roman" w:hAnsi="Times New Roman"/>
        </w:rPr>
        <w:t xml:space="preserve">In some ways, Ufer’s “gaze” paintings such as </w:t>
      </w:r>
      <w:r w:rsidRPr="005B7071">
        <w:rPr>
          <w:rFonts w:ascii="Times New Roman" w:hAnsi="Times New Roman"/>
          <w:i/>
        </w:rPr>
        <w:t>Land of Mañana</w:t>
      </w:r>
      <w:r w:rsidRPr="005B7071">
        <w:rPr>
          <w:rFonts w:ascii="Times New Roman" w:hAnsi="Times New Roman"/>
        </w:rPr>
        <w:t xml:space="preserve"> feel like film stage sets. Ufer’s actors, like silent film stars, communicate with the </w:t>
      </w:r>
      <w:r w:rsidR="00402A4A">
        <w:rPr>
          <w:rFonts w:ascii="Times New Roman" w:hAnsi="Times New Roman"/>
        </w:rPr>
        <w:t>“</w:t>
      </w:r>
      <w:r w:rsidRPr="005B7071">
        <w:rPr>
          <w:rFonts w:ascii="Times New Roman" w:hAnsi="Times New Roman"/>
        </w:rPr>
        <w:t>audience</w:t>
      </w:r>
      <w:r w:rsidR="00402A4A">
        <w:rPr>
          <w:rFonts w:ascii="Times New Roman" w:hAnsi="Times New Roman"/>
        </w:rPr>
        <w:t>”</w:t>
      </w:r>
      <w:r w:rsidRPr="005B7071">
        <w:rPr>
          <w:rFonts w:ascii="Times New Roman" w:hAnsi="Times New Roman"/>
        </w:rPr>
        <w:t xml:space="preserve"> </w:t>
      </w:r>
      <w:r w:rsidR="00402A4A">
        <w:rPr>
          <w:rFonts w:ascii="Times New Roman" w:hAnsi="Times New Roman"/>
        </w:rPr>
        <w:t xml:space="preserve">or viewer </w:t>
      </w:r>
      <w:r w:rsidRPr="005B7071">
        <w:rPr>
          <w:rFonts w:ascii="Times New Roman" w:hAnsi="Times New Roman"/>
        </w:rPr>
        <w:t xml:space="preserve">through loaded emotional facial expressions and meaningful glances, gestures, and body </w:t>
      </w:r>
      <w:r w:rsidR="00402A4A">
        <w:rPr>
          <w:rFonts w:ascii="Times New Roman" w:hAnsi="Times New Roman"/>
        </w:rPr>
        <w:t>language</w:t>
      </w:r>
      <w:r w:rsidRPr="005B7071">
        <w:rPr>
          <w:rFonts w:ascii="Times New Roman" w:hAnsi="Times New Roman"/>
        </w:rPr>
        <w:t>. However, unlike the fledgling film industry, which profited from racist depictions of Native Americans, Ufer used ironic titles and clever composition to suggest an alternative to the noble / savage / vanishing race tropes utilized by popular entertainment</w:t>
      </w:r>
      <w:r w:rsidR="00B70FF2">
        <w:rPr>
          <w:rFonts w:ascii="Times New Roman" w:hAnsi="Times New Roman"/>
        </w:rPr>
        <w:t xml:space="preserve"> and ethnographic photographers</w:t>
      </w:r>
      <w:r w:rsidRPr="005B7071">
        <w:rPr>
          <w:rFonts w:ascii="Times New Roman" w:hAnsi="Times New Roman"/>
        </w:rPr>
        <w:t xml:space="preserve">. Indeed, in </w:t>
      </w:r>
      <w:r w:rsidRPr="005B7071">
        <w:rPr>
          <w:rFonts w:ascii="Times New Roman" w:hAnsi="Times New Roman"/>
          <w:i/>
        </w:rPr>
        <w:t>Land of Mañana</w:t>
      </w:r>
      <w:r w:rsidRPr="005B7071">
        <w:rPr>
          <w:rFonts w:ascii="Times New Roman" w:hAnsi="Times New Roman"/>
        </w:rPr>
        <w:t xml:space="preserve">, </w:t>
      </w:r>
      <w:r w:rsidR="00402A4A">
        <w:rPr>
          <w:rFonts w:ascii="Times New Roman" w:hAnsi="Times New Roman"/>
        </w:rPr>
        <w:t xml:space="preserve">he </w:t>
      </w:r>
      <w:r w:rsidRPr="005B7071">
        <w:rPr>
          <w:rFonts w:ascii="Times New Roman" w:hAnsi="Times New Roman"/>
        </w:rPr>
        <w:t>seems to offer a view to</w:t>
      </w:r>
      <w:r w:rsidR="009F0992" w:rsidRPr="005B7071">
        <w:rPr>
          <w:rFonts w:ascii="Times New Roman" w:hAnsi="Times New Roman"/>
        </w:rPr>
        <w:t>ward a more egalitarian future.</w:t>
      </w:r>
    </w:p>
    <w:p w14:paraId="1CFDD2DD" w14:textId="6D3BE987" w:rsidR="002202F2" w:rsidRDefault="00B70FF2" w:rsidP="00402A4A">
      <w:pPr>
        <w:ind w:firstLine="720"/>
        <w:rPr>
          <w:lang w:bidi="ar-SA"/>
        </w:rPr>
      </w:pPr>
      <w:r w:rsidRPr="00B70FF2">
        <w:t xml:space="preserve">Ufer’s Taos </w:t>
      </w:r>
      <w:r>
        <w:t xml:space="preserve">gaze </w:t>
      </w:r>
      <w:r w:rsidRPr="00B70FF2">
        <w:t xml:space="preserve">paintings </w:t>
      </w:r>
      <w:r>
        <w:t xml:space="preserve">should not be confused with </w:t>
      </w:r>
      <w:r w:rsidRPr="00B70FF2">
        <w:t>ethnographic</w:t>
      </w:r>
      <w:r w:rsidRPr="00F03418">
        <w:t xml:space="preserve"> </w:t>
      </w:r>
      <w:r>
        <w:t xml:space="preserve">photography. </w:t>
      </w:r>
      <w:r w:rsidRPr="00F03418">
        <w:t>W</w:t>
      </w:r>
      <w:r w:rsidRPr="00F03418">
        <w:rPr>
          <w:lang w:bidi="ar-SA"/>
        </w:rPr>
        <w:t>hile the returned gaze might seem entirely conventional</w:t>
      </w:r>
      <w:r>
        <w:rPr>
          <w:lang w:bidi="ar-SA"/>
        </w:rPr>
        <w:t xml:space="preserve">, even, </w:t>
      </w:r>
      <w:r w:rsidRPr="00F03418">
        <w:rPr>
          <w:lang w:bidi="ar-SA"/>
        </w:rPr>
        <w:t>arguably constitutive of works of ethnographic portraiture, important differences exist. Wh</w:t>
      </w:r>
      <w:r w:rsidR="00402A4A">
        <w:rPr>
          <w:lang w:bidi="ar-SA"/>
        </w:rPr>
        <w:t xml:space="preserve">ile </w:t>
      </w:r>
      <w:r w:rsidRPr="00F03418">
        <w:rPr>
          <w:lang w:bidi="ar-SA"/>
        </w:rPr>
        <w:t xml:space="preserve">native subjects in ethnographic portraiture frequently gazed </w:t>
      </w:r>
      <w:r w:rsidR="00402A4A">
        <w:rPr>
          <w:lang w:bidi="ar-SA"/>
        </w:rPr>
        <w:t xml:space="preserve">back in the direction of the picture plane, they rarely </w:t>
      </w:r>
      <w:r w:rsidRPr="00F03418">
        <w:rPr>
          <w:lang w:bidi="ar-SA"/>
        </w:rPr>
        <w:t xml:space="preserve">met the viewer’s gaze directly. Even when they did, the effect was </w:t>
      </w:r>
      <w:r w:rsidR="00402A4A">
        <w:rPr>
          <w:lang w:bidi="ar-SA"/>
        </w:rPr>
        <w:t xml:space="preserve">often </w:t>
      </w:r>
      <w:r w:rsidRPr="00F03418">
        <w:rPr>
          <w:lang w:bidi="ar-SA"/>
        </w:rPr>
        <w:t xml:space="preserve">a passive look - or stoic, or noble, et cetera - according to what the artist deemed appropriate for a member of a dying race. </w:t>
      </w:r>
      <w:r w:rsidR="00837C61">
        <w:rPr>
          <w:lang w:bidi="ar-SA"/>
        </w:rPr>
        <w:t>Sometimes, e</w:t>
      </w:r>
      <w:r w:rsidRPr="00F03418">
        <w:rPr>
          <w:lang w:bidi="ar-SA"/>
        </w:rPr>
        <w:t xml:space="preserve">thnographic artists </w:t>
      </w:r>
      <w:r w:rsidR="00837C61">
        <w:rPr>
          <w:lang w:bidi="ar-SA"/>
        </w:rPr>
        <w:t xml:space="preserve">like </w:t>
      </w:r>
      <w:r w:rsidRPr="00F03418">
        <w:rPr>
          <w:lang w:bidi="ar-SA"/>
        </w:rPr>
        <w:t>Edward Curtis</w:t>
      </w:r>
      <w:r w:rsidR="00D43E25" w:rsidRPr="00F03418">
        <w:rPr>
          <w:rStyle w:val="FootnoteReference"/>
          <w:lang w:bidi="ar-SA"/>
        </w:rPr>
        <w:footnoteReference w:id="194"/>
      </w:r>
      <w:r w:rsidRPr="00F03418">
        <w:rPr>
          <w:lang w:bidi="ar-SA"/>
        </w:rPr>
        <w:t xml:space="preserve"> </w:t>
      </w:r>
      <w:r w:rsidR="00D43E25">
        <w:rPr>
          <w:lang w:bidi="ar-SA"/>
        </w:rPr>
        <w:t>got cooperation from Indian</w:t>
      </w:r>
      <w:r w:rsidR="00135807">
        <w:rPr>
          <w:lang w:bidi="ar-SA"/>
        </w:rPr>
        <w:t xml:space="preserve"> sitters, who could choose to be psychologically available, or not, depending on the situation</w:t>
      </w:r>
      <w:r w:rsidR="00D43E25">
        <w:rPr>
          <w:lang w:bidi="ar-SA"/>
        </w:rPr>
        <w:t xml:space="preserve"> and artist-sitter interaction. Even so, </w:t>
      </w:r>
      <w:r w:rsidR="00135807">
        <w:rPr>
          <w:lang w:bidi="ar-SA"/>
        </w:rPr>
        <w:t xml:space="preserve">ethnographic portraits </w:t>
      </w:r>
      <w:r w:rsidR="00D43E25">
        <w:rPr>
          <w:lang w:bidi="ar-SA"/>
        </w:rPr>
        <w:t xml:space="preserve">rarely if ever offered the same level of nuance. </w:t>
      </w:r>
      <w:r w:rsidRPr="00F03418">
        <w:rPr>
          <w:lang w:bidi="ar-SA"/>
        </w:rPr>
        <w:t xml:space="preserve">Ufer’s native subjects use the returned gaze in a way both different and much rarer because direct, but also at times menacing or even bizarre. In Ufer’s constructed </w:t>
      </w:r>
      <w:r w:rsidRPr="00F03418">
        <w:rPr>
          <w:i/>
          <w:lang w:bidi="ar-SA"/>
        </w:rPr>
        <w:t>tableau vivants</w:t>
      </w:r>
      <w:r w:rsidRPr="00F03418">
        <w:rPr>
          <w:lang w:bidi="ar-SA"/>
        </w:rPr>
        <w:t>, native subjects not only have pictorial agency, but also act out (pleasantly) ambiguous scripts,</w:t>
      </w:r>
      <w:r>
        <w:rPr>
          <w:lang w:bidi="ar-SA"/>
        </w:rPr>
        <w:t xml:space="preserve"> actors in peculiar play</w:t>
      </w:r>
      <w:r w:rsidR="00402A4A">
        <w:rPr>
          <w:lang w:bidi="ar-SA"/>
        </w:rPr>
        <w:t>s</w:t>
      </w:r>
      <w:r>
        <w:rPr>
          <w:lang w:bidi="ar-SA"/>
        </w:rPr>
        <w:t>.</w:t>
      </w:r>
    </w:p>
    <w:p w14:paraId="34E0DD8A" w14:textId="77777777" w:rsidR="001C1864" w:rsidRPr="005B7071" w:rsidRDefault="001C1864" w:rsidP="002202F2">
      <w:pPr>
        <w:rPr>
          <w:rFonts w:ascii="Times New Roman" w:hAnsi="Times New Roman"/>
        </w:rPr>
      </w:pPr>
    </w:p>
    <w:p w14:paraId="508F3490" w14:textId="28D437FC" w:rsidR="002202F2" w:rsidRPr="005B7071" w:rsidRDefault="009F0992" w:rsidP="00BC4FAB">
      <w:pPr>
        <w:jc w:val="center"/>
        <w:rPr>
          <w:rFonts w:ascii="Times New Roman" w:hAnsi="Times New Roman"/>
          <w:b/>
        </w:rPr>
      </w:pPr>
      <w:r w:rsidRPr="005B7071">
        <w:rPr>
          <w:rFonts w:ascii="Times New Roman" w:hAnsi="Times New Roman"/>
          <w:b/>
        </w:rPr>
        <w:t>Going East (1917)</w:t>
      </w:r>
    </w:p>
    <w:p w14:paraId="20E04EB5" w14:textId="07473E36" w:rsidR="002202F2" w:rsidRPr="005B7071" w:rsidRDefault="002202F2" w:rsidP="002202F2">
      <w:pPr>
        <w:ind w:firstLine="720"/>
        <w:rPr>
          <w:rFonts w:ascii="Times New Roman" w:hAnsi="Times New Roman"/>
        </w:rPr>
      </w:pPr>
      <w:r w:rsidRPr="005B7071">
        <w:rPr>
          <w:rFonts w:ascii="Times New Roman" w:hAnsi="Times New Roman"/>
        </w:rPr>
        <w:t xml:space="preserve">At first glance, </w:t>
      </w:r>
      <w:r w:rsidRPr="005B7071">
        <w:rPr>
          <w:rFonts w:ascii="Times New Roman" w:hAnsi="Times New Roman"/>
          <w:i/>
        </w:rPr>
        <w:t xml:space="preserve">Going East </w:t>
      </w:r>
      <w:r w:rsidR="00C53389" w:rsidRPr="005B7071">
        <w:rPr>
          <w:rFonts w:ascii="Times New Roman" w:hAnsi="Times New Roman"/>
        </w:rPr>
        <w:t>(fig. 4.9)</w:t>
      </w:r>
      <w:r w:rsidR="00C53389">
        <w:rPr>
          <w:rFonts w:ascii="Times New Roman" w:hAnsi="Times New Roman"/>
        </w:rPr>
        <w:t xml:space="preserve"> </w:t>
      </w:r>
      <w:r w:rsidRPr="005B7071">
        <w:rPr>
          <w:rFonts w:ascii="Times New Roman" w:hAnsi="Times New Roman"/>
        </w:rPr>
        <w:t xml:space="preserve">seems full of implied forward movement. All four figures and the </w:t>
      </w:r>
      <w:r w:rsidRPr="005B7071">
        <w:rPr>
          <w:rFonts w:ascii="Times New Roman" w:hAnsi="Times New Roman"/>
          <w:i/>
        </w:rPr>
        <w:t>burro</w:t>
      </w:r>
      <w:r w:rsidRPr="005B7071">
        <w:rPr>
          <w:rFonts w:ascii="Times New Roman" w:hAnsi="Times New Roman"/>
        </w:rPr>
        <w:t xml:space="preserve"> emerge from off-stage left; the </w:t>
      </w:r>
      <w:r w:rsidR="00C53389">
        <w:rPr>
          <w:rFonts w:ascii="Times New Roman" w:hAnsi="Times New Roman"/>
        </w:rPr>
        <w:t xml:space="preserve">edge of the </w:t>
      </w:r>
      <w:r w:rsidRPr="005B7071">
        <w:rPr>
          <w:rFonts w:ascii="Times New Roman" w:hAnsi="Times New Roman"/>
        </w:rPr>
        <w:t xml:space="preserve">picture </w:t>
      </w:r>
      <w:r w:rsidR="00C53389">
        <w:rPr>
          <w:rFonts w:ascii="Times New Roman" w:hAnsi="Times New Roman"/>
        </w:rPr>
        <w:t xml:space="preserve">space </w:t>
      </w:r>
      <w:r w:rsidRPr="005B7071">
        <w:rPr>
          <w:rFonts w:ascii="Times New Roman" w:hAnsi="Times New Roman"/>
        </w:rPr>
        <w:t xml:space="preserve">actually cuts off the back leg of the man on the far left, and to the right, crowds the head of the </w:t>
      </w:r>
      <w:r w:rsidRPr="005B7071">
        <w:rPr>
          <w:rFonts w:ascii="Times New Roman" w:hAnsi="Times New Roman"/>
          <w:i/>
        </w:rPr>
        <w:t>burro</w:t>
      </w:r>
      <w:r w:rsidRPr="005B7071">
        <w:rPr>
          <w:rFonts w:ascii="Times New Roman" w:hAnsi="Times New Roman"/>
        </w:rPr>
        <w:t>, which lends the image the immediacy of a snap-shot. The implied diagonal line that flows from left to right</w:t>
      </w:r>
      <w:r w:rsidR="00C53389">
        <w:rPr>
          <w:rFonts w:ascii="Times New Roman" w:hAnsi="Times New Roman"/>
        </w:rPr>
        <w:t xml:space="preserve"> begins </w:t>
      </w:r>
      <w:r w:rsidRPr="005B7071">
        <w:rPr>
          <w:rFonts w:ascii="Times New Roman" w:hAnsi="Times New Roman"/>
        </w:rPr>
        <w:t>at the walking stick held over the shoulder of the man at the far left</w:t>
      </w:r>
      <w:r w:rsidR="00C53389">
        <w:rPr>
          <w:rFonts w:ascii="Times New Roman" w:hAnsi="Times New Roman"/>
        </w:rPr>
        <w:t xml:space="preserve">. It </w:t>
      </w:r>
      <w:r w:rsidRPr="005B7071">
        <w:rPr>
          <w:rFonts w:ascii="Times New Roman" w:hAnsi="Times New Roman"/>
        </w:rPr>
        <w:t>reemerg</w:t>
      </w:r>
      <w:r w:rsidR="00C53389">
        <w:rPr>
          <w:rFonts w:ascii="Times New Roman" w:hAnsi="Times New Roman"/>
        </w:rPr>
        <w:t xml:space="preserve">es </w:t>
      </w:r>
      <w:r w:rsidRPr="005B7071">
        <w:rPr>
          <w:rFonts w:ascii="Times New Roman" w:hAnsi="Times New Roman"/>
        </w:rPr>
        <w:t>in the long, slender form of the barrel of the rifle held by the right-most man. Repetition and rhythm create a further sense of momentum. The repetition of the vertical forms of the Indians moving across the canvas indicates movement from left to right; the procession of slightly bent and angled legs h</w:t>
      </w:r>
      <w:r w:rsidR="00C53389">
        <w:rPr>
          <w:rFonts w:ascii="Times New Roman" w:hAnsi="Times New Roman"/>
        </w:rPr>
        <w:t>as the same effect. A</w:t>
      </w:r>
      <w:r w:rsidRPr="005B7071">
        <w:rPr>
          <w:rFonts w:ascii="Times New Roman" w:hAnsi="Times New Roman"/>
        </w:rPr>
        <w:t xml:space="preserve"> large clearing in the clouds </w:t>
      </w:r>
      <w:r w:rsidR="00C53389">
        <w:rPr>
          <w:rFonts w:ascii="Times New Roman" w:hAnsi="Times New Roman"/>
        </w:rPr>
        <w:t xml:space="preserve">to the </w:t>
      </w:r>
      <w:r w:rsidRPr="005B7071">
        <w:rPr>
          <w:rFonts w:ascii="Times New Roman" w:hAnsi="Times New Roman"/>
        </w:rPr>
        <w:t xml:space="preserve">right of center is reminiscent of the curved form of the </w:t>
      </w:r>
      <w:r w:rsidRPr="005B7071">
        <w:rPr>
          <w:rFonts w:ascii="Times New Roman" w:hAnsi="Times New Roman"/>
          <w:i/>
        </w:rPr>
        <w:t>olla</w:t>
      </w:r>
      <w:r w:rsidRPr="005B7071">
        <w:rPr>
          <w:rFonts w:ascii="Times New Roman" w:hAnsi="Times New Roman"/>
        </w:rPr>
        <w:t xml:space="preserve"> carried by the central woman. Likewise, the cotton candy-like forms of the soft, wispy clouds overhead re</w:t>
      </w:r>
      <w:r w:rsidR="00C53389">
        <w:rPr>
          <w:rFonts w:ascii="Times New Roman" w:hAnsi="Times New Roman"/>
        </w:rPr>
        <w:t>cur</w:t>
      </w:r>
      <w:r w:rsidRPr="005B7071">
        <w:rPr>
          <w:rFonts w:ascii="Times New Roman" w:hAnsi="Times New Roman"/>
        </w:rPr>
        <w:t xml:space="preserve"> in the sagebrush on the ground. The net result of the implied motion, repetition and rhythm is that the figures move forward, albeit in a s</w:t>
      </w:r>
      <w:r w:rsidR="009F0992" w:rsidRPr="005B7071">
        <w:rPr>
          <w:rFonts w:ascii="Times New Roman" w:hAnsi="Times New Roman"/>
        </w:rPr>
        <w:t>low, solemn, processional way.</w:t>
      </w:r>
      <w:r w:rsidR="00B54390">
        <w:rPr>
          <w:rStyle w:val="FootnoteReference"/>
          <w:rFonts w:ascii="Times New Roman" w:hAnsi="Times New Roman"/>
        </w:rPr>
        <w:footnoteReference w:id="195"/>
      </w:r>
    </w:p>
    <w:p w14:paraId="583839CA" w14:textId="4F22D111" w:rsidR="002202F2" w:rsidRPr="005B7071" w:rsidRDefault="002202F2" w:rsidP="002202F2">
      <w:pPr>
        <w:ind w:firstLine="720"/>
        <w:rPr>
          <w:rFonts w:ascii="Times New Roman" w:hAnsi="Times New Roman"/>
        </w:rPr>
      </w:pPr>
      <w:r w:rsidRPr="005B7071">
        <w:rPr>
          <w:rFonts w:ascii="Times New Roman" w:hAnsi="Times New Roman"/>
        </w:rPr>
        <w:t>However, several v</w:t>
      </w:r>
      <w:r w:rsidR="00C53389">
        <w:rPr>
          <w:rFonts w:ascii="Times New Roman" w:hAnsi="Times New Roman"/>
        </w:rPr>
        <w:t>isual elements give pause to this</w:t>
      </w:r>
      <w:r w:rsidRPr="005B7071">
        <w:rPr>
          <w:rFonts w:ascii="Times New Roman" w:hAnsi="Times New Roman"/>
        </w:rPr>
        <w:t xml:space="preserve"> movement. The composition is not balanced – three of the four Indians have yet to move past </w:t>
      </w:r>
      <w:r w:rsidR="00C53389">
        <w:rPr>
          <w:rFonts w:ascii="Times New Roman" w:hAnsi="Times New Roman"/>
        </w:rPr>
        <w:t>its center</w:t>
      </w:r>
      <w:r w:rsidRPr="005B7071">
        <w:rPr>
          <w:rFonts w:ascii="Times New Roman" w:hAnsi="Times New Roman"/>
        </w:rPr>
        <w:t xml:space="preserve">. An even bigger visual constraint on movement in </w:t>
      </w:r>
      <w:r w:rsidRPr="005B7071">
        <w:rPr>
          <w:rFonts w:ascii="Times New Roman" w:hAnsi="Times New Roman"/>
          <w:i/>
        </w:rPr>
        <w:t>Going East</w:t>
      </w:r>
      <w:r w:rsidRPr="005B7071">
        <w:rPr>
          <w:rFonts w:ascii="Times New Roman" w:hAnsi="Times New Roman"/>
        </w:rPr>
        <w:t xml:space="preserve"> comes in the form of the off-center cross at the heart of the composition. The previously-mentioned left to right vertical offered by the walking stick / gun, which nearly spans the length of the canvas, intersects with the vertical form of the Indian woman carrying the large </w:t>
      </w:r>
      <w:r w:rsidRPr="005B7071">
        <w:rPr>
          <w:rFonts w:ascii="Times New Roman" w:hAnsi="Times New Roman"/>
          <w:i/>
        </w:rPr>
        <w:t>olla</w:t>
      </w:r>
      <w:r w:rsidRPr="005B7071">
        <w:rPr>
          <w:rFonts w:ascii="Times New Roman" w:hAnsi="Times New Roman"/>
        </w:rPr>
        <w:t xml:space="preserve">, which likewise spans virtually the entire height of the canvas. The Indian woman’s feet touch the profane earth, while her body, and by extension the open mouth of the </w:t>
      </w:r>
      <w:r w:rsidRPr="005B7071">
        <w:rPr>
          <w:rFonts w:ascii="Times New Roman" w:hAnsi="Times New Roman"/>
          <w:i/>
        </w:rPr>
        <w:t>olla</w:t>
      </w:r>
      <w:r w:rsidRPr="005B7071">
        <w:rPr>
          <w:rFonts w:ascii="Times New Roman" w:hAnsi="Times New Roman"/>
        </w:rPr>
        <w:t xml:space="preserve">, reaches toward the heavens. Likewise, the horizontal axis links the group </w:t>
      </w:r>
      <w:r w:rsidRPr="005B7071">
        <w:rPr>
          <w:rFonts w:ascii="Times New Roman" w:hAnsi="Times New Roman"/>
          <w:i/>
        </w:rPr>
        <w:t>en mass</w:t>
      </w:r>
      <w:r w:rsidRPr="005B7071">
        <w:rPr>
          <w:rFonts w:ascii="Times New Roman" w:hAnsi="Times New Roman"/>
        </w:rPr>
        <w:t xml:space="preserve"> with the mountains behind them. Thus, the complex composition holds these two axes, the celestial and th</w:t>
      </w:r>
      <w:r w:rsidR="002D6CAC" w:rsidRPr="005B7071">
        <w:rPr>
          <w:rFonts w:ascii="Times New Roman" w:hAnsi="Times New Roman"/>
        </w:rPr>
        <w:t>e terrestrial, in tension.</w:t>
      </w:r>
    </w:p>
    <w:p w14:paraId="2D2BE509" w14:textId="4068348E" w:rsidR="002202F2" w:rsidRPr="005B7071" w:rsidRDefault="002202F2" w:rsidP="002202F2">
      <w:pPr>
        <w:ind w:firstLine="720"/>
        <w:rPr>
          <w:rFonts w:ascii="Times New Roman" w:hAnsi="Times New Roman"/>
        </w:rPr>
      </w:pPr>
      <w:r w:rsidRPr="005B7071">
        <w:rPr>
          <w:rFonts w:ascii="Times New Roman" w:hAnsi="Times New Roman"/>
        </w:rPr>
        <w:t xml:space="preserve">The final element of restraint comes in the gaze of the last man on the left. </w:t>
      </w:r>
      <w:r w:rsidR="00C53389">
        <w:rPr>
          <w:rFonts w:ascii="Times New Roman" w:hAnsi="Times New Roman"/>
        </w:rPr>
        <w:t xml:space="preserve">Unlike </w:t>
      </w:r>
      <w:r w:rsidRPr="005B7071">
        <w:rPr>
          <w:rFonts w:ascii="Times New Roman" w:hAnsi="Times New Roman"/>
        </w:rPr>
        <w:t xml:space="preserve">the other figures, he does not look ahead to a destination, but directly out toward the viewer. His disconcerting gaze is a </w:t>
      </w:r>
      <w:r w:rsidR="00C53389" w:rsidRPr="005B7071">
        <w:rPr>
          <w:rFonts w:ascii="Times New Roman" w:hAnsi="Times New Roman"/>
        </w:rPr>
        <w:t>mixture</w:t>
      </w:r>
      <w:r w:rsidR="00C53389">
        <w:rPr>
          <w:rFonts w:ascii="Times New Roman" w:hAnsi="Times New Roman"/>
        </w:rPr>
        <w:t xml:space="preserve"> o</w:t>
      </w:r>
      <w:r w:rsidRPr="005B7071">
        <w:rPr>
          <w:rFonts w:ascii="Times New Roman" w:hAnsi="Times New Roman"/>
        </w:rPr>
        <w:t xml:space="preserve">f consternation, anger, and resignation. </w:t>
      </w:r>
      <w:r w:rsidR="00C53389">
        <w:rPr>
          <w:rFonts w:ascii="Times New Roman" w:hAnsi="Times New Roman"/>
        </w:rPr>
        <w:t xml:space="preserve">It </w:t>
      </w:r>
      <w:r w:rsidRPr="005B7071">
        <w:rPr>
          <w:rFonts w:ascii="Times New Roman" w:hAnsi="Times New Roman"/>
        </w:rPr>
        <w:t>serves to reverses the dominant, objectifying Euro-American gaze. In the simple act of staring back, the Indian challenges his role as exotic other, as a</w:t>
      </w:r>
      <w:r w:rsidR="00C53389">
        <w:rPr>
          <w:rFonts w:ascii="Times New Roman" w:hAnsi="Times New Roman"/>
        </w:rPr>
        <w:t>n</w:t>
      </w:r>
      <w:r w:rsidRPr="005B7071">
        <w:rPr>
          <w:rFonts w:ascii="Times New Roman" w:hAnsi="Times New Roman"/>
        </w:rPr>
        <w:t xml:space="preserve"> </w:t>
      </w:r>
      <w:r w:rsidR="00C53389">
        <w:rPr>
          <w:rFonts w:ascii="Times New Roman" w:hAnsi="Times New Roman"/>
        </w:rPr>
        <w:t xml:space="preserve">object </w:t>
      </w:r>
      <w:r w:rsidRPr="005B7071">
        <w:rPr>
          <w:rFonts w:ascii="Times New Roman" w:hAnsi="Times New Roman"/>
        </w:rPr>
        <w:t xml:space="preserve">to be </w:t>
      </w:r>
      <w:r w:rsidR="00C53389">
        <w:rPr>
          <w:rFonts w:ascii="Times New Roman" w:hAnsi="Times New Roman"/>
        </w:rPr>
        <w:t xml:space="preserve">consumed </w:t>
      </w:r>
      <w:r w:rsidRPr="005B7071">
        <w:rPr>
          <w:rFonts w:ascii="Times New Roman" w:hAnsi="Times New Roman"/>
        </w:rPr>
        <w:t xml:space="preserve">by the colonial eye. Thus, the </w:t>
      </w:r>
      <w:r w:rsidRPr="00C53389">
        <w:rPr>
          <w:rFonts w:ascii="Times New Roman" w:hAnsi="Times New Roman"/>
          <w:i/>
        </w:rPr>
        <w:t>viewer</w:t>
      </w:r>
      <w:r w:rsidRPr="005B7071">
        <w:rPr>
          <w:rFonts w:ascii="Times New Roman" w:hAnsi="Times New Roman"/>
        </w:rPr>
        <w:t xml:space="preserve"> becomes the object, judged by the Indian with scorn and distaste. The </w:t>
      </w:r>
      <w:r w:rsidR="00C53389">
        <w:rPr>
          <w:rFonts w:ascii="Times New Roman" w:hAnsi="Times New Roman"/>
        </w:rPr>
        <w:t xml:space="preserve">outward </w:t>
      </w:r>
      <w:r w:rsidRPr="005B7071">
        <w:rPr>
          <w:rFonts w:ascii="Times New Roman" w:hAnsi="Times New Roman"/>
        </w:rPr>
        <w:t>gaze underscore</w:t>
      </w:r>
      <w:r w:rsidR="009F0992" w:rsidRPr="005B7071">
        <w:rPr>
          <w:rFonts w:ascii="Times New Roman" w:hAnsi="Times New Roman"/>
        </w:rPr>
        <w:t>s</w:t>
      </w:r>
      <w:r w:rsidRPr="005B7071">
        <w:rPr>
          <w:rFonts w:ascii="Times New Roman" w:hAnsi="Times New Roman"/>
        </w:rPr>
        <w:t xml:space="preserve"> the fact that </w:t>
      </w:r>
      <w:r w:rsidRPr="00C4266F">
        <w:rPr>
          <w:rFonts w:ascii="Times New Roman" w:hAnsi="Times New Roman"/>
          <w:i/>
        </w:rPr>
        <w:t>Going East</w:t>
      </w:r>
      <w:r w:rsidRPr="005B7071">
        <w:rPr>
          <w:rFonts w:ascii="Times New Roman" w:hAnsi="Times New Roman"/>
        </w:rPr>
        <w:t xml:space="preserve"> is a portrait of constrained movement. </w:t>
      </w:r>
      <w:r w:rsidR="00C53389">
        <w:rPr>
          <w:rFonts w:ascii="Times New Roman" w:hAnsi="Times New Roman"/>
        </w:rPr>
        <w:t>T</w:t>
      </w:r>
      <w:r w:rsidRPr="005B7071">
        <w:rPr>
          <w:rFonts w:ascii="Times New Roman" w:hAnsi="Times New Roman"/>
        </w:rPr>
        <w:t xml:space="preserve">he artist </w:t>
      </w:r>
      <w:r w:rsidR="00C53389">
        <w:rPr>
          <w:rFonts w:ascii="Times New Roman" w:hAnsi="Times New Roman"/>
        </w:rPr>
        <w:t xml:space="preserve">as a result might be said to </w:t>
      </w:r>
      <w:r w:rsidRPr="005B7071">
        <w:rPr>
          <w:rFonts w:ascii="Times New Roman" w:hAnsi="Times New Roman"/>
        </w:rPr>
        <w:t>invite the viewer to ponder the fate of this group of India</w:t>
      </w:r>
      <w:r w:rsidR="009F0992" w:rsidRPr="005B7071">
        <w:rPr>
          <w:rFonts w:ascii="Times New Roman" w:hAnsi="Times New Roman"/>
        </w:rPr>
        <w:t>ns, and the fate of the artist.</w:t>
      </w:r>
      <w:r w:rsidR="00C53389">
        <w:rPr>
          <w:rFonts w:ascii="Times New Roman" w:hAnsi="Times New Roman"/>
        </w:rPr>
        <w:t xml:space="preserve"> </w:t>
      </w:r>
      <w:r w:rsidRPr="005B7071">
        <w:rPr>
          <w:rFonts w:ascii="Times New Roman" w:hAnsi="Times New Roman"/>
          <w:i/>
        </w:rPr>
        <w:t>Going East</w:t>
      </w:r>
      <w:r w:rsidRPr="005B7071">
        <w:rPr>
          <w:rFonts w:ascii="Times New Roman" w:hAnsi="Times New Roman"/>
        </w:rPr>
        <w:t xml:space="preserve"> can best be understood as a sly reference by the artist to the transitional nature of his career and patronage circa 1917. In 1913, the up-and-coming Ufer was among a handful of promising Chicago artists to catch the eye of Harrison, </w:t>
      </w:r>
      <w:r w:rsidR="00C53389">
        <w:rPr>
          <w:rFonts w:ascii="Times New Roman" w:hAnsi="Times New Roman"/>
        </w:rPr>
        <w:t xml:space="preserve">who, along with </w:t>
      </w:r>
      <w:r w:rsidRPr="005B7071">
        <w:rPr>
          <w:rFonts w:ascii="Times New Roman" w:hAnsi="Times New Roman"/>
        </w:rPr>
        <w:t xml:space="preserve">several other cultured Chicagoans including the meat packing magnate Oscar Mayer, formed a syndicate dedicated to sending up-and-coming Chicago artists to the Southwest. Both Ufer and Harrison saw the </w:t>
      </w:r>
      <w:r w:rsidR="001F2B9C">
        <w:rPr>
          <w:rFonts w:ascii="Times New Roman" w:hAnsi="Times New Roman"/>
        </w:rPr>
        <w:t xml:space="preserve">region </w:t>
      </w:r>
      <w:r w:rsidRPr="005B7071">
        <w:rPr>
          <w:rFonts w:ascii="Times New Roman" w:hAnsi="Times New Roman"/>
        </w:rPr>
        <w:t>as a regenerative space for American art. Even though Ufer and his primary Chicago patron seemed to agree philosophically, they had a turbulent and tumultuous relationship. The main point of contention was artistic direction – Ufer did not appreciate Harrison’s input; Harrison, for his part, could not resist offering Ufer increasingly specific advice about his art and career.</w:t>
      </w:r>
      <w:r w:rsidRPr="005B7071">
        <w:rPr>
          <w:rStyle w:val="FootnoteReference"/>
          <w:rFonts w:ascii="Times New Roman" w:hAnsi="Times New Roman"/>
        </w:rPr>
        <w:footnoteReference w:id="196"/>
      </w:r>
      <w:r w:rsidRPr="005B7071">
        <w:rPr>
          <w:rFonts w:ascii="Times New Roman" w:hAnsi="Times New Roman"/>
        </w:rPr>
        <w:t xml:space="preserve"> Ultimately, the rift between artist and patron was too deep to heal, and </w:t>
      </w:r>
      <w:r w:rsidR="001F2B9C">
        <w:rPr>
          <w:rFonts w:ascii="Times New Roman" w:hAnsi="Times New Roman"/>
        </w:rPr>
        <w:t xml:space="preserve">in 1916 </w:t>
      </w:r>
      <w:r w:rsidRPr="005B7071">
        <w:rPr>
          <w:rFonts w:ascii="Times New Roman" w:hAnsi="Times New Roman"/>
        </w:rPr>
        <w:t>Ufer lost his Chicago patronage.</w:t>
      </w:r>
    </w:p>
    <w:p w14:paraId="07FE5E92" w14:textId="144ABBBB" w:rsidR="002202F2" w:rsidRPr="005B7071" w:rsidRDefault="002202F2" w:rsidP="002202F2">
      <w:pPr>
        <w:ind w:firstLine="720"/>
        <w:rPr>
          <w:rFonts w:ascii="Times New Roman" w:hAnsi="Times New Roman"/>
        </w:rPr>
      </w:pPr>
      <w:r w:rsidRPr="005B7071">
        <w:rPr>
          <w:rFonts w:ascii="Times New Roman" w:hAnsi="Times New Roman"/>
        </w:rPr>
        <w:t xml:space="preserve">The </w:t>
      </w:r>
      <w:r w:rsidR="001F2B9C">
        <w:rPr>
          <w:rFonts w:ascii="Times New Roman" w:hAnsi="Times New Roman"/>
        </w:rPr>
        <w:t>following year</w:t>
      </w:r>
      <w:r w:rsidRPr="005B7071">
        <w:rPr>
          <w:rFonts w:ascii="Times New Roman" w:hAnsi="Times New Roman"/>
        </w:rPr>
        <w:t xml:space="preserve">, 1917, </w:t>
      </w:r>
      <w:r w:rsidR="001F2B9C">
        <w:rPr>
          <w:rFonts w:ascii="Times New Roman" w:hAnsi="Times New Roman"/>
        </w:rPr>
        <w:t xml:space="preserve">Ufer </w:t>
      </w:r>
      <w:r w:rsidRPr="005B7071">
        <w:rPr>
          <w:rFonts w:ascii="Times New Roman" w:hAnsi="Times New Roman"/>
        </w:rPr>
        <w:t xml:space="preserve">was elected both president of the Palette and Chisel Club in Chicago, and a member of the Taos Society of Artists. That same </w:t>
      </w:r>
      <w:r w:rsidR="001F2B9C">
        <w:rPr>
          <w:rFonts w:ascii="Times New Roman" w:hAnsi="Times New Roman"/>
        </w:rPr>
        <w:t xml:space="preserve">break-out </w:t>
      </w:r>
      <w:r w:rsidRPr="005B7071">
        <w:rPr>
          <w:rFonts w:ascii="Times New Roman" w:hAnsi="Times New Roman"/>
        </w:rPr>
        <w:t xml:space="preserve">year, he won the Frank G. Logan Prize from the Chicago Art institute for </w:t>
      </w:r>
      <w:r w:rsidRPr="005B7071">
        <w:rPr>
          <w:rFonts w:ascii="Times New Roman" w:hAnsi="Times New Roman"/>
          <w:i/>
        </w:rPr>
        <w:t>Land of Mañana</w:t>
      </w:r>
      <w:r w:rsidR="001F2B9C">
        <w:rPr>
          <w:rFonts w:ascii="Times New Roman" w:hAnsi="Times New Roman"/>
        </w:rPr>
        <w:t xml:space="preserve">, and </w:t>
      </w:r>
      <w:r w:rsidRPr="005B7071">
        <w:rPr>
          <w:rFonts w:ascii="Times New Roman" w:hAnsi="Times New Roman"/>
        </w:rPr>
        <w:t xml:space="preserve">Finally, </w:t>
      </w:r>
      <w:r w:rsidRPr="005B7071">
        <w:rPr>
          <w:rFonts w:ascii="Times New Roman" w:hAnsi="Times New Roman"/>
          <w:i/>
        </w:rPr>
        <w:t xml:space="preserve">Going East </w:t>
      </w:r>
      <w:r w:rsidRPr="005B7071">
        <w:rPr>
          <w:rFonts w:ascii="Times New Roman" w:hAnsi="Times New Roman"/>
        </w:rPr>
        <w:t xml:space="preserve">won him the prestigious Thomas B. Clark Prize at the National Academy of Design in New York City in 1918. Although this was Ufer’s third prize-winning painting, the </w:t>
      </w:r>
      <w:r w:rsidR="001F2B9C">
        <w:rPr>
          <w:rFonts w:ascii="Times New Roman" w:hAnsi="Times New Roman"/>
        </w:rPr>
        <w:t xml:space="preserve">imprimatur of the </w:t>
      </w:r>
      <w:r w:rsidRPr="005B7071">
        <w:rPr>
          <w:rFonts w:ascii="Times New Roman" w:hAnsi="Times New Roman"/>
        </w:rPr>
        <w:t xml:space="preserve">National Academy had the potential to make his career. Knowing he had lost his most important patron, Ufer painted a </w:t>
      </w:r>
      <w:r w:rsidRPr="005B7071">
        <w:rPr>
          <w:rFonts w:ascii="Times New Roman" w:hAnsi="Times New Roman"/>
          <w:i/>
        </w:rPr>
        <w:t>tour de force</w:t>
      </w:r>
      <w:r w:rsidRPr="005B7071">
        <w:rPr>
          <w:rFonts w:ascii="Times New Roman" w:hAnsi="Times New Roman"/>
        </w:rPr>
        <w:t xml:space="preserve"> masterpiece in </w:t>
      </w:r>
      <w:r w:rsidRPr="005B7071">
        <w:rPr>
          <w:rFonts w:ascii="Times New Roman" w:hAnsi="Times New Roman"/>
          <w:i/>
        </w:rPr>
        <w:t>Going East</w:t>
      </w:r>
      <w:r w:rsidR="001F2B9C">
        <w:rPr>
          <w:rFonts w:ascii="Times New Roman" w:hAnsi="Times New Roman"/>
        </w:rPr>
        <w:t xml:space="preserve">, </w:t>
      </w:r>
      <w:r w:rsidRPr="005B7071">
        <w:rPr>
          <w:rFonts w:ascii="Times New Roman" w:hAnsi="Times New Roman"/>
        </w:rPr>
        <w:t xml:space="preserve">visually complex and filled with subtle tension, with a title that implied much more than was immediately apparent in the narrative. In a sense, </w:t>
      </w:r>
      <w:r w:rsidRPr="005B7071">
        <w:rPr>
          <w:rFonts w:ascii="Times New Roman" w:hAnsi="Times New Roman"/>
          <w:i/>
        </w:rPr>
        <w:t>Going East</w:t>
      </w:r>
      <w:r w:rsidRPr="005B7071">
        <w:rPr>
          <w:rFonts w:ascii="Times New Roman" w:hAnsi="Times New Roman"/>
        </w:rPr>
        <w:t xml:space="preserve"> was exactly the type of painting Ufer needed to </w:t>
      </w:r>
      <w:r w:rsidR="001F2B9C">
        <w:rPr>
          <w:rFonts w:ascii="Times New Roman" w:hAnsi="Times New Roman"/>
        </w:rPr>
        <w:t>establish his career back East!</w:t>
      </w:r>
    </w:p>
    <w:p w14:paraId="447EAF0D" w14:textId="366E9DC2" w:rsidR="002202F2" w:rsidRPr="005B7071" w:rsidRDefault="002202F2" w:rsidP="002202F2">
      <w:pPr>
        <w:ind w:firstLine="720"/>
        <w:rPr>
          <w:rFonts w:ascii="Times New Roman" w:hAnsi="Times New Roman"/>
        </w:rPr>
      </w:pPr>
      <w:r w:rsidRPr="005B7071">
        <w:rPr>
          <w:rFonts w:ascii="Times New Roman" w:hAnsi="Times New Roman"/>
        </w:rPr>
        <w:t>The Chicago press confirmed Ufer’s new celebrity. Under the headline “Chicago Artist Wins Prize In New York</w:t>
      </w:r>
      <w:r w:rsidR="00C4266F">
        <w:rPr>
          <w:rFonts w:ascii="Times New Roman" w:hAnsi="Times New Roman"/>
        </w:rPr>
        <w:t>,”</w:t>
      </w:r>
      <w:r w:rsidRPr="005B7071">
        <w:rPr>
          <w:rFonts w:ascii="Times New Roman" w:hAnsi="Times New Roman"/>
        </w:rPr>
        <w:t xml:space="preserve"> on March 11, 1918, </w:t>
      </w:r>
      <w:r w:rsidRPr="005B7071">
        <w:rPr>
          <w:rFonts w:ascii="Times New Roman" w:hAnsi="Times New Roman"/>
          <w:i/>
        </w:rPr>
        <w:t>The Chicago Daily Tribune</w:t>
      </w:r>
      <w:r w:rsidRPr="005B7071">
        <w:rPr>
          <w:rFonts w:ascii="Times New Roman" w:hAnsi="Times New Roman"/>
        </w:rPr>
        <w:t xml:space="preserve"> reported on Ufer’s win</w:t>
      </w:r>
      <w:r w:rsidR="0098341C" w:rsidRPr="005B7071">
        <w:rPr>
          <w:rFonts w:ascii="Times New Roman" w:hAnsi="Times New Roman"/>
        </w:rPr>
        <w:t xml:space="preserve"> </w:t>
      </w:r>
      <w:r w:rsidR="00EB76B0" w:rsidRPr="005B7071">
        <w:rPr>
          <w:rFonts w:ascii="Times New Roman" w:hAnsi="Times New Roman"/>
        </w:rPr>
        <w:t>(fig. 4.10</w:t>
      </w:r>
      <w:r w:rsidR="0098341C" w:rsidRPr="005B7071">
        <w:rPr>
          <w:rFonts w:ascii="Times New Roman" w:hAnsi="Times New Roman"/>
        </w:rPr>
        <w:t>)</w:t>
      </w:r>
      <w:r w:rsidRPr="005B7071">
        <w:rPr>
          <w:rFonts w:ascii="Times New Roman" w:hAnsi="Times New Roman"/>
        </w:rPr>
        <w:t xml:space="preserve">. The </w:t>
      </w:r>
      <w:r w:rsidRPr="005B7071">
        <w:rPr>
          <w:rFonts w:ascii="Times New Roman" w:hAnsi="Times New Roman"/>
          <w:i/>
        </w:rPr>
        <w:t>Tribune</w:t>
      </w:r>
      <w:r w:rsidRPr="005B7071">
        <w:rPr>
          <w:rFonts w:ascii="Times New Roman" w:hAnsi="Times New Roman"/>
        </w:rPr>
        <w:t xml:space="preserve"> also reproduced </w:t>
      </w:r>
      <w:r w:rsidRPr="005B7071">
        <w:rPr>
          <w:rFonts w:ascii="Times New Roman" w:hAnsi="Times New Roman"/>
          <w:i/>
        </w:rPr>
        <w:t>Going East</w:t>
      </w:r>
      <w:r w:rsidRPr="005B7071">
        <w:rPr>
          <w:rFonts w:ascii="Times New Roman" w:hAnsi="Times New Roman"/>
        </w:rPr>
        <w:t xml:space="preserve"> above a picture of </w:t>
      </w:r>
      <w:r w:rsidR="001F2B9C">
        <w:rPr>
          <w:rFonts w:ascii="Times New Roman" w:hAnsi="Times New Roman"/>
        </w:rPr>
        <w:t>the artist,</w:t>
      </w:r>
      <w:r w:rsidRPr="005B7071">
        <w:rPr>
          <w:rFonts w:ascii="Times New Roman" w:hAnsi="Times New Roman"/>
        </w:rPr>
        <w:t xml:space="preserve"> concentrating studiously in front of a Taos landscape painting.</w:t>
      </w:r>
      <w:r w:rsidRPr="005B7071">
        <w:rPr>
          <w:rStyle w:val="FootnoteReference"/>
          <w:rFonts w:ascii="Times New Roman" w:hAnsi="Times New Roman"/>
        </w:rPr>
        <w:footnoteReference w:id="197"/>
      </w:r>
      <w:r w:rsidRPr="005B7071">
        <w:rPr>
          <w:rFonts w:ascii="Times New Roman" w:hAnsi="Times New Roman"/>
        </w:rPr>
        <w:t xml:space="preserve"> Five days later, on March 16, 1918, </w:t>
      </w:r>
      <w:r w:rsidRPr="005B7071">
        <w:rPr>
          <w:rFonts w:ascii="Times New Roman" w:hAnsi="Times New Roman"/>
          <w:i/>
        </w:rPr>
        <w:t>The Chicago Examiner</w:t>
      </w:r>
      <w:r w:rsidRPr="005B7071">
        <w:rPr>
          <w:rFonts w:ascii="Times New Roman" w:hAnsi="Times New Roman"/>
        </w:rPr>
        <w:t xml:space="preserve"> also commented on Ufer’s prize, stating that Ufer’s “brilliant composition” which was “painted at Taos, NM” helped break down the East coast art establishment’s bias against Midwestern artists. Forgotte</w:t>
      </w:r>
      <w:r w:rsidR="001F2B9C">
        <w:rPr>
          <w:rFonts w:ascii="Times New Roman" w:hAnsi="Times New Roman"/>
        </w:rPr>
        <w:t xml:space="preserve">n in this gush of good press was </w:t>
      </w:r>
      <w:r w:rsidRPr="005B7071">
        <w:rPr>
          <w:rFonts w:ascii="Times New Roman" w:hAnsi="Times New Roman"/>
        </w:rPr>
        <w:t xml:space="preserve">the fact that Ufer had lived in Chicago for only about fifteen years, was born in Germany, and studied there for nearly a decade. To the critic at the </w:t>
      </w:r>
      <w:r w:rsidRPr="005B7071">
        <w:rPr>
          <w:rFonts w:ascii="Times New Roman" w:hAnsi="Times New Roman"/>
          <w:i/>
        </w:rPr>
        <w:t>Examiner</w:t>
      </w:r>
      <w:r w:rsidRPr="005B7071">
        <w:rPr>
          <w:rFonts w:ascii="Times New Roman" w:hAnsi="Times New Roman"/>
        </w:rPr>
        <w:t xml:space="preserve">, Ufer was a local artist who made good back East. In </w:t>
      </w:r>
      <w:r w:rsidR="001F2B9C">
        <w:rPr>
          <w:rFonts w:ascii="Times New Roman" w:hAnsi="Times New Roman"/>
        </w:rPr>
        <w:t xml:space="preserve">this sense again it was </w:t>
      </w:r>
      <w:r w:rsidRPr="005B7071">
        <w:rPr>
          <w:rFonts w:ascii="Times New Roman" w:hAnsi="Times New Roman"/>
        </w:rPr>
        <w:t>Walter Ufer whose career and reputation were going East</w:t>
      </w:r>
      <w:r w:rsidR="001F2B9C">
        <w:rPr>
          <w:rFonts w:ascii="Times New Roman" w:hAnsi="Times New Roman"/>
        </w:rPr>
        <w:t xml:space="preserve">, a reading supported </w:t>
      </w:r>
      <w:r w:rsidRPr="005B7071">
        <w:rPr>
          <w:rFonts w:ascii="Times New Roman" w:hAnsi="Times New Roman"/>
        </w:rPr>
        <w:t xml:space="preserve">by the placement of the painting’s title in the </w:t>
      </w:r>
      <w:r w:rsidRPr="005B7071">
        <w:rPr>
          <w:rFonts w:ascii="Times New Roman" w:hAnsi="Times New Roman"/>
          <w:i/>
        </w:rPr>
        <w:t xml:space="preserve">Chicago Tribune </w:t>
      </w:r>
      <w:r w:rsidRPr="005B7071">
        <w:rPr>
          <w:rFonts w:ascii="Times New Roman" w:hAnsi="Times New Roman"/>
        </w:rPr>
        <w:t xml:space="preserve">story, </w:t>
      </w:r>
      <w:r w:rsidR="001F2B9C">
        <w:rPr>
          <w:rFonts w:ascii="Times New Roman" w:hAnsi="Times New Roman"/>
        </w:rPr>
        <w:t xml:space="preserve">floating </w:t>
      </w:r>
      <w:r w:rsidR="009F0992" w:rsidRPr="005B7071">
        <w:rPr>
          <w:rFonts w:ascii="Times New Roman" w:hAnsi="Times New Roman"/>
        </w:rPr>
        <w:t>above the artist’s p</w:t>
      </w:r>
      <w:r w:rsidR="00BC4FAB">
        <w:rPr>
          <w:rFonts w:ascii="Times New Roman" w:hAnsi="Times New Roman"/>
        </w:rPr>
        <w:t>hotograph.</w:t>
      </w:r>
    </w:p>
    <w:p w14:paraId="0C31EE7D" w14:textId="77777777" w:rsidR="00BC4FAB" w:rsidRDefault="002202F2" w:rsidP="002202F2">
      <w:pPr>
        <w:ind w:firstLine="720"/>
        <w:rPr>
          <w:rFonts w:ascii="Times New Roman" w:hAnsi="Times New Roman"/>
        </w:rPr>
      </w:pPr>
      <w:r w:rsidRPr="005B7071">
        <w:rPr>
          <w:rFonts w:ascii="Times New Roman" w:hAnsi="Times New Roman"/>
        </w:rPr>
        <w:t xml:space="preserve">Even more telling is Ufer’s head-turned pose in the </w:t>
      </w:r>
      <w:r w:rsidRPr="005B7071">
        <w:rPr>
          <w:rFonts w:ascii="Times New Roman" w:hAnsi="Times New Roman"/>
          <w:i/>
        </w:rPr>
        <w:t>Tribune</w:t>
      </w:r>
      <w:r w:rsidRPr="005B7071">
        <w:rPr>
          <w:rFonts w:ascii="Times New Roman" w:hAnsi="Times New Roman"/>
        </w:rPr>
        <w:t xml:space="preserve"> layout, which echoes the head-turned pose of Jim Mirabel, the trailing Indian in </w:t>
      </w:r>
      <w:r w:rsidRPr="005B7071">
        <w:rPr>
          <w:rFonts w:ascii="Times New Roman" w:hAnsi="Times New Roman"/>
          <w:i/>
        </w:rPr>
        <w:t>Going East</w:t>
      </w:r>
      <w:r w:rsidRPr="005B7071">
        <w:rPr>
          <w:rFonts w:ascii="Times New Roman" w:hAnsi="Times New Roman"/>
        </w:rPr>
        <w:t xml:space="preserve"> </w:t>
      </w:r>
      <w:r w:rsidR="00AA3937" w:rsidRPr="005B7071">
        <w:rPr>
          <w:rFonts w:ascii="Times New Roman" w:hAnsi="Times New Roman"/>
        </w:rPr>
        <w:t>(fig.4.1</w:t>
      </w:r>
      <w:r w:rsidR="00EB76B0" w:rsidRPr="005B7071">
        <w:rPr>
          <w:rFonts w:ascii="Times New Roman" w:hAnsi="Times New Roman"/>
        </w:rPr>
        <w:t>1</w:t>
      </w:r>
      <w:r w:rsidR="00AA3937" w:rsidRPr="005B7071">
        <w:rPr>
          <w:rFonts w:ascii="Times New Roman" w:hAnsi="Times New Roman"/>
        </w:rPr>
        <w:t>)</w:t>
      </w:r>
      <w:r w:rsidRPr="005B7071">
        <w:rPr>
          <w:rFonts w:ascii="Times New Roman" w:hAnsi="Times New Roman"/>
        </w:rPr>
        <w:t xml:space="preserve">. By posing for the </w:t>
      </w:r>
      <w:r w:rsidRPr="005B7071">
        <w:rPr>
          <w:rFonts w:ascii="Times New Roman" w:hAnsi="Times New Roman"/>
          <w:i/>
        </w:rPr>
        <w:t>Tribune</w:t>
      </w:r>
      <w:r w:rsidRPr="005B7071">
        <w:rPr>
          <w:rFonts w:ascii="Times New Roman" w:hAnsi="Times New Roman"/>
        </w:rPr>
        <w:t xml:space="preserve"> photograph in a way that directly invokes Mirabel’s pose, Ufer len</w:t>
      </w:r>
      <w:r w:rsidR="001F2B9C">
        <w:rPr>
          <w:rFonts w:ascii="Times New Roman" w:hAnsi="Times New Roman"/>
        </w:rPr>
        <w:t xml:space="preserve">t </w:t>
      </w:r>
      <w:r w:rsidRPr="005B7071">
        <w:rPr>
          <w:rFonts w:ascii="Times New Roman" w:hAnsi="Times New Roman"/>
        </w:rPr>
        <w:t>further credence to the idea that he identified with the Taos Pueblo Indians, and that he understood painting to be at least somewhat a performance for the market.</w:t>
      </w:r>
    </w:p>
    <w:p w14:paraId="016F293F" w14:textId="40C622CD" w:rsidR="002202F2" w:rsidRPr="005B7071" w:rsidRDefault="002202F2" w:rsidP="002202F2">
      <w:pPr>
        <w:ind w:firstLine="720"/>
        <w:rPr>
          <w:rFonts w:ascii="Times New Roman" w:hAnsi="Times New Roman"/>
        </w:rPr>
      </w:pPr>
      <w:r w:rsidRPr="005B7071">
        <w:rPr>
          <w:rFonts w:ascii="Times New Roman" w:hAnsi="Times New Roman"/>
        </w:rPr>
        <w:t xml:space="preserve">The head-turned gazes in </w:t>
      </w:r>
      <w:r w:rsidRPr="005B7071">
        <w:rPr>
          <w:rFonts w:ascii="Times New Roman" w:hAnsi="Times New Roman"/>
          <w:i/>
        </w:rPr>
        <w:t>Going East</w:t>
      </w:r>
      <w:r w:rsidRPr="005B7071">
        <w:rPr>
          <w:rFonts w:ascii="Times New Roman" w:hAnsi="Times New Roman"/>
        </w:rPr>
        <w:t xml:space="preserve"> and its echo in the layout in the </w:t>
      </w:r>
      <w:r w:rsidRPr="005B7071">
        <w:rPr>
          <w:rFonts w:ascii="Times New Roman" w:hAnsi="Times New Roman"/>
          <w:i/>
        </w:rPr>
        <w:t xml:space="preserve">Chicago Tribune </w:t>
      </w:r>
      <w:r w:rsidRPr="005B7071">
        <w:rPr>
          <w:rFonts w:ascii="Times New Roman" w:hAnsi="Times New Roman"/>
        </w:rPr>
        <w:t xml:space="preserve">is reminiscent of other head turned gazes employed by Ufer at around this time. Just as the sombrero-wearing figure in </w:t>
      </w:r>
      <w:r w:rsidRPr="005B7071">
        <w:rPr>
          <w:rFonts w:ascii="Times New Roman" w:hAnsi="Times New Roman"/>
          <w:i/>
        </w:rPr>
        <w:t>Land of Mañana</w:t>
      </w:r>
      <w:r w:rsidRPr="005B7071">
        <w:rPr>
          <w:rFonts w:ascii="Times New Roman" w:hAnsi="Times New Roman"/>
        </w:rPr>
        <w:t xml:space="preserve"> refers obliquely to Ufer because of the artist’s penchant for wearing similar hats, so too the head-turned gaze bec</w:t>
      </w:r>
      <w:r w:rsidR="001F2B9C">
        <w:rPr>
          <w:rFonts w:ascii="Times New Roman" w:hAnsi="Times New Roman"/>
        </w:rPr>
        <w:t xml:space="preserve">ame </w:t>
      </w:r>
      <w:r w:rsidRPr="005B7071">
        <w:rPr>
          <w:rFonts w:ascii="Times New Roman" w:hAnsi="Times New Roman"/>
        </w:rPr>
        <w:t xml:space="preserve">something of a signature for Ufer circa 1916-1920. </w:t>
      </w:r>
      <w:r w:rsidR="00EB76B0" w:rsidRPr="005B7071">
        <w:rPr>
          <w:rFonts w:ascii="Times New Roman" w:hAnsi="Times New Roman"/>
        </w:rPr>
        <w:t xml:space="preserve">One </w:t>
      </w:r>
      <w:r w:rsidRPr="005B7071">
        <w:rPr>
          <w:rFonts w:ascii="Times New Roman" w:hAnsi="Times New Roman"/>
        </w:rPr>
        <w:t>photograph from this period</w:t>
      </w:r>
      <w:r w:rsidR="003A28DE" w:rsidRPr="005B7071">
        <w:rPr>
          <w:rFonts w:ascii="Times New Roman" w:hAnsi="Times New Roman"/>
        </w:rPr>
        <w:t xml:space="preserve"> </w:t>
      </w:r>
      <w:r w:rsidRPr="005B7071">
        <w:rPr>
          <w:rFonts w:ascii="Times New Roman" w:hAnsi="Times New Roman"/>
        </w:rPr>
        <w:t>feature</w:t>
      </w:r>
      <w:r w:rsidR="00EB76B0" w:rsidRPr="005B7071">
        <w:rPr>
          <w:rFonts w:ascii="Times New Roman" w:hAnsi="Times New Roman"/>
        </w:rPr>
        <w:t>s</w:t>
      </w:r>
      <w:r w:rsidRPr="005B7071">
        <w:rPr>
          <w:rFonts w:ascii="Times New Roman" w:hAnsi="Times New Roman"/>
        </w:rPr>
        <w:t xml:space="preserve"> Ufer looking defiantly over his shoulder or with head cocked at an odd angel to his body</w:t>
      </w:r>
      <w:r w:rsidR="00EB76B0" w:rsidRPr="005B7071">
        <w:rPr>
          <w:rFonts w:ascii="Times New Roman" w:hAnsi="Times New Roman"/>
        </w:rPr>
        <w:t xml:space="preserve"> (fig. 4.12)</w:t>
      </w:r>
      <w:r w:rsidRPr="005B7071">
        <w:rPr>
          <w:rFonts w:ascii="Times New Roman" w:hAnsi="Times New Roman"/>
        </w:rPr>
        <w:t xml:space="preserve">. The head-turned gaze, then, is an abstract, indexical signature, calling attention to the presence of the artist and to the fiction </w:t>
      </w:r>
      <w:r w:rsidR="001F2B9C">
        <w:rPr>
          <w:rFonts w:ascii="Times New Roman" w:hAnsi="Times New Roman"/>
        </w:rPr>
        <w:t>of</w:t>
      </w:r>
      <w:r w:rsidR="009F0992" w:rsidRPr="005B7071">
        <w:rPr>
          <w:rFonts w:ascii="Times New Roman" w:hAnsi="Times New Roman"/>
        </w:rPr>
        <w:t xml:space="preserve"> the painting.</w:t>
      </w:r>
    </w:p>
    <w:p w14:paraId="208E1128" w14:textId="5820BE56" w:rsidR="002202F2" w:rsidRPr="005B7071" w:rsidRDefault="002202F2" w:rsidP="002202F2">
      <w:pPr>
        <w:ind w:firstLine="720"/>
        <w:rPr>
          <w:rFonts w:ascii="Times New Roman" w:hAnsi="Times New Roman"/>
        </w:rPr>
      </w:pPr>
      <w:r w:rsidRPr="005B7071">
        <w:rPr>
          <w:rFonts w:ascii="Times New Roman" w:hAnsi="Times New Roman"/>
        </w:rPr>
        <w:t>A</w:t>
      </w:r>
      <w:r w:rsidR="001F2B9C">
        <w:rPr>
          <w:rFonts w:ascii="Times New Roman" w:hAnsi="Times New Roman"/>
        </w:rPr>
        <w:t xml:space="preserve">nother example of </w:t>
      </w:r>
      <w:r w:rsidRPr="005B7071">
        <w:rPr>
          <w:rFonts w:ascii="Times New Roman" w:hAnsi="Times New Roman"/>
        </w:rPr>
        <w:t>Ufer</w:t>
      </w:r>
      <w:r w:rsidR="001F2B9C">
        <w:rPr>
          <w:rFonts w:ascii="Times New Roman" w:hAnsi="Times New Roman"/>
        </w:rPr>
        <w:t>’s</w:t>
      </w:r>
      <w:r w:rsidRPr="005B7071">
        <w:rPr>
          <w:rFonts w:ascii="Times New Roman" w:hAnsi="Times New Roman"/>
        </w:rPr>
        <w:t xml:space="preserve"> use of the gaze can be found in </w:t>
      </w:r>
      <w:r w:rsidR="00EB76B0" w:rsidRPr="005B7071">
        <w:rPr>
          <w:rFonts w:ascii="Times New Roman" w:hAnsi="Times New Roman"/>
          <w:i/>
        </w:rPr>
        <w:t>Artist with Model</w:t>
      </w:r>
      <w:r w:rsidR="00EB76B0" w:rsidRPr="005B7071">
        <w:rPr>
          <w:rFonts w:ascii="Times New Roman" w:hAnsi="Times New Roman"/>
        </w:rPr>
        <w:t xml:space="preserve"> of 1920</w:t>
      </w:r>
      <w:r w:rsidR="003A28DE" w:rsidRPr="005B7071">
        <w:rPr>
          <w:rFonts w:ascii="Times New Roman" w:hAnsi="Times New Roman"/>
        </w:rPr>
        <w:t xml:space="preserve"> </w:t>
      </w:r>
      <w:r w:rsidR="00EB76B0" w:rsidRPr="005B7071">
        <w:rPr>
          <w:rFonts w:ascii="Times New Roman" w:hAnsi="Times New Roman"/>
        </w:rPr>
        <w:t>(fig. 4.13</w:t>
      </w:r>
      <w:r w:rsidR="003A28DE" w:rsidRPr="005B7071">
        <w:rPr>
          <w:rFonts w:ascii="Times New Roman" w:hAnsi="Times New Roman"/>
        </w:rPr>
        <w:t>)</w:t>
      </w:r>
      <w:r w:rsidR="001F2B9C">
        <w:rPr>
          <w:rFonts w:ascii="Times New Roman" w:hAnsi="Times New Roman"/>
        </w:rPr>
        <w:t xml:space="preserve">, </w:t>
      </w:r>
      <w:r w:rsidRPr="005B7071">
        <w:rPr>
          <w:rFonts w:ascii="Times New Roman" w:hAnsi="Times New Roman"/>
        </w:rPr>
        <w:t>really a double portrait</w:t>
      </w:r>
      <w:r w:rsidR="001F2B9C">
        <w:rPr>
          <w:rFonts w:ascii="Times New Roman" w:hAnsi="Times New Roman"/>
        </w:rPr>
        <w:t xml:space="preserve"> in which </w:t>
      </w:r>
      <w:r w:rsidRPr="005B7071">
        <w:rPr>
          <w:rFonts w:ascii="Times New Roman" w:hAnsi="Times New Roman"/>
        </w:rPr>
        <w:t xml:space="preserve">Ufer and his good friend and frequent model mug like adolescents for a snapshot. </w:t>
      </w:r>
      <w:r w:rsidR="001F2B9C">
        <w:rPr>
          <w:rFonts w:ascii="Times New Roman" w:hAnsi="Times New Roman"/>
        </w:rPr>
        <w:t xml:space="preserve">Ufer identified with </w:t>
      </w:r>
      <w:r w:rsidR="00C4266F">
        <w:rPr>
          <w:rFonts w:ascii="Times New Roman" w:hAnsi="Times New Roman"/>
        </w:rPr>
        <w:t>Mirabel specifically and with P</w:t>
      </w:r>
      <w:r w:rsidRPr="005B7071">
        <w:rPr>
          <w:rFonts w:ascii="Times New Roman" w:hAnsi="Times New Roman"/>
        </w:rPr>
        <w:t xml:space="preserve">ueblo Indians generally. That he made this manifest in his paintings </w:t>
      </w:r>
      <w:r w:rsidR="001F2B9C">
        <w:rPr>
          <w:rFonts w:ascii="Times New Roman" w:hAnsi="Times New Roman"/>
        </w:rPr>
        <w:t xml:space="preserve">suggests </w:t>
      </w:r>
      <w:r w:rsidRPr="005B7071">
        <w:rPr>
          <w:rFonts w:ascii="Times New Roman" w:hAnsi="Times New Roman"/>
        </w:rPr>
        <w:t xml:space="preserve">that the gaze, head-turned or straight-forward, worked for Ufer as a signature. </w:t>
      </w:r>
      <w:r w:rsidR="001F2B9C">
        <w:rPr>
          <w:rFonts w:ascii="Times New Roman" w:hAnsi="Times New Roman"/>
        </w:rPr>
        <w:t>He</w:t>
      </w:r>
      <w:r w:rsidRPr="005B7071">
        <w:rPr>
          <w:rFonts w:ascii="Times New Roman" w:hAnsi="Times New Roman"/>
        </w:rPr>
        <w:t xml:space="preserve"> further underscores this fact in </w:t>
      </w:r>
      <w:r w:rsidRPr="005B7071">
        <w:rPr>
          <w:rFonts w:ascii="Times New Roman" w:hAnsi="Times New Roman"/>
          <w:i/>
        </w:rPr>
        <w:t>Self Portrait</w:t>
      </w:r>
      <w:r w:rsidRPr="005B7071">
        <w:rPr>
          <w:rFonts w:ascii="Times New Roman" w:hAnsi="Times New Roman"/>
        </w:rPr>
        <w:t xml:space="preserve"> of 1923, which, when compared to </w:t>
      </w:r>
      <w:r w:rsidRPr="005B7071">
        <w:rPr>
          <w:rFonts w:ascii="Times New Roman" w:hAnsi="Times New Roman"/>
          <w:i/>
        </w:rPr>
        <w:t>Jim and His Daughter</w:t>
      </w:r>
      <w:r w:rsidRPr="005B7071">
        <w:rPr>
          <w:rFonts w:ascii="Times New Roman" w:hAnsi="Times New Roman"/>
        </w:rPr>
        <w:t xml:space="preserve"> of the same year</w:t>
      </w:r>
      <w:r w:rsidR="001F2B9C">
        <w:rPr>
          <w:rFonts w:ascii="Times New Roman" w:hAnsi="Times New Roman"/>
        </w:rPr>
        <w:t>,</w:t>
      </w:r>
      <w:r w:rsidRPr="005B7071">
        <w:rPr>
          <w:rFonts w:ascii="Times New Roman" w:hAnsi="Times New Roman"/>
        </w:rPr>
        <w:t xml:space="preserve"> makes the connection between the two crystal clear</w:t>
      </w:r>
      <w:r w:rsidR="002C31A4" w:rsidRPr="005B7071">
        <w:rPr>
          <w:rFonts w:ascii="Times New Roman" w:hAnsi="Times New Roman"/>
        </w:rPr>
        <w:t xml:space="preserve"> </w:t>
      </w:r>
      <w:r w:rsidR="0098341C" w:rsidRPr="005B7071">
        <w:rPr>
          <w:rFonts w:ascii="Times New Roman" w:hAnsi="Times New Roman"/>
        </w:rPr>
        <w:t>(</w:t>
      </w:r>
      <w:r w:rsidR="00EB76B0" w:rsidRPr="005B7071">
        <w:rPr>
          <w:rFonts w:ascii="Times New Roman" w:hAnsi="Times New Roman"/>
        </w:rPr>
        <w:t xml:space="preserve">see </w:t>
      </w:r>
      <w:r w:rsidR="0098341C" w:rsidRPr="005B7071">
        <w:rPr>
          <w:rFonts w:ascii="Times New Roman" w:hAnsi="Times New Roman"/>
        </w:rPr>
        <w:t>fig. 4.</w:t>
      </w:r>
      <w:r w:rsidR="00EB76B0" w:rsidRPr="005B7071">
        <w:rPr>
          <w:rFonts w:ascii="Times New Roman" w:hAnsi="Times New Roman"/>
        </w:rPr>
        <w:t>8</w:t>
      </w:r>
      <w:r w:rsidR="002C31A4" w:rsidRPr="005B7071">
        <w:rPr>
          <w:rFonts w:ascii="Times New Roman" w:hAnsi="Times New Roman"/>
        </w:rPr>
        <w:t>)</w:t>
      </w:r>
      <w:r w:rsidRPr="005B7071">
        <w:rPr>
          <w:rFonts w:ascii="Times New Roman" w:hAnsi="Times New Roman"/>
        </w:rPr>
        <w:t>.</w:t>
      </w:r>
      <w:r w:rsidRPr="005B7071">
        <w:rPr>
          <w:rFonts w:ascii="Times New Roman" w:hAnsi="Times New Roman"/>
          <w:b/>
        </w:rPr>
        <w:t xml:space="preserve"> </w:t>
      </w:r>
      <w:r w:rsidRPr="005B7071">
        <w:rPr>
          <w:rFonts w:ascii="Times New Roman" w:hAnsi="Times New Roman"/>
        </w:rPr>
        <w:t>On one level, by si</w:t>
      </w:r>
      <w:r w:rsidR="00C4266F">
        <w:rPr>
          <w:rFonts w:ascii="Times New Roman" w:hAnsi="Times New Roman"/>
        </w:rPr>
        <w:t>gning these paintings with the gaze</w:t>
      </w:r>
      <w:r w:rsidRPr="005B7071">
        <w:rPr>
          <w:rFonts w:ascii="Times New Roman" w:hAnsi="Times New Roman"/>
        </w:rPr>
        <w:t>, which we must now understand as analogous to the gaze of the artist, Ufer connected himself with his</w:t>
      </w:r>
      <w:r w:rsidR="00BC4FAB">
        <w:rPr>
          <w:rFonts w:ascii="Times New Roman" w:hAnsi="Times New Roman"/>
        </w:rPr>
        <w:t xml:space="preserve"> Native American subjects.</w:t>
      </w:r>
    </w:p>
    <w:p w14:paraId="0534F903" w14:textId="3F8ECB1D" w:rsidR="002202F2" w:rsidRPr="005B7071" w:rsidRDefault="002202F2" w:rsidP="002202F2">
      <w:pPr>
        <w:ind w:firstLine="720"/>
        <w:rPr>
          <w:rFonts w:ascii="Times New Roman" w:hAnsi="Times New Roman"/>
          <w:b/>
        </w:rPr>
      </w:pPr>
      <w:r w:rsidRPr="005B7071">
        <w:rPr>
          <w:rFonts w:ascii="Times New Roman" w:hAnsi="Times New Roman"/>
        </w:rPr>
        <w:t>By connecting himself visually with his Native American subjects, Ufer may have been deflecting questions about his own heritage</w:t>
      </w:r>
      <w:r w:rsidR="00E62383">
        <w:rPr>
          <w:rFonts w:ascii="Times New Roman" w:hAnsi="Times New Roman"/>
        </w:rPr>
        <w:t xml:space="preserve"> perhaps subconsciously</w:t>
      </w:r>
      <w:r w:rsidRPr="005B7071">
        <w:rPr>
          <w:rFonts w:ascii="Times New Roman" w:hAnsi="Times New Roman"/>
        </w:rPr>
        <w:t xml:space="preserve">. Ufer maintained throughout his life that he </w:t>
      </w:r>
      <w:r w:rsidR="00E62383">
        <w:rPr>
          <w:rFonts w:ascii="Times New Roman" w:hAnsi="Times New Roman"/>
        </w:rPr>
        <w:t xml:space="preserve">had been </w:t>
      </w:r>
      <w:r w:rsidRPr="005B7071">
        <w:rPr>
          <w:rFonts w:ascii="Times New Roman" w:hAnsi="Times New Roman"/>
        </w:rPr>
        <w:t>born in America, and most sources still list him as American-born, yet he was born in Germany and emigrated to American with his parents as a young boy.</w:t>
      </w:r>
      <w:r w:rsidR="00492F6E">
        <w:rPr>
          <w:rStyle w:val="FootnoteReference"/>
          <w:rFonts w:ascii="Times New Roman" w:hAnsi="Times New Roman"/>
        </w:rPr>
        <w:footnoteReference w:id="198"/>
      </w:r>
      <w:r w:rsidRPr="005B7071">
        <w:rPr>
          <w:rFonts w:ascii="Times New Roman" w:hAnsi="Times New Roman"/>
        </w:rPr>
        <w:t xml:space="preserve"> During the nineteen-teens and 20s, many artists and intellectuals, such as John Sloan, Alice </w:t>
      </w:r>
      <w:r w:rsidR="00492F6E">
        <w:rPr>
          <w:rFonts w:ascii="Times New Roman" w:hAnsi="Times New Roman"/>
        </w:rPr>
        <w:t xml:space="preserve">Henderson </w:t>
      </w:r>
      <w:r w:rsidRPr="005B7071">
        <w:rPr>
          <w:rFonts w:ascii="Times New Roman" w:hAnsi="Times New Roman"/>
        </w:rPr>
        <w:t>Corbin, and Mabel Dodge Luhan, were promoting the American Indian and their art as a uniquely American resource. Perhaps Ufer, who understandably would have been highly sensitive to anti-German sentiment in America at the dawn of U.S. involvement in World War I in 1917, saw a way to strengthen his identification with America by identifying with that most “pure” and unique of American resources, the American Indian.</w:t>
      </w:r>
    </w:p>
    <w:p w14:paraId="5C41A006" w14:textId="77777777" w:rsidR="002202F2" w:rsidRPr="005B7071" w:rsidRDefault="002202F2" w:rsidP="002202F2">
      <w:pPr>
        <w:ind w:firstLine="720"/>
        <w:rPr>
          <w:rFonts w:ascii="Times New Roman" w:hAnsi="Times New Roman"/>
        </w:rPr>
      </w:pPr>
    </w:p>
    <w:p w14:paraId="5CA4E3A7" w14:textId="77777777" w:rsidR="002202F2" w:rsidRPr="005B7071" w:rsidRDefault="002202F2" w:rsidP="00BC4FAB">
      <w:pPr>
        <w:jc w:val="center"/>
        <w:rPr>
          <w:rFonts w:ascii="Times New Roman" w:hAnsi="Times New Roman"/>
          <w:b/>
        </w:rPr>
      </w:pPr>
      <w:r w:rsidRPr="005B7071">
        <w:rPr>
          <w:rFonts w:ascii="Times New Roman" w:hAnsi="Times New Roman"/>
          <w:b/>
        </w:rPr>
        <w:t>Luzanna and Her Sisters (1920)</w:t>
      </w:r>
    </w:p>
    <w:p w14:paraId="6DBCC18F" w14:textId="677ACFC4" w:rsidR="002202F2" w:rsidRPr="005B7071" w:rsidRDefault="002202F2" w:rsidP="002202F2">
      <w:pPr>
        <w:pStyle w:val="ListParagraph"/>
        <w:ind w:left="0" w:firstLine="720"/>
        <w:rPr>
          <w:rFonts w:ascii="Times New Roman" w:hAnsi="Times New Roman"/>
        </w:rPr>
      </w:pPr>
      <w:r w:rsidRPr="005B7071">
        <w:rPr>
          <w:rFonts w:ascii="Times New Roman" w:hAnsi="Times New Roman"/>
        </w:rPr>
        <w:t xml:space="preserve">In </w:t>
      </w:r>
      <w:r w:rsidRPr="005B7071">
        <w:rPr>
          <w:rFonts w:ascii="Times New Roman" w:hAnsi="Times New Roman"/>
          <w:i/>
        </w:rPr>
        <w:t>Luzanna and Her Sisters</w:t>
      </w:r>
      <w:r w:rsidR="00E62383">
        <w:rPr>
          <w:rFonts w:ascii="Times New Roman" w:hAnsi="Times New Roman"/>
        </w:rPr>
        <w:t xml:space="preserve"> (1920), </w:t>
      </w:r>
      <w:r w:rsidRPr="005B7071">
        <w:rPr>
          <w:rFonts w:ascii="Times New Roman" w:hAnsi="Times New Roman"/>
        </w:rPr>
        <w:t xml:space="preserve">the narrative centers on three female </w:t>
      </w:r>
      <w:r w:rsidR="00E62383">
        <w:rPr>
          <w:rFonts w:ascii="Times New Roman" w:hAnsi="Times New Roman"/>
        </w:rPr>
        <w:t xml:space="preserve">Indian </w:t>
      </w:r>
      <w:r w:rsidRPr="005B7071">
        <w:rPr>
          <w:rFonts w:ascii="Times New Roman" w:hAnsi="Times New Roman"/>
        </w:rPr>
        <w:t xml:space="preserve">figures </w:t>
      </w:r>
      <w:r w:rsidR="00C4266F">
        <w:rPr>
          <w:rFonts w:ascii="Times New Roman" w:hAnsi="Times New Roman"/>
        </w:rPr>
        <w:t xml:space="preserve">seated on and near a windowsill located within Ufer’s home in Taos </w:t>
      </w:r>
      <w:r w:rsidR="00EB76B0" w:rsidRPr="005B7071">
        <w:rPr>
          <w:rFonts w:ascii="Times New Roman" w:hAnsi="Times New Roman"/>
        </w:rPr>
        <w:t>(fig. 4.14</w:t>
      </w:r>
      <w:r w:rsidR="003A28DE" w:rsidRPr="005B7071">
        <w:rPr>
          <w:rFonts w:ascii="Times New Roman" w:hAnsi="Times New Roman"/>
        </w:rPr>
        <w:t>)</w:t>
      </w:r>
      <w:r w:rsidRPr="005B7071">
        <w:rPr>
          <w:rFonts w:ascii="Times New Roman" w:hAnsi="Times New Roman"/>
        </w:rPr>
        <w:t>.</w:t>
      </w:r>
      <w:r w:rsidR="00C4266F">
        <w:rPr>
          <w:rStyle w:val="FootnoteReference"/>
          <w:rFonts w:ascii="Times New Roman" w:hAnsi="Times New Roman"/>
        </w:rPr>
        <w:footnoteReference w:id="199"/>
      </w:r>
      <w:r w:rsidRPr="005B7071">
        <w:rPr>
          <w:rFonts w:ascii="Times New Roman" w:hAnsi="Times New Roman"/>
        </w:rPr>
        <w:t xml:space="preserve"> The two younger girls, one to the left of the central figure, one to the right, are engaged in their surroundings; the girl on the right looks out over her shoulder, gazing through the window toward the world outside in a visual ref</w:t>
      </w:r>
      <w:r w:rsidR="00610BCF">
        <w:rPr>
          <w:rFonts w:ascii="Times New Roman" w:hAnsi="Times New Roman"/>
        </w:rPr>
        <w:t>erence back to the head-turned Ufer</w:t>
      </w:r>
      <w:r w:rsidRPr="005B7071">
        <w:rPr>
          <w:rFonts w:ascii="Times New Roman" w:hAnsi="Times New Roman"/>
        </w:rPr>
        <w:t xml:space="preserve"> gaze identified </w:t>
      </w:r>
      <w:r w:rsidR="00610BCF">
        <w:rPr>
          <w:rFonts w:ascii="Times New Roman" w:hAnsi="Times New Roman"/>
        </w:rPr>
        <w:t xml:space="preserve">in connection with </w:t>
      </w:r>
      <w:r w:rsidR="00610BCF" w:rsidRPr="00610BCF">
        <w:rPr>
          <w:rFonts w:ascii="Times New Roman" w:hAnsi="Times New Roman"/>
          <w:i/>
        </w:rPr>
        <w:t>Going East</w:t>
      </w:r>
      <w:r w:rsidR="00610BCF">
        <w:rPr>
          <w:rFonts w:ascii="Times New Roman" w:hAnsi="Times New Roman"/>
        </w:rPr>
        <w:t xml:space="preserve">. </w:t>
      </w:r>
      <w:r w:rsidRPr="005B7071">
        <w:rPr>
          <w:rFonts w:ascii="Times New Roman" w:hAnsi="Times New Roman"/>
        </w:rPr>
        <w:t xml:space="preserve">The central figure, a full grown woman, sleeps, her body resting at an odd angel to the window sill she sits on. She </w:t>
      </w:r>
      <w:r w:rsidR="00E62383">
        <w:rPr>
          <w:rFonts w:ascii="Times New Roman" w:hAnsi="Times New Roman"/>
        </w:rPr>
        <w:t>slides</w:t>
      </w:r>
      <w:r w:rsidRPr="005B7071">
        <w:rPr>
          <w:rFonts w:ascii="Times New Roman" w:hAnsi="Times New Roman"/>
        </w:rPr>
        <w:t xml:space="preserve">, almost imperceptibly, to the left of the visual field, propped up by the window frame. Her body opens up toward the viewer, while her hands rest in a native-made basket, her work hidden from view. To the contrary, the body of the girl on the right is closed off to inspection </w:t>
      </w:r>
      <w:r w:rsidR="00E62383">
        <w:rPr>
          <w:rFonts w:ascii="Times New Roman" w:hAnsi="Times New Roman"/>
        </w:rPr>
        <w:t xml:space="preserve">by </w:t>
      </w:r>
      <w:r w:rsidRPr="005B7071">
        <w:rPr>
          <w:rFonts w:ascii="Times New Roman" w:hAnsi="Times New Roman"/>
        </w:rPr>
        <w:t xml:space="preserve">the viewer. Her movement toward the window and, by extension, </w:t>
      </w:r>
      <w:r w:rsidR="00E62383">
        <w:rPr>
          <w:rFonts w:ascii="Times New Roman" w:hAnsi="Times New Roman"/>
        </w:rPr>
        <w:t xml:space="preserve">the outdoors </w:t>
      </w:r>
      <w:r w:rsidRPr="005B7071">
        <w:rPr>
          <w:rFonts w:ascii="Times New Roman" w:hAnsi="Times New Roman"/>
        </w:rPr>
        <w:t>indicate</w:t>
      </w:r>
      <w:r w:rsidR="00E62383">
        <w:rPr>
          <w:rFonts w:ascii="Times New Roman" w:hAnsi="Times New Roman"/>
        </w:rPr>
        <w:t>s</w:t>
      </w:r>
      <w:r w:rsidRPr="005B7071">
        <w:rPr>
          <w:rFonts w:ascii="Times New Roman" w:hAnsi="Times New Roman"/>
        </w:rPr>
        <w:t xml:space="preserve"> a longing for nature or a desire to be out of the </w:t>
      </w:r>
      <w:r w:rsidR="00610BCF">
        <w:rPr>
          <w:rFonts w:ascii="Times New Roman" w:hAnsi="Times New Roman"/>
        </w:rPr>
        <w:t xml:space="preserve">Ufer household. </w:t>
      </w:r>
      <w:r w:rsidRPr="005B7071">
        <w:rPr>
          <w:rFonts w:ascii="Times New Roman" w:hAnsi="Times New Roman"/>
        </w:rPr>
        <w:t>T</w:t>
      </w:r>
      <w:r w:rsidR="00E62383">
        <w:rPr>
          <w:rFonts w:ascii="Times New Roman" w:hAnsi="Times New Roman"/>
        </w:rPr>
        <w:t xml:space="preserve">ypically, the </w:t>
      </w:r>
      <w:r w:rsidRPr="005B7071">
        <w:rPr>
          <w:rFonts w:ascii="Times New Roman" w:hAnsi="Times New Roman"/>
        </w:rPr>
        <w:t>final figure, the girl on the left, gazes directly out at the viewer. Her cocked head echoes her questioning gaze. She is a cipher, a question mark for the viewer to contemplate.</w:t>
      </w:r>
      <w:r w:rsidR="00E62383">
        <w:rPr>
          <w:rFonts w:ascii="Times New Roman" w:hAnsi="Times New Roman"/>
        </w:rPr>
        <w:t xml:space="preserve"> </w:t>
      </w:r>
      <w:r w:rsidRPr="005B7071">
        <w:rPr>
          <w:rFonts w:ascii="Times New Roman" w:hAnsi="Times New Roman"/>
        </w:rPr>
        <w:t>Though it would be easy to dismiss this painting as a pretty genre scene, the artist, in a now familiar move, gets the viewer to look more closely</w:t>
      </w:r>
      <w:r w:rsidR="00E62383">
        <w:rPr>
          <w:rFonts w:ascii="Times New Roman" w:hAnsi="Times New Roman"/>
        </w:rPr>
        <w:t xml:space="preserve"> through his manipulation of gazes within the image</w:t>
      </w:r>
      <w:r w:rsidRPr="005B7071">
        <w:rPr>
          <w:rFonts w:ascii="Times New Roman" w:hAnsi="Times New Roman"/>
        </w:rPr>
        <w:t xml:space="preserve">. Both gazes intrigue – the girl on the right looks out, and in doing so turns her body from the viewer. </w:t>
      </w:r>
      <w:r w:rsidR="00E62383">
        <w:rPr>
          <w:rFonts w:ascii="Times New Roman" w:hAnsi="Times New Roman"/>
        </w:rPr>
        <w:t>She serves as a sort surrogates for t</w:t>
      </w:r>
      <w:r w:rsidRPr="005B7071">
        <w:rPr>
          <w:rFonts w:ascii="Times New Roman" w:hAnsi="Times New Roman"/>
        </w:rPr>
        <w:t>he painter. On the other side, the girl to the left penetrates the viewer with t</w:t>
      </w:r>
      <w:r w:rsidR="009F0992" w:rsidRPr="005B7071">
        <w:rPr>
          <w:rFonts w:ascii="Times New Roman" w:hAnsi="Times New Roman"/>
        </w:rPr>
        <w:t>he now-familiar menacing gaze.</w:t>
      </w:r>
    </w:p>
    <w:p w14:paraId="7D5A8095" w14:textId="3A81B926" w:rsidR="002202F2" w:rsidRPr="005B7071" w:rsidRDefault="002202F2" w:rsidP="00A87C8D">
      <w:pPr>
        <w:pStyle w:val="ListParagraph"/>
        <w:ind w:left="0" w:firstLine="720"/>
        <w:rPr>
          <w:rFonts w:ascii="Times New Roman" w:hAnsi="Times New Roman"/>
        </w:rPr>
      </w:pPr>
      <w:r w:rsidRPr="005B7071">
        <w:rPr>
          <w:rFonts w:ascii="Times New Roman" w:hAnsi="Times New Roman"/>
        </w:rPr>
        <w:t>Once the viewer has stopped to ponder the significance of the</w:t>
      </w:r>
      <w:r w:rsidR="00A87C8D">
        <w:rPr>
          <w:rFonts w:ascii="Times New Roman" w:hAnsi="Times New Roman"/>
        </w:rPr>
        <w:t>se</w:t>
      </w:r>
      <w:r w:rsidRPr="005B7071">
        <w:rPr>
          <w:rFonts w:ascii="Times New Roman" w:hAnsi="Times New Roman"/>
        </w:rPr>
        <w:t xml:space="preserve"> gazes, other o</w:t>
      </w:r>
      <w:r w:rsidR="00A87C8D">
        <w:rPr>
          <w:rFonts w:ascii="Times New Roman" w:hAnsi="Times New Roman"/>
        </w:rPr>
        <w:t>ddities come into focus. A</w:t>
      </w:r>
      <w:r w:rsidRPr="005B7071">
        <w:rPr>
          <w:rFonts w:ascii="Times New Roman" w:hAnsi="Times New Roman"/>
        </w:rPr>
        <w:t xml:space="preserve">ll three female figures </w:t>
      </w:r>
      <w:r w:rsidR="003A1860">
        <w:rPr>
          <w:rFonts w:ascii="Times New Roman" w:hAnsi="Times New Roman"/>
        </w:rPr>
        <w:t xml:space="preserve">sit propped up on </w:t>
      </w:r>
      <w:r w:rsidRPr="005B7071">
        <w:rPr>
          <w:rFonts w:ascii="Times New Roman" w:hAnsi="Times New Roman"/>
        </w:rPr>
        <w:t>the window sill and frame</w:t>
      </w:r>
      <w:r w:rsidR="00A87C8D">
        <w:rPr>
          <w:rFonts w:ascii="Times New Roman" w:hAnsi="Times New Roman"/>
        </w:rPr>
        <w:t xml:space="preserve">. This </w:t>
      </w:r>
      <w:r w:rsidRPr="005B7071">
        <w:rPr>
          <w:rFonts w:ascii="Times New Roman" w:hAnsi="Times New Roman"/>
        </w:rPr>
        <w:t>effect</w:t>
      </w:r>
      <w:r w:rsidR="00A87C8D">
        <w:rPr>
          <w:rFonts w:ascii="Times New Roman" w:hAnsi="Times New Roman"/>
        </w:rPr>
        <w:t>ively</w:t>
      </w:r>
      <w:r w:rsidRPr="005B7071">
        <w:rPr>
          <w:rFonts w:ascii="Times New Roman" w:hAnsi="Times New Roman"/>
        </w:rPr>
        <w:t xml:space="preserve"> put</w:t>
      </w:r>
      <w:r w:rsidR="00A87C8D">
        <w:rPr>
          <w:rFonts w:ascii="Times New Roman" w:hAnsi="Times New Roman"/>
        </w:rPr>
        <w:t xml:space="preserve">s them </w:t>
      </w:r>
      <w:r w:rsidRPr="005B7071">
        <w:rPr>
          <w:rFonts w:ascii="Times New Roman" w:hAnsi="Times New Roman"/>
        </w:rPr>
        <w:t>stage.</w:t>
      </w:r>
      <w:r w:rsidR="00A87C8D">
        <w:rPr>
          <w:rFonts w:ascii="Times New Roman" w:hAnsi="Times New Roman"/>
        </w:rPr>
        <w:t xml:space="preserve"> </w:t>
      </w:r>
      <w:r w:rsidR="003A1860">
        <w:rPr>
          <w:rFonts w:ascii="Times New Roman" w:hAnsi="Times New Roman"/>
        </w:rPr>
        <w:t xml:space="preserve">Ufer </w:t>
      </w:r>
      <w:r w:rsidR="00A87C8D">
        <w:rPr>
          <w:rFonts w:ascii="Times New Roman" w:hAnsi="Times New Roman"/>
        </w:rPr>
        <w:t xml:space="preserve">puts them on </w:t>
      </w:r>
      <w:r w:rsidRPr="005B7071">
        <w:rPr>
          <w:rFonts w:ascii="Times New Roman" w:hAnsi="Times New Roman"/>
        </w:rPr>
        <w:t xml:space="preserve">display, but unlike </w:t>
      </w:r>
      <w:r w:rsidR="003A1860">
        <w:rPr>
          <w:rFonts w:ascii="Times New Roman" w:hAnsi="Times New Roman"/>
        </w:rPr>
        <w:t>in</w:t>
      </w:r>
      <w:r w:rsidRPr="005B7071">
        <w:rPr>
          <w:rFonts w:ascii="Times New Roman" w:hAnsi="Times New Roman"/>
        </w:rPr>
        <w:t xml:space="preserve"> </w:t>
      </w:r>
      <w:r w:rsidRPr="005B7071">
        <w:rPr>
          <w:rFonts w:ascii="Times New Roman" w:hAnsi="Times New Roman"/>
          <w:i/>
        </w:rPr>
        <w:t>Their Audience</w:t>
      </w:r>
      <w:r w:rsidRPr="005B7071">
        <w:rPr>
          <w:rFonts w:ascii="Times New Roman" w:hAnsi="Times New Roman"/>
        </w:rPr>
        <w:t xml:space="preserve">, </w:t>
      </w:r>
      <w:r w:rsidRPr="005B7071">
        <w:rPr>
          <w:rFonts w:ascii="Times New Roman" w:hAnsi="Times New Roman"/>
          <w:i/>
        </w:rPr>
        <w:t>Land of Mañana</w:t>
      </w:r>
      <w:r w:rsidRPr="005B7071">
        <w:rPr>
          <w:rFonts w:ascii="Times New Roman" w:hAnsi="Times New Roman"/>
        </w:rPr>
        <w:t xml:space="preserve">, or </w:t>
      </w:r>
      <w:r w:rsidRPr="005B7071">
        <w:rPr>
          <w:rFonts w:ascii="Times New Roman" w:hAnsi="Times New Roman"/>
          <w:i/>
        </w:rPr>
        <w:t>Going East</w:t>
      </w:r>
      <w:r w:rsidRPr="005B7071">
        <w:rPr>
          <w:rFonts w:ascii="Times New Roman" w:hAnsi="Times New Roman"/>
        </w:rPr>
        <w:t xml:space="preserve">, this theatricality seems completely contrived. Their stage set is inside </w:t>
      </w:r>
      <w:r w:rsidR="003A1860">
        <w:rPr>
          <w:rFonts w:ascii="Times New Roman" w:hAnsi="Times New Roman"/>
        </w:rPr>
        <w:t xml:space="preserve">of Ufer’s </w:t>
      </w:r>
      <w:r w:rsidRPr="005B7071">
        <w:rPr>
          <w:rFonts w:ascii="Times New Roman" w:hAnsi="Times New Roman"/>
        </w:rPr>
        <w:t>household</w:t>
      </w:r>
      <w:r w:rsidR="003A1860">
        <w:rPr>
          <w:rFonts w:ascii="Times New Roman" w:hAnsi="Times New Roman"/>
        </w:rPr>
        <w:t xml:space="preserve"> and they act out an ambiguous vignette.</w:t>
      </w:r>
      <w:r w:rsidRPr="005B7071">
        <w:rPr>
          <w:rFonts w:ascii="Times New Roman" w:hAnsi="Times New Roman"/>
        </w:rPr>
        <w:t xml:space="preserve"> All three figures </w:t>
      </w:r>
      <w:r w:rsidR="003A1860">
        <w:rPr>
          <w:rFonts w:ascii="Times New Roman" w:hAnsi="Times New Roman"/>
        </w:rPr>
        <w:t xml:space="preserve">occupy space </w:t>
      </w:r>
      <w:r w:rsidRPr="005B7071">
        <w:rPr>
          <w:rFonts w:ascii="Times New Roman" w:hAnsi="Times New Roman"/>
        </w:rPr>
        <w:t xml:space="preserve">left of the centerline provided by the window frame, and each figure takes on a different, off-balance pose. The </w:t>
      </w:r>
      <w:r w:rsidR="00A87C8D" w:rsidRPr="005B7071">
        <w:rPr>
          <w:rFonts w:ascii="Times New Roman" w:hAnsi="Times New Roman"/>
        </w:rPr>
        <w:t xml:space="preserve">permeable </w:t>
      </w:r>
      <w:r w:rsidRPr="005B7071">
        <w:rPr>
          <w:rFonts w:ascii="Times New Roman" w:hAnsi="Times New Roman"/>
        </w:rPr>
        <w:t xml:space="preserve">window behind the “stage” </w:t>
      </w:r>
      <w:r w:rsidR="00A87C8D">
        <w:rPr>
          <w:rFonts w:ascii="Times New Roman" w:hAnsi="Times New Roman"/>
        </w:rPr>
        <w:t xml:space="preserve">heightens this ambiguity by mediating between inside and outside. The </w:t>
      </w:r>
      <w:r w:rsidRPr="005B7071">
        <w:rPr>
          <w:rFonts w:ascii="Times New Roman" w:hAnsi="Times New Roman"/>
        </w:rPr>
        <w:t xml:space="preserve">Taos sunlight </w:t>
      </w:r>
      <w:r w:rsidR="00A87C8D">
        <w:rPr>
          <w:rFonts w:ascii="Times New Roman" w:hAnsi="Times New Roman"/>
        </w:rPr>
        <w:t xml:space="preserve">that streams </w:t>
      </w:r>
      <w:r w:rsidRPr="005B7071">
        <w:rPr>
          <w:rFonts w:ascii="Times New Roman" w:hAnsi="Times New Roman"/>
        </w:rPr>
        <w:t>i</w:t>
      </w:r>
      <w:r w:rsidR="00A87C8D">
        <w:rPr>
          <w:rFonts w:ascii="Times New Roman" w:hAnsi="Times New Roman"/>
        </w:rPr>
        <w:t xml:space="preserve">n suggest that </w:t>
      </w:r>
      <w:r w:rsidRPr="005B7071">
        <w:rPr>
          <w:rFonts w:ascii="Times New Roman" w:hAnsi="Times New Roman"/>
        </w:rPr>
        <w:t>the real beauty of Taos is outside among nature. The two vessels to the right – one a native black ware pot, the other a European or European American designed glass vase – symbolically reenacts the scene to the left. The glass vessel</w:t>
      </w:r>
      <w:r w:rsidR="00092BF8">
        <w:rPr>
          <w:rFonts w:ascii="Times New Roman" w:hAnsi="Times New Roman"/>
        </w:rPr>
        <w:t xml:space="preserve">, </w:t>
      </w:r>
      <w:r w:rsidRPr="005B7071">
        <w:rPr>
          <w:rFonts w:ascii="Times New Roman" w:hAnsi="Times New Roman"/>
        </w:rPr>
        <w:t>European on a superficial level, contains a local flower</w:t>
      </w:r>
      <w:r w:rsidR="00A87C8D">
        <w:rPr>
          <w:rFonts w:ascii="Times New Roman" w:hAnsi="Times New Roman"/>
        </w:rPr>
        <w:t xml:space="preserve">, an example of </w:t>
      </w:r>
      <w:r w:rsidRPr="005B7071">
        <w:rPr>
          <w:rFonts w:ascii="Times New Roman" w:hAnsi="Times New Roman"/>
        </w:rPr>
        <w:t>native Taos</w:t>
      </w:r>
      <w:r w:rsidR="00950625">
        <w:rPr>
          <w:rFonts w:ascii="Times New Roman" w:hAnsi="Times New Roman"/>
        </w:rPr>
        <w:t xml:space="preserve"> beauty, and the “stage” </w:t>
      </w:r>
      <w:r w:rsidR="00A87C8D">
        <w:rPr>
          <w:rFonts w:ascii="Times New Roman" w:hAnsi="Times New Roman"/>
        </w:rPr>
        <w:t xml:space="preserve">serves as </w:t>
      </w:r>
      <w:r w:rsidR="00950625">
        <w:rPr>
          <w:rFonts w:ascii="Times New Roman" w:hAnsi="Times New Roman"/>
        </w:rPr>
        <w:t>a me</w:t>
      </w:r>
      <w:r w:rsidRPr="005B7071">
        <w:rPr>
          <w:rFonts w:ascii="Times New Roman" w:hAnsi="Times New Roman"/>
        </w:rPr>
        <w:t xml:space="preserve">ta-container for Native Americans, who perform for their European audiences. In contrast, the </w:t>
      </w:r>
      <w:r w:rsidR="00597EE6">
        <w:rPr>
          <w:rFonts w:ascii="Times New Roman" w:hAnsi="Times New Roman"/>
        </w:rPr>
        <w:t xml:space="preserve">contents of the </w:t>
      </w:r>
      <w:r w:rsidRPr="005B7071">
        <w:rPr>
          <w:rFonts w:ascii="Times New Roman" w:hAnsi="Times New Roman"/>
        </w:rPr>
        <w:t>dual neck black</w:t>
      </w:r>
      <w:r w:rsidR="00597EE6">
        <w:rPr>
          <w:rFonts w:ascii="Times New Roman" w:hAnsi="Times New Roman"/>
        </w:rPr>
        <w:t xml:space="preserve"> pot, </w:t>
      </w:r>
      <w:r w:rsidRPr="005B7071">
        <w:rPr>
          <w:rFonts w:ascii="Times New Roman" w:hAnsi="Times New Roman"/>
        </w:rPr>
        <w:t>thoroughly Indian, remain a m</w:t>
      </w:r>
      <w:r w:rsidR="009F0992" w:rsidRPr="005B7071">
        <w:rPr>
          <w:rFonts w:ascii="Times New Roman" w:hAnsi="Times New Roman"/>
        </w:rPr>
        <w:t>ystery.</w:t>
      </w:r>
    </w:p>
    <w:p w14:paraId="1403DB3A" w14:textId="655A1416" w:rsidR="002202F2" w:rsidRPr="005B7071" w:rsidRDefault="002202F2" w:rsidP="002202F2">
      <w:pPr>
        <w:ind w:firstLine="720"/>
        <w:rPr>
          <w:rFonts w:ascii="Times New Roman" w:hAnsi="Times New Roman"/>
        </w:rPr>
      </w:pPr>
      <w:r w:rsidRPr="005B7071">
        <w:rPr>
          <w:rFonts w:ascii="Times New Roman" w:hAnsi="Times New Roman"/>
        </w:rPr>
        <w:t>Ufer himself suggested in an interview that he understood the painting process to be somewhat theatrical, making the point that he paint</w:t>
      </w:r>
      <w:r w:rsidR="00597EE6">
        <w:rPr>
          <w:rFonts w:ascii="Times New Roman" w:hAnsi="Times New Roman"/>
        </w:rPr>
        <w:t>ed</w:t>
      </w:r>
      <w:r w:rsidRPr="005B7071">
        <w:rPr>
          <w:rFonts w:ascii="Times New Roman" w:hAnsi="Times New Roman"/>
        </w:rPr>
        <w:t xml:space="preserve"> his large paintings all at once with</w:t>
      </w:r>
      <w:r w:rsidR="00597EE6">
        <w:rPr>
          <w:rFonts w:ascii="Times New Roman" w:hAnsi="Times New Roman"/>
        </w:rPr>
        <w:t xml:space="preserve">out making preparatory </w:t>
      </w:r>
      <w:r w:rsidRPr="005B7071">
        <w:rPr>
          <w:rFonts w:ascii="Times New Roman" w:hAnsi="Times New Roman"/>
        </w:rPr>
        <w:t xml:space="preserve">sketches, saying, “I put my full vitality and enthusiasm into the one and original painting.”  He also typically painted </w:t>
      </w:r>
      <w:r w:rsidRPr="005B7071">
        <w:rPr>
          <w:rFonts w:ascii="Times New Roman" w:hAnsi="Times New Roman"/>
          <w:i/>
        </w:rPr>
        <w:t>en plein aire</w:t>
      </w:r>
      <w:r w:rsidRPr="005B7071">
        <w:rPr>
          <w:rFonts w:ascii="Times New Roman" w:hAnsi="Times New Roman"/>
        </w:rPr>
        <w:t xml:space="preserve"> </w:t>
      </w:r>
      <w:r w:rsidR="00597EE6">
        <w:rPr>
          <w:rFonts w:ascii="Times New Roman" w:hAnsi="Times New Roman"/>
        </w:rPr>
        <w:t xml:space="preserve">- </w:t>
      </w:r>
      <w:r w:rsidRPr="005B7071">
        <w:rPr>
          <w:rFonts w:ascii="Times New Roman" w:hAnsi="Times New Roman"/>
        </w:rPr>
        <w:t>subjects, artist, canvas, and paints were all part of the same (often) sun-infused performance-driven moment. In this way, th</w:t>
      </w:r>
      <w:r w:rsidR="00E57432">
        <w:rPr>
          <w:rFonts w:ascii="Times New Roman" w:hAnsi="Times New Roman"/>
        </w:rPr>
        <w:t xml:space="preserve">e act of painting, </w:t>
      </w:r>
      <w:r w:rsidRPr="005B7071">
        <w:rPr>
          <w:rFonts w:ascii="Times New Roman" w:hAnsi="Times New Roman"/>
        </w:rPr>
        <w:t>inherently theatrical by its nature, bec</w:t>
      </w:r>
      <w:r w:rsidR="00597EE6">
        <w:rPr>
          <w:rFonts w:ascii="Times New Roman" w:hAnsi="Times New Roman"/>
        </w:rPr>
        <w:t xml:space="preserve">ame </w:t>
      </w:r>
      <w:r w:rsidRPr="005B7071">
        <w:rPr>
          <w:rFonts w:ascii="Times New Roman" w:hAnsi="Times New Roman"/>
        </w:rPr>
        <w:t>a performance involving artist and subjects.</w:t>
      </w:r>
      <w:r w:rsidRPr="005B7071">
        <w:rPr>
          <w:rStyle w:val="FootnoteReference"/>
          <w:rFonts w:ascii="Times New Roman" w:hAnsi="Times New Roman"/>
        </w:rPr>
        <w:footnoteReference w:id="200"/>
      </w:r>
    </w:p>
    <w:p w14:paraId="42327056" w14:textId="4A6DC00C" w:rsidR="00492118" w:rsidRDefault="002202F2" w:rsidP="00E57432">
      <w:pPr>
        <w:ind w:firstLine="720"/>
      </w:pPr>
      <w:r w:rsidRPr="005B7071">
        <w:t xml:space="preserve">Ufer never enjoyed the level of wealth and fame commensurate with his TSA colleagues. </w:t>
      </w:r>
      <w:r w:rsidR="00597EE6">
        <w:t>M</w:t>
      </w:r>
      <w:r w:rsidR="00204280" w:rsidRPr="005B7071">
        <w:t xml:space="preserve">onographs and / or major retrospectives </w:t>
      </w:r>
      <w:r w:rsidR="00204280">
        <w:t xml:space="preserve">have been completed on </w:t>
      </w:r>
      <w:r w:rsidRPr="005B7071">
        <w:t xml:space="preserve">Oscar Berninghaus, Ernest Blumenshein, Eanger Irving Couse, Herbert Dunton, Bert Geer Phillips, and Joseph Henry Sharp in the last </w:t>
      </w:r>
      <w:r w:rsidR="006E6A9B" w:rsidRPr="005B7071">
        <w:t>twenty-five</w:t>
      </w:r>
      <w:r w:rsidRPr="005B7071">
        <w:t xml:space="preserve"> years. Conversely, Ufer’s posthumous critical reputation has languished – </w:t>
      </w:r>
      <w:r w:rsidR="00597EE6">
        <w:t xml:space="preserve">with </w:t>
      </w:r>
      <w:r w:rsidRPr="005B7071">
        <w:t xml:space="preserve">one small retrospective in 1970 </w:t>
      </w:r>
      <w:r w:rsidR="00597EE6">
        <w:t xml:space="preserve">accompanied by </w:t>
      </w:r>
      <w:r w:rsidRPr="005B7071">
        <w:t xml:space="preserve">a slim catalogue, but no substantial monograph and </w:t>
      </w:r>
      <w:r w:rsidR="002E03CC">
        <w:t xml:space="preserve">little </w:t>
      </w:r>
      <w:r w:rsidRPr="005B7071">
        <w:t>critical w</w:t>
      </w:r>
      <w:r w:rsidR="00DB1BBD">
        <w:t>riting since his death in 1936.</w:t>
      </w:r>
    </w:p>
    <w:p w14:paraId="72FE06BA" w14:textId="0F66D190" w:rsidR="002202F2" w:rsidRPr="005B7071" w:rsidRDefault="00F84D73" w:rsidP="002172A0">
      <w:pPr>
        <w:ind w:firstLine="720"/>
        <w:rPr>
          <w:rFonts w:ascii="Times New Roman" w:hAnsi="Times New Roman"/>
        </w:rPr>
      </w:pPr>
      <w:r>
        <w:t xml:space="preserve">However, </w:t>
      </w:r>
      <w:r w:rsidR="00492118">
        <w:t xml:space="preserve">change is afoot. </w:t>
      </w:r>
      <w:r w:rsidR="002B5C46">
        <w:t xml:space="preserve">Over </w:t>
      </w:r>
      <w:r w:rsidR="00492118">
        <w:t>the past 3</w:t>
      </w:r>
      <w:r w:rsidR="00950625">
        <w:t xml:space="preserve"> years</w:t>
      </w:r>
      <w:r w:rsidR="002B5C46">
        <w:t xml:space="preserve">, </w:t>
      </w:r>
      <w:r w:rsidR="00492118">
        <w:t xml:space="preserve">Ufer’s star </w:t>
      </w:r>
      <w:r w:rsidR="002B5C46">
        <w:t xml:space="preserve">has </w:t>
      </w:r>
      <w:r w:rsidR="00492118">
        <w:t xml:space="preserve">been on the rise. In 2014, a </w:t>
      </w:r>
      <w:r>
        <w:t>large</w:t>
      </w:r>
      <w:r w:rsidR="00492118">
        <w:t xml:space="preserve"> retrospective, </w:t>
      </w:r>
      <w:r w:rsidR="00950625" w:rsidRPr="00492118">
        <w:rPr>
          <w:i/>
        </w:rPr>
        <w:t xml:space="preserve">Walter Ufer: Rise, Fall, </w:t>
      </w:r>
      <w:r w:rsidR="00492118" w:rsidRPr="00492118">
        <w:rPr>
          <w:i/>
        </w:rPr>
        <w:t>Resurrection</w:t>
      </w:r>
      <w:r w:rsidR="00597EE6">
        <w:t xml:space="preserve">, </w:t>
      </w:r>
      <w:r w:rsidR="00492118">
        <w:t xml:space="preserve">opened at the National Cowboy and Western Heritage Museum in Oklahoma City. </w:t>
      </w:r>
      <w:r w:rsidR="002E03CC">
        <w:t>While the e</w:t>
      </w:r>
      <w:r w:rsidR="00492118">
        <w:t>xhibition, accompanied by a modest catalog of the same name by De</w:t>
      </w:r>
      <w:r w:rsidR="00492118" w:rsidRPr="00F84D73">
        <w:t xml:space="preserve">an Porter, </w:t>
      </w:r>
      <w:r w:rsidR="00CE02D6">
        <w:t xml:space="preserve">expanded Porter’s biographical research on Ufer at the expense of a more critical appraisal, </w:t>
      </w:r>
      <w:r w:rsidR="002B5C46" w:rsidRPr="00F84D73">
        <w:t xml:space="preserve">the </w:t>
      </w:r>
      <w:r w:rsidR="00492118" w:rsidRPr="00F84D73">
        <w:t xml:space="preserve">exhibition and catalog </w:t>
      </w:r>
      <w:r w:rsidR="002B5C46" w:rsidRPr="00F84D73">
        <w:t>expose</w:t>
      </w:r>
      <w:r w:rsidR="0066320E">
        <w:t>d</w:t>
      </w:r>
      <w:r w:rsidR="002B5C46" w:rsidRPr="00F84D73">
        <w:t xml:space="preserve"> </w:t>
      </w:r>
      <w:r w:rsidR="000F22FC">
        <w:t xml:space="preserve">a large number of the </w:t>
      </w:r>
      <w:r w:rsidR="002B5C46" w:rsidRPr="00F84D73">
        <w:t>enigmatic artist’s w</w:t>
      </w:r>
      <w:r w:rsidR="0066320E">
        <w:t>orks to the wider world.</w:t>
      </w:r>
      <w:r w:rsidR="00E57432" w:rsidRPr="00E57432">
        <w:rPr>
          <w:rStyle w:val="FootnoteReference"/>
        </w:rPr>
        <w:t xml:space="preserve"> </w:t>
      </w:r>
      <w:r w:rsidR="00E57432">
        <w:rPr>
          <w:rStyle w:val="FootnoteReference"/>
        </w:rPr>
        <w:footnoteReference w:id="201"/>
      </w:r>
      <w:r w:rsidR="0066320E">
        <w:t xml:space="preserve"> In c</w:t>
      </w:r>
      <w:r w:rsidR="002B5C46" w:rsidRPr="00F84D73">
        <w:t>ontrast</w:t>
      </w:r>
      <w:r w:rsidR="0066320E">
        <w:t xml:space="preserve">, </w:t>
      </w:r>
      <w:r w:rsidR="002B5C46" w:rsidRPr="00F84D73">
        <w:rPr>
          <w:i/>
        </w:rPr>
        <w:t>A Place in the Sun</w:t>
      </w:r>
      <w:r w:rsidRPr="00F84D73">
        <w:rPr>
          <w:i/>
        </w:rPr>
        <w:t>: The Southwest Paintings of Walter Ufer and E. Martin Hennings</w:t>
      </w:r>
      <w:r>
        <w:t xml:space="preserve">, </w:t>
      </w:r>
      <w:r w:rsidR="0066320E">
        <w:t xml:space="preserve">a major 2016 travelling exhibition, was a more ambitious and more </w:t>
      </w:r>
      <w:r w:rsidR="0066320E">
        <w:rPr>
          <w:rFonts w:asciiTheme="majorHAnsi" w:hAnsiTheme="majorHAnsi" w:cstheme="majorHAnsi"/>
          <w:color w:val="000000"/>
          <w:shd w:val="clear" w:color="auto" w:fill="FFFFFF"/>
        </w:rPr>
        <w:t xml:space="preserve">scholarly effort than anything </w:t>
      </w:r>
      <w:r w:rsidR="00597EE6">
        <w:rPr>
          <w:rFonts w:asciiTheme="majorHAnsi" w:hAnsiTheme="majorHAnsi" w:cstheme="majorHAnsi"/>
          <w:color w:val="000000"/>
          <w:shd w:val="clear" w:color="auto" w:fill="FFFFFF"/>
        </w:rPr>
        <w:t>previous</w:t>
      </w:r>
      <w:r w:rsidR="0066320E">
        <w:rPr>
          <w:rFonts w:asciiTheme="majorHAnsi" w:hAnsiTheme="majorHAnsi" w:cstheme="majorHAnsi"/>
          <w:color w:val="000000"/>
          <w:shd w:val="clear" w:color="auto" w:fill="FFFFFF"/>
        </w:rPr>
        <w:t>.</w:t>
      </w:r>
      <w:r w:rsidR="00404EFC">
        <w:rPr>
          <w:rStyle w:val="FootnoteReference"/>
          <w:rFonts w:asciiTheme="majorHAnsi" w:hAnsiTheme="majorHAnsi" w:cstheme="majorHAnsi"/>
          <w:color w:val="000000"/>
          <w:shd w:val="clear" w:color="auto" w:fill="FFFFFF"/>
        </w:rPr>
        <w:footnoteReference w:id="202"/>
      </w:r>
      <w:r w:rsidR="0066320E">
        <w:rPr>
          <w:rFonts w:asciiTheme="majorHAnsi" w:hAnsiTheme="majorHAnsi" w:cstheme="majorHAnsi"/>
          <w:color w:val="000000"/>
          <w:shd w:val="clear" w:color="auto" w:fill="FFFFFF"/>
        </w:rPr>
        <w:t xml:space="preserve"> </w:t>
      </w:r>
      <w:r>
        <w:t xml:space="preserve">Even so, </w:t>
      </w:r>
      <w:r w:rsidR="0066320E">
        <w:t>a certain defensiveness is evident in the exhibition</w:t>
      </w:r>
      <w:r w:rsidR="00597EE6">
        <w:t xml:space="preserve">’s aim </w:t>
      </w:r>
      <w:r w:rsidR="0066320E">
        <w:t xml:space="preserve">to raise Ufer and Hennings out of </w:t>
      </w:r>
      <w:r w:rsidR="00E16C75">
        <w:t xml:space="preserve">the </w:t>
      </w:r>
      <w:r w:rsidR="00E16C75" w:rsidRPr="006C0059">
        <w:rPr>
          <w:i/>
        </w:rPr>
        <w:t>milieu</w:t>
      </w:r>
      <w:r w:rsidR="00E16C75">
        <w:t xml:space="preserve"> of “</w:t>
      </w:r>
      <w:r w:rsidRPr="00F84D73">
        <w:rPr>
          <w:rFonts w:asciiTheme="majorHAnsi" w:hAnsiTheme="majorHAnsi" w:cstheme="majorHAnsi"/>
          <w:color w:val="000000"/>
          <w:shd w:val="clear" w:color="auto" w:fill="FFFFFF"/>
        </w:rPr>
        <w:t>western American art</w:t>
      </w:r>
      <w:r w:rsidR="00E16C75">
        <w:rPr>
          <w:rFonts w:asciiTheme="majorHAnsi" w:hAnsiTheme="majorHAnsi" w:cstheme="majorHAnsi"/>
          <w:color w:val="000000"/>
          <w:shd w:val="clear" w:color="auto" w:fill="FFFFFF"/>
        </w:rPr>
        <w:t>”</w:t>
      </w:r>
      <w:r w:rsidR="00404EFC">
        <w:rPr>
          <w:rFonts w:asciiTheme="majorHAnsi" w:hAnsiTheme="majorHAnsi" w:cstheme="majorHAnsi"/>
          <w:color w:val="000000"/>
          <w:shd w:val="clear" w:color="auto" w:fill="FFFFFF"/>
        </w:rPr>
        <w:t xml:space="preserve"> </w:t>
      </w:r>
      <w:r w:rsidR="00CE02D6">
        <w:rPr>
          <w:rFonts w:asciiTheme="majorHAnsi" w:hAnsiTheme="majorHAnsi" w:cstheme="majorHAnsi"/>
          <w:color w:val="000000"/>
          <w:shd w:val="clear" w:color="auto" w:fill="FFFFFF"/>
        </w:rPr>
        <w:t>and place them “</w:t>
      </w:r>
      <w:r w:rsidRPr="00F84D73">
        <w:rPr>
          <w:rFonts w:asciiTheme="majorHAnsi" w:hAnsiTheme="majorHAnsi" w:cstheme="majorHAnsi"/>
          <w:color w:val="000000"/>
          <w:shd w:val="clear" w:color="auto" w:fill="FFFFFF"/>
        </w:rPr>
        <w:t>back within the pantheon of great American painters.</w:t>
      </w:r>
      <w:r>
        <w:rPr>
          <w:rFonts w:asciiTheme="majorHAnsi" w:hAnsiTheme="majorHAnsi" w:cstheme="majorHAnsi"/>
          <w:color w:val="000000"/>
          <w:shd w:val="clear" w:color="auto" w:fill="FFFFFF"/>
        </w:rPr>
        <w:t>”</w:t>
      </w:r>
      <w:r w:rsidR="00404EFC">
        <w:rPr>
          <w:rStyle w:val="FootnoteReference"/>
          <w:rFonts w:asciiTheme="majorHAnsi" w:hAnsiTheme="majorHAnsi" w:cstheme="majorHAnsi"/>
          <w:color w:val="000000"/>
          <w:shd w:val="clear" w:color="auto" w:fill="FFFFFF"/>
        </w:rPr>
        <w:footnoteReference w:id="203"/>
      </w:r>
      <w:r>
        <w:rPr>
          <w:rFonts w:asciiTheme="majorHAnsi" w:hAnsiTheme="majorHAnsi" w:cstheme="majorHAnsi"/>
          <w:color w:val="000000"/>
          <w:shd w:val="clear" w:color="auto" w:fill="FFFFFF"/>
        </w:rPr>
        <w:t xml:space="preserve"> </w:t>
      </w:r>
      <w:r w:rsidR="000F22FC">
        <w:rPr>
          <w:rFonts w:asciiTheme="majorHAnsi" w:hAnsiTheme="majorHAnsi" w:cstheme="majorHAnsi"/>
          <w:color w:val="000000"/>
          <w:shd w:val="clear" w:color="auto" w:fill="FFFFFF"/>
        </w:rPr>
        <w:t>W</w:t>
      </w:r>
      <w:r w:rsidR="00E16C75">
        <w:rPr>
          <w:rFonts w:asciiTheme="majorHAnsi" w:hAnsiTheme="majorHAnsi" w:cstheme="majorHAnsi"/>
          <w:color w:val="000000"/>
          <w:shd w:val="clear" w:color="auto" w:fill="FFFFFF"/>
        </w:rPr>
        <w:t xml:space="preserve">hether either artist was ever </w:t>
      </w:r>
      <w:r w:rsidR="00597EE6">
        <w:rPr>
          <w:rFonts w:asciiTheme="majorHAnsi" w:hAnsiTheme="majorHAnsi" w:cstheme="majorHAnsi"/>
          <w:color w:val="000000"/>
          <w:shd w:val="clear" w:color="auto" w:fill="FFFFFF"/>
        </w:rPr>
        <w:t xml:space="preserve">central to the American canon </w:t>
      </w:r>
      <w:r w:rsidR="00E16C75">
        <w:rPr>
          <w:rFonts w:asciiTheme="majorHAnsi" w:hAnsiTheme="majorHAnsi" w:cstheme="majorHAnsi"/>
          <w:color w:val="000000"/>
          <w:shd w:val="clear" w:color="auto" w:fill="FFFFFF"/>
        </w:rPr>
        <w:t>is debatable. Even so, p</w:t>
      </w:r>
      <w:r w:rsidR="002172A0">
        <w:rPr>
          <w:rFonts w:ascii="Times New Roman" w:hAnsi="Times New Roman"/>
        </w:rPr>
        <w:t>erhaps</w:t>
      </w:r>
      <w:r w:rsidR="002202F2" w:rsidRPr="005B7071">
        <w:rPr>
          <w:rFonts w:ascii="Times New Roman" w:hAnsi="Times New Roman"/>
        </w:rPr>
        <w:t xml:space="preserve"> </w:t>
      </w:r>
      <w:r w:rsidR="002172A0">
        <w:rPr>
          <w:rFonts w:ascii="Times New Roman" w:hAnsi="Times New Roman"/>
        </w:rPr>
        <w:t xml:space="preserve">all of this renewed attention </w:t>
      </w:r>
      <w:r w:rsidR="00E16C75">
        <w:rPr>
          <w:rFonts w:ascii="Times New Roman" w:hAnsi="Times New Roman"/>
        </w:rPr>
        <w:t xml:space="preserve">will encourage viewers </w:t>
      </w:r>
      <w:r w:rsidR="00CE02D6">
        <w:rPr>
          <w:rFonts w:ascii="Times New Roman" w:hAnsi="Times New Roman"/>
        </w:rPr>
        <w:t xml:space="preserve">and scholars </w:t>
      </w:r>
      <w:r w:rsidR="00E16C75">
        <w:rPr>
          <w:rFonts w:ascii="Times New Roman" w:hAnsi="Times New Roman"/>
        </w:rPr>
        <w:t>to</w:t>
      </w:r>
      <w:r w:rsidR="002172A0">
        <w:rPr>
          <w:rFonts w:ascii="Times New Roman" w:hAnsi="Times New Roman"/>
        </w:rPr>
        <w:t xml:space="preserve"> engage</w:t>
      </w:r>
      <w:r w:rsidR="002202F2" w:rsidRPr="005B7071">
        <w:rPr>
          <w:rFonts w:ascii="Times New Roman" w:hAnsi="Times New Roman"/>
        </w:rPr>
        <w:t xml:space="preserve"> Ufer’s paintings in a </w:t>
      </w:r>
      <w:r w:rsidR="00CE02D6">
        <w:rPr>
          <w:rFonts w:ascii="Times New Roman" w:hAnsi="Times New Roman"/>
        </w:rPr>
        <w:t xml:space="preserve">more </w:t>
      </w:r>
      <w:r w:rsidR="002202F2" w:rsidRPr="005B7071">
        <w:rPr>
          <w:rFonts w:ascii="Times New Roman" w:hAnsi="Times New Roman"/>
        </w:rPr>
        <w:t>substantive way</w:t>
      </w:r>
      <w:r w:rsidR="00CE02D6">
        <w:rPr>
          <w:rFonts w:ascii="Times New Roman" w:hAnsi="Times New Roman"/>
        </w:rPr>
        <w:t xml:space="preserve">. If so, </w:t>
      </w:r>
      <w:r w:rsidR="002202F2" w:rsidRPr="005B7071">
        <w:rPr>
          <w:rFonts w:ascii="Times New Roman" w:hAnsi="Times New Roman"/>
        </w:rPr>
        <w:t xml:space="preserve">the </w:t>
      </w:r>
      <w:r w:rsidR="00CE02D6" w:rsidRPr="005B7071">
        <w:rPr>
          <w:rFonts w:ascii="Times New Roman" w:hAnsi="Times New Roman"/>
        </w:rPr>
        <w:t>possible</w:t>
      </w:r>
      <w:r w:rsidR="00CE02D6">
        <w:rPr>
          <w:rFonts w:ascii="Times New Roman" w:hAnsi="Times New Roman"/>
        </w:rPr>
        <w:t xml:space="preserve"> </w:t>
      </w:r>
      <w:r w:rsidR="002202F2" w:rsidRPr="005B7071">
        <w:rPr>
          <w:rFonts w:ascii="Times New Roman" w:hAnsi="Times New Roman"/>
        </w:rPr>
        <w:t xml:space="preserve">interpretations </w:t>
      </w:r>
      <w:r w:rsidR="00CE02D6">
        <w:rPr>
          <w:rFonts w:ascii="Times New Roman" w:hAnsi="Times New Roman"/>
        </w:rPr>
        <w:t>will expand</w:t>
      </w:r>
      <w:r w:rsidR="002202F2" w:rsidRPr="005B7071">
        <w:rPr>
          <w:rFonts w:ascii="Times New Roman" w:hAnsi="Times New Roman"/>
        </w:rPr>
        <w:t xml:space="preserve"> rather than contract</w:t>
      </w:r>
      <w:r w:rsidR="00CE02D6">
        <w:rPr>
          <w:rFonts w:ascii="Times New Roman" w:hAnsi="Times New Roman"/>
        </w:rPr>
        <w:t xml:space="preserve"> – which might just be the ultimate </w:t>
      </w:r>
      <w:r w:rsidR="002202F2" w:rsidRPr="005B7071">
        <w:rPr>
          <w:rFonts w:ascii="Times New Roman" w:hAnsi="Times New Roman"/>
        </w:rPr>
        <w:t>reward for gazing</w:t>
      </w:r>
      <w:r w:rsidR="00E16C75">
        <w:rPr>
          <w:rFonts w:ascii="Times New Roman" w:hAnsi="Times New Roman"/>
        </w:rPr>
        <w:t xml:space="preserve"> </w:t>
      </w:r>
      <w:r w:rsidR="002202F2" w:rsidRPr="005B7071">
        <w:rPr>
          <w:rFonts w:ascii="Times New Roman" w:hAnsi="Times New Roman"/>
        </w:rPr>
        <w:t>upon Ufer’s fiction</w:t>
      </w:r>
      <w:r w:rsidR="00597EE6">
        <w:rPr>
          <w:rFonts w:ascii="Times New Roman" w:hAnsi="Times New Roman"/>
        </w:rPr>
        <w:t>s</w:t>
      </w:r>
      <w:r w:rsidR="002172A0">
        <w:rPr>
          <w:rFonts w:ascii="Times New Roman" w:hAnsi="Times New Roman"/>
        </w:rPr>
        <w:t xml:space="preserve">. </w:t>
      </w:r>
    </w:p>
    <w:p w14:paraId="15EE0D03" w14:textId="43789EE7" w:rsidR="002202F2" w:rsidRDefault="001C1864" w:rsidP="00B70FF2">
      <w:pPr>
        <w:pStyle w:val="Standard"/>
        <w:spacing w:line="480" w:lineRule="auto"/>
        <w:ind w:firstLine="709"/>
        <w:rPr>
          <w:rFonts w:eastAsia="Batang" w:cs="Times New Roman"/>
        </w:rPr>
      </w:pPr>
      <w:r>
        <w:rPr>
          <w:rFonts w:cs="Times New Roman"/>
        </w:rPr>
        <w:t xml:space="preserve">Whatever the outcome of this renewed interest in Ufer, his extensive use of the </w:t>
      </w:r>
      <w:r w:rsidR="00B70FF2" w:rsidRPr="00F03418">
        <w:rPr>
          <w:rFonts w:cs="Times New Roman"/>
        </w:rPr>
        <w:t>returned gaze</w:t>
      </w:r>
      <w:r>
        <w:rPr>
          <w:rFonts w:cs="Times New Roman"/>
        </w:rPr>
        <w:t xml:space="preserve"> should not be understood as merely </w:t>
      </w:r>
      <w:r w:rsidR="00B70FF2" w:rsidRPr="00F03418">
        <w:rPr>
          <w:rFonts w:cs="Times New Roman"/>
        </w:rPr>
        <w:t>structural and thematic</w:t>
      </w:r>
      <w:r>
        <w:rPr>
          <w:rFonts w:cs="Times New Roman"/>
        </w:rPr>
        <w:t xml:space="preserve">. This visual device is </w:t>
      </w:r>
      <w:r w:rsidR="00B70FF2" w:rsidRPr="00F03418">
        <w:rPr>
          <w:rFonts w:cs="Times New Roman"/>
        </w:rPr>
        <w:t>also fundamentally indexical</w:t>
      </w:r>
      <w:r w:rsidR="00B70FF2">
        <w:t xml:space="preserve">, </w:t>
      </w:r>
      <w:r w:rsidR="00B70FF2" w:rsidRPr="00F03418">
        <w:rPr>
          <w:rFonts w:cs="Times New Roman"/>
        </w:rPr>
        <w:t>reflexively implying not only the viewer’s pre</w:t>
      </w:r>
      <w:r w:rsidR="00050B1F">
        <w:rPr>
          <w:rFonts w:cs="Times New Roman"/>
        </w:rPr>
        <w:t xml:space="preserve">sence, but </w:t>
      </w:r>
      <w:r w:rsidR="00597EE6">
        <w:rPr>
          <w:rFonts w:cs="Times New Roman"/>
        </w:rPr>
        <w:t xml:space="preserve">that of </w:t>
      </w:r>
      <w:r w:rsidR="00050B1F">
        <w:rPr>
          <w:rFonts w:cs="Times New Roman"/>
        </w:rPr>
        <w:t>the artist, too</w:t>
      </w:r>
      <w:r w:rsidR="00B70FF2" w:rsidRPr="00F03418">
        <w:rPr>
          <w:rFonts w:cs="Times New Roman"/>
        </w:rPr>
        <w:t xml:space="preserve">. This returned gaze encourages the viewer to understand a painting as manifestly </w:t>
      </w:r>
      <w:r w:rsidR="00B70FF2" w:rsidRPr="00F03418">
        <w:rPr>
          <w:rFonts w:cs="Times New Roman"/>
          <w:i/>
        </w:rPr>
        <w:t>about</w:t>
      </w:r>
      <w:r w:rsidR="00B70FF2" w:rsidRPr="00F03418">
        <w:rPr>
          <w:rFonts w:cs="Times New Roman"/>
        </w:rPr>
        <w:t xml:space="preserve"> the artist, the artistic process, and t</w:t>
      </w:r>
      <w:r w:rsidR="00597EE6">
        <w:rPr>
          <w:rFonts w:cs="Times New Roman"/>
        </w:rPr>
        <w:t>he act of looking. Ufer attempted</w:t>
      </w:r>
      <w:r w:rsidR="00B70FF2" w:rsidRPr="00F03418">
        <w:rPr>
          <w:rFonts w:cs="Times New Roman"/>
        </w:rPr>
        <w:t xml:space="preserve"> to maintain the colonial order of the white artist / Indian subject, yet the indexicality of </w:t>
      </w:r>
      <w:r w:rsidR="00597EE6">
        <w:rPr>
          <w:rFonts w:cs="Times New Roman"/>
        </w:rPr>
        <w:t>his project destabilized</w:t>
      </w:r>
      <w:r w:rsidR="00B70FF2" w:rsidRPr="00F03418">
        <w:rPr>
          <w:rFonts w:cs="Times New Roman"/>
        </w:rPr>
        <w:t xml:space="preserve"> this balance, suggesting the fragility of the colonial narrative. </w:t>
      </w:r>
      <w:r w:rsidR="00050B1F">
        <w:rPr>
          <w:rFonts w:eastAsia="Batang" w:cs="Times New Roman"/>
        </w:rPr>
        <w:t>T</w:t>
      </w:r>
      <w:r w:rsidR="00B70FF2" w:rsidRPr="00F03418">
        <w:rPr>
          <w:rFonts w:eastAsia="Batang" w:cs="Times New Roman"/>
        </w:rPr>
        <w:t>his embedded gaze offer</w:t>
      </w:r>
      <w:r w:rsidR="00597EE6">
        <w:rPr>
          <w:rFonts w:eastAsia="Batang" w:cs="Times New Roman"/>
        </w:rPr>
        <w:t>ed</w:t>
      </w:r>
      <w:r w:rsidR="00B70FF2" w:rsidRPr="00F03418">
        <w:rPr>
          <w:rFonts w:eastAsia="Batang" w:cs="Times New Roman"/>
        </w:rPr>
        <w:t xml:space="preserve"> a point of entry into a site of negotiation between colonial and anti-colonial aims and ambitions of artists and models alike. For </w:t>
      </w:r>
      <w:r w:rsidR="00597EE6">
        <w:rPr>
          <w:rFonts w:eastAsia="Batang" w:cs="Times New Roman"/>
        </w:rPr>
        <w:t xml:space="preserve">while </w:t>
      </w:r>
      <w:r w:rsidR="00B70FF2" w:rsidRPr="00F03418">
        <w:rPr>
          <w:rFonts w:eastAsia="Batang" w:cs="Times New Roman"/>
        </w:rPr>
        <w:t xml:space="preserve">Americans, </w:t>
      </w:r>
      <w:r w:rsidR="00B70FF2" w:rsidRPr="00F03418">
        <w:rPr>
          <w:rFonts w:cs="Times New Roman"/>
        </w:rPr>
        <w:t xml:space="preserve">accustomed to ethnographic exhibitions at World’s Fairs in which American Indian’s “performed” their cultures, the </w:t>
      </w:r>
      <w:r w:rsidR="00597EE6">
        <w:rPr>
          <w:rFonts w:cs="Times New Roman"/>
        </w:rPr>
        <w:t xml:space="preserve">Taos </w:t>
      </w:r>
      <w:r w:rsidR="00B70FF2" w:rsidRPr="00F03418">
        <w:rPr>
          <w:rFonts w:cs="Times New Roman"/>
        </w:rPr>
        <w:t>Pueblo became</w:t>
      </w:r>
      <w:r>
        <w:rPr>
          <w:rFonts w:cs="Times New Roman"/>
        </w:rPr>
        <w:t xml:space="preserve"> the equivalent of a living museum.</w:t>
      </w:r>
      <w:r w:rsidR="00B70FF2" w:rsidRPr="00F03418">
        <w:rPr>
          <w:rStyle w:val="FootnoteReference"/>
          <w:rFonts w:cs="Times New Roman"/>
        </w:rPr>
        <w:footnoteReference w:id="204"/>
      </w:r>
      <w:r w:rsidR="00B70FF2" w:rsidRPr="00F03418">
        <w:rPr>
          <w:rFonts w:cs="Times New Roman"/>
        </w:rPr>
        <w:t xml:space="preserve"> The Pueblo, transformed into a site of touristic desire and viewed through the lens of the museum effect,</w:t>
      </w:r>
      <w:r w:rsidR="00B70FF2" w:rsidRPr="00F03418">
        <w:rPr>
          <w:rStyle w:val="FootnoteReference"/>
          <w:rFonts w:cs="Times New Roman"/>
        </w:rPr>
        <w:footnoteReference w:id="205"/>
      </w:r>
      <w:r w:rsidR="00B70FF2" w:rsidRPr="00F03418">
        <w:rPr>
          <w:rFonts w:cs="Times New Roman"/>
        </w:rPr>
        <w:t xml:space="preserve"> became the natural place for </w:t>
      </w:r>
      <w:r w:rsidR="003826C3">
        <w:rPr>
          <w:rFonts w:cs="Times New Roman"/>
        </w:rPr>
        <w:t xml:space="preserve">the </w:t>
      </w:r>
      <w:r w:rsidR="00B70FF2" w:rsidRPr="00F03418">
        <w:rPr>
          <w:rFonts w:cs="Times New Roman"/>
        </w:rPr>
        <w:t xml:space="preserve">Pueblo Indians to perform their identity. Yet Ufer’s paintings suggest the danger in assuming that all historic actors </w:t>
      </w:r>
      <w:r w:rsidR="00050B1F">
        <w:rPr>
          <w:rFonts w:cs="Times New Roman"/>
        </w:rPr>
        <w:t>are part of the</w:t>
      </w:r>
      <w:r w:rsidR="00B70FF2" w:rsidRPr="00F03418">
        <w:rPr>
          <w:rFonts w:cs="Times New Roman"/>
        </w:rPr>
        <w:t xml:space="preserve"> historic paradigms ascribe</w:t>
      </w:r>
      <w:r w:rsidR="003826C3">
        <w:rPr>
          <w:rFonts w:cs="Times New Roman"/>
        </w:rPr>
        <w:t>d</w:t>
      </w:r>
      <w:r w:rsidR="00B70FF2" w:rsidRPr="00F03418">
        <w:rPr>
          <w:rFonts w:cs="Times New Roman"/>
        </w:rPr>
        <w:t xml:space="preserve"> to them. T</w:t>
      </w:r>
      <w:r w:rsidR="00B70FF2" w:rsidRPr="00F03418">
        <w:rPr>
          <w:rFonts w:eastAsia="Batang" w:cs="Times New Roman"/>
        </w:rPr>
        <w:t xml:space="preserve">he direct, deliberate gaze of Ufer’s models marks a logical end point for the intra-colonial aesthetic. When the intra-colonial subject begins to talk back, </w:t>
      </w:r>
      <w:r>
        <w:rPr>
          <w:rFonts w:eastAsia="Batang" w:cs="Times New Roman"/>
        </w:rPr>
        <w:t>or look back</w:t>
      </w:r>
      <w:r w:rsidR="00050B1F">
        <w:rPr>
          <w:rFonts w:eastAsia="Batang" w:cs="Times New Roman"/>
        </w:rPr>
        <w:t>, t</w:t>
      </w:r>
      <w:r w:rsidR="00B70FF2" w:rsidRPr="00F03418">
        <w:rPr>
          <w:rFonts w:eastAsia="Batang" w:cs="Times New Roman"/>
        </w:rPr>
        <w:t>hen intra-colonialism</w:t>
      </w:r>
      <w:r w:rsidR="00050B1F">
        <w:rPr>
          <w:rFonts w:eastAsia="Batang" w:cs="Times New Roman"/>
        </w:rPr>
        <w:t xml:space="preserve"> as </w:t>
      </w:r>
      <w:r w:rsidR="003826C3">
        <w:rPr>
          <w:rFonts w:eastAsia="Batang" w:cs="Times New Roman"/>
        </w:rPr>
        <w:t>a formal artistic device had</w:t>
      </w:r>
      <w:r w:rsidR="00B70FF2" w:rsidRPr="00F03418">
        <w:rPr>
          <w:rFonts w:eastAsia="Batang" w:cs="Times New Roman"/>
        </w:rPr>
        <w:t xml:space="preserve"> run its course. Not coincidentally, by 1918 and the end of World War I, America’s colonial aspirations had, like Ufer’s artistic ambitions, met resistance.</w:t>
      </w:r>
    </w:p>
    <w:p w14:paraId="0574E4A7" w14:textId="77777777" w:rsidR="003826C3" w:rsidRDefault="003826C3" w:rsidP="00B70FF2">
      <w:pPr>
        <w:pStyle w:val="Standard"/>
        <w:spacing w:line="480" w:lineRule="auto"/>
        <w:ind w:firstLine="709"/>
        <w:rPr>
          <w:rFonts w:eastAsia="Batang" w:cs="Times New Roman"/>
        </w:rPr>
      </w:pPr>
    </w:p>
    <w:p w14:paraId="601B80D2" w14:textId="77F73300" w:rsidR="002202F2" w:rsidRDefault="00CE02D6" w:rsidP="00DB1BBD">
      <w:pPr>
        <w:spacing w:line="240" w:lineRule="auto"/>
        <w:jc w:val="center"/>
        <w:rPr>
          <w:b/>
        </w:rPr>
      </w:pPr>
      <w:r w:rsidRPr="00CE02D6">
        <w:rPr>
          <w:b/>
        </w:rPr>
        <w:t>From Models to Artists: Pueblo Tourist Art</w:t>
      </w:r>
      <w:r>
        <w:rPr>
          <w:b/>
        </w:rPr>
        <w:t xml:space="preserve">, </w:t>
      </w:r>
      <w:r w:rsidRPr="00CE02D6">
        <w:rPr>
          <w:b/>
        </w:rPr>
        <w:t>Indian Identity</w:t>
      </w:r>
      <w:r>
        <w:rPr>
          <w:b/>
        </w:rPr>
        <w:t>,</w:t>
      </w:r>
      <w:r w:rsidRPr="00CE02D6">
        <w:rPr>
          <w:b/>
        </w:rPr>
        <w:t xml:space="preserve"> and Pueblo Modernism</w:t>
      </w:r>
    </w:p>
    <w:p w14:paraId="616C6D93" w14:textId="77777777" w:rsidR="00DB1BBD" w:rsidRDefault="00DB1BBD" w:rsidP="00DB1BBD">
      <w:pPr>
        <w:spacing w:line="240" w:lineRule="auto"/>
        <w:jc w:val="center"/>
        <w:rPr>
          <w:b/>
        </w:rPr>
      </w:pPr>
    </w:p>
    <w:p w14:paraId="1BFEB8CE" w14:textId="29035B2B" w:rsidR="00204280" w:rsidRDefault="000F22FC" w:rsidP="00DB1BBD">
      <w:pPr>
        <w:ind w:firstLine="720"/>
        <w:rPr>
          <w:rFonts w:ascii="Times New Roman" w:hAnsi="Times New Roman"/>
        </w:rPr>
      </w:pPr>
      <w:r>
        <w:rPr>
          <w:rFonts w:ascii="Times New Roman" w:hAnsi="Times New Roman"/>
        </w:rPr>
        <w:t xml:space="preserve">That </w:t>
      </w:r>
      <w:r w:rsidR="00E16C75">
        <w:rPr>
          <w:rFonts w:ascii="Times New Roman" w:hAnsi="Times New Roman"/>
        </w:rPr>
        <w:t xml:space="preserve">Ufer and his </w:t>
      </w:r>
      <w:r w:rsidR="00851DA3">
        <w:rPr>
          <w:rFonts w:ascii="Times New Roman" w:hAnsi="Times New Roman"/>
        </w:rPr>
        <w:t xml:space="preserve">TSA </w:t>
      </w:r>
      <w:r w:rsidR="00E16C75">
        <w:rPr>
          <w:rFonts w:ascii="Times New Roman" w:hAnsi="Times New Roman"/>
        </w:rPr>
        <w:t xml:space="preserve">colleagues </w:t>
      </w:r>
      <w:r>
        <w:rPr>
          <w:rFonts w:ascii="Times New Roman" w:hAnsi="Times New Roman"/>
        </w:rPr>
        <w:t xml:space="preserve">received </w:t>
      </w:r>
      <w:r w:rsidR="00E16C75">
        <w:rPr>
          <w:rFonts w:ascii="Times New Roman" w:hAnsi="Times New Roman"/>
        </w:rPr>
        <w:t xml:space="preserve">good value </w:t>
      </w:r>
      <w:r>
        <w:rPr>
          <w:rFonts w:ascii="Times New Roman" w:hAnsi="Times New Roman"/>
        </w:rPr>
        <w:t xml:space="preserve">from </w:t>
      </w:r>
      <w:r w:rsidR="00851DA3">
        <w:rPr>
          <w:rFonts w:ascii="Times New Roman" w:hAnsi="Times New Roman"/>
        </w:rPr>
        <w:t>the</w:t>
      </w:r>
      <w:r w:rsidR="00E16C75">
        <w:rPr>
          <w:rFonts w:ascii="Times New Roman" w:hAnsi="Times New Roman"/>
        </w:rPr>
        <w:t xml:space="preserve"> </w:t>
      </w:r>
      <w:r w:rsidR="00851DA3">
        <w:rPr>
          <w:rFonts w:ascii="Times New Roman" w:hAnsi="Times New Roman"/>
        </w:rPr>
        <w:t xml:space="preserve">Indian </w:t>
      </w:r>
      <w:r w:rsidR="00E16C75">
        <w:rPr>
          <w:rFonts w:ascii="Times New Roman" w:hAnsi="Times New Roman"/>
        </w:rPr>
        <w:t>models</w:t>
      </w:r>
      <w:r w:rsidR="00851DA3">
        <w:rPr>
          <w:rFonts w:ascii="Times New Roman" w:hAnsi="Times New Roman"/>
        </w:rPr>
        <w:t xml:space="preserve"> they e</w:t>
      </w:r>
      <w:r>
        <w:rPr>
          <w:rFonts w:ascii="Times New Roman" w:hAnsi="Times New Roman"/>
        </w:rPr>
        <w:t>mployed is undeniable</w:t>
      </w:r>
      <w:r w:rsidR="00851DA3">
        <w:rPr>
          <w:rFonts w:ascii="Times New Roman" w:hAnsi="Times New Roman"/>
        </w:rPr>
        <w:t xml:space="preserve">. Their paintings based on these models provided the artists </w:t>
      </w:r>
      <w:r>
        <w:rPr>
          <w:rFonts w:ascii="Times New Roman" w:hAnsi="Times New Roman"/>
        </w:rPr>
        <w:t>s</w:t>
      </w:r>
      <w:r w:rsidR="00204280">
        <w:rPr>
          <w:rFonts w:ascii="Times New Roman" w:hAnsi="Times New Roman"/>
        </w:rPr>
        <w:t xml:space="preserve">ignificant </w:t>
      </w:r>
      <w:r w:rsidR="00851DA3">
        <w:rPr>
          <w:rFonts w:ascii="Times New Roman" w:hAnsi="Times New Roman"/>
        </w:rPr>
        <w:t xml:space="preserve">income and a modicum of fame. </w:t>
      </w:r>
      <w:r w:rsidR="00204280">
        <w:rPr>
          <w:rFonts w:ascii="Times New Roman" w:hAnsi="Times New Roman"/>
        </w:rPr>
        <w:t xml:space="preserve">Even so, little </w:t>
      </w:r>
      <w:r w:rsidR="00E16C75">
        <w:rPr>
          <w:rFonts w:ascii="Times New Roman" w:hAnsi="Times New Roman"/>
        </w:rPr>
        <w:t xml:space="preserve">attention has been given to the </w:t>
      </w:r>
      <w:r>
        <w:rPr>
          <w:rFonts w:ascii="Times New Roman" w:hAnsi="Times New Roman"/>
        </w:rPr>
        <w:t xml:space="preserve">sometimes life-long </w:t>
      </w:r>
      <w:r w:rsidR="00E16C75">
        <w:rPr>
          <w:rFonts w:ascii="Times New Roman" w:hAnsi="Times New Roman"/>
        </w:rPr>
        <w:t xml:space="preserve">relationships </w:t>
      </w:r>
      <w:r w:rsidR="00204280">
        <w:rPr>
          <w:rFonts w:ascii="Times New Roman" w:hAnsi="Times New Roman"/>
        </w:rPr>
        <w:t xml:space="preserve">that </w:t>
      </w:r>
      <w:r w:rsidR="00E16C75">
        <w:rPr>
          <w:rFonts w:ascii="Times New Roman" w:hAnsi="Times New Roman"/>
        </w:rPr>
        <w:t>fo</w:t>
      </w:r>
      <w:r>
        <w:rPr>
          <w:rFonts w:ascii="Times New Roman" w:hAnsi="Times New Roman"/>
        </w:rPr>
        <w:t xml:space="preserve">rmed between model, </w:t>
      </w:r>
      <w:r w:rsidR="00E16C75">
        <w:rPr>
          <w:rFonts w:ascii="Times New Roman" w:hAnsi="Times New Roman"/>
        </w:rPr>
        <w:t>artists</w:t>
      </w:r>
      <w:r>
        <w:rPr>
          <w:rFonts w:ascii="Times New Roman" w:hAnsi="Times New Roman"/>
        </w:rPr>
        <w:t xml:space="preserve">, and their families. </w:t>
      </w:r>
      <w:r w:rsidR="00204280">
        <w:rPr>
          <w:rFonts w:ascii="Times New Roman" w:hAnsi="Times New Roman"/>
        </w:rPr>
        <w:t>Some models</w:t>
      </w:r>
      <w:r>
        <w:rPr>
          <w:rFonts w:ascii="Times New Roman" w:hAnsi="Times New Roman"/>
        </w:rPr>
        <w:t xml:space="preserve"> </w:t>
      </w:r>
      <w:r w:rsidR="00204280">
        <w:rPr>
          <w:rFonts w:ascii="Times New Roman" w:hAnsi="Times New Roman"/>
        </w:rPr>
        <w:t>used their experience in the studio as a springboard to their own artistic endeavors. In the process, they negotiat</w:t>
      </w:r>
      <w:r>
        <w:rPr>
          <w:rFonts w:ascii="Times New Roman" w:hAnsi="Times New Roman"/>
        </w:rPr>
        <w:t>ed</w:t>
      </w:r>
      <w:r w:rsidR="003826C3">
        <w:rPr>
          <w:rFonts w:ascii="Times New Roman" w:hAnsi="Times New Roman"/>
        </w:rPr>
        <w:t>, or managed,</w:t>
      </w:r>
      <w:r>
        <w:rPr>
          <w:rFonts w:ascii="Times New Roman" w:hAnsi="Times New Roman"/>
        </w:rPr>
        <w:t xml:space="preserve"> </w:t>
      </w:r>
      <w:r w:rsidR="00204280">
        <w:rPr>
          <w:rFonts w:ascii="Times New Roman" w:hAnsi="Times New Roman"/>
        </w:rPr>
        <w:t>modernity by taking advantage of opportunities afford</w:t>
      </w:r>
      <w:r w:rsidR="00DB1BBD">
        <w:rPr>
          <w:rFonts w:ascii="Times New Roman" w:hAnsi="Times New Roman"/>
        </w:rPr>
        <w:t>ed to them in the contact zone.</w:t>
      </w:r>
    </w:p>
    <w:p w14:paraId="33977589" w14:textId="0470ECEB" w:rsidR="00204280" w:rsidRDefault="00E16C75" w:rsidP="002202F2">
      <w:pPr>
        <w:ind w:firstLine="720"/>
        <w:rPr>
          <w:rFonts w:ascii="Times New Roman" w:hAnsi="Times New Roman"/>
        </w:rPr>
      </w:pPr>
      <w:r>
        <w:rPr>
          <w:rFonts w:ascii="Times New Roman" w:hAnsi="Times New Roman"/>
        </w:rPr>
        <w:t>F</w:t>
      </w:r>
      <w:r w:rsidR="002202F2" w:rsidRPr="005B7071">
        <w:rPr>
          <w:rFonts w:ascii="Times New Roman" w:hAnsi="Times New Roman"/>
        </w:rPr>
        <w:t>rom about 1915 until the 1940s, Albert Looking Elk Martinez (1880-1941)</w:t>
      </w:r>
      <w:r w:rsidR="00204280">
        <w:rPr>
          <w:rFonts w:ascii="Times New Roman" w:hAnsi="Times New Roman"/>
        </w:rPr>
        <w:t xml:space="preserve"> and </w:t>
      </w:r>
      <w:r w:rsidR="002202F2" w:rsidRPr="005B7071">
        <w:rPr>
          <w:rFonts w:ascii="Times New Roman" w:hAnsi="Times New Roman"/>
        </w:rPr>
        <w:t>Albert Lujan (1892-1948)</w:t>
      </w:r>
      <w:r w:rsidR="00204280">
        <w:rPr>
          <w:rFonts w:ascii="Times New Roman" w:hAnsi="Times New Roman"/>
        </w:rPr>
        <w:t xml:space="preserve"> </w:t>
      </w:r>
      <w:r w:rsidR="00204280" w:rsidRPr="005B7071">
        <w:rPr>
          <w:rFonts w:ascii="Times New Roman" w:hAnsi="Times New Roman"/>
        </w:rPr>
        <w:t>made</w:t>
      </w:r>
      <w:r w:rsidR="00204280">
        <w:rPr>
          <w:rFonts w:ascii="Times New Roman" w:hAnsi="Times New Roman"/>
        </w:rPr>
        <w:t xml:space="preserve"> </w:t>
      </w:r>
      <w:r w:rsidR="00204280" w:rsidRPr="005B7071">
        <w:rPr>
          <w:rFonts w:ascii="Times New Roman" w:hAnsi="Times New Roman"/>
        </w:rPr>
        <w:t>thousands of small oil paintings in a Euro-American style (fig. 4.15).</w:t>
      </w:r>
      <w:r w:rsidR="003826C3">
        <w:rPr>
          <w:rFonts w:ascii="Times New Roman" w:hAnsi="Times New Roman"/>
        </w:rPr>
        <w:t xml:space="preserve"> Later, </w:t>
      </w:r>
      <w:r w:rsidR="00204280">
        <w:rPr>
          <w:rFonts w:ascii="Times New Roman" w:hAnsi="Times New Roman"/>
        </w:rPr>
        <w:t xml:space="preserve">Mirabal (1903-1970) followed the path set forth by the two Alberts, albeit </w:t>
      </w:r>
      <w:r w:rsidR="000F22FC">
        <w:rPr>
          <w:rFonts w:ascii="Times New Roman" w:hAnsi="Times New Roman"/>
        </w:rPr>
        <w:t xml:space="preserve">to a lesser extent and </w:t>
      </w:r>
      <w:r w:rsidR="00204280">
        <w:rPr>
          <w:rFonts w:ascii="Times New Roman" w:hAnsi="Times New Roman"/>
        </w:rPr>
        <w:t>with subtle variations. All three artists were from Taos Pueblo, and all three had p</w:t>
      </w:r>
      <w:r w:rsidR="005775E0">
        <w:rPr>
          <w:rFonts w:ascii="Times New Roman" w:hAnsi="Times New Roman"/>
        </w:rPr>
        <w:t>osed for various TSA artists.</w:t>
      </w:r>
    </w:p>
    <w:p w14:paraId="1A29DB6C" w14:textId="05AD29F9" w:rsidR="002202F2" w:rsidRPr="005B7071" w:rsidRDefault="00204280" w:rsidP="002202F2">
      <w:pPr>
        <w:ind w:firstLine="720"/>
        <w:rPr>
          <w:rFonts w:ascii="Times New Roman" w:hAnsi="Times New Roman"/>
        </w:rPr>
      </w:pPr>
      <w:r>
        <w:rPr>
          <w:rFonts w:ascii="Times New Roman" w:hAnsi="Times New Roman"/>
        </w:rPr>
        <w:t>Their p</w:t>
      </w:r>
      <w:r w:rsidR="002202F2" w:rsidRPr="005B7071">
        <w:rPr>
          <w:rFonts w:ascii="Times New Roman" w:hAnsi="Times New Roman"/>
        </w:rPr>
        <w:t xml:space="preserve">aintings take Taos Pueblo and </w:t>
      </w:r>
      <w:r w:rsidR="000F22FC">
        <w:rPr>
          <w:rFonts w:ascii="Times New Roman" w:hAnsi="Times New Roman"/>
        </w:rPr>
        <w:t>the Sangre de Cristo Mountains</w:t>
      </w:r>
      <w:r w:rsidR="002202F2" w:rsidRPr="005B7071">
        <w:rPr>
          <w:rFonts w:ascii="Times New Roman" w:hAnsi="Times New Roman"/>
        </w:rPr>
        <w:t xml:space="preserve"> as </w:t>
      </w:r>
      <w:r w:rsidR="000F22FC">
        <w:rPr>
          <w:rFonts w:ascii="Times New Roman" w:hAnsi="Times New Roman"/>
        </w:rPr>
        <w:t xml:space="preserve">primary </w:t>
      </w:r>
      <w:r w:rsidR="002202F2" w:rsidRPr="005B7071">
        <w:rPr>
          <w:rFonts w:ascii="Times New Roman" w:hAnsi="Times New Roman"/>
        </w:rPr>
        <w:t>subjects. Sold to tourists visiting the Pueblo, these paintings have long presented a problem for critics and historians, who have historically judged American Indian easel paintings against the flat, decorative, non-illusionistic, auto-ethnographic Santa Fe Style. By this standard, these three Taos Pueblo artist</w:t>
      </w:r>
      <w:r w:rsidR="00637604">
        <w:rPr>
          <w:rFonts w:ascii="Times New Roman" w:hAnsi="Times New Roman"/>
        </w:rPr>
        <w:t>s</w:t>
      </w:r>
      <w:r w:rsidR="002202F2" w:rsidRPr="005B7071">
        <w:rPr>
          <w:rFonts w:ascii="Times New Roman" w:hAnsi="Times New Roman"/>
        </w:rPr>
        <w:t xml:space="preserve"> and their tourist paintings hardly qualify as </w:t>
      </w:r>
      <w:r w:rsidR="003826C3">
        <w:rPr>
          <w:rFonts w:ascii="Times New Roman" w:hAnsi="Times New Roman"/>
        </w:rPr>
        <w:t>“</w:t>
      </w:r>
      <w:r w:rsidR="002202F2" w:rsidRPr="005B7071">
        <w:rPr>
          <w:rFonts w:ascii="Times New Roman" w:hAnsi="Times New Roman"/>
        </w:rPr>
        <w:t>Indian.</w:t>
      </w:r>
      <w:r w:rsidR="003826C3">
        <w:rPr>
          <w:rFonts w:ascii="Times New Roman" w:hAnsi="Times New Roman"/>
        </w:rPr>
        <w:t>”</w:t>
      </w:r>
      <w:r w:rsidR="002202F2" w:rsidRPr="005B7071">
        <w:rPr>
          <w:rFonts w:ascii="Times New Roman" w:hAnsi="Times New Roman"/>
        </w:rPr>
        <w:t xml:space="preserve"> Yet it seems inadequate to explain these men, who were active and full participants in their culture, or their paintings, which seem to be all about Pueblo identity, as </w:t>
      </w:r>
      <w:r w:rsidR="006E6A9B" w:rsidRPr="005B7071">
        <w:rPr>
          <w:rFonts w:ascii="Times New Roman" w:hAnsi="Times New Roman"/>
        </w:rPr>
        <w:t>anything other than Indian.</w:t>
      </w:r>
    </w:p>
    <w:p w14:paraId="1687303B" w14:textId="256EB536" w:rsidR="002202F2" w:rsidRPr="005B7071" w:rsidRDefault="002202F2" w:rsidP="002202F2">
      <w:pPr>
        <w:ind w:firstLine="720"/>
        <w:rPr>
          <w:rFonts w:ascii="Times New Roman" w:hAnsi="Times New Roman"/>
        </w:rPr>
      </w:pPr>
      <w:r w:rsidRPr="005B7071">
        <w:rPr>
          <w:rFonts w:ascii="Times New Roman" w:hAnsi="Times New Roman"/>
        </w:rPr>
        <w:t xml:space="preserve">These artists’ insistent, incessant repetition of Taos Pueblo and the Sangre de Cristo mountains as subject matter deserves further scrutiny. Rather than analyzing </w:t>
      </w:r>
      <w:r w:rsidR="005775E0">
        <w:rPr>
          <w:rFonts w:ascii="Times New Roman" w:hAnsi="Times New Roman"/>
        </w:rPr>
        <w:t>them</w:t>
      </w:r>
      <w:r w:rsidRPr="005B7071">
        <w:rPr>
          <w:rFonts w:ascii="Times New Roman" w:hAnsi="Times New Roman"/>
        </w:rPr>
        <w:t xml:space="preserve"> as assimilated Indians working in a co-opted, derivative Euro-American style, it would be more useful to describe them as </w:t>
      </w:r>
      <w:r w:rsidRPr="005B7071">
        <w:rPr>
          <w:rFonts w:ascii="Times New Roman" w:hAnsi="Times New Roman"/>
          <w:i/>
        </w:rPr>
        <w:t>Pueblo Modernists</w:t>
      </w:r>
      <w:r w:rsidRPr="005B7071">
        <w:rPr>
          <w:rFonts w:ascii="Times New Roman" w:hAnsi="Times New Roman"/>
        </w:rPr>
        <w:t>, defined b</w:t>
      </w:r>
      <w:r w:rsidR="003826C3">
        <w:rPr>
          <w:rFonts w:ascii="Times New Roman" w:hAnsi="Times New Roman"/>
        </w:rPr>
        <w:t xml:space="preserve">y W. Jackson Rushing III as </w:t>
      </w:r>
      <w:r w:rsidRPr="005B7071">
        <w:rPr>
          <w:rFonts w:ascii="Times New Roman" w:hAnsi="Times New Roman"/>
        </w:rPr>
        <w:t>Pueblo artist</w:t>
      </w:r>
      <w:r w:rsidR="003826C3">
        <w:rPr>
          <w:rFonts w:ascii="Times New Roman" w:hAnsi="Times New Roman"/>
        </w:rPr>
        <w:t>s</w:t>
      </w:r>
      <w:r w:rsidRPr="005B7071">
        <w:rPr>
          <w:rFonts w:ascii="Times New Roman" w:hAnsi="Times New Roman"/>
        </w:rPr>
        <w:t xml:space="preserve"> who successfully negotiated social Modernity</w:t>
      </w:r>
      <w:r w:rsidR="003826C3">
        <w:rPr>
          <w:rFonts w:ascii="Times New Roman" w:hAnsi="Times New Roman"/>
        </w:rPr>
        <w:t>.</w:t>
      </w:r>
      <w:r w:rsidRPr="005B7071">
        <w:rPr>
          <w:rStyle w:val="FootnoteReference"/>
          <w:rFonts w:ascii="Times New Roman" w:hAnsi="Times New Roman"/>
        </w:rPr>
        <w:footnoteReference w:id="206"/>
      </w:r>
      <w:r w:rsidRPr="005B7071">
        <w:rPr>
          <w:rFonts w:ascii="Times New Roman" w:hAnsi="Times New Roman"/>
        </w:rPr>
        <w:t xml:space="preserve"> Through a sustained visual analysis of several characteristic paintings by each artist, I will suggest that these artists negotiated</w:t>
      </w:r>
      <w:r w:rsidR="003826C3">
        <w:rPr>
          <w:rFonts w:ascii="Times New Roman" w:hAnsi="Times New Roman"/>
        </w:rPr>
        <w:t xml:space="preserve"> </w:t>
      </w:r>
      <w:r w:rsidRPr="005B7071">
        <w:rPr>
          <w:rFonts w:ascii="Times New Roman" w:hAnsi="Times New Roman"/>
        </w:rPr>
        <w:t xml:space="preserve">modernity </w:t>
      </w:r>
      <w:r w:rsidR="003826C3">
        <w:rPr>
          <w:rFonts w:ascii="Times New Roman" w:hAnsi="Times New Roman"/>
        </w:rPr>
        <w:t xml:space="preserve">[i.e., managed modern </w:t>
      </w:r>
      <w:r w:rsidR="006C2363">
        <w:rPr>
          <w:rFonts w:ascii="Times New Roman" w:hAnsi="Times New Roman"/>
        </w:rPr>
        <w:t xml:space="preserve">social </w:t>
      </w:r>
      <w:r w:rsidR="003826C3">
        <w:rPr>
          <w:rFonts w:ascii="Times New Roman" w:hAnsi="Times New Roman"/>
        </w:rPr>
        <w:t xml:space="preserve">life] </w:t>
      </w:r>
      <w:r w:rsidRPr="005B7071">
        <w:rPr>
          <w:rFonts w:ascii="Times New Roman" w:hAnsi="Times New Roman"/>
        </w:rPr>
        <w:t xml:space="preserve">by thematizing Pueblo-ness in their paintings. By focusing on the Pueblo and the Sangre de Cristo Mountains to the near exclusion of all other subjects, </w:t>
      </w:r>
      <w:r w:rsidR="005775E0">
        <w:rPr>
          <w:rFonts w:ascii="Times New Roman" w:hAnsi="Times New Roman"/>
        </w:rPr>
        <w:t>all three artists</w:t>
      </w:r>
      <w:r w:rsidRPr="005B7071">
        <w:rPr>
          <w:rFonts w:ascii="Times New Roman" w:hAnsi="Times New Roman"/>
        </w:rPr>
        <w:t xml:space="preserve"> rooted their paintings in powerful signs of indigenous sovereignty. Further, by painting and selling their works at Taos Pueblo, Looking Elk and Lujan performed their Pueblo-ness for tourists, who in turn gained value through affirming the “Indianess” of their purchases. By leveraging artistic skills learned from Anglo artists to survive, and even thrive, in a cash economy, Looking Elk and Lujan ultimately </w:t>
      </w:r>
      <w:r w:rsidR="006C2363">
        <w:rPr>
          <w:rFonts w:ascii="Times New Roman" w:hAnsi="Times New Roman"/>
        </w:rPr>
        <w:t xml:space="preserve">afforded themselves </w:t>
      </w:r>
      <w:r w:rsidRPr="005B7071">
        <w:rPr>
          <w:rFonts w:ascii="Times New Roman" w:hAnsi="Times New Roman"/>
        </w:rPr>
        <w:t xml:space="preserve">more time to be Indians. As such, their art </w:t>
      </w:r>
      <w:r w:rsidR="006C2363">
        <w:rPr>
          <w:rFonts w:ascii="Times New Roman" w:hAnsi="Times New Roman"/>
        </w:rPr>
        <w:t xml:space="preserve">reads as both </w:t>
      </w:r>
      <w:r w:rsidR="006E6A9B" w:rsidRPr="005B7071">
        <w:rPr>
          <w:rFonts w:ascii="Times New Roman" w:hAnsi="Times New Roman"/>
        </w:rPr>
        <w:t>co-optation and resistance.</w:t>
      </w:r>
      <w:r w:rsidR="00637604">
        <w:rPr>
          <w:rFonts w:ascii="Times New Roman" w:hAnsi="Times New Roman"/>
        </w:rPr>
        <w:t xml:space="preserve"> J</w:t>
      </w:r>
      <w:r w:rsidRPr="005B7071">
        <w:rPr>
          <w:rFonts w:ascii="Times New Roman" w:hAnsi="Times New Roman"/>
        </w:rPr>
        <w:t xml:space="preserve">uan Mirabal, on the other hand, represents a different case; his syncretic style and fine art training mark him as closer to </w:t>
      </w:r>
      <w:r w:rsidR="007A29F3">
        <w:rPr>
          <w:rFonts w:ascii="Times New Roman" w:hAnsi="Times New Roman"/>
        </w:rPr>
        <w:t xml:space="preserve">the </w:t>
      </w:r>
      <w:r w:rsidRPr="005B7071">
        <w:rPr>
          <w:rFonts w:ascii="Times New Roman" w:hAnsi="Times New Roman"/>
        </w:rPr>
        <w:t xml:space="preserve">emergent </w:t>
      </w:r>
      <w:r w:rsidR="0038617F">
        <w:rPr>
          <w:rFonts w:ascii="Times New Roman" w:hAnsi="Times New Roman"/>
        </w:rPr>
        <w:t xml:space="preserve">American </w:t>
      </w:r>
      <w:r w:rsidRPr="005B7071">
        <w:rPr>
          <w:rFonts w:ascii="Times New Roman" w:hAnsi="Times New Roman"/>
        </w:rPr>
        <w:t xml:space="preserve">artists coming out of </w:t>
      </w:r>
      <w:r w:rsidR="0038617F">
        <w:rPr>
          <w:rFonts w:ascii="Times New Roman" w:hAnsi="Times New Roman"/>
        </w:rPr>
        <w:t xml:space="preserve">New York and </w:t>
      </w:r>
      <w:r w:rsidRPr="005B7071">
        <w:rPr>
          <w:rFonts w:ascii="Times New Roman" w:hAnsi="Times New Roman"/>
        </w:rPr>
        <w:t>Santa Fe in the late 1930s and early 1940s.</w:t>
      </w:r>
    </w:p>
    <w:p w14:paraId="115A21F5" w14:textId="4BE91B32" w:rsidR="002202F2" w:rsidRPr="005B7071" w:rsidRDefault="005775E0" w:rsidP="005775E0">
      <w:pPr>
        <w:ind w:firstLine="720"/>
        <w:rPr>
          <w:rFonts w:ascii="Times New Roman" w:hAnsi="Times New Roman"/>
        </w:rPr>
      </w:pPr>
      <w:r>
        <w:rPr>
          <w:rFonts w:ascii="Times New Roman" w:hAnsi="Times New Roman"/>
        </w:rPr>
        <w:t xml:space="preserve">To be successful, </w:t>
      </w:r>
      <w:r w:rsidR="006C0059">
        <w:rPr>
          <w:rFonts w:ascii="Times New Roman" w:hAnsi="Times New Roman"/>
        </w:rPr>
        <w:t>Albert Looking Elk Martinez and</w:t>
      </w:r>
      <w:r w:rsidR="002202F2" w:rsidRPr="005775E0">
        <w:rPr>
          <w:rFonts w:ascii="Times New Roman" w:hAnsi="Times New Roman"/>
        </w:rPr>
        <w:t xml:space="preserve"> Albert Lujan</w:t>
      </w:r>
      <w:r>
        <w:rPr>
          <w:rFonts w:ascii="Times New Roman" w:hAnsi="Times New Roman"/>
        </w:rPr>
        <w:t xml:space="preserve"> had to</w:t>
      </w:r>
      <w:r w:rsidR="006C2363">
        <w:rPr>
          <w:rFonts w:ascii="Times New Roman" w:hAnsi="Times New Roman"/>
        </w:rPr>
        <w:t xml:space="preserve"> find ways to achieve success in </w:t>
      </w:r>
      <w:r>
        <w:rPr>
          <w:rFonts w:ascii="Times New Roman" w:hAnsi="Times New Roman"/>
        </w:rPr>
        <w:t xml:space="preserve">Taos, which, in the 1919s and 1920s, met </w:t>
      </w:r>
      <w:r w:rsidR="002202F2" w:rsidRPr="005B7071">
        <w:rPr>
          <w:rFonts w:ascii="Times New Roman" w:hAnsi="Times New Roman"/>
        </w:rPr>
        <w:t>Mary Louise Pratt</w:t>
      </w:r>
      <w:r w:rsidR="007A29F3">
        <w:rPr>
          <w:rFonts w:ascii="Times New Roman" w:hAnsi="Times New Roman"/>
        </w:rPr>
        <w:t>’s definition</w:t>
      </w:r>
      <w:r>
        <w:rPr>
          <w:rFonts w:ascii="Times New Roman" w:hAnsi="Times New Roman"/>
        </w:rPr>
        <w:t xml:space="preserve"> of </w:t>
      </w:r>
      <w:r w:rsidR="007A29F3">
        <w:rPr>
          <w:rFonts w:ascii="Times New Roman" w:hAnsi="Times New Roman"/>
        </w:rPr>
        <w:t xml:space="preserve">a </w:t>
      </w:r>
      <w:r w:rsidR="007A29F3" w:rsidRPr="005775E0">
        <w:rPr>
          <w:rFonts w:ascii="Times New Roman" w:hAnsi="Times New Roman"/>
          <w:i/>
        </w:rPr>
        <w:t>contact zone</w:t>
      </w:r>
      <w:r>
        <w:rPr>
          <w:rFonts w:ascii="Times New Roman" w:hAnsi="Times New Roman"/>
        </w:rPr>
        <w:t>. Pueblo Indians and the white tourists and artists who visited and lived in Taos did not interact as equal, but rather as historically disparate groups engaged in an asymmetrical strugg</w:t>
      </w:r>
      <w:r w:rsidR="006C2363">
        <w:rPr>
          <w:rFonts w:ascii="Times New Roman" w:hAnsi="Times New Roman"/>
        </w:rPr>
        <w:t xml:space="preserve">le </w:t>
      </w:r>
      <w:r>
        <w:rPr>
          <w:rFonts w:ascii="Times New Roman" w:hAnsi="Times New Roman"/>
        </w:rPr>
        <w:t>for resources.</w:t>
      </w:r>
      <w:r w:rsidR="002202F2" w:rsidRPr="005B7071">
        <w:rPr>
          <w:rStyle w:val="FootnoteReference"/>
          <w:rFonts w:ascii="Times New Roman" w:hAnsi="Times New Roman"/>
        </w:rPr>
        <w:footnoteReference w:id="207"/>
      </w:r>
      <w:r w:rsidR="002202F2" w:rsidRPr="005B7071">
        <w:rPr>
          <w:rFonts w:ascii="Times New Roman" w:hAnsi="Times New Roman"/>
        </w:rPr>
        <w:t xml:space="preserve"> Because of the asymmetrical relationships between white painters and Indian models, Albert Looking Elk and Albert Lujan had to n</w:t>
      </w:r>
      <w:r w:rsidR="006C2363">
        <w:rPr>
          <w:rFonts w:ascii="Times New Roman" w:hAnsi="Times New Roman"/>
        </w:rPr>
        <w:t xml:space="preserve">avigate </w:t>
      </w:r>
      <w:r w:rsidR="002202F2" w:rsidRPr="005B7071">
        <w:rPr>
          <w:rFonts w:ascii="Times New Roman" w:hAnsi="Times New Roman"/>
        </w:rPr>
        <w:t xml:space="preserve">the new cash economy foisted upon Puebloan peoples in New Mexico and Arizona with great dexterity. A close reading of each artist’s </w:t>
      </w:r>
      <w:r w:rsidR="000354AA">
        <w:rPr>
          <w:rFonts w:ascii="Times New Roman" w:hAnsi="Times New Roman"/>
        </w:rPr>
        <w:t xml:space="preserve">biography </w:t>
      </w:r>
      <w:r w:rsidR="002202F2" w:rsidRPr="005B7071">
        <w:rPr>
          <w:rFonts w:ascii="Times New Roman" w:hAnsi="Times New Roman"/>
        </w:rPr>
        <w:t xml:space="preserve">reveals that both Looking Elk and Lujan emerged from </w:t>
      </w:r>
      <w:r w:rsidR="006C2363">
        <w:rPr>
          <w:rFonts w:ascii="Times New Roman" w:hAnsi="Times New Roman"/>
        </w:rPr>
        <w:t xml:space="preserve">this circumstance </w:t>
      </w:r>
      <w:r w:rsidR="000354AA">
        <w:rPr>
          <w:rFonts w:ascii="Times New Roman" w:hAnsi="Times New Roman"/>
        </w:rPr>
        <w:t xml:space="preserve">successfully by </w:t>
      </w:r>
      <w:r w:rsidR="002202F2" w:rsidRPr="005B7071">
        <w:rPr>
          <w:rFonts w:ascii="Times New Roman" w:hAnsi="Times New Roman"/>
        </w:rPr>
        <w:t>co-opt</w:t>
      </w:r>
      <w:r w:rsidR="000354AA">
        <w:rPr>
          <w:rFonts w:ascii="Times New Roman" w:hAnsi="Times New Roman"/>
        </w:rPr>
        <w:t xml:space="preserve">ing </w:t>
      </w:r>
      <w:r w:rsidR="002202F2" w:rsidRPr="005B7071">
        <w:rPr>
          <w:rFonts w:ascii="Times New Roman" w:hAnsi="Times New Roman"/>
        </w:rPr>
        <w:t>white artistic styles and methods to n</w:t>
      </w:r>
      <w:r w:rsidR="006C2363">
        <w:rPr>
          <w:rFonts w:ascii="Times New Roman" w:hAnsi="Times New Roman"/>
        </w:rPr>
        <w:t xml:space="preserve">avigate </w:t>
      </w:r>
      <w:r w:rsidR="002202F2" w:rsidRPr="005B7071">
        <w:rPr>
          <w:rFonts w:ascii="Times New Roman" w:hAnsi="Times New Roman"/>
        </w:rPr>
        <w:t>social modernity</w:t>
      </w:r>
      <w:r w:rsidR="000354AA">
        <w:rPr>
          <w:rFonts w:ascii="Times New Roman" w:hAnsi="Times New Roman"/>
        </w:rPr>
        <w:t xml:space="preserve">. In the process, they created </w:t>
      </w:r>
      <w:r w:rsidR="002202F2" w:rsidRPr="005B7071">
        <w:rPr>
          <w:rFonts w:ascii="Times New Roman" w:hAnsi="Times New Roman"/>
        </w:rPr>
        <w:t>art that bore “witness [to] innumerable small meetings across cultural boundaries,”</w:t>
      </w:r>
      <w:r w:rsidR="002202F2" w:rsidRPr="005B7071">
        <w:rPr>
          <w:rStyle w:val="FootnoteReference"/>
          <w:rFonts w:ascii="Times New Roman" w:hAnsi="Times New Roman"/>
        </w:rPr>
        <w:footnoteReference w:id="208"/>
      </w:r>
      <w:r w:rsidR="002202F2" w:rsidRPr="005B7071">
        <w:rPr>
          <w:rFonts w:ascii="Times New Roman" w:hAnsi="Times New Roman"/>
        </w:rPr>
        <w:t xml:space="preserve"> while illustrating native nationalism.</w:t>
      </w:r>
      <w:r w:rsidR="002202F2" w:rsidRPr="005B7071">
        <w:rPr>
          <w:rStyle w:val="FootnoteReference"/>
          <w:rFonts w:ascii="Times New Roman" w:hAnsi="Times New Roman"/>
        </w:rPr>
        <w:footnoteReference w:id="209"/>
      </w:r>
    </w:p>
    <w:p w14:paraId="49D570C5" w14:textId="1019FA8A" w:rsidR="002202F2" w:rsidRPr="005B7071" w:rsidRDefault="002202F2" w:rsidP="002202F2">
      <w:pPr>
        <w:ind w:firstLine="720"/>
        <w:rPr>
          <w:rFonts w:ascii="Times New Roman" w:hAnsi="Times New Roman"/>
        </w:rPr>
      </w:pPr>
      <w:r w:rsidRPr="005B7071">
        <w:rPr>
          <w:rFonts w:ascii="Times New Roman" w:hAnsi="Times New Roman"/>
        </w:rPr>
        <w:t xml:space="preserve">In 1898, Oscar Berninghaus (1874-1952), along with Joseph H. Sharp (1859-1852), </w:t>
      </w:r>
      <w:r w:rsidR="000354AA">
        <w:rPr>
          <w:rFonts w:ascii="Times New Roman" w:hAnsi="Times New Roman"/>
        </w:rPr>
        <w:t xml:space="preserve">arrived in </w:t>
      </w:r>
      <w:r w:rsidRPr="005B7071">
        <w:rPr>
          <w:rFonts w:ascii="Times New Roman" w:hAnsi="Times New Roman"/>
        </w:rPr>
        <w:t xml:space="preserve">Taos. </w:t>
      </w:r>
      <w:r w:rsidR="006C2363" w:rsidRPr="005B7071">
        <w:rPr>
          <w:rFonts w:ascii="Times New Roman" w:hAnsi="Times New Roman"/>
        </w:rPr>
        <w:t>In 1915, Berninghaus, Sharp, and four other artists formed the Taos Society of Artists (TSA), a commercial artist’s association that evolved into an artist’s colony.</w:t>
      </w:r>
      <w:r w:rsidR="006C2363">
        <w:rPr>
          <w:rFonts w:ascii="Times New Roman" w:hAnsi="Times New Roman"/>
        </w:rPr>
        <w:t xml:space="preserve"> </w:t>
      </w:r>
      <w:r w:rsidRPr="005B7071">
        <w:rPr>
          <w:rFonts w:ascii="Times New Roman" w:hAnsi="Times New Roman"/>
        </w:rPr>
        <w:t xml:space="preserve">Soon </w:t>
      </w:r>
      <w:r w:rsidR="006C2363">
        <w:rPr>
          <w:rFonts w:ascii="Times New Roman" w:hAnsi="Times New Roman"/>
        </w:rPr>
        <w:t xml:space="preserve">after they arrived, these artists </w:t>
      </w:r>
      <w:r w:rsidRPr="005B7071">
        <w:rPr>
          <w:rFonts w:ascii="Times New Roman" w:hAnsi="Times New Roman"/>
        </w:rPr>
        <w:t>began employing Taos Indians as models. Albert Looking Elk started modeling for Berninghaus in 1900, making him among the first Taos Indians to model for a TSA artist.</w:t>
      </w:r>
      <w:r w:rsidRPr="005B7071">
        <w:rPr>
          <w:rStyle w:val="FootnoteReference"/>
          <w:rFonts w:ascii="Times New Roman" w:hAnsi="Times New Roman"/>
        </w:rPr>
        <w:footnoteReference w:id="210"/>
      </w:r>
      <w:r w:rsidRPr="005B7071">
        <w:rPr>
          <w:rFonts w:ascii="Times New Roman" w:hAnsi="Times New Roman"/>
        </w:rPr>
        <w:t xml:space="preserve"> In a typical painting featuring Looking Elk</w:t>
      </w:r>
      <w:r w:rsidR="007A29F3">
        <w:rPr>
          <w:rFonts w:ascii="Times New Roman" w:hAnsi="Times New Roman"/>
        </w:rPr>
        <w:t>,</w:t>
      </w:r>
      <w:r w:rsidRPr="005B7071">
        <w:rPr>
          <w:rFonts w:ascii="Times New Roman" w:hAnsi="Times New Roman"/>
        </w:rPr>
        <w:t xml:space="preserve"> such as </w:t>
      </w:r>
      <w:r w:rsidRPr="005B7071">
        <w:rPr>
          <w:rFonts w:ascii="Times New Roman" w:hAnsi="Times New Roman"/>
          <w:i/>
        </w:rPr>
        <w:t>A Son of the War Chief</w:t>
      </w:r>
      <w:r w:rsidRPr="005B7071">
        <w:rPr>
          <w:rFonts w:ascii="Times New Roman" w:hAnsi="Times New Roman"/>
        </w:rPr>
        <w:t>, Berninghaus generalized Looking Elk, and in the process, transformed the Pueblo Indian into an all-purpose Plains Indian</w:t>
      </w:r>
      <w:r w:rsidR="003A28DE" w:rsidRPr="005B7071">
        <w:rPr>
          <w:rFonts w:ascii="Times New Roman" w:hAnsi="Times New Roman"/>
        </w:rPr>
        <w:t xml:space="preserve"> </w:t>
      </w:r>
      <w:r w:rsidR="00EB76B0" w:rsidRPr="005B7071">
        <w:rPr>
          <w:rFonts w:ascii="Times New Roman" w:hAnsi="Times New Roman"/>
        </w:rPr>
        <w:t>(fig. 4.16</w:t>
      </w:r>
      <w:r w:rsidR="003A28DE" w:rsidRPr="005B7071">
        <w:rPr>
          <w:rFonts w:ascii="Times New Roman" w:hAnsi="Times New Roman"/>
        </w:rPr>
        <w:t>)</w:t>
      </w:r>
      <w:r w:rsidRPr="005B7071">
        <w:rPr>
          <w:rFonts w:ascii="Times New Roman" w:hAnsi="Times New Roman"/>
        </w:rPr>
        <w:t xml:space="preserve">. </w:t>
      </w:r>
      <w:r w:rsidR="0038617F">
        <w:rPr>
          <w:rFonts w:ascii="Times New Roman" w:hAnsi="Times New Roman"/>
        </w:rPr>
        <w:t>A</w:t>
      </w:r>
      <w:r w:rsidRPr="005B7071">
        <w:rPr>
          <w:rFonts w:ascii="Times New Roman" w:hAnsi="Times New Roman"/>
        </w:rPr>
        <w:t>t some point before 1918 the relationship between model and</w:t>
      </w:r>
      <w:r w:rsidR="006C2363">
        <w:rPr>
          <w:rFonts w:ascii="Times New Roman" w:hAnsi="Times New Roman"/>
        </w:rPr>
        <w:t xml:space="preserve"> artist changed fundamentally; </w:t>
      </w:r>
      <w:r w:rsidRPr="005B7071">
        <w:rPr>
          <w:rFonts w:ascii="Times New Roman" w:hAnsi="Times New Roman"/>
        </w:rPr>
        <w:t>Looking Elk became, at least informally, Berninghaus’s student.</w:t>
      </w:r>
      <w:r w:rsidRPr="005B7071">
        <w:rPr>
          <w:rStyle w:val="FootnoteReference"/>
          <w:rFonts w:ascii="Times New Roman" w:hAnsi="Times New Roman"/>
        </w:rPr>
        <w:footnoteReference w:id="211"/>
      </w:r>
    </w:p>
    <w:p w14:paraId="1C541B52" w14:textId="0A24F23F" w:rsidR="002202F2" w:rsidRPr="005B7071" w:rsidRDefault="002202F2" w:rsidP="000354AA">
      <w:pPr>
        <w:ind w:firstLine="720"/>
        <w:rPr>
          <w:rFonts w:ascii="Times New Roman" w:hAnsi="Times New Roman"/>
        </w:rPr>
      </w:pPr>
      <w:r w:rsidRPr="005B7071">
        <w:rPr>
          <w:rFonts w:ascii="Times New Roman" w:hAnsi="Times New Roman"/>
        </w:rPr>
        <w:t xml:space="preserve">To some extent, it made sense that a model-artist would emerge from this </w:t>
      </w:r>
      <w:r w:rsidRPr="005B7071">
        <w:rPr>
          <w:rFonts w:ascii="Times New Roman" w:hAnsi="Times New Roman"/>
          <w:i/>
        </w:rPr>
        <w:t>milieu</w:t>
      </w:r>
      <w:r w:rsidRPr="005B7071">
        <w:rPr>
          <w:rFonts w:ascii="Times New Roman" w:hAnsi="Times New Roman"/>
        </w:rPr>
        <w:t xml:space="preserve">. Berninghaus was largely </w:t>
      </w:r>
      <w:r w:rsidR="000B447B" w:rsidRPr="005B7071">
        <w:rPr>
          <w:rFonts w:ascii="Times New Roman" w:hAnsi="Times New Roman"/>
        </w:rPr>
        <w:t>self-taught</w:t>
      </w:r>
      <w:r w:rsidRPr="005B7071">
        <w:rPr>
          <w:rFonts w:ascii="Times New Roman" w:hAnsi="Times New Roman"/>
        </w:rPr>
        <w:t xml:space="preserve"> and probably would have admired </w:t>
      </w:r>
      <w:r w:rsidR="000354AA">
        <w:rPr>
          <w:rFonts w:ascii="Times New Roman" w:hAnsi="Times New Roman"/>
        </w:rPr>
        <w:t xml:space="preserve">and encouraged </w:t>
      </w:r>
      <w:r w:rsidRPr="005B7071">
        <w:rPr>
          <w:rFonts w:ascii="Times New Roman" w:hAnsi="Times New Roman"/>
        </w:rPr>
        <w:t xml:space="preserve">Looking Elk’s </w:t>
      </w:r>
      <w:r w:rsidR="000B447B" w:rsidRPr="005B7071">
        <w:rPr>
          <w:rFonts w:ascii="Times New Roman" w:hAnsi="Times New Roman"/>
        </w:rPr>
        <w:t>self-motivation</w:t>
      </w:r>
      <w:r w:rsidRPr="005B7071">
        <w:rPr>
          <w:rFonts w:ascii="Times New Roman" w:hAnsi="Times New Roman"/>
        </w:rPr>
        <w:t xml:space="preserve"> and determination. Every other founding member of the TSA trained extensively in the academic European system, which value</w:t>
      </w:r>
      <w:r w:rsidR="000354AA">
        <w:rPr>
          <w:rFonts w:ascii="Times New Roman" w:hAnsi="Times New Roman"/>
        </w:rPr>
        <w:t>d</w:t>
      </w:r>
      <w:r w:rsidRPr="005B7071">
        <w:rPr>
          <w:rFonts w:ascii="Times New Roman" w:hAnsi="Times New Roman"/>
        </w:rPr>
        <w:t xml:space="preserve"> </w:t>
      </w:r>
      <w:r w:rsidR="000354AA">
        <w:rPr>
          <w:rFonts w:ascii="Times New Roman" w:hAnsi="Times New Roman"/>
        </w:rPr>
        <w:t xml:space="preserve">the </w:t>
      </w:r>
      <w:r w:rsidRPr="005B7071">
        <w:rPr>
          <w:rFonts w:ascii="Times New Roman" w:hAnsi="Times New Roman"/>
        </w:rPr>
        <w:t>teacher/student relationship.</w:t>
      </w:r>
      <w:r w:rsidRPr="005B7071">
        <w:rPr>
          <w:rStyle w:val="FootnoteReference"/>
          <w:rFonts w:ascii="Times New Roman" w:hAnsi="Times New Roman"/>
        </w:rPr>
        <w:footnoteReference w:id="212"/>
      </w:r>
      <w:r w:rsidRPr="005B7071">
        <w:rPr>
          <w:rFonts w:ascii="Times New Roman" w:hAnsi="Times New Roman"/>
        </w:rPr>
        <w:t xml:space="preserve"> By 1918, Looking Elk had given up modeling full time to become an artist in his own right.</w:t>
      </w:r>
      <w:r w:rsidRPr="005B7071">
        <w:rPr>
          <w:rStyle w:val="FootnoteReference"/>
          <w:rFonts w:ascii="Times New Roman" w:hAnsi="Times New Roman"/>
        </w:rPr>
        <w:footnoteReference w:id="213"/>
      </w:r>
      <w:r w:rsidRPr="005B7071">
        <w:rPr>
          <w:rFonts w:ascii="Times New Roman" w:hAnsi="Times New Roman"/>
        </w:rPr>
        <w:t xml:space="preserve"> Looking Elk found himself in a unique position in which he gained the employment of, and at least some level enjoyed friendship with, Berninghaus and several other TSA artists. </w:t>
      </w:r>
      <w:r w:rsidR="00DA34BD">
        <w:rPr>
          <w:rFonts w:ascii="Times New Roman" w:hAnsi="Times New Roman"/>
        </w:rPr>
        <w:t xml:space="preserve">Longtime friendships between artist and models were not uncommon. </w:t>
      </w:r>
      <w:r w:rsidR="005E4C8C">
        <w:rPr>
          <w:rFonts w:ascii="Times New Roman" w:hAnsi="Times New Roman"/>
        </w:rPr>
        <w:t xml:space="preserve">One of E.I. Couse’s favorite and most-often used models, </w:t>
      </w:r>
      <w:r w:rsidR="00DB422E">
        <w:rPr>
          <w:rFonts w:ascii="Times New Roman" w:hAnsi="Times New Roman"/>
        </w:rPr>
        <w:t>Ben Lujan</w:t>
      </w:r>
      <w:r w:rsidR="005E4C8C">
        <w:rPr>
          <w:rFonts w:ascii="Times New Roman" w:hAnsi="Times New Roman"/>
        </w:rPr>
        <w:t>, works for the Couses for decades and considered them his adopted parents. Ben’s nephew, Eliseo, also a model, called the Couses Grandfather and Grandmother</w:t>
      </w:r>
      <w:r w:rsidR="006C2363">
        <w:rPr>
          <w:rFonts w:ascii="Times New Roman" w:hAnsi="Times New Roman"/>
        </w:rPr>
        <w:t xml:space="preserve">. </w:t>
      </w:r>
      <w:r w:rsidR="005E4C8C">
        <w:rPr>
          <w:rFonts w:ascii="Times New Roman" w:hAnsi="Times New Roman"/>
        </w:rPr>
        <w:t>By all accounts, the Couses considered Lujan and his nephew part of the family.</w:t>
      </w:r>
      <w:r w:rsidR="005E4C8C">
        <w:rPr>
          <w:rStyle w:val="FootnoteReference"/>
          <w:rFonts w:ascii="Times New Roman" w:hAnsi="Times New Roman"/>
        </w:rPr>
        <w:footnoteReference w:id="214"/>
      </w:r>
    </w:p>
    <w:p w14:paraId="61A8E5E3" w14:textId="60661B5E" w:rsidR="002202F2" w:rsidRPr="005B7071" w:rsidRDefault="002202F2" w:rsidP="002202F2">
      <w:pPr>
        <w:ind w:firstLine="720"/>
        <w:rPr>
          <w:rFonts w:ascii="Times New Roman" w:hAnsi="Times New Roman"/>
        </w:rPr>
      </w:pPr>
      <w:r w:rsidRPr="005B7071">
        <w:rPr>
          <w:rFonts w:ascii="Times New Roman" w:hAnsi="Times New Roman"/>
        </w:rPr>
        <w:t>Albert Lujan occasionally modeled for various TSA artists</w:t>
      </w:r>
      <w:r w:rsidR="007A29F3">
        <w:rPr>
          <w:rFonts w:ascii="Times New Roman" w:hAnsi="Times New Roman"/>
        </w:rPr>
        <w:t xml:space="preserve"> as well</w:t>
      </w:r>
      <w:r w:rsidRPr="005B7071">
        <w:rPr>
          <w:rFonts w:ascii="Times New Roman" w:hAnsi="Times New Roman"/>
        </w:rPr>
        <w:t>. Yet his path to becoming an artist differed substantially from t</w:t>
      </w:r>
      <w:r w:rsidR="006C2363">
        <w:rPr>
          <w:rFonts w:ascii="Times New Roman" w:hAnsi="Times New Roman"/>
        </w:rPr>
        <w:t>hat of Looking Elk. Albert</w:t>
      </w:r>
      <w:r w:rsidRPr="005B7071">
        <w:rPr>
          <w:rFonts w:ascii="Times New Roman" w:hAnsi="Times New Roman"/>
        </w:rPr>
        <w:t>’s father, born in Pueblo Isleta, had been adopted into Taos Pueblo by Tony Lujan’s grandfather.</w:t>
      </w:r>
      <w:r w:rsidRPr="005B7071">
        <w:rPr>
          <w:rStyle w:val="FootnoteReference"/>
          <w:rFonts w:ascii="Times New Roman" w:hAnsi="Times New Roman"/>
        </w:rPr>
        <w:footnoteReference w:id="215"/>
      </w:r>
      <w:r w:rsidRPr="005B7071">
        <w:rPr>
          <w:rFonts w:ascii="Times New Roman" w:hAnsi="Times New Roman"/>
        </w:rPr>
        <w:t xml:space="preserve"> Tony Lujan, a part-time farmer and occasional TSA model, married Mabel Dodge Sterne, a New York socialite and patron of the arts who was influential with the TSA and various cultural powerbrokers in Taos and Santa Fe</w:t>
      </w:r>
      <w:r w:rsidR="006C2363">
        <w:rPr>
          <w:rFonts w:ascii="Times New Roman" w:hAnsi="Times New Roman"/>
        </w:rPr>
        <w:t xml:space="preserve">, </w:t>
      </w:r>
      <w:r w:rsidR="006C2363" w:rsidRPr="005B7071">
        <w:rPr>
          <w:rFonts w:ascii="Times New Roman" w:hAnsi="Times New Roman"/>
        </w:rPr>
        <w:t>in 1923</w:t>
      </w:r>
      <w:r w:rsidR="006C2363">
        <w:rPr>
          <w:rFonts w:ascii="Times New Roman" w:hAnsi="Times New Roman"/>
        </w:rPr>
        <w:t>. Because of these</w:t>
      </w:r>
      <w:r w:rsidRPr="005B7071">
        <w:rPr>
          <w:rFonts w:ascii="Times New Roman" w:hAnsi="Times New Roman"/>
        </w:rPr>
        <w:t xml:space="preserve"> family connections, </w:t>
      </w:r>
      <w:r w:rsidR="006C2363">
        <w:rPr>
          <w:rFonts w:ascii="Times New Roman" w:hAnsi="Times New Roman"/>
        </w:rPr>
        <w:t>A</w:t>
      </w:r>
      <w:r w:rsidRPr="005B7071">
        <w:rPr>
          <w:rFonts w:ascii="Times New Roman" w:hAnsi="Times New Roman"/>
        </w:rPr>
        <w:t>lbert enjoyed access to and knowledge of TSA artists and the Anglo art colon</w:t>
      </w:r>
      <w:r w:rsidR="006E6A9B" w:rsidRPr="005B7071">
        <w:rPr>
          <w:rFonts w:ascii="Times New Roman" w:hAnsi="Times New Roman"/>
        </w:rPr>
        <w:t>y forming in Taos in the teens.</w:t>
      </w:r>
    </w:p>
    <w:p w14:paraId="27883226" w14:textId="7CAFD86D" w:rsidR="002202F2" w:rsidRPr="005B7071" w:rsidRDefault="002202F2" w:rsidP="002202F2">
      <w:pPr>
        <w:ind w:firstLine="720"/>
        <w:rPr>
          <w:rFonts w:ascii="Times New Roman" w:hAnsi="Times New Roman"/>
        </w:rPr>
      </w:pPr>
      <w:r w:rsidRPr="005B7071">
        <w:rPr>
          <w:rFonts w:ascii="Times New Roman" w:hAnsi="Times New Roman"/>
        </w:rPr>
        <w:t>One day in about 1915, Albe</w:t>
      </w:r>
      <w:r w:rsidR="009E122B">
        <w:rPr>
          <w:rFonts w:ascii="Times New Roman" w:hAnsi="Times New Roman"/>
        </w:rPr>
        <w:t xml:space="preserve">rt, in his capacity as a fiscal (similar to a deacon or church elder) </w:t>
      </w:r>
      <w:r w:rsidRPr="005B7071">
        <w:rPr>
          <w:rFonts w:ascii="Times New Roman" w:hAnsi="Times New Roman"/>
        </w:rPr>
        <w:t xml:space="preserve">for Taos Pueblo church, was busy painting the church exterior. On a break, he decided to try his hand at </w:t>
      </w:r>
      <w:r w:rsidR="00DA34BD">
        <w:rPr>
          <w:rFonts w:ascii="Times New Roman" w:hAnsi="Times New Roman"/>
        </w:rPr>
        <w:t xml:space="preserve">painting </w:t>
      </w:r>
      <w:r w:rsidRPr="005B7071">
        <w:rPr>
          <w:rFonts w:ascii="Times New Roman" w:hAnsi="Times New Roman"/>
        </w:rPr>
        <w:t xml:space="preserve">a Taos Pueblo </w:t>
      </w:r>
      <w:r w:rsidR="00DA34BD">
        <w:rPr>
          <w:rFonts w:ascii="Times New Roman" w:hAnsi="Times New Roman"/>
        </w:rPr>
        <w:t xml:space="preserve">scene </w:t>
      </w:r>
      <w:r w:rsidRPr="005B7071">
        <w:rPr>
          <w:rFonts w:ascii="Times New Roman" w:hAnsi="Times New Roman"/>
        </w:rPr>
        <w:t xml:space="preserve">similar to the type Albert Looking Elk was then making. A well-meaning Anglo tourist, fascinated that </w:t>
      </w:r>
      <w:r w:rsidR="0038617F">
        <w:rPr>
          <w:rFonts w:ascii="Times New Roman" w:hAnsi="Times New Roman"/>
        </w:rPr>
        <w:t xml:space="preserve">Lujan </w:t>
      </w:r>
      <w:r w:rsidRPr="005B7071">
        <w:rPr>
          <w:rFonts w:ascii="Times New Roman" w:hAnsi="Times New Roman"/>
        </w:rPr>
        <w:t>spontaneously start</w:t>
      </w:r>
      <w:r w:rsidR="0038617F">
        <w:rPr>
          <w:rFonts w:ascii="Times New Roman" w:hAnsi="Times New Roman"/>
        </w:rPr>
        <w:t>ed</w:t>
      </w:r>
      <w:r w:rsidRPr="005B7071">
        <w:rPr>
          <w:rFonts w:ascii="Times New Roman" w:hAnsi="Times New Roman"/>
        </w:rPr>
        <w:t xml:space="preserve"> making art, encouraged </w:t>
      </w:r>
      <w:r w:rsidR="009E122B">
        <w:rPr>
          <w:rFonts w:ascii="Times New Roman" w:hAnsi="Times New Roman"/>
        </w:rPr>
        <w:t>him</w:t>
      </w:r>
      <w:r w:rsidRPr="005B7071">
        <w:rPr>
          <w:rFonts w:ascii="Times New Roman" w:hAnsi="Times New Roman"/>
        </w:rPr>
        <w:t>, buying that first painting and subsequently a set of paints and a batch of canvases for the aspiring artist.</w:t>
      </w:r>
      <w:r w:rsidRPr="005B7071">
        <w:rPr>
          <w:rStyle w:val="FootnoteReference"/>
          <w:rFonts w:ascii="Times New Roman" w:hAnsi="Times New Roman"/>
        </w:rPr>
        <w:footnoteReference w:id="216"/>
      </w:r>
      <w:r w:rsidRPr="005B7071">
        <w:rPr>
          <w:rFonts w:ascii="Times New Roman" w:hAnsi="Times New Roman"/>
        </w:rPr>
        <w:t xml:space="preserve"> This creation story is at best romantic, and </w:t>
      </w:r>
      <w:r w:rsidR="009E122B">
        <w:rPr>
          <w:rFonts w:ascii="Times New Roman" w:hAnsi="Times New Roman"/>
        </w:rPr>
        <w:t xml:space="preserve">possibly </w:t>
      </w:r>
      <w:r w:rsidRPr="005B7071">
        <w:rPr>
          <w:rFonts w:ascii="Times New Roman" w:hAnsi="Times New Roman"/>
        </w:rPr>
        <w:t>apocryphal. Bradley Taylor</w:t>
      </w:r>
      <w:r w:rsidR="009E122B">
        <w:rPr>
          <w:rFonts w:ascii="Times New Roman" w:hAnsi="Times New Roman"/>
        </w:rPr>
        <w:t xml:space="preserve"> less romantically characteriz</w:t>
      </w:r>
      <w:r w:rsidRPr="005B7071">
        <w:rPr>
          <w:rFonts w:ascii="Times New Roman" w:hAnsi="Times New Roman"/>
        </w:rPr>
        <w:t>ed Lujan as the ultimate entrepreneur, a man who marketed his paintings by producing and selling them at the Pueblo, handing out business cards, and entertaining tourists with hoop dances performed by his young nephew, Bobby Lujan.</w:t>
      </w:r>
      <w:r w:rsidRPr="005B7071">
        <w:rPr>
          <w:rStyle w:val="FootnoteReference"/>
          <w:rFonts w:ascii="Times New Roman" w:hAnsi="Times New Roman"/>
        </w:rPr>
        <w:footnoteReference w:id="217"/>
      </w:r>
      <w:r w:rsidRPr="005B7071">
        <w:rPr>
          <w:rFonts w:ascii="Times New Roman" w:hAnsi="Times New Roman"/>
        </w:rPr>
        <w:t xml:space="preserve"> Albert Looking Elk also “performed” his Indianess by painting </w:t>
      </w:r>
      <w:r w:rsidRPr="005B7071">
        <w:rPr>
          <w:rFonts w:ascii="Times New Roman" w:hAnsi="Times New Roman"/>
          <w:i/>
        </w:rPr>
        <w:t>en plein aire</w:t>
      </w:r>
      <w:r w:rsidRPr="005B7071">
        <w:rPr>
          <w:rFonts w:ascii="Times New Roman" w:hAnsi="Times New Roman"/>
        </w:rPr>
        <w:t xml:space="preserve"> at the Pueblo, and like Lujan, </w:t>
      </w:r>
      <w:r w:rsidR="009E122B">
        <w:rPr>
          <w:rFonts w:ascii="Times New Roman" w:hAnsi="Times New Roman"/>
        </w:rPr>
        <w:t xml:space="preserve">commissioned </w:t>
      </w:r>
      <w:r w:rsidRPr="005B7071">
        <w:rPr>
          <w:rFonts w:ascii="Times New Roman" w:hAnsi="Times New Roman"/>
        </w:rPr>
        <w:t xml:space="preserve">at least one postcard </w:t>
      </w:r>
      <w:r w:rsidR="003A28DE" w:rsidRPr="005B7071">
        <w:rPr>
          <w:rFonts w:ascii="Times New Roman" w:hAnsi="Times New Roman"/>
        </w:rPr>
        <w:t>of him</w:t>
      </w:r>
      <w:r w:rsidR="009E122B">
        <w:rPr>
          <w:rFonts w:ascii="Times New Roman" w:hAnsi="Times New Roman"/>
        </w:rPr>
        <w:t>self</w:t>
      </w:r>
      <w:r w:rsidR="003A28DE" w:rsidRPr="005B7071">
        <w:rPr>
          <w:rFonts w:ascii="Times New Roman" w:hAnsi="Times New Roman"/>
        </w:rPr>
        <w:t xml:space="preserve"> painting at the Pueblo</w:t>
      </w:r>
      <w:r w:rsidRPr="005B7071">
        <w:rPr>
          <w:rFonts w:ascii="Times New Roman" w:hAnsi="Times New Roman"/>
        </w:rPr>
        <w:t xml:space="preserve"> </w:t>
      </w:r>
      <w:r w:rsidR="00EB76B0" w:rsidRPr="005B7071">
        <w:rPr>
          <w:rFonts w:ascii="Times New Roman" w:hAnsi="Times New Roman"/>
        </w:rPr>
        <w:t>(fig. 4.17</w:t>
      </w:r>
      <w:r w:rsidR="003A28DE" w:rsidRPr="005B7071">
        <w:rPr>
          <w:rFonts w:ascii="Times New Roman" w:hAnsi="Times New Roman"/>
        </w:rPr>
        <w:t>).</w:t>
      </w:r>
    </w:p>
    <w:p w14:paraId="2EF898DF" w14:textId="0C1A925F" w:rsidR="002202F2" w:rsidRPr="005B7071" w:rsidRDefault="00DA34BD" w:rsidP="002202F2">
      <w:pPr>
        <w:ind w:firstLine="720"/>
        <w:rPr>
          <w:rFonts w:ascii="Times New Roman" w:hAnsi="Times New Roman"/>
        </w:rPr>
      </w:pPr>
      <w:r>
        <w:rPr>
          <w:rFonts w:ascii="Times New Roman" w:hAnsi="Times New Roman"/>
        </w:rPr>
        <w:t>Although Lujan’s creation story,</w:t>
      </w:r>
      <w:r w:rsidR="002202F2" w:rsidRPr="005B7071">
        <w:rPr>
          <w:rFonts w:ascii="Times New Roman" w:hAnsi="Times New Roman"/>
        </w:rPr>
        <w:t xml:space="preserve"> told to various researchers by Albert’s nephews in the 1990s,</w:t>
      </w:r>
      <w:r w:rsidR="002202F2" w:rsidRPr="005B7071">
        <w:rPr>
          <w:rStyle w:val="FootnoteReference"/>
          <w:rFonts w:ascii="Times New Roman" w:hAnsi="Times New Roman"/>
        </w:rPr>
        <w:footnoteReference w:id="218"/>
      </w:r>
      <w:r w:rsidR="002202F2" w:rsidRPr="005B7071">
        <w:rPr>
          <w:rFonts w:ascii="Times New Roman" w:hAnsi="Times New Roman"/>
        </w:rPr>
        <w:t xml:space="preserve"> probably retains a grain of truth, it fits too seamlessly into J.J. Brody’s reductive, Indian-painters-as-white-puppets thesis to be taken at face value. In Brody’s model, published in </w:t>
      </w:r>
      <w:r w:rsidR="002202F2" w:rsidRPr="005B7071">
        <w:rPr>
          <w:rFonts w:ascii="Times New Roman" w:hAnsi="Times New Roman"/>
          <w:i/>
        </w:rPr>
        <w:t>Indian Painters and White Patrons</w:t>
      </w:r>
      <w:r w:rsidR="002202F2" w:rsidRPr="005B7071">
        <w:rPr>
          <w:rFonts w:ascii="Times New Roman" w:hAnsi="Times New Roman"/>
        </w:rPr>
        <w:t xml:space="preserve"> (1971) and frequently cited until at least the late 1990s, “modern Indian painting has been . . . not a truly native expression derived from aboriginal forms but merely a passive response to White paternalism.”</w:t>
      </w:r>
      <w:r w:rsidR="002202F2" w:rsidRPr="005B7071">
        <w:rPr>
          <w:rStyle w:val="FootnoteReference"/>
          <w:rFonts w:ascii="Times New Roman" w:hAnsi="Times New Roman"/>
        </w:rPr>
        <w:footnoteReference w:id="219"/>
      </w:r>
      <w:r w:rsidR="002202F2" w:rsidRPr="005B7071">
        <w:rPr>
          <w:rFonts w:ascii="Times New Roman" w:hAnsi="Times New Roman"/>
        </w:rPr>
        <w:t xml:space="preserve"> On the surface, Brody’s model seems to fit Lujan and Looking Elk equally. Both emerged as artists through the aegis, encouragement, and positive feedback of non-Indian teachers and patrons. Yet once we begin to explore the multiple complex and multivalent relationships that developed between TSA artists and these Taos painters,</w:t>
      </w:r>
      <w:r w:rsidR="002202F2" w:rsidRPr="005B7071">
        <w:rPr>
          <w:rStyle w:val="FootnoteReference"/>
          <w:rFonts w:ascii="Times New Roman" w:hAnsi="Times New Roman"/>
        </w:rPr>
        <w:footnoteReference w:id="220"/>
      </w:r>
      <w:r w:rsidR="002202F2" w:rsidRPr="005B7071">
        <w:rPr>
          <w:rFonts w:ascii="Times New Roman" w:hAnsi="Times New Roman"/>
        </w:rPr>
        <w:t xml:space="preserve"> the limi</w:t>
      </w:r>
      <w:r w:rsidR="006E6A9B" w:rsidRPr="005B7071">
        <w:rPr>
          <w:rFonts w:ascii="Times New Roman" w:hAnsi="Times New Roman"/>
        </w:rPr>
        <w:t>tations of Brody’s model become</w:t>
      </w:r>
      <w:r w:rsidR="002202F2" w:rsidRPr="005B7071">
        <w:rPr>
          <w:rFonts w:ascii="Times New Roman" w:hAnsi="Times New Roman"/>
        </w:rPr>
        <w:t xml:space="preserve"> apparent. As Looking Elk’s story makes obvious, these relationships do not always follow predictable patterns</w:t>
      </w:r>
      <w:r w:rsidR="009E122B">
        <w:rPr>
          <w:rFonts w:ascii="Times New Roman" w:hAnsi="Times New Roman"/>
        </w:rPr>
        <w:t xml:space="preserve"> and </w:t>
      </w:r>
      <w:r w:rsidR="002202F2" w:rsidRPr="005B7071">
        <w:rPr>
          <w:rFonts w:ascii="Times New Roman" w:hAnsi="Times New Roman"/>
        </w:rPr>
        <w:t xml:space="preserve"> Brody’s model </w:t>
      </w:r>
      <w:r w:rsidR="009E122B">
        <w:rPr>
          <w:rFonts w:ascii="Times New Roman" w:hAnsi="Times New Roman"/>
        </w:rPr>
        <w:t xml:space="preserve">leaves </w:t>
      </w:r>
      <w:r w:rsidR="002202F2" w:rsidRPr="005B7071">
        <w:rPr>
          <w:rFonts w:ascii="Times New Roman" w:hAnsi="Times New Roman"/>
        </w:rPr>
        <w:t>no room for Native agency, instead positioning Native artist as passive ves</w:t>
      </w:r>
      <w:r w:rsidR="006E6A9B" w:rsidRPr="005B7071">
        <w:rPr>
          <w:rFonts w:ascii="Times New Roman" w:hAnsi="Times New Roman"/>
        </w:rPr>
        <w:t>sels fulfilling white desires.</w:t>
      </w:r>
    </w:p>
    <w:p w14:paraId="120D7E47" w14:textId="70C68DF2" w:rsidR="002202F2" w:rsidRPr="005B7071" w:rsidRDefault="002202F2" w:rsidP="002202F2">
      <w:pPr>
        <w:ind w:firstLine="720"/>
        <w:rPr>
          <w:rFonts w:ascii="Times New Roman" w:hAnsi="Times New Roman"/>
        </w:rPr>
      </w:pPr>
      <w:r w:rsidRPr="005B7071">
        <w:rPr>
          <w:rFonts w:ascii="Times New Roman" w:hAnsi="Times New Roman"/>
        </w:rPr>
        <w:t xml:space="preserve">Four things separated Looking Elk and Lujan from Brody’s model: agency, access, </w:t>
      </w:r>
      <w:r w:rsidR="009E122B">
        <w:rPr>
          <w:rFonts w:ascii="Times New Roman" w:hAnsi="Times New Roman"/>
        </w:rPr>
        <w:t>P</w:t>
      </w:r>
      <w:r w:rsidRPr="005B7071">
        <w:rPr>
          <w:rFonts w:ascii="Times New Roman" w:hAnsi="Times New Roman"/>
        </w:rPr>
        <w:t xml:space="preserve">ueblo-ness, and performance. Through active agency, each artist took advantage of the various levels of access they had into the non-Indian art world. For each, tourist art satisfied white desire for authentic Indian paintings, in part through performance. Yet ultimately, the repetition of the Pueblo and the surrounding mountains as subjects reinforced their Pueblo-ness by encoding potent symbols of indigenous nationalism </w:t>
      </w:r>
      <w:r w:rsidR="009E122B">
        <w:rPr>
          <w:rFonts w:ascii="Times New Roman" w:hAnsi="Times New Roman"/>
        </w:rPr>
        <w:t>iconographically</w:t>
      </w:r>
      <w:r w:rsidRPr="005B7071">
        <w:rPr>
          <w:rFonts w:ascii="Times New Roman" w:hAnsi="Times New Roman"/>
        </w:rPr>
        <w:t xml:space="preserve">. Vernon G. Lujan of Taos Pueblo, writing in 2003, maintained that Looking Elk and Lujan “were first and foremost members of the Pueblo of Taos, with all the rights and responsibilities of community membership and that which it </w:t>
      </w:r>
      <w:r w:rsidR="009E122B" w:rsidRPr="005B7071">
        <w:rPr>
          <w:rFonts w:ascii="Times New Roman" w:hAnsi="Times New Roman"/>
        </w:rPr>
        <w:t>entail</w:t>
      </w:r>
      <w:r w:rsidR="009E122B">
        <w:rPr>
          <w:rFonts w:ascii="Times New Roman" w:hAnsi="Times New Roman"/>
        </w:rPr>
        <w:t>[ed]</w:t>
      </w:r>
      <w:r w:rsidRPr="005B7071">
        <w:rPr>
          <w:rFonts w:ascii="Times New Roman" w:hAnsi="Times New Roman"/>
        </w:rPr>
        <w:t>.”</w:t>
      </w:r>
      <w:r w:rsidRPr="005B7071">
        <w:rPr>
          <w:rStyle w:val="FootnoteReference"/>
          <w:rFonts w:ascii="Times New Roman" w:hAnsi="Times New Roman"/>
        </w:rPr>
        <w:footnoteReference w:id="221"/>
      </w:r>
      <w:r w:rsidRPr="005B7071">
        <w:rPr>
          <w:rFonts w:ascii="Times New Roman" w:hAnsi="Times New Roman"/>
        </w:rPr>
        <w:t xml:space="preserve"> Far from inauthentic Indians co-opted by capitalism and the white man’s desires, these </w:t>
      </w:r>
      <w:r w:rsidRPr="005B7071">
        <w:rPr>
          <w:rFonts w:ascii="Times New Roman" w:hAnsi="Times New Roman"/>
          <w:i/>
        </w:rPr>
        <w:t>Pueblo Modernists</w:t>
      </w:r>
      <w:r w:rsidRPr="005B7071">
        <w:rPr>
          <w:rFonts w:ascii="Times New Roman" w:hAnsi="Times New Roman"/>
        </w:rPr>
        <w:t xml:space="preserve"> manipulated their asymmetrical relationships </w:t>
      </w:r>
      <w:r w:rsidR="006E6A9B" w:rsidRPr="005B7071">
        <w:rPr>
          <w:rFonts w:ascii="Times New Roman" w:hAnsi="Times New Roman"/>
        </w:rPr>
        <w:t>to the best of their advantage.</w:t>
      </w:r>
    </w:p>
    <w:p w14:paraId="70D457E3" w14:textId="77777777" w:rsidR="00DA34BD" w:rsidRDefault="00DA34BD" w:rsidP="000C5C0B">
      <w:pPr>
        <w:jc w:val="center"/>
        <w:rPr>
          <w:rFonts w:ascii="Times New Roman" w:hAnsi="Times New Roman"/>
          <w:b/>
        </w:rPr>
      </w:pPr>
    </w:p>
    <w:p w14:paraId="0F7861F7" w14:textId="4FC435A2" w:rsidR="002202F2" w:rsidRPr="005B7071" w:rsidRDefault="002202F2" w:rsidP="000C5C0B">
      <w:pPr>
        <w:jc w:val="center"/>
        <w:rPr>
          <w:rFonts w:ascii="Times New Roman" w:hAnsi="Times New Roman"/>
          <w:b/>
        </w:rPr>
      </w:pPr>
      <w:r w:rsidRPr="005B7071">
        <w:rPr>
          <w:rFonts w:ascii="Times New Roman" w:hAnsi="Times New Roman"/>
          <w:b/>
        </w:rPr>
        <w:t xml:space="preserve">Difference and Sameness: The Santa </w:t>
      </w:r>
      <w:r w:rsidR="006E6A9B" w:rsidRPr="005B7071">
        <w:rPr>
          <w:rFonts w:ascii="Times New Roman" w:hAnsi="Times New Roman"/>
          <w:b/>
        </w:rPr>
        <w:t>Fe School versus the Taos Style</w:t>
      </w:r>
    </w:p>
    <w:p w14:paraId="7C892D48" w14:textId="77777777" w:rsidR="00DB1BBD" w:rsidRDefault="002202F2" w:rsidP="00DB1BBD">
      <w:pPr>
        <w:ind w:firstLine="720"/>
        <w:rPr>
          <w:rFonts w:ascii="Times New Roman" w:hAnsi="Times New Roman"/>
        </w:rPr>
      </w:pPr>
      <w:r w:rsidRPr="005B7071">
        <w:rPr>
          <w:rFonts w:ascii="Times New Roman" w:hAnsi="Times New Roman"/>
        </w:rPr>
        <w:t xml:space="preserve">Albert Looking Elk and Albert Lujan, along with John Concha (1877-1969) and Juan Mirabal (1903-1970), and possibly a few additional as yet unidentified artists from Taos Pueblo, formed a small, distinctive clique committed to painting in a three dimensional, Euro-American style. As </w:t>
      </w:r>
      <w:r w:rsidR="009E122B">
        <w:rPr>
          <w:rFonts w:ascii="Times New Roman" w:hAnsi="Times New Roman"/>
        </w:rPr>
        <w:t xml:space="preserve">my </w:t>
      </w:r>
      <w:r w:rsidR="000B447B" w:rsidRPr="005B7071">
        <w:rPr>
          <w:rFonts w:ascii="Times New Roman" w:hAnsi="Times New Roman"/>
        </w:rPr>
        <w:t xml:space="preserve">analysis </w:t>
      </w:r>
      <w:r w:rsidR="007A29F3">
        <w:rPr>
          <w:rFonts w:ascii="Times New Roman" w:hAnsi="Times New Roman"/>
        </w:rPr>
        <w:t>w</w:t>
      </w:r>
      <w:r w:rsidR="000B447B" w:rsidRPr="005B7071">
        <w:rPr>
          <w:rFonts w:ascii="Times New Roman" w:hAnsi="Times New Roman"/>
        </w:rPr>
        <w:t>ill suggest</w:t>
      </w:r>
      <w:r w:rsidRPr="005B7071">
        <w:rPr>
          <w:rFonts w:ascii="Times New Roman" w:hAnsi="Times New Roman"/>
        </w:rPr>
        <w:t>, nothing could be more Puebloan, or more Indian, than the subj</w:t>
      </w:r>
      <w:r w:rsidR="007E6858">
        <w:rPr>
          <w:rFonts w:ascii="Times New Roman" w:hAnsi="Times New Roman"/>
        </w:rPr>
        <w:t>ect matter these artists chose</w:t>
      </w:r>
      <w:r w:rsidRPr="005B7071">
        <w:rPr>
          <w:rFonts w:ascii="Times New Roman" w:hAnsi="Times New Roman"/>
        </w:rPr>
        <w:t>. Undoubtedly, the single largest reason a realist tradition flourished at Taos Pueblo from 1915 until the 1940s was the proximity of TSA artists to the Pueblo, and the frequency with which those artists hired men (and some women) from the Pueblo to model for them. The TSA was a rear-guard movement that clung to academic principles long after most leading American artists had begun employing some form of mediated European Modernism. Through modeling and other domestic chores, some models formed unique and enduring relationships with their non-Indian employers. For Albert Looking Elk, his privileged relationship allowed him first to observe, them to emulate, Berninghaus. For Albert Lujan, his occasional modeling for TSA artists, his family connections to Mabel Dodge, and his entrepreneurial spirit allowed him</w:t>
      </w:r>
      <w:r w:rsidR="00DB1BBD">
        <w:rPr>
          <w:rFonts w:ascii="Times New Roman" w:hAnsi="Times New Roman"/>
        </w:rPr>
        <w:t xml:space="preserve"> to make a career as an artist.</w:t>
      </w:r>
    </w:p>
    <w:p w14:paraId="40C2EEB0" w14:textId="445B4595" w:rsidR="002202F2" w:rsidRPr="005B7071" w:rsidRDefault="002202F2" w:rsidP="00DB1BBD">
      <w:pPr>
        <w:ind w:firstLine="720"/>
        <w:rPr>
          <w:rFonts w:ascii="Times New Roman" w:hAnsi="Times New Roman"/>
        </w:rPr>
      </w:pPr>
      <w:r w:rsidRPr="005B7071">
        <w:rPr>
          <w:rFonts w:ascii="Times New Roman" w:hAnsi="Times New Roman"/>
        </w:rPr>
        <w:t>Yet these artists existed, and still exist, outside of the m</w:t>
      </w:r>
      <w:r w:rsidR="009E122B">
        <w:rPr>
          <w:rFonts w:ascii="Times New Roman" w:hAnsi="Times New Roman"/>
        </w:rPr>
        <w:t>ainstream of accepted twentieth-</w:t>
      </w:r>
      <w:r w:rsidRPr="005B7071">
        <w:rPr>
          <w:rFonts w:ascii="Times New Roman" w:hAnsi="Times New Roman"/>
        </w:rPr>
        <w:t xml:space="preserve">century Indian easel painting. From the 1890s onward, American Indian easel paintings </w:t>
      </w:r>
      <w:r w:rsidR="007E6858">
        <w:rPr>
          <w:rFonts w:ascii="Times New Roman" w:hAnsi="Times New Roman"/>
        </w:rPr>
        <w:t xml:space="preserve">have been judged </w:t>
      </w:r>
      <w:r w:rsidRPr="005B7071">
        <w:rPr>
          <w:rFonts w:ascii="Times New Roman" w:hAnsi="Times New Roman"/>
        </w:rPr>
        <w:t xml:space="preserve">against the flat, decorative, non-illusionistic, auto-ethnographic Santa Fe Style that emerged between </w:t>
      </w:r>
      <w:r w:rsidR="008420A7">
        <w:rPr>
          <w:rFonts w:ascii="Times New Roman" w:hAnsi="Times New Roman"/>
        </w:rPr>
        <w:t>1910 and 1920. By 1935, a second generation of artists who had inherited this style garnered national and even international audiences.</w:t>
      </w:r>
      <w:r w:rsidR="008420A7">
        <w:rPr>
          <w:rStyle w:val="FootnoteReference"/>
          <w:rFonts w:ascii="Times New Roman" w:hAnsi="Times New Roman"/>
        </w:rPr>
        <w:footnoteReference w:id="222"/>
      </w:r>
      <w:r w:rsidR="008420A7">
        <w:rPr>
          <w:rFonts w:ascii="Times New Roman" w:hAnsi="Times New Roman"/>
        </w:rPr>
        <w:t xml:space="preserve"> B</w:t>
      </w:r>
      <w:r w:rsidRPr="005B7071">
        <w:rPr>
          <w:rFonts w:ascii="Times New Roman" w:hAnsi="Times New Roman"/>
        </w:rPr>
        <w:t>ecause others have exhaustively documented the development of the Santa Fe Studio style,</w:t>
      </w:r>
      <w:r w:rsidRPr="005B7071">
        <w:rPr>
          <w:rStyle w:val="FootnoteReference"/>
          <w:rFonts w:ascii="Times New Roman" w:hAnsi="Times New Roman"/>
        </w:rPr>
        <w:footnoteReference w:id="223"/>
      </w:r>
      <w:r w:rsidRPr="005B7071">
        <w:rPr>
          <w:rFonts w:ascii="Times New Roman" w:hAnsi="Times New Roman"/>
        </w:rPr>
        <w:t xml:space="preserve"> what follows is an abbreviated sketch of how th</w:t>
      </w:r>
      <w:r w:rsidR="009E122B">
        <w:rPr>
          <w:rFonts w:ascii="Times New Roman" w:hAnsi="Times New Roman"/>
        </w:rPr>
        <w:t xml:space="preserve">at </w:t>
      </w:r>
      <w:r w:rsidR="006E6A9B" w:rsidRPr="005B7071">
        <w:rPr>
          <w:rFonts w:ascii="Times New Roman" w:hAnsi="Times New Roman"/>
        </w:rPr>
        <w:t>came into existence.</w:t>
      </w:r>
    </w:p>
    <w:p w14:paraId="114B9A0D" w14:textId="247AA20F" w:rsidR="002202F2" w:rsidRPr="005B7071" w:rsidRDefault="007E6858" w:rsidP="002202F2">
      <w:pPr>
        <w:ind w:firstLine="720"/>
        <w:rPr>
          <w:rFonts w:ascii="Times New Roman" w:hAnsi="Times New Roman"/>
        </w:rPr>
      </w:pPr>
      <w:r>
        <w:rPr>
          <w:rFonts w:ascii="Times New Roman" w:hAnsi="Times New Roman"/>
        </w:rPr>
        <w:t xml:space="preserve">Between </w:t>
      </w:r>
      <w:r w:rsidR="002202F2" w:rsidRPr="005B7071">
        <w:rPr>
          <w:rFonts w:ascii="Times New Roman" w:hAnsi="Times New Roman"/>
        </w:rPr>
        <w:t xml:space="preserve">1900 and 1920, various non-Indian scholars, anthropologists, artists, and cultural powerbrokers in New Mexico attempted to facilitate </w:t>
      </w:r>
      <w:r w:rsidR="007412EF">
        <w:rPr>
          <w:rFonts w:ascii="Times New Roman" w:hAnsi="Times New Roman"/>
        </w:rPr>
        <w:t xml:space="preserve">what they saw as </w:t>
      </w:r>
      <w:r w:rsidR="002202F2" w:rsidRPr="005B7071">
        <w:rPr>
          <w:rFonts w:ascii="Times New Roman" w:hAnsi="Times New Roman"/>
        </w:rPr>
        <w:t xml:space="preserve">a return to an authentic Indian painting style by the peoples of the Rio Grande Pueblos. Some of the earliest artists, such as Crescencio Martinez, Julian Martinez, and Tonita Peña of San Ildefonso Pueblo, were encouraged by their white patrons to paint </w:t>
      </w:r>
      <w:r w:rsidR="007412EF">
        <w:rPr>
          <w:rFonts w:ascii="Times New Roman" w:hAnsi="Times New Roman"/>
        </w:rPr>
        <w:t xml:space="preserve">so-called </w:t>
      </w:r>
      <w:r w:rsidR="002202F2" w:rsidRPr="005B7071">
        <w:rPr>
          <w:rFonts w:ascii="Times New Roman" w:hAnsi="Times New Roman"/>
        </w:rPr>
        <w:t>“authentic” Indian subjects in a flat, linear, decorative style similar to pictographs in caves and paintings on ancient kiva walls. In attempting to revive what they saw as a moribund Native painting tradition, their white sponsors, men like</w:t>
      </w:r>
      <w:r w:rsidR="007A29F3">
        <w:rPr>
          <w:rFonts w:ascii="Times New Roman" w:hAnsi="Times New Roman"/>
        </w:rPr>
        <w:t xml:space="preserve"> Edgar Lee Hewe</w:t>
      </w:r>
      <w:r w:rsidR="002202F2" w:rsidRPr="005B7071">
        <w:rPr>
          <w:rFonts w:ascii="Times New Roman" w:hAnsi="Times New Roman"/>
        </w:rPr>
        <w:t xml:space="preserve">tt, believed they were helping Indians by providing </w:t>
      </w:r>
      <w:r w:rsidR="009E122B">
        <w:rPr>
          <w:rFonts w:ascii="Times New Roman" w:hAnsi="Times New Roman"/>
        </w:rPr>
        <w:t xml:space="preserve">them </w:t>
      </w:r>
      <w:r w:rsidR="002202F2" w:rsidRPr="005B7071">
        <w:rPr>
          <w:rFonts w:ascii="Times New Roman" w:hAnsi="Times New Roman"/>
        </w:rPr>
        <w:t>a way to make a living while practicing an indigenous art form. Soon, accepted Puebloan subjects emerged and stylistic norms</w:t>
      </w:r>
      <w:r>
        <w:rPr>
          <w:rFonts w:ascii="Times New Roman" w:hAnsi="Times New Roman"/>
        </w:rPr>
        <w:t xml:space="preserve"> developed. Acceptable </w:t>
      </w:r>
      <w:r w:rsidR="002202F2" w:rsidRPr="005B7071">
        <w:rPr>
          <w:rFonts w:ascii="Times New Roman" w:hAnsi="Times New Roman"/>
        </w:rPr>
        <w:t xml:space="preserve">subjects included elements from Puebloan cosmology, ceremonial dances, or scenes of everyday Pueblo life. These subjects were to be painted in watercolors on paper only. Stylistically, the paintings </w:t>
      </w:r>
      <w:r w:rsidR="007412EF">
        <w:rPr>
          <w:rFonts w:ascii="Times New Roman" w:hAnsi="Times New Roman"/>
        </w:rPr>
        <w:t>were</w:t>
      </w:r>
      <w:r w:rsidR="002202F2" w:rsidRPr="005B7071">
        <w:rPr>
          <w:rFonts w:ascii="Times New Roman" w:hAnsi="Times New Roman"/>
        </w:rPr>
        <w:t xml:space="preserve"> flat, i.e., non-three dimensiona</w:t>
      </w:r>
      <w:r w:rsidR="007A29F3">
        <w:rPr>
          <w:rFonts w:ascii="Times New Roman" w:hAnsi="Times New Roman"/>
        </w:rPr>
        <w:t xml:space="preserve">l, linear, and colorful. By 1932, </w:t>
      </w:r>
      <w:r w:rsidR="002202F2" w:rsidRPr="005B7071">
        <w:rPr>
          <w:rFonts w:ascii="Times New Roman" w:hAnsi="Times New Roman"/>
        </w:rPr>
        <w:t>Dorothy Dunn started teaching at the Santa Fe Indian School</w:t>
      </w:r>
      <w:r w:rsidR="007A29F3">
        <w:rPr>
          <w:rFonts w:ascii="Times New Roman" w:hAnsi="Times New Roman"/>
        </w:rPr>
        <w:t xml:space="preserve"> and </w:t>
      </w:r>
      <w:r w:rsidR="002202F2" w:rsidRPr="005B7071">
        <w:rPr>
          <w:rFonts w:ascii="Times New Roman" w:hAnsi="Times New Roman"/>
        </w:rPr>
        <w:t xml:space="preserve">codified </w:t>
      </w:r>
      <w:r w:rsidR="007A29F3">
        <w:rPr>
          <w:rFonts w:ascii="Times New Roman" w:hAnsi="Times New Roman"/>
        </w:rPr>
        <w:t xml:space="preserve">these conventions </w:t>
      </w:r>
      <w:r w:rsidR="002202F2" w:rsidRPr="005B7071">
        <w:rPr>
          <w:rFonts w:ascii="Times New Roman" w:hAnsi="Times New Roman"/>
        </w:rPr>
        <w:t xml:space="preserve">into unbreakable laws. The American regionalist painter Alexandre Hogue, writing </w:t>
      </w:r>
      <w:r w:rsidR="00837C61">
        <w:rPr>
          <w:rFonts w:ascii="Times New Roman" w:hAnsi="Times New Roman"/>
        </w:rPr>
        <w:t xml:space="preserve">four years </w:t>
      </w:r>
      <w:r w:rsidR="002202F2" w:rsidRPr="005B7071">
        <w:rPr>
          <w:rFonts w:ascii="Times New Roman" w:hAnsi="Times New Roman"/>
        </w:rPr>
        <w:t>before Dunn sta</w:t>
      </w:r>
      <w:r w:rsidR="00837C61">
        <w:rPr>
          <w:rFonts w:ascii="Times New Roman" w:hAnsi="Times New Roman"/>
        </w:rPr>
        <w:t>r</w:t>
      </w:r>
      <w:r w:rsidR="002202F2" w:rsidRPr="005B7071">
        <w:rPr>
          <w:rFonts w:ascii="Times New Roman" w:hAnsi="Times New Roman"/>
        </w:rPr>
        <w:t xml:space="preserve">ted teaching, summarized </w:t>
      </w:r>
      <w:r w:rsidR="009E122B">
        <w:rPr>
          <w:rFonts w:ascii="Times New Roman" w:hAnsi="Times New Roman"/>
        </w:rPr>
        <w:t xml:space="preserve">Dunn’s </w:t>
      </w:r>
      <w:r w:rsidR="002202F2" w:rsidRPr="005B7071">
        <w:rPr>
          <w:rFonts w:ascii="Times New Roman" w:hAnsi="Times New Roman"/>
        </w:rPr>
        <w:t>paternalism thus:</w:t>
      </w:r>
    </w:p>
    <w:p w14:paraId="1C619C79" w14:textId="3E596550" w:rsidR="002202F2" w:rsidRPr="005B7071" w:rsidRDefault="002202F2" w:rsidP="002202F2">
      <w:pPr>
        <w:pStyle w:val="NoSpacing"/>
        <w:ind w:left="1440"/>
        <w:rPr>
          <w:rFonts w:ascii="Times New Roman" w:hAnsi="Times New Roman"/>
          <w:szCs w:val="24"/>
        </w:rPr>
      </w:pPr>
      <w:r w:rsidRPr="005B7071">
        <w:rPr>
          <w:rFonts w:ascii="Times New Roman" w:hAnsi="Times New Roman"/>
          <w:szCs w:val="24"/>
        </w:rPr>
        <w:t>Occasionally some poor mi</w:t>
      </w:r>
      <w:r w:rsidR="007E6858">
        <w:rPr>
          <w:rFonts w:ascii="Times New Roman" w:hAnsi="Times New Roman"/>
          <w:szCs w:val="24"/>
        </w:rPr>
        <w:t>sguided fellow comes to Dr. Hewe</w:t>
      </w:r>
      <w:r w:rsidRPr="005B7071">
        <w:rPr>
          <w:rFonts w:ascii="Times New Roman" w:hAnsi="Times New Roman"/>
          <w:szCs w:val="24"/>
        </w:rPr>
        <w:t>tt or Mrs. Van Stone at the museum [Museum of Fine Arts, Santa Fe] hoping to exhibit his work done in oils afte</w:t>
      </w:r>
      <w:r w:rsidR="007A29F3">
        <w:rPr>
          <w:rFonts w:ascii="Times New Roman" w:hAnsi="Times New Roman"/>
          <w:szCs w:val="24"/>
        </w:rPr>
        <w:t>r the white man’s manner. To us</w:t>
      </w:r>
      <w:r w:rsidRPr="005B7071">
        <w:rPr>
          <w:rFonts w:ascii="Times New Roman" w:hAnsi="Times New Roman"/>
          <w:szCs w:val="24"/>
        </w:rPr>
        <w:t xml:space="preserve"> they are pitiful specimens . . . but they won’t be misguided long. The museum policy is to refuse to show such works, and the artist is sent away with the promise that work done in his own traditional manner will be shown and pushed. Those in power at Taos have not been so uncompromising and, as a result, two Taos tribesmen are turning out the kind of stu</w:t>
      </w:r>
      <w:r w:rsidR="007E6858">
        <w:rPr>
          <w:rFonts w:ascii="Times New Roman" w:hAnsi="Times New Roman"/>
          <w:szCs w:val="24"/>
        </w:rPr>
        <w:t xml:space="preserve">ff we see done in show windows. </w:t>
      </w:r>
      <w:r w:rsidRPr="005B7071">
        <w:rPr>
          <w:rFonts w:ascii="Times New Roman" w:hAnsi="Times New Roman"/>
          <w:szCs w:val="24"/>
        </w:rPr>
        <w:t>Their work is atrocious.</w:t>
      </w:r>
      <w:r w:rsidRPr="005B7071">
        <w:rPr>
          <w:rStyle w:val="FootnoteReference"/>
          <w:rFonts w:ascii="Times New Roman" w:hAnsi="Times New Roman"/>
          <w:szCs w:val="24"/>
        </w:rPr>
        <w:footnoteReference w:id="224"/>
      </w:r>
      <w:r w:rsidRPr="005B7071">
        <w:rPr>
          <w:rFonts w:ascii="Times New Roman" w:hAnsi="Times New Roman"/>
          <w:szCs w:val="24"/>
        </w:rPr>
        <w:t xml:space="preserve"> </w:t>
      </w:r>
    </w:p>
    <w:p w14:paraId="67BC86D3" w14:textId="77777777" w:rsidR="002202F2" w:rsidRPr="005B7071" w:rsidRDefault="002202F2" w:rsidP="002202F2">
      <w:pPr>
        <w:pStyle w:val="NoSpacing"/>
        <w:ind w:left="720" w:firstLine="720"/>
        <w:rPr>
          <w:rFonts w:ascii="Times New Roman" w:hAnsi="Times New Roman"/>
          <w:szCs w:val="24"/>
        </w:rPr>
      </w:pPr>
    </w:p>
    <w:p w14:paraId="3503E828" w14:textId="3B8BFFCD" w:rsidR="002202F2" w:rsidRPr="005B7071" w:rsidRDefault="002202F2" w:rsidP="002202F2">
      <w:pPr>
        <w:ind w:firstLine="720"/>
        <w:rPr>
          <w:rFonts w:ascii="Times New Roman" w:hAnsi="Times New Roman"/>
        </w:rPr>
      </w:pPr>
      <w:r w:rsidRPr="005B7071">
        <w:rPr>
          <w:rFonts w:ascii="Times New Roman" w:hAnsi="Times New Roman"/>
        </w:rPr>
        <w:t>It is tempting to imagine that the “two Taos tribesmen</w:t>
      </w:r>
      <w:r w:rsidR="007E6858">
        <w:rPr>
          <w:rFonts w:ascii="Times New Roman" w:hAnsi="Times New Roman"/>
        </w:rPr>
        <w:t>,</w:t>
      </w:r>
      <w:r w:rsidRPr="005B7071">
        <w:rPr>
          <w:rFonts w:ascii="Times New Roman" w:hAnsi="Times New Roman"/>
        </w:rPr>
        <w:t xml:space="preserve">” </w:t>
      </w:r>
      <w:r w:rsidR="007E6858">
        <w:rPr>
          <w:rFonts w:ascii="Times New Roman" w:hAnsi="Times New Roman"/>
        </w:rPr>
        <w:t xml:space="preserve">whose artwork </w:t>
      </w:r>
      <w:r w:rsidRPr="005B7071">
        <w:rPr>
          <w:rFonts w:ascii="Times New Roman" w:hAnsi="Times New Roman"/>
        </w:rPr>
        <w:t>Hogue terms “atrocious</w:t>
      </w:r>
      <w:r w:rsidR="007E6858">
        <w:rPr>
          <w:rFonts w:ascii="Times New Roman" w:hAnsi="Times New Roman"/>
        </w:rPr>
        <w:t>,</w:t>
      </w:r>
      <w:r w:rsidRPr="005B7071">
        <w:rPr>
          <w:rFonts w:ascii="Times New Roman" w:hAnsi="Times New Roman"/>
        </w:rPr>
        <w:t xml:space="preserve">” were Albert Looking Elk and Albert Lujan. Indeed, both artists were working full bore by this </w:t>
      </w:r>
      <w:r w:rsidR="007E6858">
        <w:rPr>
          <w:rFonts w:ascii="Times New Roman" w:hAnsi="Times New Roman"/>
        </w:rPr>
        <w:t xml:space="preserve">time, </w:t>
      </w:r>
      <w:r w:rsidRPr="005B7071">
        <w:rPr>
          <w:rFonts w:ascii="Times New Roman" w:hAnsi="Times New Roman"/>
        </w:rPr>
        <w:t>and they would have had the example of the Taos Society of Artists to point out the value of exhibiting their artwork in a museum setting.</w:t>
      </w:r>
      <w:r w:rsidRPr="005B7071">
        <w:rPr>
          <w:rStyle w:val="FootnoteReference"/>
          <w:rFonts w:ascii="Times New Roman" w:hAnsi="Times New Roman"/>
        </w:rPr>
        <w:footnoteReference w:id="225"/>
      </w:r>
      <w:r w:rsidRPr="005B7071">
        <w:rPr>
          <w:rFonts w:ascii="Times New Roman" w:hAnsi="Times New Roman"/>
        </w:rPr>
        <w:t xml:space="preserve"> Hogue’s </w:t>
      </w:r>
      <w:r w:rsidR="007A29F3">
        <w:rPr>
          <w:rFonts w:ascii="Times New Roman" w:hAnsi="Times New Roman"/>
        </w:rPr>
        <w:t>statement</w:t>
      </w:r>
      <w:r w:rsidRPr="005B7071">
        <w:rPr>
          <w:rFonts w:ascii="Times New Roman" w:hAnsi="Times New Roman"/>
        </w:rPr>
        <w:t xml:space="preserve"> points to the problem most whites had with Taos Pueblo realism in the 1920s and beyond – the stain of white influence. Canvas, oil paints, and especially three-dimensional illusionism were foreign pollutants to the pure Pueblo soul. The irony, of course, is that during this time period, white patronage and paternalism profoundly influenced all Indian easel paintings in New Mexico, either in the form of concerned white anthropologists and m</w:t>
      </w:r>
      <w:r w:rsidR="006D4EA7">
        <w:rPr>
          <w:rFonts w:ascii="Times New Roman" w:hAnsi="Times New Roman"/>
        </w:rPr>
        <w:t>useum directors (</w:t>
      </w:r>
      <w:r w:rsidR="007A29F3">
        <w:rPr>
          <w:rFonts w:ascii="Times New Roman" w:hAnsi="Times New Roman"/>
        </w:rPr>
        <w:t>Hewe</w:t>
      </w:r>
      <w:r w:rsidRPr="005B7071">
        <w:rPr>
          <w:rFonts w:ascii="Times New Roman" w:hAnsi="Times New Roman"/>
        </w:rPr>
        <w:t>tt, Santa Fe) or of paternalistic white artists and curio-seeking tourists (Couse and Berninghaus, Taos). Each group of Indian painters received specific feedback from white patrons as to what was most acceptable. Santa Fe patrons approved of Pueblo painters emulating white ideas of authentic Puebloness; Taos artists approved of Pueblo painters emulating their painting style, a dynam</w:t>
      </w:r>
      <w:r w:rsidR="006E6A9B" w:rsidRPr="005B7071">
        <w:rPr>
          <w:rFonts w:ascii="Times New Roman" w:hAnsi="Times New Roman"/>
        </w:rPr>
        <w:t>ic reinforced by sales</w:t>
      </w:r>
      <w:r w:rsidR="007E6858">
        <w:rPr>
          <w:rFonts w:ascii="Times New Roman" w:hAnsi="Times New Roman"/>
        </w:rPr>
        <w:t xml:space="preserve"> to tourists</w:t>
      </w:r>
      <w:r w:rsidR="006E6A9B" w:rsidRPr="005B7071">
        <w:rPr>
          <w:rFonts w:ascii="Times New Roman" w:hAnsi="Times New Roman"/>
        </w:rPr>
        <w:t>.</w:t>
      </w:r>
    </w:p>
    <w:p w14:paraId="71EE095D" w14:textId="5E868CBC" w:rsidR="002202F2" w:rsidRPr="005B7071" w:rsidRDefault="002202F2" w:rsidP="002202F2">
      <w:pPr>
        <w:ind w:firstLine="720"/>
        <w:rPr>
          <w:rFonts w:ascii="Times New Roman" w:hAnsi="Times New Roman"/>
        </w:rPr>
      </w:pPr>
      <w:r w:rsidRPr="005B7071">
        <w:rPr>
          <w:rFonts w:ascii="Times New Roman" w:hAnsi="Times New Roman"/>
        </w:rPr>
        <w:t xml:space="preserve">In this postmodern moment, it seems obvious that Pueblo artists who </w:t>
      </w:r>
      <w:r w:rsidR="00122A3E">
        <w:rPr>
          <w:rFonts w:ascii="Times New Roman" w:hAnsi="Times New Roman"/>
        </w:rPr>
        <w:t xml:space="preserve">worked in either the </w:t>
      </w:r>
      <w:r w:rsidRPr="005B7071">
        <w:rPr>
          <w:rFonts w:ascii="Times New Roman" w:hAnsi="Times New Roman"/>
        </w:rPr>
        <w:t xml:space="preserve">Santa Fe </w:t>
      </w:r>
      <w:r w:rsidR="00122A3E">
        <w:rPr>
          <w:rFonts w:ascii="Times New Roman" w:hAnsi="Times New Roman"/>
        </w:rPr>
        <w:t>or TSA s</w:t>
      </w:r>
      <w:r w:rsidRPr="005B7071">
        <w:rPr>
          <w:rFonts w:ascii="Times New Roman" w:hAnsi="Times New Roman"/>
        </w:rPr>
        <w:t xml:space="preserve">tyle </w:t>
      </w:r>
      <w:r w:rsidR="00122A3E">
        <w:rPr>
          <w:rFonts w:ascii="Times New Roman" w:hAnsi="Times New Roman"/>
        </w:rPr>
        <w:t>were</w:t>
      </w:r>
      <w:r w:rsidRPr="005B7071">
        <w:rPr>
          <w:rFonts w:ascii="Times New Roman" w:hAnsi="Times New Roman"/>
        </w:rPr>
        <w:t xml:space="preserve"> </w:t>
      </w:r>
      <w:r w:rsidRPr="00122A3E">
        <w:rPr>
          <w:rFonts w:ascii="Times New Roman" w:hAnsi="Times New Roman"/>
        </w:rPr>
        <w:t>managing social modernity in manifold ways</w:t>
      </w:r>
      <w:r w:rsidRPr="005B7071">
        <w:rPr>
          <w:rFonts w:ascii="Times New Roman" w:hAnsi="Times New Roman"/>
        </w:rPr>
        <w:t xml:space="preserve">. Style and subject matter were tools with which Pueblo artists managed </w:t>
      </w:r>
      <w:r w:rsidR="00122A3E">
        <w:rPr>
          <w:rFonts w:ascii="Times New Roman" w:hAnsi="Times New Roman"/>
        </w:rPr>
        <w:t xml:space="preserve">their place in the </w:t>
      </w:r>
      <w:r w:rsidRPr="005B7071">
        <w:rPr>
          <w:rFonts w:ascii="Times New Roman" w:hAnsi="Times New Roman"/>
        </w:rPr>
        <w:t xml:space="preserve">social </w:t>
      </w:r>
      <w:r w:rsidR="00122A3E">
        <w:rPr>
          <w:rFonts w:ascii="Times New Roman" w:hAnsi="Times New Roman"/>
        </w:rPr>
        <w:t>order</w:t>
      </w:r>
      <w:r w:rsidRPr="005B7071">
        <w:rPr>
          <w:rFonts w:ascii="Times New Roman" w:hAnsi="Times New Roman"/>
        </w:rPr>
        <w:t xml:space="preserve">. Albert Looking Elk established his Puebloness in his paintings in much the same way </w:t>
      </w:r>
      <w:r w:rsidR="00122A3E">
        <w:rPr>
          <w:rFonts w:ascii="Times New Roman" w:hAnsi="Times New Roman"/>
        </w:rPr>
        <w:t xml:space="preserve">that </w:t>
      </w:r>
      <w:r w:rsidRPr="005B7071">
        <w:rPr>
          <w:rFonts w:ascii="Times New Roman" w:hAnsi="Times New Roman"/>
        </w:rPr>
        <w:t>Dan Namingha of Hopi d</w:t>
      </w:r>
      <w:r w:rsidR="00122A3E">
        <w:rPr>
          <w:rFonts w:ascii="Times New Roman" w:hAnsi="Times New Roman"/>
        </w:rPr>
        <w:t>id</w:t>
      </w:r>
      <w:r w:rsidR="00C37A50">
        <w:rPr>
          <w:rFonts w:ascii="Times New Roman" w:hAnsi="Times New Roman"/>
        </w:rPr>
        <w:t xml:space="preserve"> </w:t>
      </w:r>
      <w:r w:rsidR="00C37A50" w:rsidRPr="005B7071">
        <w:rPr>
          <w:rFonts w:ascii="Times New Roman" w:hAnsi="Times New Roman"/>
        </w:rPr>
        <w:t>(fig. 4.18)</w:t>
      </w:r>
      <w:r w:rsidRPr="005B7071">
        <w:rPr>
          <w:rFonts w:ascii="Times New Roman" w:hAnsi="Times New Roman"/>
        </w:rPr>
        <w:t>, by repetition of, and association with, sacred Pueblo places.</w:t>
      </w:r>
      <w:r w:rsidRPr="005B7071">
        <w:rPr>
          <w:rStyle w:val="FootnoteReference"/>
          <w:rFonts w:ascii="Times New Roman" w:hAnsi="Times New Roman"/>
        </w:rPr>
        <w:footnoteReference w:id="226"/>
      </w:r>
      <w:r w:rsidR="003A28DE" w:rsidRPr="005B7071">
        <w:rPr>
          <w:rFonts w:ascii="Times New Roman" w:hAnsi="Times New Roman"/>
        </w:rPr>
        <w:t xml:space="preserve"> </w:t>
      </w:r>
    </w:p>
    <w:p w14:paraId="5B221E1B" w14:textId="78E9A630" w:rsidR="002202F2" w:rsidRDefault="002202F2" w:rsidP="002202F2">
      <w:pPr>
        <w:rPr>
          <w:rFonts w:ascii="Times New Roman" w:hAnsi="Times New Roman"/>
        </w:rPr>
      </w:pPr>
      <w:r w:rsidRPr="005B7071">
        <w:rPr>
          <w:rFonts w:ascii="Times New Roman" w:hAnsi="Times New Roman"/>
        </w:rPr>
        <w:tab/>
        <w:t xml:space="preserve">Taos and Santa Fe painters managed social modernity differently. It is easy to see injustice in the fact that Looking Elk and Lujan were </w:t>
      </w:r>
      <w:r w:rsidR="00122A3E">
        <w:rPr>
          <w:rFonts w:ascii="Times New Roman" w:hAnsi="Times New Roman"/>
        </w:rPr>
        <w:t xml:space="preserve">until recently </w:t>
      </w:r>
      <w:r w:rsidRPr="005B7071">
        <w:rPr>
          <w:rFonts w:ascii="Times New Roman" w:hAnsi="Times New Roman"/>
        </w:rPr>
        <w:t>left out</w:t>
      </w:r>
      <w:r w:rsidR="00122A3E">
        <w:rPr>
          <w:rFonts w:ascii="Times New Roman" w:hAnsi="Times New Roman"/>
        </w:rPr>
        <w:t xml:space="preserve"> </w:t>
      </w:r>
      <w:r w:rsidRPr="005B7071">
        <w:rPr>
          <w:rFonts w:ascii="Times New Roman" w:hAnsi="Times New Roman"/>
        </w:rPr>
        <w:t xml:space="preserve">of the history of twentieth century Pueblo painting, and were for the most part </w:t>
      </w:r>
      <w:r w:rsidR="00122A3E">
        <w:rPr>
          <w:rFonts w:ascii="Times New Roman" w:hAnsi="Times New Roman"/>
        </w:rPr>
        <w:t xml:space="preserve">in their lifetimes </w:t>
      </w:r>
      <w:r w:rsidRPr="005B7071">
        <w:rPr>
          <w:rFonts w:ascii="Times New Roman" w:hAnsi="Times New Roman"/>
        </w:rPr>
        <w:t>denied access to Santa Fe patrons.</w:t>
      </w:r>
      <w:r w:rsidRPr="005B7071">
        <w:rPr>
          <w:rStyle w:val="FootnoteReference"/>
          <w:rFonts w:ascii="Times New Roman" w:hAnsi="Times New Roman"/>
        </w:rPr>
        <w:footnoteReference w:id="227"/>
      </w:r>
      <w:r w:rsidRPr="005B7071">
        <w:rPr>
          <w:rFonts w:ascii="Times New Roman" w:hAnsi="Times New Roman"/>
        </w:rPr>
        <w:t xml:space="preserve"> Yet the idea that an artist wanted, or even needed, critical acclaim to thrive is a Western construct. A</w:t>
      </w:r>
      <w:r w:rsidR="00122A3E">
        <w:rPr>
          <w:rFonts w:ascii="Times New Roman" w:hAnsi="Times New Roman"/>
        </w:rPr>
        <w:t xml:space="preserve">s it happened, </w:t>
      </w:r>
      <w:r w:rsidRPr="005B7071">
        <w:rPr>
          <w:rFonts w:ascii="Times New Roman" w:hAnsi="Times New Roman"/>
        </w:rPr>
        <w:t>both Looking Elk and Lujan probably made far more money from their art than most Santa Fe</w:t>
      </w:r>
      <w:r w:rsidR="009F3716">
        <w:rPr>
          <w:rFonts w:ascii="Times New Roman" w:hAnsi="Times New Roman"/>
        </w:rPr>
        <w:t xml:space="preserve">-style Indian </w:t>
      </w:r>
      <w:r w:rsidRPr="005B7071">
        <w:rPr>
          <w:rFonts w:ascii="Times New Roman" w:hAnsi="Times New Roman"/>
        </w:rPr>
        <w:t>artists made from their</w:t>
      </w:r>
      <w:r w:rsidR="009F3716">
        <w:rPr>
          <w:rFonts w:ascii="Times New Roman" w:hAnsi="Times New Roman"/>
        </w:rPr>
        <w:t>s.</w:t>
      </w:r>
      <w:r w:rsidRPr="005B7071">
        <w:rPr>
          <w:rFonts w:ascii="Times New Roman" w:hAnsi="Times New Roman"/>
        </w:rPr>
        <w:t xml:space="preserve"> Bradley Taylor estimates Lujan made over 2,000 oil paintings during h</w:t>
      </w:r>
      <w:r w:rsidR="003A28DE" w:rsidRPr="005B7071">
        <w:rPr>
          <w:rFonts w:ascii="Times New Roman" w:hAnsi="Times New Roman"/>
        </w:rPr>
        <w:t>is thirty-</w:t>
      </w:r>
      <w:r w:rsidRPr="005B7071">
        <w:rPr>
          <w:rFonts w:ascii="Times New Roman" w:hAnsi="Times New Roman"/>
        </w:rPr>
        <w:t xml:space="preserve">year career. At one dollar per painting, Lujan made </w:t>
      </w:r>
      <w:r w:rsidR="006D4EA7">
        <w:rPr>
          <w:rFonts w:ascii="Times New Roman" w:hAnsi="Times New Roman"/>
        </w:rPr>
        <w:t xml:space="preserve">perhaps thousands of dollars over his lifetime from his paintings, </w:t>
      </w:r>
      <w:r w:rsidRPr="005B7071">
        <w:rPr>
          <w:rFonts w:ascii="Times New Roman" w:hAnsi="Times New Roman"/>
        </w:rPr>
        <w:t>money that supplemented his income from modeling and farming.</w:t>
      </w:r>
      <w:r w:rsidR="009F3716" w:rsidRPr="005B7071">
        <w:rPr>
          <w:rStyle w:val="FootnoteReference"/>
          <w:rFonts w:ascii="Times New Roman" w:hAnsi="Times New Roman"/>
        </w:rPr>
        <w:footnoteReference w:id="228"/>
      </w:r>
      <w:r w:rsidRPr="005B7071">
        <w:rPr>
          <w:rFonts w:ascii="Times New Roman" w:hAnsi="Times New Roman"/>
        </w:rPr>
        <w:t xml:space="preserve"> Looking Elk, more prominent in the pueblo and a better artist in higher demand, </w:t>
      </w:r>
      <w:r w:rsidR="00122A3E">
        <w:rPr>
          <w:rFonts w:ascii="Times New Roman" w:hAnsi="Times New Roman"/>
        </w:rPr>
        <w:t xml:space="preserve">received </w:t>
      </w:r>
      <w:r w:rsidRPr="005B7071">
        <w:rPr>
          <w:rFonts w:ascii="Times New Roman" w:hAnsi="Times New Roman"/>
        </w:rPr>
        <w:t xml:space="preserve">up to $5 per painting and was nearly as prolific. Both Looking Elk and Lujan made enough money to have more time to be </w:t>
      </w:r>
      <w:r w:rsidR="00122A3E">
        <w:rPr>
          <w:rFonts w:ascii="Times New Roman" w:hAnsi="Times New Roman"/>
        </w:rPr>
        <w:t xml:space="preserve">full participants in Pueblo life. </w:t>
      </w:r>
      <w:r w:rsidRPr="005B7071">
        <w:rPr>
          <w:rFonts w:ascii="Times New Roman" w:hAnsi="Times New Roman"/>
        </w:rPr>
        <w:t>This extra time paid off, as both artists were full and active members of tribal life in Taos Pueblo, evidenced by Looking Elk’s tenure as Governor of Taos Pueblo in 1938, and Lujan’s multiple appointments as fiscal of Taos Pueblo Church. Albert Looking Elk was the first member of Taos Pueblo to buy a car, a Studebaker, which was “all from the art,” according to Lujan’s nephew, Ernesto, who added, “That was the influence on the whole tribe.”</w:t>
      </w:r>
      <w:r w:rsidRPr="005B7071">
        <w:rPr>
          <w:rStyle w:val="FootnoteReference"/>
          <w:rFonts w:ascii="Times New Roman" w:hAnsi="Times New Roman"/>
        </w:rPr>
        <w:footnoteReference w:id="229"/>
      </w:r>
    </w:p>
    <w:p w14:paraId="6820A8F4" w14:textId="77777777" w:rsidR="009F3716" w:rsidRPr="005B7071" w:rsidRDefault="009F3716" w:rsidP="002202F2">
      <w:pPr>
        <w:rPr>
          <w:rFonts w:ascii="Times New Roman" w:hAnsi="Times New Roman"/>
        </w:rPr>
      </w:pPr>
    </w:p>
    <w:p w14:paraId="118718DE" w14:textId="2A9B4615" w:rsidR="002202F2" w:rsidRPr="005B7071" w:rsidRDefault="002202F2" w:rsidP="000C5C0B">
      <w:pPr>
        <w:jc w:val="center"/>
        <w:rPr>
          <w:rFonts w:ascii="Times New Roman" w:hAnsi="Times New Roman"/>
          <w:b/>
        </w:rPr>
      </w:pPr>
      <w:r w:rsidRPr="005B7071">
        <w:rPr>
          <w:rFonts w:ascii="Times New Roman" w:hAnsi="Times New Roman"/>
          <w:b/>
        </w:rPr>
        <w:t>Pueblo, Mountains, Sovereignty</w:t>
      </w:r>
    </w:p>
    <w:p w14:paraId="06D1C4E2" w14:textId="2636E6EE" w:rsidR="002202F2" w:rsidRPr="005B7071" w:rsidRDefault="002202F2" w:rsidP="002202F2">
      <w:pPr>
        <w:ind w:firstLine="720"/>
        <w:rPr>
          <w:rFonts w:ascii="Times New Roman" w:hAnsi="Times New Roman"/>
        </w:rPr>
      </w:pPr>
      <w:r w:rsidRPr="005B7071">
        <w:rPr>
          <w:rFonts w:ascii="Times New Roman" w:hAnsi="Times New Roman"/>
        </w:rPr>
        <w:t xml:space="preserve">Like almost all of the tourist paintings produced by Looking Elk and Lujan, Looking Elk’s circa 1925 </w:t>
      </w:r>
      <w:r w:rsidRPr="005B7071">
        <w:rPr>
          <w:rFonts w:ascii="Times New Roman" w:hAnsi="Times New Roman"/>
          <w:i/>
        </w:rPr>
        <w:t>Untitled (Taos Pueblo Scene)</w:t>
      </w:r>
      <w:r w:rsidRPr="005B7071">
        <w:rPr>
          <w:rFonts w:ascii="Times New Roman" w:hAnsi="Times New Roman"/>
        </w:rPr>
        <w:t xml:space="preserve"> is small, produced in oil, and takes as its subject Taos Pueblo and the surrounding Sangre de Cristo mountains</w:t>
      </w:r>
      <w:r w:rsidR="003A28DE" w:rsidRPr="005B7071">
        <w:rPr>
          <w:rFonts w:ascii="Times New Roman" w:hAnsi="Times New Roman"/>
        </w:rPr>
        <w:t xml:space="preserve"> </w:t>
      </w:r>
      <w:r w:rsidR="00EB76B0" w:rsidRPr="005B7071">
        <w:rPr>
          <w:rFonts w:ascii="Times New Roman" w:hAnsi="Times New Roman"/>
        </w:rPr>
        <w:t>(fig. 4.19</w:t>
      </w:r>
      <w:r w:rsidR="003A28DE" w:rsidRPr="005B7071">
        <w:rPr>
          <w:rFonts w:ascii="Times New Roman" w:hAnsi="Times New Roman"/>
        </w:rPr>
        <w:t>)</w:t>
      </w:r>
      <w:r w:rsidRPr="005B7071">
        <w:rPr>
          <w:rFonts w:ascii="Times New Roman" w:hAnsi="Times New Roman"/>
        </w:rPr>
        <w:t xml:space="preserve">. By framing the Pueblo with the mountains, </w:t>
      </w:r>
      <w:r w:rsidR="00AE69B6">
        <w:rPr>
          <w:rFonts w:ascii="Times New Roman" w:hAnsi="Times New Roman"/>
        </w:rPr>
        <w:t xml:space="preserve">the picture </w:t>
      </w:r>
      <w:r w:rsidRPr="005B7071">
        <w:rPr>
          <w:rFonts w:ascii="Times New Roman" w:hAnsi="Times New Roman"/>
        </w:rPr>
        <w:t xml:space="preserve">encourages the viewer to compare and contrast the </w:t>
      </w:r>
      <w:r w:rsidR="00122A3E">
        <w:rPr>
          <w:rFonts w:ascii="Times New Roman" w:hAnsi="Times New Roman"/>
        </w:rPr>
        <w:t>two</w:t>
      </w:r>
      <w:r w:rsidRPr="005B7071">
        <w:rPr>
          <w:rFonts w:ascii="Times New Roman" w:hAnsi="Times New Roman"/>
        </w:rPr>
        <w:t>. In this example, the Pueblo emerges from the land, from which it is made, from the left and extends on an orthogonal li</w:t>
      </w:r>
      <w:r w:rsidR="00122A3E">
        <w:rPr>
          <w:rFonts w:ascii="Times New Roman" w:hAnsi="Times New Roman"/>
        </w:rPr>
        <w:t>ne toward the mid-ground. P</w:t>
      </w:r>
      <w:r w:rsidRPr="005B7071">
        <w:rPr>
          <w:rFonts w:ascii="Times New Roman" w:hAnsi="Times New Roman"/>
        </w:rPr>
        <w:t xml:space="preserve">rogress stops when the Pueblo meets the mountains. This ground-line orthogonal repeats in each successive </w:t>
      </w:r>
      <w:r w:rsidR="00122A3E">
        <w:rPr>
          <w:rFonts w:ascii="Times New Roman" w:hAnsi="Times New Roman"/>
        </w:rPr>
        <w:t xml:space="preserve">level </w:t>
      </w:r>
      <w:r w:rsidRPr="005B7071">
        <w:rPr>
          <w:rFonts w:ascii="Times New Roman" w:hAnsi="Times New Roman"/>
        </w:rPr>
        <w:t>of the Pueblo. As the building rises, each levels become smaller, and correspondingly closer to the framing mountains. The vignette contains minimal details. The artists omitted or abstracted people into a few lines of paint</w:t>
      </w:r>
      <w:r w:rsidR="00122A3E">
        <w:rPr>
          <w:rFonts w:ascii="Times New Roman" w:hAnsi="Times New Roman"/>
        </w:rPr>
        <w:t xml:space="preserve">, </w:t>
      </w:r>
      <w:r w:rsidRPr="005B7071">
        <w:rPr>
          <w:rFonts w:ascii="Times New Roman" w:hAnsi="Times New Roman"/>
        </w:rPr>
        <w:t>emphasiz</w:t>
      </w:r>
      <w:r w:rsidR="00122A3E">
        <w:rPr>
          <w:rFonts w:ascii="Times New Roman" w:hAnsi="Times New Roman"/>
        </w:rPr>
        <w:t xml:space="preserve">ing instead the </w:t>
      </w:r>
      <w:r w:rsidRPr="005B7071">
        <w:rPr>
          <w:rFonts w:ascii="Times New Roman" w:hAnsi="Times New Roman"/>
        </w:rPr>
        <w:t>geometric regularity and the stability of the Pueblo</w:t>
      </w:r>
      <w:r w:rsidR="00122A3E">
        <w:rPr>
          <w:rFonts w:ascii="Times New Roman" w:hAnsi="Times New Roman"/>
        </w:rPr>
        <w:t xml:space="preserve"> itself</w:t>
      </w:r>
      <w:r w:rsidR="008E69EC">
        <w:rPr>
          <w:rFonts w:ascii="Times New Roman" w:hAnsi="Times New Roman"/>
        </w:rPr>
        <w:t xml:space="preserve">, which </w:t>
      </w:r>
      <w:r w:rsidRPr="005B7071">
        <w:rPr>
          <w:rFonts w:ascii="Times New Roman" w:hAnsi="Times New Roman"/>
        </w:rPr>
        <w:t xml:space="preserve">proceeds across the </w:t>
      </w:r>
      <w:r w:rsidR="00C8139E">
        <w:rPr>
          <w:rFonts w:ascii="Times New Roman" w:hAnsi="Times New Roman"/>
        </w:rPr>
        <w:t xml:space="preserve">painting </w:t>
      </w:r>
      <w:r w:rsidRPr="005B7071">
        <w:rPr>
          <w:rFonts w:ascii="Times New Roman" w:hAnsi="Times New Roman"/>
        </w:rPr>
        <w:t>in a series of regular, rat</w:t>
      </w:r>
      <w:r w:rsidR="00C8139E">
        <w:rPr>
          <w:rFonts w:ascii="Times New Roman" w:hAnsi="Times New Roman"/>
        </w:rPr>
        <w:t xml:space="preserve">ional, geometric shapes </w:t>
      </w:r>
      <w:r w:rsidRPr="005B7071">
        <w:rPr>
          <w:rFonts w:ascii="Times New Roman" w:hAnsi="Times New Roman"/>
        </w:rPr>
        <w:t xml:space="preserve">suggestive of both </w:t>
      </w:r>
      <w:r w:rsidR="00122A3E">
        <w:rPr>
          <w:rFonts w:ascii="Times New Roman" w:hAnsi="Times New Roman"/>
        </w:rPr>
        <w:t xml:space="preserve">human </w:t>
      </w:r>
      <w:r w:rsidRPr="005B7071">
        <w:rPr>
          <w:rFonts w:ascii="Times New Roman" w:hAnsi="Times New Roman"/>
        </w:rPr>
        <w:t xml:space="preserve">ingenuity and the geometry of the mountains. The repetition of ladders, darkened doorways, and rectangular shapes </w:t>
      </w:r>
      <w:r w:rsidR="00C8139E">
        <w:rPr>
          <w:rFonts w:ascii="Times New Roman" w:hAnsi="Times New Roman"/>
        </w:rPr>
        <w:t xml:space="preserve">further </w:t>
      </w:r>
      <w:r w:rsidRPr="005B7071">
        <w:rPr>
          <w:rFonts w:ascii="Times New Roman" w:hAnsi="Times New Roman"/>
        </w:rPr>
        <w:t>underscores th</w:t>
      </w:r>
      <w:r w:rsidR="008E69EC">
        <w:rPr>
          <w:rFonts w:ascii="Times New Roman" w:hAnsi="Times New Roman"/>
        </w:rPr>
        <w:t>is</w:t>
      </w:r>
      <w:r w:rsidRPr="005B7071">
        <w:rPr>
          <w:rFonts w:ascii="Times New Roman" w:hAnsi="Times New Roman"/>
        </w:rPr>
        <w:t xml:space="preserve"> sense of regularity an</w:t>
      </w:r>
      <w:r w:rsidR="00C8139E">
        <w:rPr>
          <w:rFonts w:ascii="Times New Roman" w:hAnsi="Times New Roman"/>
        </w:rPr>
        <w:t>d geometry</w:t>
      </w:r>
      <w:r w:rsidRPr="005B7071">
        <w:rPr>
          <w:rFonts w:ascii="Times New Roman" w:hAnsi="Times New Roman"/>
        </w:rPr>
        <w:t>.</w:t>
      </w:r>
    </w:p>
    <w:p w14:paraId="387AC979" w14:textId="074ADB6D" w:rsidR="002202F2" w:rsidRPr="005B7071" w:rsidRDefault="00122A3E" w:rsidP="002202F2">
      <w:pPr>
        <w:ind w:firstLine="720"/>
        <w:rPr>
          <w:rFonts w:ascii="Times New Roman" w:hAnsi="Times New Roman"/>
        </w:rPr>
      </w:pPr>
      <w:r>
        <w:rPr>
          <w:rFonts w:ascii="Times New Roman" w:hAnsi="Times New Roman"/>
        </w:rPr>
        <w:t xml:space="preserve">If possibly, </w:t>
      </w:r>
      <w:r w:rsidR="002202F2" w:rsidRPr="005B7071">
        <w:rPr>
          <w:rFonts w:ascii="Times New Roman" w:hAnsi="Times New Roman"/>
        </w:rPr>
        <w:t xml:space="preserve">Albert Lujan’s </w:t>
      </w:r>
      <w:r w:rsidR="002202F2" w:rsidRPr="005B7071">
        <w:rPr>
          <w:rFonts w:ascii="Times New Roman" w:hAnsi="Times New Roman"/>
          <w:i/>
        </w:rPr>
        <w:t>Untitled (View of Taos)</w:t>
      </w:r>
      <w:r w:rsidR="002202F2" w:rsidRPr="005B7071">
        <w:rPr>
          <w:rFonts w:ascii="Times New Roman" w:hAnsi="Times New Roman"/>
        </w:rPr>
        <w:t xml:space="preserve"> of 1941emphasizes the Pueblo</w:t>
      </w:r>
      <w:r>
        <w:rPr>
          <w:rFonts w:ascii="Times New Roman" w:hAnsi="Times New Roman"/>
        </w:rPr>
        <w:t xml:space="preserve"> even more – it d</w:t>
      </w:r>
      <w:r w:rsidR="002202F2" w:rsidRPr="005B7071">
        <w:rPr>
          <w:rFonts w:ascii="Times New Roman" w:hAnsi="Times New Roman"/>
        </w:rPr>
        <w:t>ominates about fifty percent of the canvas</w:t>
      </w:r>
      <w:r w:rsidR="008E69EC">
        <w:rPr>
          <w:rFonts w:ascii="Times New Roman" w:hAnsi="Times New Roman"/>
        </w:rPr>
        <w:t xml:space="preserve"> </w:t>
      </w:r>
      <w:r w:rsidR="008E69EC" w:rsidRPr="005B7071">
        <w:rPr>
          <w:rFonts w:ascii="Times New Roman" w:hAnsi="Times New Roman"/>
        </w:rPr>
        <w:t>(fig. 4.20)</w:t>
      </w:r>
      <w:r w:rsidR="002202F2" w:rsidRPr="005B7071">
        <w:rPr>
          <w:rFonts w:ascii="Times New Roman" w:hAnsi="Times New Roman"/>
        </w:rPr>
        <w:t xml:space="preserve">. Lujan accomplished this by taking a low perspective and focusing tightly on the Pueblo, to the left, and a small out building, to the right. A blind alley near the center of the plaza leads to the mountains in the </w:t>
      </w:r>
      <w:r w:rsidR="00400CEE">
        <w:rPr>
          <w:rFonts w:ascii="Times New Roman" w:hAnsi="Times New Roman"/>
        </w:rPr>
        <w:t xml:space="preserve">distance. As in </w:t>
      </w:r>
      <w:r w:rsidR="002202F2" w:rsidRPr="005B7071">
        <w:rPr>
          <w:rFonts w:ascii="Times New Roman" w:hAnsi="Times New Roman"/>
        </w:rPr>
        <w:t xml:space="preserve">Looking Elk’s painting, </w:t>
      </w:r>
      <w:r w:rsidR="00400CEE">
        <w:rPr>
          <w:rFonts w:ascii="Times New Roman" w:hAnsi="Times New Roman"/>
        </w:rPr>
        <w:t xml:space="preserve">here </w:t>
      </w:r>
      <w:r w:rsidR="002202F2" w:rsidRPr="005B7071">
        <w:rPr>
          <w:rFonts w:ascii="Times New Roman" w:hAnsi="Times New Roman"/>
        </w:rPr>
        <w:t xml:space="preserve">the Pueblo emerges from the surrounding </w:t>
      </w:r>
      <w:r w:rsidR="00400CEE">
        <w:rPr>
          <w:rFonts w:ascii="Times New Roman" w:hAnsi="Times New Roman"/>
        </w:rPr>
        <w:t>terrain</w:t>
      </w:r>
      <w:r w:rsidR="002202F2" w:rsidRPr="005B7071">
        <w:rPr>
          <w:rFonts w:ascii="Times New Roman" w:hAnsi="Times New Roman"/>
        </w:rPr>
        <w:t xml:space="preserve">, which shares </w:t>
      </w:r>
      <w:r w:rsidR="00400CEE">
        <w:rPr>
          <w:rFonts w:ascii="Times New Roman" w:hAnsi="Times New Roman"/>
        </w:rPr>
        <w:t xml:space="preserve">its </w:t>
      </w:r>
      <w:r w:rsidR="002202F2" w:rsidRPr="005B7071">
        <w:rPr>
          <w:rFonts w:ascii="Times New Roman" w:hAnsi="Times New Roman"/>
        </w:rPr>
        <w:t xml:space="preserve">color and texture. A single earthen </w:t>
      </w:r>
      <w:r w:rsidR="002202F2" w:rsidRPr="005B7071">
        <w:rPr>
          <w:rFonts w:ascii="Times New Roman" w:hAnsi="Times New Roman"/>
          <w:i/>
        </w:rPr>
        <w:t>horno</w:t>
      </w:r>
      <w:r w:rsidR="002202F2" w:rsidRPr="005B7071">
        <w:rPr>
          <w:rFonts w:ascii="Times New Roman" w:hAnsi="Times New Roman"/>
        </w:rPr>
        <w:t xml:space="preserve">, or bread oven, occupies the center of the plaza. </w:t>
      </w:r>
      <w:r w:rsidR="00400CEE">
        <w:rPr>
          <w:rFonts w:ascii="Times New Roman" w:hAnsi="Times New Roman"/>
        </w:rPr>
        <w:t xml:space="preserve">Its </w:t>
      </w:r>
      <w:r w:rsidR="002202F2" w:rsidRPr="005B7071">
        <w:rPr>
          <w:rFonts w:ascii="Times New Roman" w:hAnsi="Times New Roman"/>
        </w:rPr>
        <w:t>quasi-anthropomorphic form and eye-like oculus bear witness to the utter bareness of the s</w:t>
      </w:r>
      <w:r w:rsidR="000C5C0B" w:rsidRPr="005B7071">
        <w:rPr>
          <w:rFonts w:ascii="Times New Roman" w:hAnsi="Times New Roman"/>
        </w:rPr>
        <w:t>cene.</w:t>
      </w:r>
    </w:p>
    <w:p w14:paraId="599009B6" w14:textId="61F7E7AC" w:rsidR="002202F2" w:rsidRPr="005B7071" w:rsidRDefault="002202F2" w:rsidP="002202F2">
      <w:pPr>
        <w:ind w:firstLine="720"/>
        <w:rPr>
          <w:rFonts w:ascii="Times New Roman" w:hAnsi="Times New Roman"/>
        </w:rPr>
      </w:pPr>
      <w:r w:rsidRPr="005B7071">
        <w:rPr>
          <w:rFonts w:ascii="Times New Roman" w:hAnsi="Times New Roman"/>
        </w:rPr>
        <w:t xml:space="preserve">The plaza spills outward toward the viewer. </w:t>
      </w:r>
      <w:r w:rsidR="00C8139E">
        <w:rPr>
          <w:rFonts w:ascii="Times New Roman" w:hAnsi="Times New Roman"/>
        </w:rPr>
        <w:t xml:space="preserve">The area is markedly void of people, just the opposite of </w:t>
      </w:r>
      <w:r w:rsidRPr="005B7071">
        <w:rPr>
          <w:rFonts w:ascii="Times New Roman" w:hAnsi="Times New Roman"/>
        </w:rPr>
        <w:t>ceremonial times when the plaza fill</w:t>
      </w:r>
      <w:r w:rsidR="00400CEE">
        <w:rPr>
          <w:rFonts w:ascii="Times New Roman" w:hAnsi="Times New Roman"/>
        </w:rPr>
        <w:t>ed</w:t>
      </w:r>
      <w:r w:rsidRPr="005B7071">
        <w:rPr>
          <w:rFonts w:ascii="Times New Roman" w:hAnsi="Times New Roman"/>
        </w:rPr>
        <w:t xml:space="preserve"> up with people. In the Looking Elk example discussed above, people are present but greatly reduced and abstracted. Since Spanish colonial times, Taos Pueblo an</w:t>
      </w:r>
      <w:r w:rsidR="00400CEE">
        <w:rPr>
          <w:rFonts w:ascii="Times New Roman" w:hAnsi="Times New Roman"/>
        </w:rPr>
        <w:t xml:space="preserve">d other Rio Grande Pueblos </w:t>
      </w:r>
      <w:r w:rsidRPr="005B7071">
        <w:rPr>
          <w:rFonts w:ascii="Times New Roman" w:hAnsi="Times New Roman"/>
        </w:rPr>
        <w:t>fought, with varying degrees of success, to keep their religious practices secret. When Berninghaus, Sharp, and other like-minded Euro-American artists “discovered” the Pueblos in the 1890s, their presence created tension. To represent a ceremony</w:t>
      </w:r>
      <w:r w:rsidR="00400CEE">
        <w:rPr>
          <w:rFonts w:ascii="Times New Roman" w:hAnsi="Times New Roman"/>
        </w:rPr>
        <w:t xml:space="preserve">, even one open to the public, was </w:t>
      </w:r>
      <w:r w:rsidRPr="005B7071">
        <w:rPr>
          <w:rFonts w:ascii="Times New Roman" w:hAnsi="Times New Roman"/>
        </w:rPr>
        <w:t xml:space="preserve">to </w:t>
      </w:r>
      <w:r w:rsidR="00400CEE">
        <w:rPr>
          <w:rFonts w:ascii="Times New Roman" w:hAnsi="Times New Roman"/>
        </w:rPr>
        <w:t>diminish its power.</w:t>
      </w:r>
      <w:r w:rsidRPr="005B7071">
        <w:rPr>
          <w:rStyle w:val="FootnoteReference"/>
          <w:rFonts w:ascii="Times New Roman" w:hAnsi="Times New Roman"/>
        </w:rPr>
        <w:footnoteReference w:id="230"/>
      </w:r>
      <w:r w:rsidRPr="005B7071">
        <w:rPr>
          <w:rFonts w:ascii="Times New Roman" w:hAnsi="Times New Roman"/>
        </w:rPr>
        <w:t xml:space="preserve"> As images of ceremonial dance</w:t>
      </w:r>
      <w:r w:rsidR="00C8139E">
        <w:rPr>
          <w:rFonts w:ascii="Times New Roman" w:hAnsi="Times New Roman"/>
        </w:rPr>
        <w:t>s</w:t>
      </w:r>
      <w:r w:rsidRPr="005B7071">
        <w:rPr>
          <w:rFonts w:ascii="Times New Roman" w:hAnsi="Times New Roman"/>
        </w:rPr>
        <w:t xml:space="preserve"> circulated, they became commodities sold by whites to other whites.</w:t>
      </w:r>
      <w:r w:rsidRPr="005B7071">
        <w:rPr>
          <w:rStyle w:val="FootnoteReference"/>
          <w:rFonts w:ascii="Times New Roman" w:hAnsi="Times New Roman"/>
        </w:rPr>
        <w:footnoteReference w:id="231"/>
      </w:r>
      <w:r w:rsidRPr="005B7071">
        <w:rPr>
          <w:rFonts w:ascii="Times New Roman" w:hAnsi="Times New Roman"/>
        </w:rPr>
        <w:t xml:space="preserve"> In response</w:t>
      </w:r>
      <w:r w:rsidR="008E69EC">
        <w:rPr>
          <w:rFonts w:ascii="Times New Roman" w:hAnsi="Times New Roman"/>
        </w:rPr>
        <w:t xml:space="preserve">, </w:t>
      </w:r>
      <w:r w:rsidR="00400CEE">
        <w:rPr>
          <w:rFonts w:ascii="Times New Roman" w:hAnsi="Times New Roman"/>
        </w:rPr>
        <w:t xml:space="preserve">many </w:t>
      </w:r>
      <w:r w:rsidR="008E69EC">
        <w:rPr>
          <w:rFonts w:ascii="Times New Roman" w:hAnsi="Times New Roman"/>
        </w:rPr>
        <w:t>Pueblos</w:t>
      </w:r>
      <w:r w:rsidRPr="005B7071">
        <w:rPr>
          <w:rFonts w:ascii="Times New Roman" w:hAnsi="Times New Roman"/>
        </w:rPr>
        <w:t xml:space="preserve"> </w:t>
      </w:r>
      <w:r w:rsidR="008E69EC">
        <w:rPr>
          <w:rFonts w:ascii="Times New Roman" w:hAnsi="Times New Roman"/>
        </w:rPr>
        <w:t>banned visitors fr</w:t>
      </w:r>
      <w:r w:rsidR="00DB1BBD">
        <w:rPr>
          <w:rFonts w:ascii="Times New Roman" w:hAnsi="Times New Roman"/>
        </w:rPr>
        <w:t>om recording their ceremonies.</w:t>
      </w:r>
    </w:p>
    <w:p w14:paraId="05D17465" w14:textId="53AC8125" w:rsidR="002202F2" w:rsidRPr="005B7071" w:rsidRDefault="002202F2" w:rsidP="002202F2">
      <w:pPr>
        <w:ind w:firstLine="720"/>
        <w:rPr>
          <w:rFonts w:ascii="Times New Roman" w:hAnsi="Times New Roman"/>
        </w:rPr>
      </w:pPr>
      <w:r w:rsidRPr="005B7071">
        <w:rPr>
          <w:rFonts w:ascii="Times New Roman" w:hAnsi="Times New Roman"/>
        </w:rPr>
        <w:t>The empty plaza in these paintings by Looking Elk and Lujan, then, takes the place of photographs, drawings, and paintings of cer</w:t>
      </w:r>
      <w:r w:rsidR="008E69EC">
        <w:rPr>
          <w:rFonts w:ascii="Times New Roman" w:hAnsi="Times New Roman"/>
        </w:rPr>
        <w:t xml:space="preserve">emonial dances formerly made </w:t>
      </w:r>
      <w:r w:rsidRPr="005B7071">
        <w:rPr>
          <w:rFonts w:ascii="Times New Roman" w:hAnsi="Times New Roman"/>
        </w:rPr>
        <w:t>and distributed by white visitors. These Pueblo modernists never painted ceremonial scenes for tourists,</w:t>
      </w:r>
      <w:r w:rsidRPr="005B7071">
        <w:rPr>
          <w:rStyle w:val="FootnoteReference"/>
          <w:rFonts w:ascii="Times New Roman" w:hAnsi="Times New Roman"/>
        </w:rPr>
        <w:footnoteReference w:id="232"/>
      </w:r>
      <w:r w:rsidRPr="005B7071">
        <w:rPr>
          <w:rFonts w:ascii="Times New Roman" w:hAnsi="Times New Roman"/>
        </w:rPr>
        <w:t xml:space="preserve"> and </w:t>
      </w:r>
      <w:r w:rsidR="00400CEE">
        <w:rPr>
          <w:rFonts w:ascii="Times New Roman" w:hAnsi="Times New Roman"/>
        </w:rPr>
        <w:t xml:space="preserve">so </w:t>
      </w:r>
      <w:r w:rsidRPr="005B7071">
        <w:rPr>
          <w:rFonts w:ascii="Times New Roman" w:hAnsi="Times New Roman"/>
        </w:rPr>
        <w:t xml:space="preserve">emphasized the differences between their images and similar images made by TSA artists before the general prohibition </w:t>
      </w:r>
      <w:r w:rsidR="00400CEE">
        <w:rPr>
          <w:rFonts w:ascii="Times New Roman" w:hAnsi="Times New Roman"/>
        </w:rPr>
        <w:t xml:space="preserve">took effect. As an example, </w:t>
      </w:r>
      <w:r w:rsidRPr="005B7071">
        <w:rPr>
          <w:rFonts w:ascii="Times New Roman" w:hAnsi="Times New Roman"/>
        </w:rPr>
        <w:t xml:space="preserve">Ufer’s </w:t>
      </w:r>
      <w:r w:rsidRPr="005B7071">
        <w:rPr>
          <w:rFonts w:ascii="Times New Roman" w:hAnsi="Times New Roman"/>
          <w:i/>
        </w:rPr>
        <w:t>Their Audience</w:t>
      </w:r>
      <w:r w:rsidRPr="005B7071">
        <w:rPr>
          <w:rFonts w:ascii="Times New Roman" w:hAnsi="Times New Roman"/>
        </w:rPr>
        <w:t xml:space="preserve"> of 1917 </w:t>
      </w:r>
      <w:r w:rsidR="003A28DE" w:rsidRPr="005B7071">
        <w:rPr>
          <w:rFonts w:ascii="Times New Roman" w:hAnsi="Times New Roman"/>
        </w:rPr>
        <w:t>[see fig. 4.</w:t>
      </w:r>
      <w:r w:rsidR="002C31A4" w:rsidRPr="005B7071">
        <w:rPr>
          <w:rFonts w:ascii="Times New Roman" w:hAnsi="Times New Roman"/>
        </w:rPr>
        <w:t>1</w:t>
      </w:r>
      <w:r w:rsidRPr="005B7071">
        <w:rPr>
          <w:rFonts w:ascii="Times New Roman" w:hAnsi="Times New Roman"/>
        </w:rPr>
        <w:t>] i</w:t>
      </w:r>
      <w:r w:rsidR="00400CEE">
        <w:rPr>
          <w:rFonts w:ascii="Times New Roman" w:hAnsi="Times New Roman"/>
        </w:rPr>
        <w:t xml:space="preserve">mplies </w:t>
      </w:r>
      <w:r w:rsidRPr="005B7071">
        <w:rPr>
          <w:rFonts w:ascii="Times New Roman" w:hAnsi="Times New Roman"/>
        </w:rPr>
        <w:t>the staring eyes of white touris</w:t>
      </w:r>
      <w:r w:rsidR="008E69EC">
        <w:rPr>
          <w:rFonts w:ascii="Times New Roman" w:hAnsi="Times New Roman"/>
        </w:rPr>
        <w:t xml:space="preserve">ts consuming a ritual ceremony, </w:t>
      </w:r>
      <w:r w:rsidRPr="005B7071">
        <w:rPr>
          <w:rFonts w:ascii="Times New Roman" w:hAnsi="Times New Roman"/>
        </w:rPr>
        <w:t xml:space="preserve">probably the San Geronimo Dance. In the same space, Looking Elk and Lujan place the viewer in the middle of a barren, solitary plaza, open to the imagination but not to the commoditization </w:t>
      </w:r>
      <w:r w:rsidR="00CA164C" w:rsidRPr="005B7071">
        <w:rPr>
          <w:rFonts w:ascii="Times New Roman" w:hAnsi="Times New Roman"/>
        </w:rPr>
        <w:t>of the sacred by non-Indians.</w:t>
      </w:r>
    </w:p>
    <w:p w14:paraId="4F6B0209" w14:textId="7D440158" w:rsidR="002202F2" w:rsidRPr="005B7071" w:rsidRDefault="002202F2" w:rsidP="002202F2">
      <w:pPr>
        <w:ind w:firstLine="720"/>
        <w:rPr>
          <w:rFonts w:ascii="Times New Roman" w:hAnsi="Times New Roman"/>
        </w:rPr>
      </w:pPr>
      <w:r w:rsidRPr="005B7071">
        <w:rPr>
          <w:rFonts w:ascii="Times New Roman" w:hAnsi="Times New Roman"/>
        </w:rPr>
        <w:t xml:space="preserve">When more genre elements are included, as in </w:t>
      </w:r>
      <w:r w:rsidRPr="005B7071">
        <w:rPr>
          <w:rFonts w:ascii="Times New Roman" w:hAnsi="Times New Roman"/>
          <w:i/>
        </w:rPr>
        <w:t>Burros at Taos Pueblo</w:t>
      </w:r>
      <w:r w:rsidRPr="005B7071">
        <w:rPr>
          <w:rFonts w:ascii="Times New Roman" w:hAnsi="Times New Roman"/>
        </w:rPr>
        <w:t>, a five by seven and three-quarter inch oil on board painting from circa 1928, Looking Elk still n</w:t>
      </w:r>
      <w:r w:rsidR="003A28DE" w:rsidRPr="005B7071">
        <w:rPr>
          <w:rFonts w:ascii="Times New Roman" w:hAnsi="Times New Roman"/>
        </w:rPr>
        <w:t xml:space="preserve">ever gives away anything sacred </w:t>
      </w:r>
      <w:r w:rsidR="00D71F99" w:rsidRPr="005B7071">
        <w:rPr>
          <w:rFonts w:ascii="Times New Roman" w:hAnsi="Times New Roman"/>
        </w:rPr>
        <w:t>(fig. 4.21</w:t>
      </w:r>
      <w:r w:rsidR="003A28DE" w:rsidRPr="005B7071">
        <w:rPr>
          <w:rFonts w:ascii="Times New Roman" w:hAnsi="Times New Roman"/>
        </w:rPr>
        <w:t>).</w:t>
      </w:r>
      <w:r w:rsidRPr="005B7071">
        <w:rPr>
          <w:rFonts w:ascii="Times New Roman" w:hAnsi="Times New Roman"/>
        </w:rPr>
        <w:t xml:space="preserve"> The rhythmic nature of Looking Elk’s loose, almost broken brushwork</w:t>
      </w:r>
      <w:r w:rsidR="0097066E">
        <w:rPr>
          <w:rFonts w:ascii="Times New Roman" w:hAnsi="Times New Roman"/>
        </w:rPr>
        <w:t xml:space="preserve"> and the </w:t>
      </w:r>
      <w:r w:rsidRPr="005B7071">
        <w:rPr>
          <w:rFonts w:ascii="Times New Roman" w:hAnsi="Times New Roman"/>
        </w:rPr>
        <w:t>narrative elements such as the burros and the laundry left out to dry make this painting stand out</w:t>
      </w:r>
      <w:r w:rsidR="00400CEE">
        <w:rPr>
          <w:rFonts w:ascii="Times New Roman" w:hAnsi="Times New Roman"/>
        </w:rPr>
        <w:t xml:space="preserve"> from other TSA-inspired Pueblo art</w:t>
      </w:r>
      <w:r w:rsidRPr="005B7071">
        <w:rPr>
          <w:rFonts w:ascii="Times New Roman" w:hAnsi="Times New Roman"/>
        </w:rPr>
        <w:t>. A corner of one of the Pueblo buildings juts out from the left and proceeds along an orthogonal toward the center. The rectangular Pueblo echoes a low-slung walled structure made of pueblo material emerging from the right along a similar orthogonal toward the vanishing point. A large pile of hay is visible inside the low walled structure. By providing a visual echo as the structural nucleus of this more visually complex image, Looking Elk refer</w:t>
      </w:r>
      <w:r w:rsidR="00400CEE">
        <w:rPr>
          <w:rFonts w:ascii="Times New Roman" w:hAnsi="Times New Roman"/>
        </w:rPr>
        <w:t>s</w:t>
      </w:r>
      <w:r w:rsidRPr="005B7071">
        <w:rPr>
          <w:rFonts w:ascii="Times New Roman" w:hAnsi="Times New Roman"/>
        </w:rPr>
        <w:t xml:space="preserve"> obliquely to the trinity of sky, mountains, and pueblo/land. In </w:t>
      </w:r>
      <w:r w:rsidR="0097066E">
        <w:rPr>
          <w:rFonts w:ascii="Times New Roman" w:hAnsi="Times New Roman"/>
        </w:rPr>
        <w:t xml:space="preserve">these </w:t>
      </w:r>
      <w:r w:rsidRPr="005B7071">
        <w:rPr>
          <w:rFonts w:ascii="Times New Roman" w:hAnsi="Times New Roman"/>
        </w:rPr>
        <w:t>example</w:t>
      </w:r>
      <w:r w:rsidR="00400CEE">
        <w:rPr>
          <w:rFonts w:ascii="Times New Roman" w:hAnsi="Times New Roman"/>
        </w:rPr>
        <w:t>s,</w:t>
      </w:r>
      <w:r w:rsidRPr="005B7071">
        <w:rPr>
          <w:rFonts w:ascii="Times New Roman" w:hAnsi="Times New Roman"/>
        </w:rPr>
        <w:t xml:space="preserve"> the distant mou</w:t>
      </w:r>
      <w:r w:rsidR="00400CEE">
        <w:rPr>
          <w:rFonts w:ascii="Times New Roman" w:hAnsi="Times New Roman"/>
        </w:rPr>
        <w:t>ntains interlock, like pieces in</w:t>
      </w:r>
      <w:r w:rsidRPr="005B7071">
        <w:rPr>
          <w:rFonts w:ascii="Times New Roman" w:hAnsi="Times New Roman"/>
        </w:rPr>
        <w:t xml:space="preserve"> a giant puzzle. Although aware of Western artistic conventions such as </w:t>
      </w:r>
      <w:r w:rsidR="0097066E">
        <w:rPr>
          <w:rFonts w:ascii="Times New Roman" w:hAnsi="Times New Roman"/>
        </w:rPr>
        <w:t xml:space="preserve">atmospheric and </w:t>
      </w:r>
      <w:r w:rsidRPr="005B7071">
        <w:rPr>
          <w:rFonts w:ascii="Times New Roman" w:hAnsi="Times New Roman"/>
        </w:rPr>
        <w:t>one-point perspective, shading, and modeling, Lujan and Looking Elk tend</w:t>
      </w:r>
      <w:r w:rsidR="00400CEE">
        <w:rPr>
          <w:rFonts w:ascii="Times New Roman" w:hAnsi="Times New Roman"/>
        </w:rPr>
        <w:t>ed</w:t>
      </w:r>
      <w:r w:rsidRPr="005B7071">
        <w:rPr>
          <w:rFonts w:ascii="Times New Roman" w:hAnsi="Times New Roman"/>
        </w:rPr>
        <w:t xml:space="preserve"> to elide the distance between the Pueb</w:t>
      </w:r>
      <w:r w:rsidR="00CA164C" w:rsidRPr="005B7071">
        <w:rPr>
          <w:rFonts w:ascii="Times New Roman" w:hAnsi="Times New Roman"/>
        </w:rPr>
        <w:t>lo, the mountains, and the sky.</w:t>
      </w:r>
    </w:p>
    <w:p w14:paraId="5739E7B6" w14:textId="6D0004F7" w:rsidR="002202F2" w:rsidRPr="005B7071" w:rsidRDefault="002202F2" w:rsidP="002202F2">
      <w:pPr>
        <w:ind w:firstLine="720"/>
        <w:rPr>
          <w:rFonts w:ascii="Times New Roman" w:hAnsi="Times New Roman"/>
        </w:rPr>
      </w:pPr>
      <w:r w:rsidRPr="005B7071">
        <w:rPr>
          <w:rFonts w:ascii="Times New Roman" w:hAnsi="Times New Roman"/>
        </w:rPr>
        <w:t xml:space="preserve">The effect </w:t>
      </w:r>
      <w:r w:rsidR="00400CEE">
        <w:rPr>
          <w:rFonts w:ascii="Times New Roman" w:hAnsi="Times New Roman"/>
        </w:rPr>
        <w:t xml:space="preserve">was </w:t>
      </w:r>
      <w:r w:rsidRPr="005B7071">
        <w:rPr>
          <w:rFonts w:ascii="Times New Roman" w:hAnsi="Times New Roman"/>
        </w:rPr>
        <w:t xml:space="preserve">to flatten space and press all three elements closer to each other and closer to the picture plane, lending the scene a sense of quiet urgency. In </w:t>
      </w:r>
      <w:r w:rsidRPr="005B7071">
        <w:rPr>
          <w:rFonts w:ascii="Times New Roman" w:hAnsi="Times New Roman"/>
          <w:i/>
        </w:rPr>
        <w:t>Burros at Taos Pueblo</w:t>
      </w:r>
      <w:r w:rsidRPr="005B7071">
        <w:rPr>
          <w:rFonts w:ascii="Times New Roman" w:hAnsi="Times New Roman"/>
        </w:rPr>
        <w:t xml:space="preserve">, shadows populate the foreground, an area structurally defined by the Western convention of </w:t>
      </w:r>
      <w:r w:rsidR="00CA164C" w:rsidRPr="005B7071">
        <w:rPr>
          <w:rFonts w:ascii="Times New Roman" w:hAnsi="Times New Roman"/>
        </w:rPr>
        <w:t>one-point</w:t>
      </w:r>
      <w:r w:rsidRPr="005B7071">
        <w:rPr>
          <w:rFonts w:ascii="Times New Roman" w:hAnsi="Times New Roman"/>
        </w:rPr>
        <w:t xml:space="preserve"> linear perspective. Yet as the </w:t>
      </w:r>
      <w:r w:rsidR="00400CEE">
        <w:rPr>
          <w:rFonts w:ascii="Times New Roman" w:hAnsi="Times New Roman"/>
        </w:rPr>
        <w:t>elements of the p</w:t>
      </w:r>
      <w:r w:rsidRPr="005B7071">
        <w:rPr>
          <w:rFonts w:ascii="Times New Roman" w:hAnsi="Times New Roman"/>
        </w:rPr>
        <w:t>icture</w:t>
      </w:r>
      <w:r w:rsidR="00400CEE">
        <w:rPr>
          <w:rFonts w:ascii="Times New Roman" w:hAnsi="Times New Roman"/>
        </w:rPr>
        <w:t xml:space="preserve"> recede </w:t>
      </w:r>
      <w:r w:rsidRPr="005B7071">
        <w:rPr>
          <w:rFonts w:ascii="Times New Roman" w:hAnsi="Times New Roman"/>
        </w:rPr>
        <w:t xml:space="preserve">into the distance, the illusion of depth disappears and the places where the pueblo, mountain and sky unite </w:t>
      </w:r>
      <w:r w:rsidR="00400CEE">
        <w:rPr>
          <w:rFonts w:ascii="Times New Roman" w:hAnsi="Times New Roman"/>
        </w:rPr>
        <w:t xml:space="preserve">become more abstract. Thus, </w:t>
      </w:r>
      <w:r w:rsidRPr="005B7071">
        <w:rPr>
          <w:rFonts w:ascii="Times New Roman" w:hAnsi="Times New Roman"/>
          <w:i/>
        </w:rPr>
        <w:t>Pueblo space</w:t>
      </w:r>
      <w:r w:rsidRPr="005B7071">
        <w:rPr>
          <w:rFonts w:ascii="Times New Roman" w:hAnsi="Times New Roman"/>
        </w:rPr>
        <w:t xml:space="preserve">, </w:t>
      </w:r>
      <w:r w:rsidR="00400CEE">
        <w:rPr>
          <w:rFonts w:ascii="Times New Roman" w:hAnsi="Times New Roman"/>
        </w:rPr>
        <w:t xml:space="preserve">where </w:t>
      </w:r>
      <w:r w:rsidRPr="005B7071">
        <w:rPr>
          <w:rFonts w:ascii="Times New Roman" w:hAnsi="Times New Roman"/>
        </w:rPr>
        <w:t xml:space="preserve">sky, land and pueblo intersect, is abstract and therefore less comprehensible. The plaza, inhabited only by two burros and a pile of hay, </w:t>
      </w:r>
      <w:r w:rsidR="00CC3598">
        <w:rPr>
          <w:rFonts w:ascii="Times New Roman" w:hAnsi="Times New Roman"/>
        </w:rPr>
        <w:t xml:space="preserve">is </w:t>
      </w:r>
      <w:r w:rsidRPr="005B7071">
        <w:rPr>
          <w:rFonts w:ascii="Times New Roman" w:hAnsi="Times New Roman"/>
        </w:rPr>
        <w:t xml:space="preserve">open for </w:t>
      </w:r>
      <w:r w:rsidR="00C8139E">
        <w:rPr>
          <w:rFonts w:ascii="Times New Roman" w:hAnsi="Times New Roman"/>
        </w:rPr>
        <w:t xml:space="preserve">inspection </w:t>
      </w:r>
      <w:r w:rsidR="00AE69B6">
        <w:rPr>
          <w:rFonts w:ascii="Times New Roman" w:hAnsi="Times New Roman"/>
        </w:rPr>
        <w:t xml:space="preserve">by </w:t>
      </w:r>
      <w:r w:rsidRPr="005B7071">
        <w:rPr>
          <w:rFonts w:ascii="Times New Roman" w:hAnsi="Times New Roman"/>
        </w:rPr>
        <w:t>non-Pueblo eyes, while the sacred inters</w:t>
      </w:r>
      <w:r w:rsidR="00AE69B6">
        <w:rPr>
          <w:rFonts w:ascii="Times New Roman" w:hAnsi="Times New Roman"/>
        </w:rPr>
        <w:t>ection of pueblo signifiers sky/mountain/</w:t>
      </w:r>
      <w:r w:rsidRPr="005B7071">
        <w:rPr>
          <w:rFonts w:ascii="Times New Roman" w:hAnsi="Times New Roman"/>
        </w:rPr>
        <w:t>pueb</w:t>
      </w:r>
      <w:r w:rsidR="00CA164C" w:rsidRPr="005B7071">
        <w:rPr>
          <w:rFonts w:ascii="Times New Roman" w:hAnsi="Times New Roman"/>
        </w:rPr>
        <w:t>lo</w:t>
      </w:r>
      <w:r w:rsidR="00AE69B6">
        <w:rPr>
          <w:rFonts w:ascii="Times New Roman" w:hAnsi="Times New Roman"/>
        </w:rPr>
        <w:t>/land</w:t>
      </w:r>
      <w:r w:rsidR="00CA164C" w:rsidRPr="005B7071">
        <w:rPr>
          <w:rFonts w:ascii="Times New Roman" w:hAnsi="Times New Roman"/>
        </w:rPr>
        <w:t xml:space="preserve"> remains unattainable.</w:t>
      </w:r>
    </w:p>
    <w:p w14:paraId="637B2627" w14:textId="300CE576" w:rsidR="002202F2" w:rsidRPr="005B7071" w:rsidRDefault="002202F2" w:rsidP="002202F2">
      <w:pPr>
        <w:ind w:firstLine="720"/>
        <w:rPr>
          <w:rFonts w:ascii="Times New Roman" w:hAnsi="Times New Roman"/>
        </w:rPr>
      </w:pPr>
      <w:r w:rsidRPr="005B7071">
        <w:rPr>
          <w:rFonts w:ascii="Times New Roman" w:hAnsi="Times New Roman"/>
        </w:rPr>
        <w:t>Looking Elk and Lujan tend</w:t>
      </w:r>
      <w:r w:rsidR="00AE69B6">
        <w:rPr>
          <w:rFonts w:ascii="Times New Roman" w:hAnsi="Times New Roman"/>
        </w:rPr>
        <w:t>ed</w:t>
      </w:r>
      <w:r w:rsidRPr="005B7071">
        <w:rPr>
          <w:rFonts w:ascii="Times New Roman" w:hAnsi="Times New Roman"/>
        </w:rPr>
        <w:t xml:space="preserve"> to divide their landscapes evenly into three vertical bands, one for sky, one for mountains, and one for pueblo/land. Yet </w:t>
      </w:r>
      <w:r w:rsidR="00CC3598">
        <w:rPr>
          <w:rFonts w:ascii="Times New Roman" w:hAnsi="Times New Roman"/>
        </w:rPr>
        <w:t xml:space="preserve">these bands </w:t>
      </w:r>
      <w:r w:rsidRPr="005B7071">
        <w:rPr>
          <w:rFonts w:ascii="Times New Roman" w:hAnsi="Times New Roman"/>
        </w:rPr>
        <w:t xml:space="preserve">interlock: the land gives shape (literally) to the Pueblo, while the Pueblo melts into the framing mountains, which gently negotiate the sky above. Visually, the paintings </w:t>
      </w:r>
      <w:r w:rsidRPr="00CC3598">
        <w:rPr>
          <w:rFonts w:ascii="Times New Roman" w:hAnsi="Times New Roman"/>
          <w:i/>
        </w:rPr>
        <w:t>insist</w:t>
      </w:r>
      <w:r w:rsidRPr="005B7071">
        <w:rPr>
          <w:rFonts w:ascii="Times New Roman" w:hAnsi="Times New Roman"/>
        </w:rPr>
        <w:t xml:space="preserve"> that the three elements interconnect. What more powerful assertion of Pueblo identity and sovereignty that the ancient pueblo, which had sustained the Puebloans for almost one thousand years, the sacred mountains, the home of their deities, and the sky, which for centuries had provided sustenance through rain?</w:t>
      </w:r>
      <w:r w:rsidR="0097066E" w:rsidRPr="005B7071">
        <w:rPr>
          <w:rStyle w:val="FootnoteReference"/>
          <w:rFonts w:ascii="Times New Roman" w:hAnsi="Times New Roman"/>
        </w:rPr>
        <w:footnoteReference w:id="233"/>
      </w:r>
      <w:r w:rsidRPr="005B7071">
        <w:rPr>
          <w:rFonts w:ascii="Times New Roman" w:hAnsi="Times New Roman"/>
        </w:rPr>
        <w:t xml:space="preserve"> </w:t>
      </w:r>
    </w:p>
    <w:p w14:paraId="06739BBC" w14:textId="7504CA5D" w:rsidR="002202F2" w:rsidRPr="005B7071" w:rsidRDefault="0097066E" w:rsidP="002202F2">
      <w:pPr>
        <w:ind w:firstLine="720"/>
        <w:rPr>
          <w:rFonts w:ascii="Times New Roman" w:hAnsi="Times New Roman"/>
        </w:rPr>
      </w:pPr>
      <w:r>
        <w:rPr>
          <w:rFonts w:ascii="Times New Roman" w:hAnsi="Times New Roman"/>
        </w:rPr>
        <w:t>The</w:t>
      </w:r>
      <w:r w:rsidR="00CC3598">
        <w:rPr>
          <w:rFonts w:ascii="Times New Roman" w:hAnsi="Times New Roman"/>
        </w:rPr>
        <w:t xml:space="preserve">se three elements were, and still are, key to restoring the adobe of </w:t>
      </w:r>
      <w:r w:rsidR="002202F2" w:rsidRPr="005B7071">
        <w:rPr>
          <w:rFonts w:ascii="Times New Roman" w:hAnsi="Times New Roman"/>
        </w:rPr>
        <w:t>Taos Pueblo</w:t>
      </w:r>
      <w:r w:rsidR="00CC3598">
        <w:rPr>
          <w:rFonts w:ascii="Times New Roman" w:hAnsi="Times New Roman"/>
        </w:rPr>
        <w:t xml:space="preserve">. As their </w:t>
      </w:r>
      <w:r>
        <w:rPr>
          <w:rFonts w:ascii="Times New Roman" w:hAnsi="Times New Roman"/>
        </w:rPr>
        <w:t>website explains:</w:t>
      </w:r>
    </w:p>
    <w:p w14:paraId="1C2A2E8D" w14:textId="6C534DA6" w:rsidR="002202F2" w:rsidRPr="005B7071" w:rsidRDefault="002202F2" w:rsidP="002202F2">
      <w:pPr>
        <w:pStyle w:val="NoSpacing"/>
        <w:ind w:left="720" w:firstLine="720"/>
        <w:rPr>
          <w:rFonts w:ascii="Times New Roman" w:hAnsi="Times New Roman"/>
          <w:szCs w:val="24"/>
        </w:rPr>
      </w:pPr>
      <w:r w:rsidRPr="005B7071">
        <w:rPr>
          <w:rFonts w:ascii="Times New Roman" w:hAnsi="Times New Roman"/>
          <w:szCs w:val="24"/>
        </w:rPr>
        <w:t>The Pueb</w:t>
      </w:r>
      <w:r w:rsidR="0097066E">
        <w:rPr>
          <w:rFonts w:ascii="Times New Roman" w:hAnsi="Times New Roman"/>
          <w:szCs w:val="24"/>
        </w:rPr>
        <w:t xml:space="preserve">lo is made entirely of adobe – </w:t>
      </w:r>
      <w:r w:rsidRPr="005B7071">
        <w:rPr>
          <w:rFonts w:ascii="Times New Roman" w:hAnsi="Times New Roman"/>
          <w:szCs w:val="24"/>
        </w:rPr>
        <w:t>earth mixed with water and</w:t>
      </w:r>
      <w:r w:rsidR="00D66F5C" w:rsidRPr="005B7071">
        <w:rPr>
          <w:rFonts w:ascii="Times New Roman" w:hAnsi="Times New Roman"/>
          <w:szCs w:val="24"/>
        </w:rPr>
        <w:tab/>
        <w:t xml:space="preserve">straw, </w:t>
      </w:r>
      <w:r w:rsidRPr="005B7071">
        <w:rPr>
          <w:rFonts w:ascii="Times New Roman" w:hAnsi="Times New Roman"/>
          <w:szCs w:val="24"/>
        </w:rPr>
        <w:t>then either poured into forms or made into sun-dried bricks. The</w:t>
      </w:r>
      <w:r w:rsidR="00D66F5C" w:rsidRPr="005B7071">
        <w:rPr>
          <w:rFonts w:ascii="Times New Roman" w:hAnsi="Times New Roman"/>
          <w:szCs w:val="24"/>
        </w:rPr>
        <w:tab/>
      </w:r>
      <w:r w:rsidRPr="005B7071">
        <w:rPr>
          <w:rFonts w:ascii="Times New Roman" w:hAnsi="Times New Roman"/>
          <w:szCs w:val="24"/>
        </w:rPr>
        <w:t>walls are</w:t>
      </w:r>
      <w:r w:rsidR="00D66F5C" w:rsidRPr="005B7071">
        <w:rPr>
          <w:rFonts w:ascii="Times New Roman" w:hAnsi="Times New Roman"/>
          <w:szCs w:val="24"/>
        </w:rPr>
        <w:t xml:space="preserve"> </w:t>
      </w:r>
      <w:r w:rsidRPr="005B7071">
        <w:rPr>
          <w:rFonts w:ascii="Times New Roman" w:hAnsi="Times New Roman"/>
          <w:szCs w:val="24"/>
        </w:rPr>
        <w:t>frequently several feet thick. The roofs of each of the five</w:t>
      </w:r>
      <w:r w:rsidR="00D66F5C" w:rsidRPr="005B7071">
        <w:rPr>
          <w:rFonts w:ascii="Times New Roman" w:hAnsi="Times New Roman"/>
          <w:szCs w:val="24"/>
        </w:rPr>
        <w:tab/>
      </w:r>
      <w:r w:rsidR="00D66F5C" w:rsidRPr="005B7071">
        <w:rPr>
          <w:rFonts w:ascii="Times New Roman" w:hAnsi="Times New Roman"/>
          <w:szCs w:val="24"/>
        </w:rPr>
        <w:tab/>
      </w:r>
      <w:r w:rsidRPr="005B7071">
        <w:rPr>
          <w:rFonts w:ascii="Times New Roman" w:hAnsi="Times New Roman"/>
          <w:szCs w:val="24"/>
        </w:rPr>
        <w:t>stories are</w:t>
      </w:r>
      <w:r w:rsidR="00D66F5C" w:rsidRPr="005B7071">
        <w:rPr>
          <w:rFonts w:ascii="Times New Roman" w:hAnsi="Times New Roman"/>
          <w:szCs w:val="24"/>
        </w:rPr>
        <w:t xml:space="preserve"> </w:t>
      </w:r>
      <w:r w:rsidRPr="005B7071">
        <w:rPr>
          <w:rFonts w:ascii="Times New Roman" w:hAnsi="Times New Roman"/>
          <w:szCs w:val="24"/>
        </w:rPr>
        <w:t>supported by large t</w:t>
      </w:r>
      <w:r w:rsidR="0097066E">
        <w:rPr>
          <w:rFonts w:ascii="Times New Roman" w:hAnsi="Times New Roman"/>
          <w:szCs w:val="24"/>
        </w:rPr>
        <w:t xml:space="preserve">imbers – </w:t>
      </w:r>
      <w:r w:rsidR="0097066E" w:rsidRPr="0097066E">
        <w:rPr>
          <w:rFonts w:ascii="Times New Roman" w:hAnsi="Times New Roman"/>
          <w:i/>
          <w:szCs w:val="24"/>
        </w:rPr>
        <w:t>v</w:t>
      </w:r>
      <w:r w:rsidRPr="005B7071">
        <w:rPr>
          <w:rFonts w:ascii="Times New Roman" w:hAnsi="Times New Roman"/>
          <w:bCs/>
          <w:i/>
          <w:szCs w:val="24"/>
        </w:rPr>
        <w:t>igas</w:t>
      </w:r>
      <w:r w:rsidRPr="005B7071">
        <w:rPr>
          <w:rFonts w:ascii="Times New Roman" w:hAnsi="Times New Roman"/>
          <w:szCs w:val="24"/>
        </w:rPr>
        <w:t xml:space="preserve"> – hauled down from the</w:t>
      </w:r>
      <w:r w:rsidR="00D66F5C" w:rsidRPr="005B7071">
        <w:rPr>
          <w:rFonts w:ascii="Times New Roman" w:hAnsi="Times New Roman"/>
          <w:szCs w:val="24"/>
        </w:rPr>
        <w:tab/>
        <w:t xml:space="preserve">mountain forests. Smaller </w:t>
      </w:r>
      <w:r w:rsidRPr="005B7071">
        <w:rPr>
          <w:rFonts w:ascii="Times New Roman" w:hAnsi="Times New Roman"/>
          <w:szCs w:val="24"/>
        </w:rPr>
        <w:t xml:space="preserve">pieces of wood--pine or aspen </w:t>
      </w:r>
      <w:r w:rsidRPr="005B7071">
        <w:rPr>
          <w:rFonts w:ascii="Times New Roman" w:hAnsi="Times New Roman"/>
          <w:bCs/>
          <w:i/>
          <w:szCs w:val="24"/>
        </w:rPr>
        <w:t>latillas</w:t>
      </w:r>
      <w:r w:rsidR="00D66F5C" w:rsidRPr="005B7071">
        <w:rPr>
          <w:rFonts w:ascii="Times New Roman" w:hAnsi="Times New Roman"/>
          <w:szCs w:val="24"/>
        </w:rPr>
        <w:t>—</w:t>
      </w:r>
      <w:r w:rsidRPr="005B7071">
        <w:rPr>
          <w:rFonts w:ascii="Times New Roman" w:hAnsi="Times New Roman"/>
          <w:szCs w:val="24"/>
        </w:rPr>
        <w:t>are</w:t>
      </w:r>
      <w:r w:rsidR="00D66F5C" w:rsidRPr="005B7071">
        <w:rPr>
          <w:rFonts w:ascii="Times New Roman" w:hAnsi="Times New Roman"/>
          <w:szCs w:val="24"/>
        </w:rPr>
        <w:tab/>
        <w:t>placed side-</w:t>
      </w:r>
      <w:r w:rsidRPr="005B7071">
        <w:rPr>
          <w:rFonts w:ascii="Times New Roman" w:hAnsi="Times New Roman"/>
          <w:szCs w:val="24"/>
        </w:rPr>
        <w:t xml:space="preserve">by-side on top of the </w:t>
      </w:r>
      <w:r w:rsidRPr="005B7071">
        <w:rPr>
          <w:rFonts w:ascii="Times New Roman" w:hAnsi="Times New Roman"/>
          <w:bCs/>
          <w:i/>
          <w:szCs w:val="24"/>
        </w:rPr>
        <w:t>vigas</w:t>
      </w:r>
      <w:r w:rsidRPr="005B7071">
        <w:rPr>
          <w:rFonts w:ascii="Times New Roman" w:hAnsi="Times New Roman"/>
          <w:bCs/>
          <w:szCs w:val="24"/>
        </w:rPr>
        <w:t>;</w:t>
      </w:r>
      <w:r w:rsidR="00D66F5C" w:rsidRPr="005B7071">
        <w:rPr>
          <w:rFonts w:ascii="Times New Roman" w:hAnsi="Times New Roman"/>
          <w:bCs/>
          <w:szCs w:val="24"/>
        </w:rPr>
        <w:t xml:space="preserve"> </w:t>
      </w:r>
      <w:r w:rsidRPr="005B7071">
        <w:rPr>
          <w:rFonts w:ascii="Times New Roman" w:hAnsi="Times New Roman"/>
          <w:szCs w:val="24"/>
        </w:rPr>
        <w:t>the whole roof is covered with</w:t>
      </w:r>
      <w:r w:rsidR="00D66F5C" w:rsidRPr="005B7071">
        <w:rPr>
          <w:rFonts w:ascii="Times New Roman" w:hAnsi="Times New Roman"/>
          <w:szCs w:val="24"/>
        </w:rPr>
        <w:tab/>
      </w:r>
      <w:r w:rsidRPr="005B7071">
        <w:rPr>
          <w:rFonts w:ascii="Times New Roman" w:hAnsi="Times New Roman"/>
          <w:szCs w:val="24"/>
        </w:rPr>
        <w:t>packed dirt. The outs</w:t>
      </w:r>
      <w:r w:rsidR="00D66F5C" w:rsidRPr="005B7071">
        <w:rPr>
          <w:rFonts w:ascii="Times New Roman" w:hAnsi="Times New Roman"/>
          <w:szCs w:val="24"/>
        </w:rPr>
        <w:t xml:space="preserve">ide surfaces of the Pueblo are </w:t>
      </w:r>
      <w:r w:rsidRPr="005B7071">
        <w:rPr>
          <w:rFonts w:ascii="Times New Roman" w:hAnsi="Times New Roman"/>
          <w:szCs w:val="24"/>
        </w:rPr>
        <w:t>continuously</w:t>
      </w:r>
      <w:r w:rsidR="00D66F5C" w:rsidRPr="005B7071">
        <w:rPr>
          <w:rFonts w:ascii="Times New Roman" w:hAnsi="Times New Roman"/>
          <w:szCs w:val="24"/>
        </w:rPr>
        <w:tab/>
      </w:r>
      <w:r w:rsidR="00D66F5C" w:rsidRPr="005B7071">
        <w:rPr>
          <w:rFonts w:ascii="Times New Roman" w:hAnsi="Times New Roman"/>
          <w:szCs w:val="24"/>
        </w:rPr>
        <w:tab/>
      </w:r>
      <w:r w:rsidRPr="005B7071">
        <w:rPr>
          <w:rFonts w:ascii="Times New Roman" w:hAnsi="Times New Roman"/>
          <w:szCs w:val="24"/>
        </w:rPr>
        <w:t>maintained by replastering with thick layers of mud. Interior walls ar</w:t>
      </w:r>
      <w:r w:rsidR="00D66F5C" w:rsidRPr="005B7071">
        <w:rPr>
          <w:rFonts w:ascii="Times New Roman" w:hAnsi="Times New Roman"/>
          <w:szCs w:val="24"/>
        </w:rPr>
        <w:t>e</w:t>
      </w:r>
      <w:r w:rsidR="00D66F5C" w:rsidRPr="005B7071">
        <w:rPr>
          <w:rFonts w:ascii="Times New Roman" w:hAnsi="Times New Roman"/>
          <w:szCs w:val="24"/>
        </w:rPr>
        <w:tab/>
      </w:r>
      <w:r w:rsidRPr="005B7071">
        <w:rPr>
          <w:rFonts w:ascii="Times New Roman" w:hAnsi="Times New Roman"/>
          <w:szCs w:val="24"/>
        </w:rPr>
        <w:t>carefully coated with thin washes of white earth to keep them clean and</w:t>
      </w:r>
      <w:r w:rsidR="00D66F5C" w:rsidRPr="005B7071">
        <w:rPr>
          <w:rFonts w:ascii="Times New Roman" w:hAnsi="Times New Roman"/>
          <w:szCs w:val="24"/>
        </w:rPr>
        <w:tab/>
      </w:r>
      <w:r w:rsidRPr="005B7071">
        <w:rPr>
          <w:rFonts w:ascii="Times New Roman" w:hAnsi="Times New Roman"/>
          <w:szCs w:val="24"/>
        </w:rPr>
        <w:t>bright.</w:t>
      </w:r>
      <w:r w:rsidRPr="005B7071">
        <w:rPr>
          <w:rStyle w:val="FootnoteReference"/>
          <w:rFonts w:ascii="Times New Roman" w:hAnsi="Times New Roman"/>
          <w:szCs w:val="24"/>
        </w:rPr>
        <w:footnoteReference w:id="234"/>
      </w:r>
    </w:p>
    <w:p w14:paraId="194893FE" w14:textId="77777777" w:rsidR="002202F2" w:rsidRPr="005B7071" w:rsidRDefault="002202F2" w:rsidP="002202F2">
      <w:pPr>
        <w:ind w:firstLine="720"/>
        <w:rPr>
          <w:rFonts w:ascii="Times New Roman" w:hAnsi="Times New Roman"/>
        </w:rPr>
      </w:pPr>
    </w:p>
    <w:p w14:paraId="106236AA" w14:textId="3F4DC1A3" w:rsidR="002202F2" w:rsidRPr="005B7071" w:rsidRDefault="002202F2" w:rsidP="002202F2">
      <w:pPr>
        <w:rPr>
          <w:rFonts w:ascii="Times New Roman" w:hAnsi="Times New Roman"/>
        </w:rPr>
      </w:pPr>
      <w:r w:rsidRPr="005B7071">
        <w:rPr>
          <w:rFonts w:ascii="Times New Roman" w:hAnsi="Times New Roman"/>
        </w:rPr>
        <w:t xml:space="preserve">In </w:t>
      </w:r>
      <w:r w:rsidRPr="005B7071">
        <w:rPr>
          <w:rFonts w:ascii="Times New Roman" w:hAnsi="Times New Roman"/>
          <w:i/>
        </w:rPr>
        <w:t>Burros at Taos Pueblo</w:t>
      </w:r>
      <w:r w:rsidRPr="005B7071">
        <w:rPr>
          <w:rFonts w:ascii="Times New Roman" w:hAnsi="Times New Roman"/>
        </w:rPr>
        <w:t>, all of the elements needed to make the pueblo and thus to</w:t>
      </w:r>
      <w:r w:rsidR="00CC3598">
        <w:rPr>
          <w:rFonts w:ascii="Times New Roman" w:hAnsi="Times New Roman"/>
        </w:rPr>
        <w:t xml:space="preserve"> sustain the Puebloan people lie</w:t>
      </w:r>
      <w:r w:rsidRPr="005B7071">
        <w:rPr>
          <w:rFonts w:ascii="Times New Roman" w:hAnsi="Times New Roman"/>
        </w:rPr>
        <w:t xml:space="preserve"> in plain view. Front and center, the dirt of the plaza recedes from the picture plane back to the pueblo structure</w:t>
      </w:r>
      <w:r w:rsidR="00CC3598">
        <w:rPr>
          <w:rFonts w:ascii="Times New Roman" w:hAnsi="Times New Roman"/>
        </w:rPr>
        <w:t>s. A shallow watering hole lies</w:t>
      </w:r>
      <w:r w:rsidRPr="005B7071">
        <w:rPr>
          <w:rFonts w:ascii="Times New Roman" w:hAnsi="Times New Roman"/>
        </w:rPr>
        <w:t xml:space="preserve"> in front of the structure that holds the hay, and in the mountains, trees, from which the wood of the pueblo was </w:t>
      </w:r>
      <w:r w:rsidR="00CC3598">
        <w:rPr>
          <w:rFonts w:ascii="Times New Roman" w:hAnsi="Times New Roman"/>
        </w:rPr>
        <w:t>gathered, are plentiful. I</w:t>
      </w:r>
      <w:r w:rsidRPr="005B7071">
        <w:rPr>
          <w:rFonts w:ascii="Times New Roman" w:hAnsi="Times New Roman"/>
        </w:rPr>
        <w:t>n their tourist paintings, Looking Elk and Lujan painted the same elements over and over again, in the process inscribing their paintings with uniquely Puebloan signifiers without giving up Pueblo ritual secrets</w:t>
      </w:r>
      <w:r w:rsidR="002C31A4" w:rsidRPr="005B7071">
        <w:rPr>
          <w:rFonts w:ascii="Times New Roman" w:hAnsi="Times New Roman"/>
        </w:rPr>
        <w:t>.</w:t>
      </w:r>
      <w:r w:rsidR="003A28DE" w:rsidRPr="005B7071">
        <w:rPr>
          <w:rFonts w:ascii="Times New Roman" w:hAnsi="Times New Roman"/>
        </w:rPr>
        <w:t xml:space="preserve"> </w:t>
      </w:r>
    </w:p>
    <w:p w14:paraId="22D7E4DC" w14:textId="5D9735D7" w:rsidR="002202F2" w:rsidRPr="005B7071" w:rsidRDefault="00CC3598" w:rsidP="002202F2">
      <w:pPr>
        <w:ind w:firstLine="720"/>
        <w:rPr>
          <w:rFonts w:ascii="Times New Roman" w:hAnsi="Times New Roman"/>
        </w:rPr>
      </w:pPr>
      <w:r>
        <w:rPr>
          <w:rFonts w:ascii="Times New Roman" w:hAnsi="Times New Roman"/>
        </w:rPr>
        <w:t>While Looking Elk and Lujan</w:t>
      </w:r>
      <w:r w:rsidR="005348F3">
        <w:rPr>
          <w:rFonts w:ascii="Times New Roman" w:hAnsi="Times New Roman"/>
        </w:rPr>
        <w:t xml:space="preserve"> were able to make aspects of modernity work for them, generally t</w:t>
      </w:r>
      <w:r w:rsidR="002202F2" w:rsidRPr="005B7071">
        <w:rPr>
          <w:rFonts w:ascii="Times New Roman" w:hAnsi="Times New Roman"/>
        </w:rPr>
        <w:t xml:space="preserve">he early twentieth century was a time of great change and adversity for </w:t>
      </w:r>
      <w:r w:rsidR="00AE69B6">
        <w:rPr>
          <w:rFonts w:ascii="Times New Roman" w:hAnsi="Times New Roman"/>
        </w:rPr>
        <w:t xml:space="preserve">the </w:t>
      </w:r>
      <w:r w:rsidR="002202F2" w:rsidRPr="005B7071">
        <w:rPr>
          <w:rFonts w:ascii="Times New Roman" w:hAnsi="Times New Roman"/>
        </w:rPr>
        <w:t xml:space="preserve">Puebloan peoples of the Rio Grande area. The U.S. government policies of assimilation, land cessation (the Dawes Allotment Act, 1887) and cultural suppression (the Bursam bill, 1922) led many Americans to doubt that Puebloan society would last more than a few decades. In 1906, the U.S. government </w:t>
      </w:r>
      <w:r>
        <w:rPr>
          <w:rFonts w:ascii="Times New Roman" w:hAnsi="Times New Roman"/>
        </w:rPr>
        <w:t xml:space="preserve">added </w:t>
      </w:r>
      <w:r w:rsidR="002202F2" w:rsidRPr="005B7071">
        <w:rPr>
          <w:rFonts w:ascii="Times New Roman" w:hAnsi="Times New Roman"/>
        </w:rPr>
        <w:t xml:space="preserve">Blue Lake, a ritual site in the Sangre de Cristo where Taos people </w:t>
      </w:r>
      <w:r>
        <w:rPr>
          <w:rFonts w:ascii="Times New Roman" w:hAnsi="Times New Roman"/>
        </w:rPr>
        <w:t xml:space="preserve">went </w:t>
      </w:r>
      <w:r w:rsidR="002202F2" w:rsidRPr="005B7071">
        <w:rPr>
          <w:rFonts w:ascii="Times New Roman" w:hAnsi="Times New Roman"/>
        </w:rPr>
        <w:t xml:space="preserve">for ceremonial reasons, </w:t>
      </w:r>
      <w:r w:rsidR="00C8139E">
        <w:rPr>
          <w:rFonts w:ascii="Times New Roman" w:hAnsi="Times New Roman"/>
        </w:rPr>
        <w:t xml:space="preserve">to </w:t>
      </w:r>
      <w:r w:rsidR="002202F2" w:rsidRPr="005B7071">
        <w:rPr>
          <w:rFonts w:ascii="Times New Roman" w:hAnsi="Times New Roman"/>
        </w:rPr>
        <w:t>National Forest lands. From the moment the U.S. government took the land, the people of Taos Pueb</w:t>
      </w:r>
      <w:r>
        <w:rPr>
          <w:rFonts w:ascii="Times New Roman" w:hAnsi="Times New Roman"/>
        </w:rPr>
        <w:t xml:space="preserve">lo made every effort to regain it, </w:t>
      </w:r>
      <w:r w:rsidR="002202F2" w:rsidRPr="005B7071">
        <w:rPr>
          <w:rFonts w:ascii="Times New Roman" w:hAnsi="Times New Roman"/>
        </w:rPr>
        <w:t>eventually prevailing.</w:t>
      </w:r>
      <w:r w:rsidR="002202F2" w:rsidRPr="005B7071">
        <w:rPr>
          <w:rStyle w:val="FootnoteReference"/>
          <w:rFonts w:ascii="Times New Roman" w:hAnsi="Times New Roman"/>
        </w:rPr>
        <w:footnoteReference w:id="235"/>
      </w:r>
      <w:r w:rsidR="002202F2" w:rsidRPr="005B7071">
        <w:rPr>
          <w:rFonts w:ascii="Times New Roman" w:hAnsi="Times New Roman"/>
        </w:rPr>
        <w:t xml:space="preserve"> In this climate, in the middle of a </w:t>
      </w:r>
      <w:r w:rsidR="00D66F5C" w:rsidRPr="005B7071">
        <w:rPr>
          <w:rFonts w:ascii="Times New Roman" w:hAnsi="Times New Roman"/>
        </w:rPr>
        <w:t>sixty-four-year</w:t>
      </w:r>
      <w:r w:rsidR="002202F2" w:rsidRPr="005B7071">
        <w:rPr>
          <w:rFonts w:ascii="Times New Roman" w:hAnsi="Times New Roman"/>
        </w:rPr>
        <w:t xml:space="preserve"> struggle to regain sacred lands, it is difficult to read paintings of Taos Pueblo framed by the Sangre de Cristo Mountains created by full and active members of Pueblo society as anything but politic</w:t>
      </w:r>
      <w:r w:rsidR="00CA164C" w:rsidRPr="005B7071">
        <w:rPr>
          <w:rFonts w:ascii="Times New Roman" w:hAnsi="Times New Roman"/>
        </w:rPr>
        <w:t>al statements of sovereignty.</w:t>
      </w:r>
    </w:p>
    <w:p w14:paraId="4F73A23D" w14:textId="77777777" w:rsidR="002202F2" w:rsidRPr="005B7071" w:rsidRDefault="002202F2" w:rsidP="002202F2">
      <w:pPr>
        <w:rPr>
          <w:rFonts w:ascii="Times New Roman" w:hAnsi="Times New Roman"/>
        </w:rPr>
      </w:pPr>
    </w:p>
    <w:p w14:paraId="2223E198" w14:textId="7E4D01FB" w:rsidR="002202F2" w:rsidRPr="005B7071" w:rsidRDefault="002202F2" w:rsidP="000C5C0B">
      <w:pPr>
        <w:jc w:val="center"/>
        <w:rPr>
          <w:rFonts w:ascii="Times New Roman" w:hAnsi="Times New Roman"/>
          <w:b/>
        </w:rPr>
      </w:pPr>
      <w:r w:rsidRPr="005B7071">
        <w:rPr>
          <w:rFonts w:ascii="Times New Roman" w:hAnsi="Times New Roman"/>
          <w:b/>
        </w:rPr>
        <w:t>Performanc</w:t>
      </w:r>
      <w:r w:rsidR="00CA164C" w:rsidRPr="005B7071">
        <w:rPr>
          <w:rFonts w:ascii="Times New Roman" w:hAnsi="Times New Roman"/>
          <w:b/>
        </w:rPr>
        <w:t>e and Repetition at Taos Pueblo</w:t>
      </w:r>
    </w:p>
    <w:p w14:paraId="5592391E" w14:textId="2713E703" w:rsidR="002202F2" w:rsidRPr="005B7071" w:rsidRDefault="002202F2" w:rsidP="002202F2">
      <w:pPr>
        <w:ind w:firstLine="720"/>
        <w:rPr>
          <w:rFonts w:ascii="Times New Roman" w:hAnsi="Times New Roman"/>
        </w:rPr>
      </w:pPr>
      <w:r w:rsidRPr="005B7071">
        <w:rPr>
          <w:rFonts w:ascii="Times New Roman" w:hAnsi="Times New Roman"/>
        </w:rPr>
        <w:t>To varying degrees, both Looking Elk and Lujan “performed” their Pueblo-ness for tourists. Since no gallery or museum would show their works, Looking Elk and Lujan made and sold their pa</w:t>
      </w:r>
      <w:r w:rsidR="005348F3">
        <w:rPr>
          <w:rFonts w:ascii="Times New Roman" w:hAnsi="Times New Roman"/>
        </w:rPr>
        <w:t xml:space="preserve">intings at the Pueblo, making </w:t>
      </w:r>
      <w:r w:rsidR="00CC3598">
        <w:rPr>
          <w:rFonts w:ascii="Times New Roman" w:hAnsi="Times New Roman"/>
        </w:rPr>
        <w:t xml:space="preserve">a virtue of </w:t>
      </w:r>
      <w:r w:rsidR="005348F3">
        <w:rPr>
          <w:rFonts w:ascii="Times New Roman" w:hAnsi="Times New Roman"/>
        </w:rPr>
        <w:t>necessity</w:t>
      </w:r>
      <w:r w:rsidR="00CC3598">
        <w:rPr>
          <w:rFonts w:ascii="Times New Roman" w:hAnsi="Times New Roman"/>
        </w:rPr>
        <w:t xml:space="preserve">. </w:t>
      </w:r>
      <w:r w:rsidRPr="005B7071">
        <w:rPr>
          <w:rFonts w:ascii="Times New Roman" w:hAnsi="Times New Roman"/>
        </w:rPr>
        <w:t>As mentioned above, Lujan used the hoop-da</w:t>
      </w:r>
      <w:r w:rsidR="00837C61">
        <w:rPr>
          <w:rFonts w:ascii="Times New Roman" w:hAnsi="Times New Roman"/>
        </w:rPr>
        <w:t>n</w:t>
      </w:r>
      <w:r w:rsidRPr="005B7071">
        <w:rPr>
          <w:rFonts w:ascii="Times New Roman" w:hAnsi="Times New Roman"/>
        </w:rPr>
        <w:t>ces of his nephew, Bobby, to entice buyers, and both artists posed for, and sold, postcards.</w:t>
      </w:r>
      <w:r w:rsidRPr="005B7071">
        <w:rPr>
          <w:rStyle w:val="FootnoteReference"/>
          <w:rFonts w:ascii="Times New Roman" w:hAnsi="Times New Roman"/>
        </w:rPr>
        <w:footnoteReference w:id="236"/>
      </w:r>
      <w:r w:rsidRPr="005B7071">
        <w:rPr>
          <w:rFonts w:ascii="Times New Roman" w:hAnsi="Times New Roman"/>
        </w:rPr>
        <w:t xml:space="preserve"> Notably, these postcards show Lujan and Looking Elks in the act of painting; in other words, these </w:t>
      </w:r>
      <w:r w:rsidR="00CC3598">
        <w:rPr>
          <w:rFonts w:ascii="Times New Roman" w:hAnsi="Times New Roman"/>
        </w:rPr>
        <w:t xml:space="preserve">were </w:t>
      </w:r>
      <w:r w:rsidRPr="005B7071">
        <w:rPr>
          <w:rFonts w:ascii="Times New Roman" w:hAnsi="Times New Roman"/>
        </w:rPr>
        <w:t xml:space="preserve">commoditized pictures that circulated among potential non-Indian buyers that portrayed the artists </w:t>
      </w:r>
      <w:r w:rsidRPr="005B7071">
        <w:rPr>
          <w:rFonts w:ascii="Times New Roman" w:hAnsi="Times New Roman"/>
          <w:i/>
        </w:rPr>
        <w:t xml:space="preserve">performing </w:t>
      </w:r>
      <w:r w:rsidRPr="005B7071">
        <w:rPr>
          <w:rFonts w:ascii="Times New Roman" w:hAnsi="Times New Roman"/>
        </w:rPr>
        <w:t xml:space="preserve">Pueblo identity. In Lujan’s postcard </w:t>
      </w:r>
      <w:r w:rsidR="002C31A4" w:rsidRPr="005B7071">
        <w:rPr>
          <w:rFonts w:ascii="Times New Roman" w:hAnsi="Times New Roman"/>
        </w:rPr>
        <w:t>(see</w:t>
      </w:r>
      <w:r w:rsidR="003A28DE" w:rsidRPr="005B7071">
        <w:rPr>
          <w:rFonts w:ascii="Times New Roman" w:hAnsi="Times New Roman"/>
        </w:rPr>
        <w:t xml:space="preserve"> </w:t>
      </w:r>
      <w:r w:rsidR="00D71F99" w:rsidRPr="005B7071">
        <w:rPr>
          <w:rFonts w:ascii="Times New Roman" w:hAnsi="Times New Roman"/>
        </w:rPr>
        <w:t>fig. 4.17</w:t>
      </w:r>
      <w:r w:rsidR="003A28DE" w:rsidRPr="005B7071">
        <w:rPr>
          <w:rFonts w:ascii="Times New Roman" w:hAnsi="Times New Roman"/>
        </w:rPr>
        <w:t>)</w:t>
      </w:r>
      <w:r w:rsidRPr="005B7071">
        <w:rPr>
          <w:rFonts w:ascii="Times New Roman" w:hAnsi="Times New Roman"/>
        </w:rPr>
        <w:t xml:space="preserve">, the artist leans back in a high-backed chair positioned in the plaza. His expression is one of concentration; the viewer </w:t>
      </w:r>
      <w:r w:rsidR="00CC3598">
        <w:rPr>
          <w:rFonts w:ascii="Times New Roman" w:hAnsi="Times New Roman"/>
        </w:rPr>
        <w:t xml:space="preserve">sees the artist </w:t>
      </w:r>
      <w:r w:rsidRPr="005B7071">
        <w:rPr>
          <w:rFonts w:ascii="Times New Roman" w:hAnsi="Times New Roman"/>
        </w:rPr>
        <w:t xml:space="preserve">just as </w:t>
      </w:r>
      <w:r w:rsidR="00CC3598">
        <w:rPr>
          <w:rFonts w:ascii="Times New Roman" w:hAnsi="Times New Roman"/>
        </w:rPr>
        <w:t xml:space="preserve">he </w:t>
      </w:r>
      <w:r w:rsidRPr="005B7071">
        <w:rPr>
          <w:rFonts w:ascii="Times New Roman" w:hAnsi="Times New Roman"/>
        </w:rPr>
        <w:t xml:space="preserve">adds a brush stroke to </w:t>
      </w:r>
      <w:r w:rsidR="00CC3598">
        <w:rPr>
          <w:rFonts w:ascii="Times New Roman" w:hAnsi="Times New Roman"/>
        </w:rPr>
        <w:t xml:space="preserve">a </w:t>
      </w:r>
      <w:r w:rsidRPr="005B7071">
        <w:rPr>
          <w:rFonts w:ascii="Times New Roman" w:hAnsi="Times New Roman"/>
        </w:rPr>
        <w:t>painting</w:t>
      </w:r>
      <w:r w:rsidR="00CC3598">
        <w:rPr>
          <w:rFonts w:ascii="Times New Roman" w:hAnsi="Times New Roman"/>
        </w:rPr>
        <w:t>. H</w:t>
      </w:r>
      <w:r w:rsidRPr="005B7071">
        <w:rPr>
          <w:rFonts w:ascii="Times New Roman" w:hAnsi="Times New Roman"/>
        </w:rPr>
        <w:t>e wears his hair in traditional braids, and he has a white frock wrapped around his lower body, from his wai</w:t>
      </w:r>
      <w:r w:rsidR="00CC3598">
        <w:rPr>
          <w:rFonts w:ascii="Times New Roman" w:hAnsi="Times New Roman"/>
        </w:rPr>
        <w:t>st</w:t>
      </w:r>
      <w:r w:rsidRPr="005B7071">
        <w:rPr>
          <w:rFonts w:ascii="Times New Roman" w:hAnsi="Times New Roman"/>
        </w:rPr>
        <w:t xml:space="preserve"> to his knees, covering Western clothes. The Pueblo, the subject of Lujan’s paintings and the symbol of the man, frames the upper </w:t>
      </w:r>
      <w:r w:rsidR="000C5C0B" w:rsidRPr="005B7071">
        <w:rPr>
          <w:rFonts w:ascii="Times New Roman" w:hAnsi="Times New Roman"/>
        </w:rPr>
        <w:t xml:space="preserve">margin of the composition. </w:t>
      </w:r>
    </w:p>
    <w:p w14:paraId="65A616E0" w14:textId="40A4F212" w:rsidR="002202F2" w:rsidRPr="005B7071" w:rsidRDefault="002202F2" w:rsidP="002202F2">
      <w:pPr>
        <w:ind w:firstLine="720"/>
        <w:rPr>
          <w:rFonts w:ascii="Times New Roman" w:hAnsi="Times New Roman"/>
        </w:rPr>
      </w:pPr>
      <w:r w:rsidRPr="005B7071">
        <w:rPr>
          <w:rFonts w:ascii="Times New Roman" w:hAnsi="Times New Roman"/>
        </w:rPr>
        <w:t>In Looking Elk’s postcard</w:t>
      </w:r>
      <w:r w:rsidR="002925D5">
        <w:rPr>
          <w:rFonts w:ascii="Times New Roman" w:hAnsi="Times New Roman"/>
        </w:rPr>
        <w:t xml:space="preserve"> (see fig. 4.15)</w:t>
      </w:r>
      <w:r w:rsidRPr="005B7071">
        <w:rPr>
          <w:rFonts w:ascii="Times New Roman" w:hAnsi="Times New Roman"/>
        </w:rPr>
        <w:t>,</w:t>
      </w:r>
      <w:r w:rsidR="003A28DE" w:rsidRPr="005B7071">
        <w:rPr>
          <w:rFonts w:ascii="Times New Roman" w:hAnsi="Times New Roman"/>
        </w:rPr>
        <w:t xml:space="preserve"> </w:t>
      </w:r>
      <w:r w:rsidRPr="005B7071">
        <w:rPr>
          <w:rFonts w:ascii="Times New Roman" w:hAnsi="Times New Roman"/>
        </w:rPr>
        <w:t xml:space="preserve">made in 1938 while he served as Governor of Taos Pueblo, the viewer once again glimpses the artist at the moment of creation, just as brush meets support. Befitting his background as a TSA model and student of Oscar Berninghaus, Looking Elk paints indoors, i.e., in the studio. Lujan, who received no formal art training, paints </w:t>
      </w:r>
      <w:r w:rsidRPr="005B7071">
        <w:rPr>
          <w:rFonts w:ascii="Times New Roman" w:hAnsi="Times New Roman"/>
          <w:i/>
        </w:rPr>
        <w:t>en plein aire</w:t>
      </w:r>
      <w:r w:rsidRPr="005B7071">
        <w:rPr>
          <w:rFonts w:ascii="Times New Roman" w:hAnsi="Times New Roman"/>
        </w:rPr>
        <w:t xml:space="preserve">. Other than that, the two images are more similar than different. Both </w:t>
      </w:r>
      <w:r w:rsidR="00CC3598">
        <w:rPr>
          <w:rFonts w:ascii="Times New Roman" w:hAnsi="Times New Roman"/>
        </w:rPr>
        <w:t xml:space="preserve">men </w:t>
      </w:r>
      <w:r w:rsidRPr="005B7071">
        <w:rPr>
          <w:rFonts w:ascii="Times New Roman" w:hAnsi="Times New Roman"/>
        </w:rPr>
        <w:t>wear traditional br</w:t>
      </w:r>
      <w:r w:rsidR="00CC3598">
        <w:rPr>
          <w:rFonts w:ascii="Times New Roman" w:hAnsi="Times New Roman"/>
        </w:rPr>
        <w:t>aids</w:t>
      </w:r>
      <w:r w:rsidRPr="005B7071">
        <w:rPr>
          <w:rFonts w:ascii="Times New Roman" w:hAnsi="Times New Roman"/>
        </w:rPr>
        <w:t xml:space="preserve"> and a waist to knees white smock over Western clothing</w:t>
      </w:r>
      <w:r w:rsidR="00D14066">
        <w:rPr>
          <w:rFonts w:ascii="Times New Roman" w:hAnsi="Times New Roman"/>
        </w:rPr>
        <w:t>;</w:t>
      </w:r>
      <w:r w:rsidRPr="005B7071">
        <w:rPr>
          <w:rFonts w:ascii="Times New Roman" w:hAnsi="Times New Roman"/>
        </w:rPr>
        <w:t xml:space="preserve"> Looking Elk’s shirt </w:t>
      </w:r>
      <w:r w:rsidR="005348F3">
        <w:rPr>
          <w:rFonts w:ascii="Times New Roman" w:hAnsi="Times New Roman"/>
        </w:rPr>
        <w:t xml:space="preserve">appears </w:t>
      </w:r>
      <w:r w:rsidRPr="005B7071">
        <w:rPr>
          <w:rFonts w:ascii="Times New Roman" w:hAnsi="Times New Roman"/>
        </w:rPr>
        <w:t xml:space="preserve">store-bought. These images attest to the </w:t>
      </w:r>
      <w:r w:rsidR="00D14066">
        <w:rPr>
          <w:rFonts w:ascii="Times New Roman" w:hAnsi="Times New Roman"/>
        </w:rPr>
        <w:t xml:space="preserve">particular </w:t>
      </w:r>
      <w:r w:rsidRPr="005B7071">
        <w:rPr>
          <w:rFonts w:ascii="Times New Roman" w:hAnsi="Times New Roman"/>
        </w:rPr>
        <w:t xml:space="preserve">authenticity of </w:t>
      </w:r>
      <w:r w:rsidR="00D14066">
        <w:rPr>
          <w:rFonts w:ascii="Times New Roman" w:hAnsi="Times New Roman"/>
        </w:rPr>
        <w:t xml:space="preserve">each </w:t>
      </w:r>
      <w:r w:rsidRPr="005B7071">
        <w:rPr>
          <w:rFonts w:ascii="Times New Roman" w:hAnsi="Times New Roman"/>
        </w:rPr>
        <w:t>artist. Unable or unwilling to paint like “real” India</w:t>
      </w:r>
      <w:r w:rsidR="006D4EA7">
        <w:rPr>
          <w:rFonts w:ascii="Times New Roman" w:hAnsi="Times New Roman"/>
        </w:rPr>
        <w:t>ns (i.e., in the flat Santa Fe d</w:t>
      </w:r>
      <w:r w:rsidRPr="005B7071">
        <w:rPr>
          <w:rFonts w:ascii="Times New Roman" w:hAnsi="Times New Roman"/>
        </w:rPr>
        <w:t>ecorative style) Looking Elk and Lujan established their Pueblo credentials through their association with the Pueblo itself. By painting their a</w:t>
      </w:r>
      <w:r w:rsidR="00D14066">
        <w:rPr>
          <w:rFonts w:ascii="Times New Roman" w:hAnsi="Times New Roman"/>
        </w:rPr>
        <w:t xml:space="preserve">rt in full view of tourists, </w:t>
      </w:r>
      <w:r w:rsidRPr="005B7071">
        <w:rPr>
          <w:rFonts w:ascii="Times New Roman" w:hAnsi="Times New Roman"/>
        </w:rPr>
        <w:t xml:space="preserve">selling their art from curio </w:t>
      </w:r>
      <w:r w:rsidR="00D14066">
        <w:rPr>
          <w:rFonts w:ascii="Times New Roman" w:hAnsi="Times New Roman"/>
        </w:rPr>
        <w:t xml:space="preserve">shops within the Pueblo, and </w:t>
      </w:r>
      <w:r w:rsidR="005348F3" w:rsidRPr="005B7071">
        <w:rPr>
          <w:rFonts w:ascii="Times New Roman" w:hAnsi="Times New Roman"/>
        </w:rPr>
        <w:t>advertising</w:t>
      </w:r>
      <w:r w:rsidRPr="005B7071">
        <w:rPr>
          <w:rFonts w:ascii="Times New Roman" w:hAnsi="Times New Roman"/>
        </w:rPr>
        <w:t xml:space="preserve"> their art as a quintessential product of Taos Pueblo, the</w:t>
      </w:r>
      <w:r w:rsidR="00D14066">
        <w:rPr>
          <w:rFonts w:ascii="Times New Roman" w:hAnsi="Times New Roman"/>
        </w:rPr>
        <w:t xml:space="preserve">y </w:t>
      </w:r>
      <w:r w:rsidRPr="005B7071">
        <w:rPr>
          <w:rFonts w:ascii="Times New Roman" w:hAnsi="Times New Roman"/>
        </w:rPr>
        <w:t xml:space="preserve">overcame the Santa Fe bias and achieved </w:t>
      </w:r>
      <w:r w:rsidR="005348F3">
        <w:rPr>
          <w:rFonts w:ascii="Times New Roman" w:hAnsi="Times New Roman"/>
        </w:rPr>
        <w:t xml:space="preserve">some </w:t>
      </w:r>
      <w:r w:rsidR="00D14066">
        <w:rPr>
          <w:rFonts w:ascii="Times New Roman" w:hAnsi="Times New Roman"/>
        </w:rPr>
        <w:t xml:space="preserve">modicum of </w:t>
      </w:r>
      <w:r w:rsidR="00CA164C" w:rsidRPr="005B7071">
        <w:rPr>
          <w:rFonts w:ascii="Times New Roman" w:hAnsi="Times New Roman"/>
        </w:rPr>
        <w:t>success</w:t>
      </w:r>
      <w:r w:rsidR="00DB1BBD">
        <w:rPr>
          <w:rFonts w:ascii="Times New Roman" w:hAnsi="Times New Roman"/>
        </w:rPr>
        <w:t>.</w:t>
      </w:r>
    </w:p>
    <w:p w14:paraId="2FC88D8E" w14:textId="78B37E8D" w:rsidR="002202F2" w:rsidRPr="005B7071" w:rsidRDefault="002202F2" w:rsidP="002202F2">
      <w:pPr>
        <w:ind w:firstLine="720"/>
        <w:rPr>
          <w:rFonts w:ascii="Times New Roman" w:hAnsi="Times New Roman"/>
        </w:rPr>
      </w:pPr>
      <w:r w:rsidRPr="005B7071">
        <w:rPr>
          <w:rFonts w:ascii="Times New Roman" w:hAnsi="Times New Roman"/>
        </w:rPr>
        <w:t>What was it about such performances of Pueblo identity that v</w:t>
      </w:r>
      <w:r w:rsidR="005348F3">
        <w:rPr>
          <w:rFonts w:ascii="Times New Roman" w:hAnsi="Times New Roman"/>
        </w:rPr>
        <w:t>alidated the art of these men for</w:t>
      </w:r>
      <w:r w:rsidRPr="005B7071">
        <w:rPr>
          <w:rFonts w:ascii="Times New Roman" w:hAnsi="Times New Roman"/>
        </w:rPr>
        <w:t xml:space="preserve"> non-Pueblo tourists? Since the railro</w:t>
      </w:r>
      <w:r w:rsidR="00D14066">
        <w:rPr>
          <w:rFonts w:ascii="Times New Roman" w:hAnsi="Times New Roman"/>
        </w:rPr>
        <w:t>ads first made access to the p</w:t>
      </w:r>
      <w:r w:rsidRPr="005B7071">
        <w:rPr>
          <w:rFonts w:ascii="Times New Roman" w:hAnsi="Times New Roman"/>
        </w:rPr>
        <w:t>ueblos of New Mexico possible for middle class non-Indian tourists, the</w:t>
      </w:r>
      <w:r w:rsidR="00D14066">
        <w:rPr>
          <w:rFonts w:ascii="Times New Roman" w:hAnsi="Times New Roman"/>
        </w:rPr>
        <w:t xml:space="preserve">y </w:t>
      </w:r>
      <w:r w:rsidRPr="005B7071">
        <w:rPr>
          <w:rFonts w:ascii="Times New Roman" w:hAnsi="Times New Roman"/>
        </w:rPr>
        <w:t>bec</w:t>
      </w:r>
      <w:r w:rsidR="002925D5">
        <w:rPr>
          <w:rFonts w:ascii="Times New Roman" w:hAnsi="Times New Roman"/>
        </w:rPr>
        <w:t xml:space="preserve">ame </w:t>
      </w:r>
      <w:r w:rsidRPr="005B7071">
        <w:rPr>
          <w:rFonts w:ascii="Times New Roman" w:hAnsi="Times New Roman"/>
        </w:rPr>
        <w:t xml:space="preserve">sites of spectacle and commoditization. Audiences prepared for museum-like experiences </w:t>
      </w:r>
      <w:r w:rsidR="00D14066">
        <w:rPr>
          <w:rFonts w:ascii="Times New Roman" w:hAnsi="Times New Roman"/>
        </w:rPr>
        <w:t xml:space="preserve">brought </w:t>
      </w:r>
      <w:r w:rsidRPr="005B7071">
        <w:rPr>
          <w:rFonts w:ascii="Times New Roman" w:hAnsi="Times New Roman"/>
        </w:rPr>
        <w:t xml:space="preserve">certain expectations with them into the Pueblo. </w:t>
      </w:r>
      <w:r w:rsidR="00D14066">
        <w:rPr>
          <w:rFonts w:ascii="Times New Roman" w:hAnsi="Times New Roman"/>
        </w:rPr>
        <w:t xml:space="preserve">Cultural historian </w:t>
      </w:r>
      <w:r w:rsidRPr="005B7071">
        <w:rPr>
          <w:rFonts w:ascii="Times New Roman" w:hAnsi="Times New Roman"/>
        </w:rPr>
        <w:t>Barbara Kirshenblatt-Gimblett has argued that “museum exhibitions transform how people look at their own immediate environs,” and because of this, “the museum experience itself becomes a model for experiencing life outside its walls.”</w:t>
      </w:r>
      <w:r w:rsidRPr="005B7071">
        <w:rPr>
          <w:rStyle w:val="FootnoteReference"/>
          <w:rFonts w:ascii="Times New Roman" w:hAnsi="Times New Roman"/>
        </w:rPr>
        <w:footnoteReference w:id="237"/>
      </w:r>
      <w:r w:rsidRPr="005B7071">
        <w:rPr>
          <w:rFonts w:ascii="Times New Roman" w:hAnsi="Times New Roman"/>
        </w:rPr>
        <w:t xml:space="preserve"> In World’s Fairs and ethnographic exhibitions of Indian culture from the 1880s onward, live Indians frequently “performed” their cultures for white audiences, carrying out everyday activities to the delight of white audiences</w:t>
      </w:r>
      <w:r w:rsidR="003A28DE" w:rsidRPr="005B7071">
        <w:rPr>
          <w:rFonts w:ascii="Times New Roman" w:hAnsi="Times New Roman"/>
        </w:rPr>
        <w:t xml:space="preserve"> </w:t>
      </w:r>
      <w:r w:rsidR="00D71F99" w:rsidRPr="005B7071">
        <w:rPr>
          <w:rFonts w:ascii="Times New Roman" w:hAnsi="Times New Roman"/>
        </w:rPr>
        <w:t>(fig. 4.22</w:t>
      </w:r>
      <w:r w:rsidR="003A28DE" w:rsidRPr="005B7071">
        <w:rPr>
          <w:rFonts w:ascii="Times New Roman" w:hAnsi="Times New Roman"/>
        </w:rPr>
        <w:t>)</w:t>
      </w:r>
      <w:r w:rsidRPr="005B7071">
        <w:rPr>
          <w:rFonts w:ascii="Times New Roman" w:hAnsi="Times New Roman"/>
        </w:rPr>
        <w:t xml:space="preserve">. </w:t>
      </w:r>
      <w:r w:rsidR="003A28DE" w:rsidRPr="005B7071">
        <w:rPr>
          <w:rFonts w:ascii="Times New Roman" w:hAnsi="Times New Roman"/>
        </w:rPr>
        <w:t>T</w:t>
      </w:r>
      <w:r w:rsidRPr="005B7071">
        <w:rPr>
          <w:rFonts w:ascii="Times New Roman" w:hAnsi="Times New Roman"/>
        </w:rPr>
        <w:t>ourism, on the other hand,</w:t>
      </w:r>
    </w:p>
    <w:p w14:paraId="3BEB55EE" w14:textId="355B5366" w:rsidR="002202F2" w:rsidRPr="005B7071" w:rsidRDefault="002202F2" w:rsidP="000A555A">
      <w:pPr>
        <w:pStyle w:val="NoSpacing"/>
        <w:ind w:left="720"/>
        <w:rPr>
          <w:rFonts w:ascii="Times New Roman" w:hAnsi="Times New Roman"/>
          <w:szCs w:val="24"/>
        </w:rPr>
      </w:pPr>
      <w:r w:rsidRPr="005B7071">
        <w:rPr>
          <w:rFonts w:ascii="Times New Roman" w:hAnsi="Times New Roman"/>
          <w:szCs w:val="24"/>
        </w:rPr>
        <w:t>takes the spectator to the site, and as areas are canonized in the</w:t>
      </w:r>
      <w:r w:rsidR="000A555A" w:rsidRPr="005B7071">
        <w:rPr>
          <w:rFonts w:ascii="Times New Roman" w:hAnsi="Times New Roman"/>
          <w:szCs w:val="24"/>
        </w:rPr>
        <w:tab/>
      </w:r>
      <w:r w:rsidRPr="005B7071">
        <w:rPr>
          <w:rFonts w:ascii="Times New Roman" w:hAnsi="Times New Roman"/>
          <w:szCs w:val="24"/>
        </w:rPr>
        <w:t>geography of attractions, whole territories become extended</w:t>
      </w:r>
      <w:r w:rsidR="000A555A" w:rsidRPr="005B7071">
        <w:rPr>
          <w:rFonts w:ascii="Times New Roman" w:hAnsi="Times New Roman"/>
          <w:szCs w:val="24"/>
        </w:rPr>
        <w:t xml:space="preserve"> </w:t>
      </w:r>
      <w:r w:rsidRPr="005B7071">
        <w:rPr>
          <w:rFonts w:ascii="Times New Roman" w:hAnsi="Times New Roman"/>
          <w:szCs w:val="24"/>
        </w:rPr>
        <w:t>ethnographic</w:t>
      </w:r>
      <w:r w:rsidR="000A555A" w:rsidRPr="005B7071">
        <w:rPr>
          <w:rFonts w:ascii="Times New Roman" w:hAnsi="Times New Roman"/>
          <w:szCs w:val="24"/>
        </w:rPr>
        <w:t xml:space="preserve"> </w:t>
      </w:r>
      <w:r w:rsidRPr="005B7071">
        <w:rPr>
          <w:rFonts w:ascii="Times New Roman" w:hAnsi="Times New Roman"/>
          <w:szCs w:val="24"/>
        </w:rPr>
        <w:t>theme parks. An ethnographic bell jar drops over the</w:t>
      </w:r>
      <w:r w:rsidR="000A555A" w:rsidRPr="005B7071">
        <w:rPr>
          <w:rFonts w:ascii="Times New Roman" w:hAnsi="Times New Roman"/>
          <w:szCs w:val="24"/>
        </w:rPr>
        <w:t xml:space="preserve"> </w:t>
      </w:r>
      <w:r w:rsidRPr="005B7071">
        <w:rPr>
          <w:rFonts w:ascii="Times New Roman" w:hAnsi="Times New Roman"/>
          <w:szCs w:val="24"/>
        </w:rPr>
        <w:t>terrain. A</w:t>
      </w:r>
      <w:r w:rsidR="000A555A" w:rsidRPr="005B7071">
        <w:rPr>
          <w:rFonts w:ascii="Times New Roman" w:hAnsi="Times New Roman"/>
          <w:szCs w:val="24"/>
        </w:rPr>
        <w:t xml:space="preserve"> </w:t>
      </w:r>
      <w:r w:rsidRPr="005B7071">
        <w:rPr>
          <w:rFonts w:ascii="Times New Roman" w:hAnsi="Times New Roman"/>
          <w:szCs w:val="24"/>
        </w:rPr>
        <w:t>neighborhood, village, or region becomes, for all intents and</w:t>
      </w:r>
      <w:r w:rsidR="000A555A" w:rsidRPr="005B7071">
        <w:rPr>
          <w:rFonts w:ascii="Times New Roman" w:hAnsi="Times New Roman"/>
          <w:szCs w:val="24"/>
        </w:rPr>
        <w:t xml:space="preserve"> </w:t>
      </w:r>
      <w:r w:rsidRPr="005B7071">
        <w:rPr>
          <w:rFonts w:ascii="Times New Roman" w:hAnsi="Times New Roman"/>
          <w:szCs w:val="24"/>
        </w:rPr>
        <w:t>purposes, a</w:t>
      </w:r>
      <w:r w:rsidR="000A555A" w:rsidRPr="005B7071">
        <w:rPr>
          <w:rFonts w:ascii="Times New Roman" w:hAnsi="Times New Roman"/>
          <w:szCs w:val="24"/>
        </w:rPr>
        <w:t xml:space="preserve"> </w:t>
      </w:r>
      <w:r w:rsidRPr="005B7071">
        <w:rPr>
          <w:rFonts w:ascii="Times New Roman" w:hAnsi="Times New Roman"/>
          <w:szCs w:val="24"/>
        </w:rPr>
        <w:t xml:space="preserve">living museum </w:t>
      </w:r>
      <w:r w:rsidRPr="002925D5">
        <w:rPr>
          <w:rFonts w:ascii="Times New Roman" w:hAnsi="Times New Roman"/>
          <w:i/>
          <w:szCs w:val="24"/>
        </w:rPr>
        <w:t>in situ</w:t>
      </w:r>
      <w:r w:rsidRPr="005B7071">
        <w:rPr>
          <w:rFonts w:ascii="Times New Roman" w:hAnsi="Times New Roman"/>
          <w:szCs w:val="24"/>
        </w:rPr>
        <w:t>. The museum effect, rendering the</w:t>
      </w:r>
      <w:r w:rsidR="000A555A" w:rsidRPr="005B7071">
        <w:rPr>
          <w:rFonts w:ascii="Times New Roman" w:hAnsi="Times New Roman"/>
          <w:szCs w:val="24"/>
        </w:rPr>
        <w:t xml:space="preserve"> </w:t>
      </w:r>
      <w:r w:rsidRPr="005B7071">
        <w:rPr>
          <w:rFonts w:ascii="Times New Roman" w:hAnsi="Times New Roman"/>
          <w:szCs w:val="24"/>
        </w:rPr>
        <w:t>quotient</w:t>
      </w:r>
      <w:r w:rsidR="000A555A" w:rsidRPr="005B7071">
        <w:rPr>
          <w:rFonts w:ascii="Times New Roman" w:hAnsi="Times New Roman"/>
          <w:szCs w:val="24"/>
        </w:rPr>
        <w:t xml:space="preserve"> </w:t>
      </w:r>
      <w:r w:rsidRPr="005B7071">
        <w:rPr>
          <w:rFonts w:ascii="Times New Roman" w:hAnsi="Times New Roman"/>
          <w:szCs w:val="24"/>
        </w:rPr>
        <w:t>spectacular, becomes ubiquitous.</w:t>
      </w:r>
      <w:r w:rsidRPr="005B7071">
        <w:rPr>
          <w:rStyle w:val="FootnoteReference"/>
          <w:rFonts w:ascii="Times New Roman" w:hAnsi="Times New Roman"/>
          <w:szCs w:val="24"/>
        </w:rPr>
        <w:footnoteReference w:id="238"/>
      </w:r>
    </w:p>
    <w:p w14:paraId="4E4C6107" w14:textId="77777777" w:rsidR="002202F2" w:rsidRPr="005B7071" w:rsidRDefault="002202F2" w:rsidP="002202F2">
      <w:pPr>
        <w:pStyle w:val="NoSpacing"/>
        <w:ind w:left="720" w:firstLine="720"/>
        <w:rPr>
          <w:rFonts w:ascii="Times New Roman" w:hAnsi="Times New Roman"/>
          <w:szCs w:val="24"/>
        </w:rPr>
      </w:pPr>
    </w:p>
    <w:p w14:paraId="63333404" w14:textId="3D18B2BA" w:rsidR="002202F2" w:rsidRPr="005B7071" w:rsidRDefault="002202F2" w:rsidP="002202F2">
      <w:pPr>
        <w:rPr>
          <w:rFonts w:ascii="Times New Roman" w:hAnsi="Times New Roman"/>
        </w:rPr>
      </w:pPr>
      <w:r w:rsidRPr="005B7071">
        <w:rPr>
          <w:rFonts w:ascii="Times New Roman" w:hAnsi="Times New Roman"/>
        </w:rPr>
        <w:t xml:space="preserve">The Pueblo, transformed into </w:t>
      </w:r>
      <w:r w:rsidR="005348F3">
        <w:rPr>
          <w:rFonts w:ascii="Times New Roman" w:hAnsi="Times New Roman"/>
        </w:rPr>
        <w:t xml:space="preserve">the object </w:t>
      </w:r>
      <w:r w:rsidRPr="005B7071">
        <w:rPr>
          <w:rFonts w:ascii="Times New Roman" w:hAnsi="Times New Roman"/>
        </w:rPr>
        <w:t>of touristic desire and viewed through the lens of the museum effect, bec</w:t>
      </w:r>
      <w:r w:rsidR="00D14066">
        <w:rPr>
          <w:rFonts w:ascii="Times New Roman" w:hAnsi="Times New Roman"/>
        </w:rPr>
        <w:t xml:space="preserve">ame </w:t>
      </w:r>
      <w:r w:rsidRPr="005B7071">
        <w:rPr>
          <w:rFonts w:ascii="Times New Roman" w:hAnsi="Times New Roman"/>
        </w:rPr>
        <w:t>the natural place for Pueblo Indians to perform their identity. For Looking Elk and L</w:t>
      </w:r>
      <w:r w:rsidR="00CA164C" w:rsidRPr="005B7071">
        <w:rPr>
          <w:rFonts w:ascii="Times New Roman" w:hAnsi="Times New Roman"/>
        </w:rPr>
        <w:t>ujan, this meant painting.</w:t>
      </w:r>
    </w:p>
    <w:p w14:paraId="3E5F5B90" w14:textId="5D3A6EFD" w:rsidR="002202F2" w:rsidRPr="005B7071" w:rsidRDefault="002202F2" w:rsidP="002202F2">
      <w:pPr>
        <w:ind w:firstLine="720"/>
        <w:rPr>
          <w:rFonts w:ascii="Times New Roman" w:hAnsi="Times New Roman"/>
        </w:rPr>
      </w:pPr>
      <w:r w:rsidRPr="005B7071">
        <w:rPr>
          <w:rFonts w:ascii="Times New Roman" w:hAnsi="Times New Roman"/>
        </w:rPr>
        <w:t xml:space="preserve">One further benefit to selling works of art </w:t>
      </w:r>
      <w:r w:rsidRPr="005B7071">
        <w:rPr>
          <w:rFonts w:ascii="Times New Roman" w:hAnsi="Times New Roman"/>
          <w:i/>
        </w:rPr>
        <w:t>in situ</w:t>
      </w:r>
      <w:r w:rsidRPr="005B7071">
        <w:rPr>
          <w:rFonts w:ascii="Times New Roman" w:hAnsi="Times New Roman"/>
        </w:rPr>
        <w:t xml:space="preserve"> was the effect of repetition. Both Looking Elk and Lujan sold their paintings from curio shops, probably little more than small ante rooms in their pueblo homes.</w:t>
      </w:r>
      <w:r w:rsidR="0097066E">
        <w:rPr>
          <w:rStyle w:val="FootnoteReference"/>
          <w:rFonts w:ascii="Times New Roman" w:hAnsi="Times New Roman"/>
        </w:rPr>
        <w:footnoteReference w:id="239"/>
      </w:r>
      <w:r w:rsidRPr="005B7071">
        <w:rPr>
          <w:rFonts w:ascii="Times New Roman" w:hAnsi="Times New Roman"/>
        </w:rPr>
        <w:t xml:space="preserve"> Looking Elk and Lujan probably had, and any given moment, dozens of similar, if not nearly identical, paintings on hand, crowding their small curio shops. To this day, Taos Pueblo artists, situa</w:t>
      </w:r>
      <w:r w:rsidR="002925D5">
        <w:rPr>
          <w:rFonts w:ascii="Times New Roman" w:hAnsi="Times New Roman"/>
        </w:rPr>
        <w:t>ted in similar small galleries</w:t>
      </w:r>
      <w:r w:rsidRPr="005B7071">
        <w:rPr>
          <w:rFonts w:ascii="Times New Roman" w:hAnsi="Times New Roman"/>
        </w:rPr>
        <w:t xml:space="preserve">, present much the same image to the tourist – row upon row of similar paintings. </w:t>
      </w:r>
      <w:r w:rsidR="002925D5">
        <w:rPr>
          <w:rFonts w:ascii="Times New Roman" w:hAnsi="Times New Roman"/>
        </w:rPr>
        <w:t xml:space="preserve">Within the confines of a </w:t>
      </w:r>
      <w:r w:rsidRPr="005B7071">
        <w:rPr>
          <w:rFonts w:ascii="Times New Roman" w:hAnsi="Times New Roman"/>
        </w:rPr>
        <w:t>c</w:t>
      </w:r>
      <w:r w:rsidR="002925D5">
        <w:rPr>
          <w:rFonts w:ascii="Times New Roman" w:hAnsi="Times New Roman"/>
        </w:rPr>
        <w:t>urio</w:t>
      </w:r>
      <w:r w:rsidRPr="005B7071">
        <w:rPr>
          <w:rFonts w:ascii="Times New Roman" w:hAnsi="Times New Roman"/>
        </w:rPr>
        <w:t xml:space="preserve"> shop, small and sparse by </w:t>
      </w:r>
      <w:r w:rsidR="00D14066">
        <w:rPr>
          <w:rFonts w:ascii="Times New Roman" w:hAnsi="Times New Roman"/>
        </w:rPr>
        <w:t xml:space="preserve">Eastern urban </w:t>
      </w:r>
      <w:r w:rsidRPr="005B7071">
        <w:rPr>
          <w:rFonts w:ascii="Times New Roman" w:hAnsi="Times New Roman"/>
        </w:rPr>
        <w:t>standards, the tourist would be greeted by perhaps as many as 50-75 paintings hung Salon styl</w:t>
      </w:r>
      <w:r w:rsidR="005348F3">
        <w:rPr>
          <w:rFonts w:ascii="Times New Roman" w:hAnsi="Times New Roman"/>
        </w:rPr>
        <w:t xml:space="preserve">e on the adobe walls. All of </w:t>
      </w:r>
      <w:r w:rsidRPr="005B7071">
        <w:rPr>
          <w:rFonts w:ascii="Times New Roman" w:hAnsi="Times New Roman"/>
        </w:rPr>
        <w:t xml:space="preserve">these paintings </w:t>
      </w:r>
      <w:r w:rsidR="005348F3">
        <w:rPr>
          <w:rFonts w:ascii="Times New Roman" w:hAnsi="Times New Roman"/>
        </w:rPr>
        <w:t xml:space="preserve">had Taos Pueblo </w:t>
      </w:r>
      <w:r w:rsidRPr="005B7071">
        <w:rPr>
          <w:rFonts w:ascii="Times New Roman" w:hAnsi="Times New Roman"/>
        </w:rPr>
        <w:t xml:space="preserve">as </w:t>
      </w:r>
      <w:r w:rsidR="00D14066">
        <w:rPr>
          <w:rFonts w:ascii="Times New Roman" w:hAnsi="Times New Roman"/>
        </w:rPr>
        <w:t xml:space="preserve">its </w:t>
      </w:r>
      <w:r w:rsidRPr="005B7071">
        <w:rPr>
          <w:rFonts w:ascii="Times New Roman" w:hAnsi="Times New Roman"/>
        </w:rPr>
        <w:t>subject</w:t>
      </w:r>
      <w:r w:rsidR="005348F3">
        <w:rPr>
          <w:rFonts w:ascii="Times New Roman" w:hAnsi="Times New Roman"/>
        </w:rPr>
        <w:t xml:space="preserve">. </w:t>
      </w:r>
      <w:r w:rsidRPr="005B7071">
        <w:rPr>
          <w:rFonts w:ascii="Times New Roman" w:hAnsi="Times New Roman"/>
        </w:rPr>
        <w:t xml:space="preserve">Each painting, completed in oils on either artist’s board or canvas, would </w:t>
      </w:r>
      <w:r w:rsidR="00D14066">
        <w:rPr>
          <w:rFonts w:ascii="Times New Roman" w:hAnsi="Times New Roman"/>
        </w:rPr>
        <w:t>have been o</w:t>
      </w:r>
      <w:r w:rsidRPr="005B7071">
        <w:rPr>
          <w:rFonts w:ascii="Times New Roman" w:hAnsi="Times New Roman"/>
        </w:rPr>
        <w:t>f similar size – most about 5 x 7 inches, with only</w:t>
      </w:r>
      <w:r w:rsidR="00CA164C" w:rsidRPr="005B7071">
        <w:rPr>
          <w:rFonts w:ascii="Times New Roman" w:hAnsi="Times New Roman"/>
        </w:rPr>
        <w:t xml:space="preserve"> a few more than 8 x 10 inches.</w:t>
      </w:r>
    </w:p>
    <w:p w14:paraId="6B48828B" w14:textId="3FF9B65F" w:rsidR="002202F2" w:rsidRDefault="002202F2" w:rsidP="002202F2">
      <w:pPr>
        <w:ind w:firstLine="720"/>
        <w:rPr>
          <w:rFonts w:ascii="Times New Roman" w:hAnsi="Times New Roman"/>
        </w:rPr>
      </w:pPr>
      <w:r w:rsidRPr="005B7071">
        <w:rPr>
          <w:rFonts w:ascii="Times New Roman" w:hAnsi="Times New Roman"/>
        </w:rPr>
        <w:t xml:space="preserve">Logically, one might assume that the repetition of subject, media and support, and size in such a confined space would make a potential buyer </w:t>
      </w:r>
      <w:r w:rsidRPr="00D14066">
        <w:rPr>
          <w:rFonts w:ascii="Times New Roman" w:hAnsi="Times New Roman"/>
          <w:i/>
        </w:rPr>
        <w:t>less</w:t>
      </w:r>
      <w:r w:rsidRPr="005B7071">
        <w:rPr>
          <w:rFonts w:ascii="Times New Roman" w:hAnsi="Times New Roman"/>
        </w:rPr>
        <w:t xml:space="preserve"> interested in </w:t>
      </w:r>
      <w:r w:rsidR="005348F3">
        <w:rPr>
          <w:rFonts w:ascii="Times New Roman" w:hAnsi="Times New Roman"/>
        </w:rPr>
        <w:t>acquiring one. Counter</w:t>
      </w:r>
      <w:r w:rsidRPr="005B7071">
        <w:rPr>
          <w:rFonts w:ascii="Times New Roman" w:hAnsi="Times New Roman"/>
        </w:rPr>
        <w:t>intuitively, this type of display might have actually helped Lujan and Looking Elk to sell their works. This is because</w:t>
      </w:r>
      <w:r w:rsidR="00D14066">
        <w:rPr>
          <w:rFonts w:ascii="Times New Roman" w:hAnsi="Times New Roman"/>
        </w:rPr>
        <w:t xml:space="preserve">, according to Christopher Steiner, a sense of </w:t>
      </w:r>
      <w:r w:rsidRPr="005B7071">
        <w:rPr>
          <w:rFonts w:ascii="Times New Roman" w:hAnsi="Times New Roman"/>
        </w:rPr>
        <w:t>ethnographic authenticity depends on redundancy and repetition to “create its own standard of beauty.”</w:t>
      </w:r>
      <w:r w:rsidRPr="005B7071">
        <w:rPr>
          <w:rStyle w:val="FootnoteReference"/>
          <w:rFonts w:ascii="Times New Roman" w:hAnsi="Times New Roman"/>
        </w:rPr>
        <w:footnoteReference w:id="240"/>
      </w:r>
      <w:r w:rsidRPr="005B7071">
        <w:rPr>
          <w:rFonts w:ascii="Times New Roman" w:hAnsi="Times New Roman"/>
        </w:rPr>
        <w:t xml:space="preserve"> A tourist faced with a wall of Indian paintings or African masks or Polynesian textiles often finds reassurance in numbers, which create a canon of representation </w:t>
      </w:r>
      <w:r w:rsidR="00D14066">
        <w:rPr>
          <w:rFonts w:ascii="Times New Roman" w:hAnsi="Times New Roman"/>
        </w:rPr>
        <w:t xml:space="preserve">authorizing </w:t>
      </w:r>
      <w:r w:rsidRPr="005B7071">
        <w:rPr>
          <w:rFonts w:ascii="Times New Roman" w:hAnsi="Times New Roman"/>
        </w:rPr>
        <w:t>purchases. In a sense, the similarity of the paintings reaffirms thei</w:t>
      </w:r>
      <w:r w:rsidR="00CA164C" w:rsidRPr="005B7071">
        <w:rPr>
          <w:rFonts w:ascii="Times New Roman" w:hAnsi="Times New Roman"/>
        </w:rPr>
        <w:t>r ethnographic authenticity.</w:t>
      </w:r>
    </w:p>
    <w:p w14:paraId="4414AB6F" w14:textId="6C863E32" w:rsidR="008C60C1" w:rsidRDefault="008C60C1" w:rsidP="002202F2">
      <w:pPr>
        <w:ind w:firstLine="720"/>
        <w:rPr>
          <w:rFonts w:ascii="Times New Roman" w:hAnsi="Times New Roman"/>
        </w:rPr>
      </w:pPr>
    </w:p>
    <w:p w14:paraId="06F5066C" w14:textId="7B94C238" w:rsidR="008C60C1" w:rsidRPr="005B7071" w:rsidRDefault="008C60C1" w:rsidP="008C60C1">
      <w:pPr>
        <w:jc w:val="center"/>
        <w:rPr>
          <w:rFonts w:ascii="Times New Roman" w:hAnsi="Times New Roman"/>
          <w:b/>
        </w:rPr>
      </w:pPr>
      <w:r w:rsidRPr="005B7071">
        <w:rPr>
          <w:rFonts w:ascii="Times New Roman" w:hAnsi="Times New Roman"/>
          <w:b/>
        </w:rPr>
        <w:t>Juan Mirabal</w:t>
      </w:r>
    </w:p>
    <w:p w14:paraId="30B1DC3F" w14:textId="4DA1C5F2" w:rsidR="00AC7B4F" w:rsidRDefault="008C60C1" w:rsidP="00DB1BBD">
      <w:pPr>
        <w:ind w:firstLine="720"/>
        <w:rPr>
          <w:rFonts w:ascii="Times New Roman" w:hAnsi="Times New Roman"/>
        </w:rPr>
      </w:pPr>
      <w:r w:rsidRPr="005B7071">
        <w:rPr>
          <w:rFonts w:ascii="Times New Roman" w:hAnsi="Times New Roman"/>
        </w:rPr>
        <w:t>Juan Mirabal (1903-1970) remains the least known of the three Taos Pueblo painters.</w:t>
      </w:r>
      <w:r w:rsidRPr="005B7071">
        <w:rPr>
          <w:rStyle w:val="FootnoteReference"/>
          <w:rFonts w:ascii="Times New Roman" w:hAnsi="Times New Roman"/>
        </w:rPr>
        <w:footnoteReference w:id="241"/>
      </w:r>
      <w:r w:rsidRPr="005B7071">
        <w:rPr>
          <w:rFonts w:ascii="Times New Roman" w:hAnsi="Times New Roman"/>
        </w:rPr>
        <w:t xml:space="preserve"> Although he produced </w:t>
      </w:r>
      <w:r w:rsidR="00D15BF4">
        <w:rPr>
          <w:rFonts w:ascii="Times New Roman" w:hAnsi="Times New Roman"/>
        </w:rPr>
        <w:t>p</w:t>
      </w:r>
      <w:r w:rsidRPr="005B7071">
        <w:rPr>
          <w:rFonts w:ascii="Times New Roman" w:hAnsi="Times New Roman"/>
        </w:rPr>
        <w:t>ieces similar to those of Looking Elk and Lujan, no record exis</w:t>
      </w:r>
      <w:r w:rsidR="001501E2">
        <w:rPr>
          <w:rFonts w:ascii="Times New Roman" w:hAnsi="Times New Roman"/>
        </w:rPr>
        <w:t>ts that he painted on the plaza</w:t>
      </w:r>
      <w:r w:rsidRPr="005B7071">
        <w:rPr>
          <w:rFonts w:ascii="Times New Roman" w:hAnsi="Times New Roman"/>
        </w:rPr>
        <w:t xml:space="preserve"> or sold his paintings from the Pueblo (fig. 4.23). </w:t>
      </w:r>
      <w:r w:rsidR="002B317C">
        <w:rPr>
          <w:rFonts w:ascii="Times New Roman" w:hAnsi="Times New Roman"/>
        </w:rPr>
        <w:t xml:space="preserve">He worked until his death in 1970, but never overtly marketed his works </w:t>
      </w:r>
      <w:r w:rsidR="001501E2">
        <w:rPr>
          <w:rFonts w:ascii="Times New Roman" w:hAnsi="Times New Roman"/>
        </w:rPr>
        <w:t xml:space="preserve">as did </w:t>
      </w:r>
      <w:r w:rsidR="002B317C">
        <w:rPr>
          <w:rFonts w:ascii="Times New Roman" w:hAnsi="Times New Roman"/>
        </w:rPr>
        <w:t>Looking Elk or Lujan.</w:t>
      </w:r>
      <w:r w:rsidR="002B317C">
        <w:rPr>
          <w:rStyle w:val="FootnoteReference"/>
          <w:rFonts w:ascii="Times New Roman" w:hAnsi="Times New Roman"/>
        </w:rPr>
        <w:footnoteReference w:id="242"/>
      </w:r>
      <w:r w:rsidR="002B317C">
        <w:rPr>
          <w:rFonts w:ascii="Times New Roman" w:hAnsi="Times New Roman"/>
        </w:rPr>
        <w:t xml:space="preserve"> </w:t>
      </w:r>
      <w:r w:rsidRPr="005B7071">
        <w:rPr>
          <w:rFonts w:ascii="Times New Roman" w:hAnsi="Times New Roman"/>
        </w:rPr>
        <w:t xml:space="preserve">Instead, Mirabal seems to have attempted to establish a career as a fine artist, </w:t>
      </w:r>
      <w:r w:rsidR="001501E2">
        <w:rPr>
          <w:rFonts w:ascii="Times New Roman" w:hAnsi="Times New Roman"/>
        </w:rPr>
        <w:t xml:space="preserve">though </w:t>
      </w:r>
      <w:r w:rsidRPr="005B7071">
        <w:rPr>
          <w:rFonts w:ascii="Times New Roman" w:hAnsi="Times New Roman"/>
        </w:rPr>
        <w:t xml:space="preserve">with limited success. </w:t>
      </w:r>
      <w:r w:rsidR="001501E2">
        <w:rPr>
          <w:rFonts w:ascii="Times New Roman" w:hAnsi="Times New Roman"/>
        </w:rPr>
        <w:t>A</w:t>
      </w:r>
      <w:r w:rsidRPr="005B7071">
        <w:rPr>
          <w:rFonts w:ascii="Times New Roman" w:hAnsi="Times New Roman"/>
        </w:rPr>
        <w:t xml:space="preserve"> full generation younger than Looking Elk</w:t>
      </w:r>
      <w:r w:rsidR="00D15BF4">
        <w:rPr>
          <w:rFonts w:ascii="Times New Roman" w:hAnsi="Times New Roman"/>
        </w:rPr>
        <w:t xml:space="preserve"> and a decade younger than Lujan, </w:t>
      </w:r>
      <w:r w:rsidR="001501E2">
        <w:rPr>
          <w:rFonts w:ascii="Times New Roman" w:hAnsi="Times New Roman"/>
        </w:rPr>
        <w:t xml:space="preserve">he appears to have </w:t>
      </w:r>
      <w:r w:rsidRPr="005B7071">
        <w:rPr>
          <w:rFonts w:ascii="Times New Roman" w:hAnsi="Times New Roman"/>
        </w:rPr>
        <w:t>had one foot firmly placed in the Pueblo world</w:t>
      </w:r>
      <w:r w:rsidR="001501E2">
        <w:rPr>
          <w:rFonts w:ascii="Times New Roman" w:hAnsi="Times New Roman"/>
        </w:rPr>
        <w:t xml:space="preserve"> </w:t>
      </w:r>
      <w:r w:rsidRPr="005B7071">
        <w:rPr>
          <w:rFonts w:ascii="Times New Roman" w:hAnsi="Times New Roman"/>
        </w:rPr>
        <w:t>and one foot placed in the world</w:t>
      </w:r>
      <w:r w:rsidR="005348F3">
        <w:rPr>
          <w:rFonts w:ascii="Times New Roman" w:hAnsi="Times New Roman"/>
        </w:rPr>
        <w:t xml:space="preserve"> beyond its borders</w:t>
      </w:r>
      <w:r w:rsidRPr="005B7071">
        <w:rPr>
          <w:rFonts w:ascii="Times New Roman" w:hAnsi="Times New Roman"/>
        </w:rPr>
        <w:t xml:space="preserve">. </w:t>
      </w:r>
      <w:r>
        <w:rPr>
          <w:rFonts w:ascii="Times New Roman" w:hAnsi="Times New Roman"/>
        </w:rPr>
        <w:t xml:space="preserve">Mirabal started as a model for </w:t>
      </w:r>
      <w:r w:rsidR="00B96E1B">
        <w:rPr>
          <w:rFonts w:ascii="Times New Roman" w:hAnsi="Times New Roman"/>
        </w:rPr>
        <w:t>Joseph Henr</w:t>
      </w:r>
      <w:r w:rsidR="001501E2">
        <w:rPr>
          <w:rFonts w:ascii="Times New Roman" w:hAnsi="Times New Roman"/>
        </w:rPr>
        <w:t>y Sharp and Eanger Irving Couse,</w:t>
      </w:r>
      <w:r w:rsidR="00D15BF4">
        <w:rPr>
          <w:rStyle w:val="FootnoteReference"/>
          <w:rFonts w:ascii="Times New Roman" w:hAnsi="Times New Roman"/>
        </w:rPr>
        <w:footnoteReference w:id="243"/>
      </w:r>
      <w:r w:rsidR="00B96E1B">
        <w:rPr>
          <w:rFonts w:ascii="Times New Roman" w:hAnsi="Times New Roman"/>
        </w:rPr>
        <w:t xml:space="preserve"> </w:t>
      </w:r>
      <w:r w:rsidR="001501E2">
        <w:rPr>
          <w:rFonts w:ascii="Times New Roman" w:hAnsi="Times New Roman"/>
        </w:rPr>
        <w:t xml:space="preserve">and like Looking Elk and Lujan, eventually started to paint. </w:t>
      </w:r>
      <w:r w:rsidR="00B96E1B">
        <w:rPr>
          <w:rFonts w:ascii="Times New Roman" w:hAnsi="Times New Roman"/>
        </w:rPr>
        <w:t>As a young man just out of the military in the 1920s, h</w:t>
      </w:r>
      <w:r w:rsidRPr="005B7071">
        <w:rPr>
          <w:rFonts w:ascii="Times New Roman" w:hAnsi="Times New Roman"/>
        </w:rPr>
        <w:t xml:space="preserve">e </w:t>
      </w:r>
      <w:r w:rsidR="001501E2">
        <w:rPr>
          <w:rFonts w:ascii="Times New Roman" w:hAnsi="Times New Roman"/>
        </w:rPr>
        <w:t xml:space="preserve">had </w:t>
      </w:r>
      <w:r w:rsidR="00B96E1B">
        <w:rPr>
          <w:rFonts w:ascii="Times New Roman" w:hAnsi="Times New Roman"/>
        </w:rPr>
        <w:t xml:space="preserve">enrolled briefly at the Santa Fe Indian School. In the 1930s, he met and became romantically involved with </w:t>
      </w:r>
      <w:r w:rsidRPr="005B7071">
        <w:rPr>
          <w:rFonts w:ascii="Times New Roman" w:hAnsi="Times New Roman"/>
        </w:rPr>
        <w:t xml:space="preserve">Marjorie Eaton, a young </w:t>
      </w:r>
      <w:r w:rsidR="00B96E1B">
        <w:rPr>
          <w:rFonts w:ascii="Times New Roman" w:hAnsi="Times New Roman"/>
        </w:rPr>
        <w:t xml:space="preserve">Anglo </w:t>
      </w:r>
      <w:r w:rsidRPr="005B7071">
        <w:rPr>
          <w:rFonts w:ascii="Times New Roman" w:hAnsi="Times New Roman"/>
        </w:rPr>
        <w:t xml:space="preserve">artist who lived in Taos in the late 1920s and early 1930s. Eaton, </w:t>
      </w:r>
      <w:r w:rsidR="001501E2">
        <w:rPr>
          <w:rFonts w:ascii="Times New Roman" w:hAnsi="Times New Roman"/>
        </w:rPr>
        <w:t xml:space="preserve">responsible for painting </w:t>
      </w:r>
      <w:r w:rsidR="00B96E1B">
        <w:rPr>
          <w:rFonts w:ascii="Times New Roman" w:hAnsi="Times New Roman"/>
        </w:rPr>
        <w:t xml:space="preserve">one of only two known </w:t>
      </w:r>
      <w:r w:rsidRPr="005B7071">
        <w:rPr>
          <w:rFonts w:ascii="Times New Roman" w:hAnsi="Times New Roman"/>
        </w:rPr>
        <w:t>portrait</w:t>
      </w:r>
      <w:r w:rsidR="001501E2">
        <w:rPr>
          <w:rFonts w:ascii="Times New Roman" w:hAnsi="Times New Roman"/>
        </w:rPr>
        <w:t>s</w:t>
      </w:r>
      <w:r w:rsidRPr="005B7071">
        <w:rPr>
          <w:rFonts w:ascii="Times New Roman" w:hAnsi="Times New Roman"/>
        </w:rPr>
        <w:t xml:space="preserve"> of Mirabal (fig. 4.24), also spent time learning the art of true</w:t>
      </w:r>
      <w:r w:rsidR="00D15BF4">
        <w:rPr>
          <w:rFonts w:ascii="Times New Roman" w:hAnsi="Times New Roman"/>
        </w:rPr>
        <w:t xml:space="preserve">, or </w:t>
      </w:r>
      <w:r w:rsidR="00D15BF4" w:rsidRPr="00D15BF4">
        <w:rPr>
          <w:rFonts w:ascii="Times New Roman" w:hAnsi="Times New Roman"/>
          <w:i/>
        </w:rPr>
        <w:t>buon</w:t>
      </w:r>
      <w:r w:rsidR="00D15BF4">
        <w:rPr>
          <w:rFonts w:ascii="Times New Roman" w:hAnsi="Times New Roman"/>
        </w:rPr>
        <w:t xml:space="preserve">, </w:t>
      </w:r>
      <w:r w:rsidR="00B96E1B">
        <w:rPr>
          <w:rFonts w:ascii="Times New Roman" w:hAnsi="Times New Roman"/>
        </w:rPr>
        <w:t>fresco</w:t>
      </w:r>
      <w:r w:rsidR="00D15BF4">
        <w:rPr>
          <w:rFonts w:ascii="Times New Roman" w:hAnsi="Times New Roman"/>
        </w:rPr>
        <w:t xml:space="preserve">, </w:t>
      </w:r>
      <w:r w:rsidRPr="005B7071">
        <w:rPr>
          <w:rFonts w:ascii="Times New Roman" w:hAnsi="Times New Roman"/>
        </w:rPr>
        <w:t xml:space="preserve">under </w:t>
      </w:r>
      <w:r w:rsidR="00B96E1B">
        <w:rPr>
          <w:rFonts w:ascii="Times New Roman" w:hAnsi="Times New Roman"/>
        </w:rPr>
        <w:t xml:space="preserve">the tutelage of </w:t>
      </w:r>
      <w:r w:rsidRPr="005B7071">
        <w:rPr>
          <w:rFonts w:ascii="Times New Roman" w:hAnsi="Times New Roman"/>
        </w:rPr>
        <w:t xml:space="preserve">Diego Rivera, and presumably taught the medium to Mirabal, who completed </w:t>
      </w:r>
      <w:r w:rsidR="00B96E1B">
        <w:rPr>
          <w:rFonts w:ascii="Times New Roman" w:hAnsi="Times New Roman"/>
        </w:rPr>
        <w:t xml:space="preserve">several </w:t>
      </w:r>
      <w:r w:rsidR="00BC5564">
        <w:rPr>
          <w:rFonts w:ascii="Times New Roman" w:hAnsi="Times New Roman"/>
        </w:rPr>
        <w:t>frescoes</w:t>
      </w:r>
      <w:r w:rsidR="00B96E1B">
        <w:rPr>
          <w:rFonts w:ascii="Times New Roman" w:hAnsi="Times New Roman"/>
        </w:rPr>
        <w:t>, one of which can still be seen</w:t>
      </w:r>
      <w:r w:rsidR="002B317C">
        <w:rPr>
          <w:rFonts w:ascii="Times New Roman" w:hAnsi="Times New Roman"/>
        </w:rPr>
        <w:t xml:space="preserve"> in Rancho de Taos</w:t>
      </w:r>
      <w:r w:rsidR="00B96E1B">
        <w:rPr>
          <w:rFonts w:ascii="Times New Roman" w:hAnsi="Times New Roman"/>
        </w:rPr>
        <w:t>.</w:t>
      </w:r>
      <w:r w:rsidRPr="005B7071">
        <w:rPr>
          <w:rStyle w:val="FootnoteReference"/>
          <w:rFonts w:ascii="Times New Roman" w:hAnsi="Times New Roman"/>
        </w:rPr>
        <w:footnoteReference w:id="244"/>
      </w:r>
      <w:r w:rsidR="00BC5564">
        <w:rPr>
          <w:rFonts w:ascii="Times New Roman" w:hAnsi="Times New Roman"/>
        </w:rPr>
        <w:t xml:space="preserve"> </w:t>
      </w:r>
      <w:r w:rsidRPr="005B7071">
        <w:rPr>
          <w:rFonts w:ascii="Times New Roman" w:hAnsi="Times New Roman"/>
        </w:rPr>
        <w:t xml:space="preserve">Mirabal spent time, too, </w:t>
      </w:r>
      <w:r w:rsidR="00B96E1B">
        <w:rPr>
          <w:rFonts w:ascii="Times New Roman" w:hAnsi="Times New Roman"/>
        </w:rPr>
        <w:t xml:space="preserve">at the Taos Valley Art school </w:t>
      </w:r>
      <w:r w:rsidRPr="005B7071">
        <w:rPr>
          <w:rFonts w:ascii="Times New Roman" w:hAnsi="Times New Roman"/>
        </w:rPr>
        <w:t xml:space="preserve">run by the Modernist painter Louis Ribak (1902-1972) in Taos in the late 1940s. </w:t>
      </w:r>
      <w:r w:rsidR="00BC5564">
        <w:rPr>
          <w:rFonts w:ascii="Times New Roman" w:hAnsi="Times New Roman"/>
        </w:rPr>
        <w:t>Mirabal</w:t>
      </w:r>
      <w:r w:rsidR="002B317C">
        <w:rPr>
          <w:rFonts w:ascii="Times New Roman" w:hAnsi="Times New Roman"/>
        </w:rPr>
        <w:t>’s</w:t>
      </w:r>
      <w:r w:rsidR="00BC5564">
        <w:rPr>
          <w:rFonts w:ascii="Times New Roman" w:hAnsi="Times New Roman"/>
        </w:rPr>
        <w:t xml:space="preserve"> training set the stage for </w:t>
      </w:r>
      <w:r w:rsidR="002B317C">
        <w:rPr>
          <w:rFonts w:ascii="Times New Roman" w:hAnsi="Times New Roman"/>
        </w:rPr>
        <w:t xml:space="preserve">him to form a style </w:t>
      </w:r>
      <w:r w:rsidR="00970D47">
        <w:rPr>
          <w:rFonts w:ascii="Times New Roman" w:hAnsi="Times New Roman"/>
        </w:rPr>
        <w:t>divergen</w:t>
      </w:r>
      <w:r w:rsidR="002B317C">
        <w:rPr>
          <w:rFonts w:ascii="Times New Roman" w:hAnsi="Times New Roman"/>
        </w:rPr>
        <w:t xml:space="preserve">t from </w:t>
      </w:r>
      <w:r w:rsidR="00970D47">
        <w:rPr>
          <w:rFonts w:ascii="Times New Roman" w:hAnsi="Times New Roman"/>
        </w:rPr>
        <w:t>th</w:t>
      </w:r>
      <w:r w:rsidR="001501E2">
        <w:rPr>
          <w:rFonts w:ascii="Times New Roman" w:hAnsi="Times New Roman"/>
        </w:rPr>
        <w:t xml:space="preserve">at </w:t>
      </w:r>
      <w:r w:rsidR="002B317C">
        <w:rPr>
          <w:rFonts w:ascii="Times New Roman" w:hAnsi="Times New Roman"/>
        </w:rPr>
        <w:t xml:space="preserve">preferred and </w:t>
      </w:r>
      <w:r w:rsidR="00970D47">
        <w:rPr>
          <w:rFonts w:ascii="Times New Roman" w:hAnsi="Times New Roman"/>
        </w:rPr>
        <w:t xml:space="preserve">perfected by the </w:t>
      </w:r>
      <w:r w:rsidR="00DB1BBD">
        <w:rPr>
          <w:rFonts w:ascii="Times New Roman" w:hAnsi="Times New Roman"/>
        </w:rPr>
        <w:t>two Alberts.</w:t>
      </w:r>
    </w:p>
    <w:p w14:paraId="028E663C" w14:textId="63757970" w:rsidR="00AC7B4F" w:rsidRDefault="00BC5564" w:rsidP="00BC5564">
      <w:pPr>
        <w:ind w:firstLine="720"/>
        <w:rPr>
          <w:rFonts w:ascii="Times New Roman" w:hAnsi="Times New Roman"/>
        </w:rPr>
      </w:pPr>
      <w:r w:rsidRPr="005B7071">
        <w:rPr>
          <w:rFonts w:ascii="Times New Roman" w:hAnsi="Times New Roman"/>
        </w:rPr>
        <w:t xml:space="preserve">In his earliest known dated work, </w:t>
      </w:r>
      <w:r w:rsidR="002B317C">
        <w:rPr>
          <w:rFonts w:ascii="Times New Roman" w:hAnsi="Times New Roman"/>
        </w:rPr>
        <w:t xml:space="preserve">an untitled scene of Taos Pueblo </w:t>
      </w:r>
      <w:r w:rsidRPr="005B7071">
        <w:rPr>
          <w:rFonts w:ascii="Times New Roman" w:hAnsi="Times New Roman"/>
        </w:rPr>
        <w:t xml:space="preserve">from </w:t>
      </w:r>
      <w:r w:rsidR="002B317C">
        <w:rPr>
          <w:rFonts w:ascii="Times New Roman" w:hAnsi="Times New Roman"/>
        </w:rPr>
        <w:t>aroun</w:t>
      </w:r>
      <w:r w:rsidR="00D15BF4">
        <w:rPr>
          <w:rFonts w:ascii="Times New Roman" w:hAnsi="Times New Roman"/>
        </w:rPr>
        <w:t>d</w:t>
      </w:r>
      <w:r w:rsidR="002B317C">
        <w:rPr>
          <w:rFonts w:ascii="Times New Roman" w:hAnsi="Times New Roman"/>
        </w:rPr>
        <w:t xml:space="preserve"> </w:t>
      </w:r>
      <w:r w:rsidRPr="005B7071">
        <w:rPr>
          <w:rFonts w:ascii="Times New Roman" w:hAnsi="Times New Roman"/>
        </w:rPr>
        <w:t>193</w:t>
      </w:r>
      <w:r w:rsidR="002B317C">
        <w:rPr>
          <w:rFonts w:ascii="Times New Roman" w:hAnsi="Times New Roman"/>
        </w:rPr>
        <w:t>5</w:t>
      </w:r>
      <w:r w:rsidRPr="005B7071">
        <w:rPr>
          <w:rFonts w:ascii="Times New Roman" w:hAnsi="Times New Roman"/>
        </w:rPr>
        <w:t xml:space="preserve">, </w:t>
      </w:r>
      <w:r w:rsidR="00D15BF4">
        <w:rPr>
          <w:rFonts w:ascii="Times New Roman" w:hAnsi="Times New Roman"/>
        </w:rPr>
        <w:t xml:space="preserve">now at the Harwood Museum in Taos, </w:t>
      </w:r>
      <w:r w:rsidR="008C60C1" w:rsidRPr="005B7071">
        <w:rPr>
          <w:rFonts w:ascii="Times New Roman" w:hAnsi="Times New Roman"/>
        </w:rPr>
        <w:t>Mirabal</w:t>
      </w:r>
      <w:r>
        <w:rPr>
          <w:rFonts w:ascii="Times New Roman" w:hAnsi="Times New Roman"/>
        </w:rPr>
        <w:t xml:space="preserve"> displays </w:t>
      </w:r>
      <w:r w:rsidR="00970D47">
        <w:rPr>
          <w:rFonts w:ascii="Times New Roman" w:hAnsi="Times New Roman"/>
        </w:rPr>
        <w:t xml:space="preserve">a style best characterized as a </w:t>
      </w:r>
      <w:r>
        <w:rPr>
          <w:rFonts w:ascii="Times New Roman" w:hAnsi="Times New Roman"/>
        </w:rPr>
        <w:t xml:space="preserve">syncretic blend of </w:t>
      </w:r>
      <w:r w:rsidR="008C60C1" w:rsidRPr="005B7071">
        <w:rPr>
          <w:rFonts w:ascii="Times New Roman" w:hAnsi="Times New Roman"/>
        </w:rPr>
        <w:t>Pueblo Modernism</w:t>
      </w:r>
      <w:r>
        <w:rPr>
          <w:rFonts w:ascii="Times New Roman" w:hAnsi="Times New Roman"/>
        </w:rPr>
        <w:t xml:space="preserve">, the Santa Fe </w:t>
      </w:r>
      <w:r w:rsidR="002B317C">
        <w:rPr>
          <w:rFonts w:ascii="Times New Roman" w:hAnsi="Times New Roman"/>
        </w:rPr>
        <w:t xml:space="preserve">School, </w:t>
      </w:r>
      <w:r>
        <w:rPr>
          <w:rFonts w:ascii="Times New Roman" w:hAnsi="Times New Roman"/>
        </w:rPr>
        <w:t>and Euro-American Modernism</w:t>
      </w:r>
      <w:r w:rsidR="009D667A">
        <w:rPr>
          <w:rFonts w:ascii="Times New Roman" w:hAnsi="Times New Roman"/>
        </w:rPr>
        <w:t xml:space="preserve"> (</w:t>
      </w:r>
      <w:r w:rsidR="002B317C">
        <w:rPr>
          <w:rFonts w:ascii="Times New Roman" w:hAnsi="Times New Roman"/>
        </w:rPr>
        <w:t xml:space="preserve">fig. </w:t>
      </w:r>
      <w:r w:rsidR="009D667A">
        <w:rPr>
          <w:rFonts w:ascii="Times New Roman" w:hAnsi="Times New Roman"/>
        </w:rPr>
        <w:t>4.25)</w:t>
      </w:r>
      <w:r>
        <w:rPr>
          <w:rFonts w:ascii="Times New Roman" w:hAnsi="Times New Roman"/>
        </w:rPr>
        <w:t>.</w:t>
      </w:r>
      <w:r w:rsidR="00AC7B4F">
        <w:rPr>
          <w:rFonts w:ascii="Times New Roman" w:hAnsi="Times New Roman"/>
        </w:rPr>
        <w:t xml:space="preserve"> While the composition clearly ow</w:t>
      </w:r>
      <w:r w:rsidR="00D15BF4">
        <w:rPr>
          <w:rFonts w:ascii="Times New Roman" w:hAnsi="Times New Roman"/>
        </w:rPr>
        <w:t xml:space="preserve">es something to the older </w:t>
      </w:r>
      <w:r w:rsidR="002B317C">
        <w:rPr>
          <w:rFonts w:ascii="Times New Roman" w:hAnsi="Times New Roman"/>
        </w:rPr>
        <w:t xml:space="preserve">Pueblo Modernist style, </w:t>
      </w:r>
      <w:r w:rsidR="002436E7">
        <w:rPr>
          <w:rFonts w:ascii="Times New Roman" w:hAnsi="Times New Roman"/>
        </w:rPr>
        <w:t>Mirabal</w:t>
      </w:r>
      <w:r w:rsidR="00AC7B4F">
        <w:rPr>
          <w:rFonts w:ascii="Times New Roman" w:hAnsi="Times New Roman"/>
        </w:rPr>
        <w:t>’s work</w:t>
      </w:r>
      <w:r w:rsidR="001501E2">
        <w:rPr>
          <w:rFonts w:ascii="Times New Roman" w:hAnsi="Times New Roman"/>
        </w:rPr>
        <w:t xml:space="preserve"> was</w:t>
      </w:r>
      <w:r w:rsidR="002B317C">
        <w:rPr>
          <w:rFonts w:ascii="Times New Roman" w:hAnsi="Times New Roman"/>
        </w:rPr>
        <w:t xml:space="preserve">, by </w:t>
      </w:r>
      <w:r w:rsidR="00D15BF4">
        <w:rPr>
          <w:rFonts w:ascii="Times New Roman" w:hAnsi="Times New Roman"/>
        </w:rPr>
        <w:t xml:space="preserve">any </w:t>
      </w:r>
      <w:r w:rsidR="002B317C">
        <w:rPr>
          <w:rFonts w:ascii="Times New Roman" w:hAnsi="Times New Roman"/>
        </w:rPr>
        <w:t xml:space="preserve">standard, </w:t>
      </w:r>
      <w:r w:rsidR="00AC7B4F">
        <w:rPr>
          <w:rFonts w:ascii="Times New Roman" w:hAnsi="Times New Roman"/>
        </w:rPr>
        <w:t xml:space="preserve">much more ambitious. It is, in fact, relatively large - nearly 40 inches wide, fully 5 to 10 times larger than the typical tourist pieces made by Lujan or Looking Elk. This </w:t>
      </w:r>
      <w:r w:rsidR="002B317C">
        <w:rPr>
          <w:rFonts w:ascii="Times New Roman" w:hAnsi="Times New Roman"/>
        </w:rPr>
        <w:t xml:space="preserve">painting </w:t>
      </w:r>
      <w:r w:rsidR="00AC7B4F">
        <w:rPr>
          <w:rFonts w:ascii="Times New Roman" w:hAnsi="Times New Roman"/>
        </w:rPr>
        <w:t xml:space="preserve">was made not for sale to </w:t>
      </w:r>
      <w:r w:rsidR="00D15BF4">
        <w:rPr>
          <w:rFonts w:ascii="Times New Roman" w:hAnsi="Times New Roman"/>
        </w:rPr>
        <w:t xml:space="preserve">a </w:t>
      </w:r>
      <w:r w:rsidR="00AC7B4F">
        <w:rPr>
          <w:rFonts w:ascii="Times New Roman" w:hAnsi="Times New Roman"/>
        </w:rPr>
        <w:t xml:space="preserve">passing tourist but rather </w:t>
      </w:r>
      <w:r w:rsidR="002B317C">
        <w:rPr>
          <w:rFonts w:ascii="Times New Roman" w:hAnsi="Times New Roman"/>
        </w:rPr>
        <w:t xml:space="preserve">as an </w:t>
      </w:r>
      <w:r w:rsidR="00DB1BBD">
        <w:rPr>
          <w:rFonts w:ascii="Times New Roman" w:hAnsi="Times New Roman"/>
        </w:rPr>
        <w:t>example of art for art’s sake.</w:t>
      </w:r>
    </w:p>
    <w:p w14:paraId="2F5949A3" w14:textId="4817BB8A" w:rsidR="00233C82" w:rsidRDefault="00AC7B4F" w:rsidP="00BC5564">
      <w:pPr>
        <w:ind w:firstLine="720"/>
        <w:rPr>
          <w:rFonts w:ascii="Times New Roman" w:hAnsi="Times New Roman"/>
        </w:rPr>
      </w:pPr>
      <w:r>
        <w:rPr>
          <w:rFonts w:ascii="Times New Roman" w:hAnsi="Times New Roman"/>
        </w:rPr>
        <w:t xml:space="preserve">The use of abstraction, too, marks this work as </w:t>
      </w:r>
      <w:r w:rsidR="001501E2">
        <w:rPr>
          <w:rFonts w:ascii="Times New Roman" w:hAnsi="Times New Roman"/>
        </w:rPr>
        <w:t xml:space="preserve">both </w:t>
      </w:r>
      <w:r w:rsidR="002B317C">
        <w:rPr>
          <w:rFonts w:ascii="Times New Roman" w:hAnsi="Times New Roman"/>
        </w:rPr>
        <w:t xml:space="preserve">ambitious and a </w:t>
      </w:r>
      <w:r>
        <w:rPr>
          <w:rFonts w:ascii="Times New Roman" w:hAnsi="Times New Roman"/>
        </w:rPr>
        <w:t xml:space="preserve">singular </w:t>
      </w:r>
      <w:r w:rsidR="002B317C">
        <w:rPr>
          <w:rFonts w:ascii="Times New Roman" w:hAnsi="Times New Roman"/>
        </w:rPr>
        <w:t>accomplishment in the canon of Pueblo M</w:t>
      </w:r>
      <w:r>
        <w:rPr>
          <w:rFonts w:ascii="Times New Roman" w:hAnsi="Times New Roman"/>
        </w:rPr>
        <w:t xml:space="preserve">odernism. The familiar forms of the Pueblos </w:t>
      </w:r>
      <w:r w:rsidR="001501E2">
        <w:rPr>
          <w:rFonts w:ascii="Times New Roman" w:hAnsi="Times New Roman"/>
        </w:rPr>
        <w:t xml:space="preserve">appear </w:t>
      </w:r>
      <w:r w:rsidR="002B317C">
        <w:rPr>
          <w:rFonts w:ascii="Times New Roman" w:hAnsi="Times New Roman"/>
        </w:rPr>
        <w:t xml:space="preserve">yet </w:t>
      </w:r>
      <w:r>
        <w:rPr>
          <w:rFonts w:ascii="Times New Roman" w:hAnsi="Times New Roman"/>
        </w:rPr>
        <w:t>at odd angles to one another. No longer seen from a privileged</w:t>
      </w:r>
      <w:r w:rsidR="006F41AD">
        <w:rPr>
          <w:rFonts w:ascii="Times New Roman" w:hAnsi="Times New Roman"/>
        </w:rPr>
        <w:t xml:space="preserve">, Euro-American </w:t>
      </w:r>
      <w:r>
        <w:rPr>
          <w:rFonts w:ascii="Times New Roman" w:hAnsi="Times New Roman"/>
        </w:rPr>
        <w:t>point of view, M</w:t>
      </w:r>
      <w:r w:rsidR="006F41AD">
        <w:rPr>
          <w:rFonts w:ascii="Times New Roman" w:hAnsi="Times New Roman"/>
        </w:rPr>
        <w:t xml:space="preserve">irabal </w:t>
      </w:r>
      <w:r>
        <w:rPr>
          <w:rFonts w:ascii="Times New Roman" w:hAnsi="Times New Roman"/>
        </w:rPr>
        <w:t xml:space="preserve">uses a modified bird’s eye </w:t>
      </w:r>
      <w:r w:rsidR="006F41AD">
        <w:rPr>
          <w:rFonts w:ascii="Times New Roman" w:hAnsi="Times New Roman"/>
        </w:rPr>
        <w:t xml:space="preserve">perspective to further throw </w:t>
      </w:r>
      <w:r>
        <w:rPr>
          <w:rFonts w:ascii="Times New Roman" w:hAnsi="Times New Roman"/>
        </w:rPr>
        <w:t xml:space="preserve">the scene askance and off-kilter. </w:t>
      </w:r>
      <w:r w:rsidR="00233C82">
        <w:rPr>
          <w:rFonts w:ascii="Times New Roman" w:hAnsi="Times New Roman"/>
        </w:rPr>
        <w:t xml:space="preserve">The limited and inconsistent use of linear perspective and modeling </w:t>
      </w:r>
      <w:r w:rsidR="00E21C2A">
        <w:rPr>
          <w:rFonts w:ascii="Times New Roman" w:hAnsi="Times New Roman"/>
        </w:rPr>
        <w:t>compresse</w:t>
      </w:r>
      <w:r w:rsidR="00233C82">
        <w:rPr>
          <w:rFonts w:ascii="Times New Roman" w:hAnsi="Times New Roman"/>
        </w:rPr>
        <w:t xml:space="preserve">s the </w:t>
      </w:r>
      <w:r w:rsidR="00E21C2A">
        <w:rPr>
          <w:rFonts w:ascii="Times New Roman" w:hAnsi="Times New Roman"/>
        </w:rPr>
        <w:t>narrative field</w:t>
      </w:r>
      <w:r w:rsidR="006F41AD">
        <w:rPr>
          <w:rFonts w:ascii="Times New Roman" w:hAnsi="Times New Roman"/>
        </w:rPr>
        <w:t>, making poignant interconnections between visual elements</w:t>
      </w:r>
      <w:r w:rsidR="00233C82">
        <w:rPr>
          <w:rFonts w:ascii="Times New Roman" w:hAnsi="Times New Roman"/>
        </w:rPr>
        <w:t xml:space="preserve">. This compression makes objects at a great distance from the Pueblo, like Blue Lake, seem immediately accessible. The Pueblos, too, are distorted. </w:t>
      </w:r>
      <w:r>
        <w:rPr>
          <w:rFonts w:ascii="Times New Roman" w:hAnsi="Times New Roman"/>
        </w:rPr>
        <w:t>No longer uniform</w:t>
      </w:r>
      <w:r w:rsidR="00233C82">
        <w:rPr>
          <w:rFonts w:ascii="Times New Roman" w:hAnsi="Times New Roman"/>
        </w:rPr>
        <w:t xml:space="preserve"> rectangular blocks set at orthogonal angles to the picture plane, parts of these structures jut </w:t>
      </w:r>
      <w:r>
        <w:rPr>
          <w:rFonts w:ascii="Times New Roman" w:hAnsi="Times New Roman"/>
        </w:rPr>
        <w:t xml:space="preserve">out like </w:t>
      </w:r>
      <w:r w:rsidR="006F41AD">
        <w:rPr>
          <w:rFonts w:ascii="Times New Roman" w:hAnsi="Times New Roman"/>
        </w:rPr>
        <w:t xml:space="preserve">pieces added to </w:t>
      </w:r>
      <w:r w:rsidR="00233C82">
        <w:rPr>
          <w:rFonts w:ascii="Times New Roman" w:hAnsi="Times New Roman"/>
        </w:rPr>
        <w:t>a Cubist sculpture. It is as if a painting by Albert Lujan was blown up to 10 times its normal size</w:t>
      </w:r>
      <w:r w:rsidR="001501E2">
        <w:rPr>
          <w:rFonts w:ascii="Times New Roman" w:hAnsi="Times New Roman"/>
        </w:rPr>
        <w:t>,</w:t>
      </w:r>
      <w:r w:rsidR="00233C82">
        <w:rPr>
          <w:rFonts w:ascii="Times New Roman" w:hAnsi="Times New Roman"/>
        </w:rPr>
        <w:t xml:space="preserve"> then viewed through a </w:t>
      </w:r>
      <w:r>
        <w:rPr>
          <w:rFonts w:ascii="Times New Roman" w:hAnsi="Times New Roman"/>
        </w:rPr>
        <w:t>distort</w:t>
      </w:r>
      <w:r w:rsidR="001501E2">
        <w:rPr>
          <w:rFonts w:ascii="Times New Roman" w:hAnsi="Times New Roman"/>
        </w:rPr>
        <w:t xml:space="preserve">ing </w:t>
      </w:r>
      <w:r>
        <w:rPr>
          <w:rFonts w:ascii="Times New Roman" w:hAnsi="Times New Roman"/>
        </w:rPr>
        <w:t>lens.</w:t>
      </w:r>
      <w:r w:rsidR="005B6706">
        <w:rPr>
          <w:rFonts w:ascii="Times New Roman" w:hAnsi="Times New Roman"/>
        </w:rPr>
        <w:t xml:space="preserve"> </w:t>
      </w:r>
      <w:r w:rsidR="006F41AD">
        <w:rPr>
          <w:rFonts w:ascii="Times New Roman" w:hAnsi="Times New Roman"/>
        </w:rPr>
        <w:t xml:space="preserve">Mirabal made other images in a </w:t>
      </w:r>
      <w:r w:rsidR="006D4EA7">
        <w:rPr>
          <w:rFonts w:ascii="Times New Roman" w:hAnsi="Times New Roman"/>
        </w:rPr>
        <w:t>quasi</w:t>
      </w:r>
      <w:r w:rsidR="006F41AD">
        <w:rPr>
          <w:rFonts w:ascii="Times New Roman" w:hAnsi="Times New Roman"/>
        </w:rPr>
        <w:t>-Cubist style</w:t>
      </w:r>
      <w:r w:rsidR="00D15BF4">
        <w:rPr>
          <w:rFonts w:ascii="Times New Roman" w:hAnsi="Times New Roman"/>
        </w:rPr>
        <w:t xml:space="preserve">, such as in this </w:t>
      </w:r>
      <w:r w:rsidR="005B6706">
        <w:rPr>
          <w:rFonts w:ascii="Times New Roman" w:hAnsi="Times New Roman"/>
        </w:rPr>
        <w:t>undated Taos scene,</w:t>
      </w:r>
      <w:r w:rsidR="00D15BF4">
        <w:rPr>
          <w:rFonts w:ascii="Times New Roman" w:hAnsi="Times New Roman"/>
        </w:rPr>
        <w:t xml:space="preserve"> where the artist </w:t>
      </w:r>
      <w:r w:rsidR="005B6706">
        <w:rPr>
          <w:rFonts w:ascii="Times New Roman" w:hAnsi="Times New Roman"/>
        </w:rPr>
        <w:t xml:space="preserve">channels his inner Picasso to great effect </w:t>
      </w:r>
      <w:r w:rsidR="005B6706" w:rsidRPr="005B7071">
        <w:rPr>
          <w:rFonts w:ascii="Times New Roman" w:hAnsi="Times New Roman"/>
        </w:rPr>
        <w:t>(fig. 4.2</w:t>
      </w:r>
      <w:r w:rsidR="006C0059">
        <w:rPr>
          <w:rFonts w:ascii="Times New Roman" w:hAnsi="Times New Roman"/>
        </w:rPr>
        <w:t>6</w:t>
      </w:r>
      <w:r w:rsidR="005B6706" w:rsidRPr="005B7071">
        <w:rPr>
          <w:rFonts w:ascii="Times New Roman" w:hAnsi="Times New Roman"/>
        </w:rPr>
        <w:t>)</w:t>
      </w:r>
      <w:r w:rsidR="005B6706">
        <w:rPr>
          <w:rFonts w:ascii="Times New Roman" w:hAnsi="Times New Roman"/>
        </w:rPr>
        <w:t>. T</w:t>
      </w:r>
      <w:r w:rsidR="005B6706" w:rsidRPr="005B7071">
        <w:rPr>
          <w:rFonts w:ascii="Times New Roman" w:hAnsi="Times New Roman"/>
        </w:rPr>
        <w:t>he Pueblo</w:t>
      </w:r>
      <w:r w:rsidR="005B6706">
        <w:rPr>
          <w:rFonts w:ascii="Times New Roman" w:hAnsi="Times New Roman"/>
        </w:rPr>
        <w:t>, set against autumnal color</w:t>
      </w:r>
      <w:r w:rsidR="006F41AD">
        <w:rPr>
          <w:rFonts w:ascii="Times New Roman" w:hAnsi="Times New Roman"/>
        </w:rPr>
        <w:t xml:space="preserve">ed trees, </w:t>
      </w:r>
      <w:r w:rsidR="005B6706">
        <w:rPr>
          <w:rFonts w:ascii="Times New Roman" w:hAnsi="Times New Roman"/>
        </w:rPr>
        <w:t xml:space="preserve">is realized in a </w:t>
      </w:r>
      <w:r w:rsidR="005348F3">
        <w:rPr>
          <w:rFonts w:ascii="Times New Roman" w:hAnsi="Times New Roman"/>
        </w:rPr>
        <w:t>decidedly Cubist manner</w:t>
      </w:r>
      <w:r w:rsidR="005B6706" w:rsidRPr="005B7071">
        <w:rPr>
          <w:rFonts w:ascii="Times New Roman" w:hAnsi="Times New Roman"/>
        </w:rPr>
        <w:t>, making obvious the inherent geometry in both the Pueblo and the mountains that frame the Pueblo.</w:t>
      </w:r>
    </w:p>
    <w:p w14:paraId="6AD5C480" w14:textId="375C3DC0" w:rsidR="008B6C93" w:rsidRDefault="00127FF3" w:rsidP="00BC5564">
      <w:pPr>
        <w:ind w:firstLine="720"/>
        <w:rPr>
          <w:rFonts w:ascii="Times New Roman" w:hAnsi="Times New Roman"/>
        </w:rPr>
      </w:pPr>
      <w:r>
        <w:rPr>
          <w:rFonts w:ascii="Times New Roman" w:hAnsi="Times New Roman"/>
        </w:rPr>
        <w:t xml:space="preserve">In </w:t>
      </w:r>
      <w:r w:rsidR="00D15BF4">
        <w:rPr>
          <w:rFonts w:ascii="Times New Roman" w:hAnsi="Times New Roman"/>
        </w:rPr>
        <w:t xml:space="preserve">the Harwood painting, </w:t>
      </w:r>
      <w:r>
        <w:rPr>
          <w:rFonts w:ascii="Times New Roman" w:hAnsi="Times New Roman"/>
        </w:rPr>
        <w:t xml:space="preserve">the </w:t>
      </w:r>
      <w:r w:rsidR="00AC7B4F">
        <w:rPr>
          <w:rFonts w:ascii="Times New Roman" w:hAnsi="Times New Roman"/>
        </w:rPr>
        <w:t>Rio Pueblo de Taos</w:t>
      </w:r>
      <w:r>
        <w:rPr>
          <w:rFonts w:ascii="Times New Roman" w:hAnsi="Times New Roman"/>
        </w:rPr>
        <w:t>,</w:t>
      </w:r>
      <w:r w:rsidR="00AC7B4F">
        <w:rPr>
          <w:rFonts w:ascii="Times New Roman" w:hAnsi="Times New Roman"/>
        </w:rPr>
        <w:t xml:space="preserve"> </w:t>
      </w:r>
      <w:r w:rsidR="006F41AD">
        <w:rPr>
          <w:rFonts w:ascii="Times New Roman" w:hAnsi="Times New Roman"/>
        </w:rPr>
        <w:t xml:space="preserve">the river that cuts </w:t>
      </w:r>
      <w:r>
        <w:rPr>
          <w:rFonts w:ascii="Times New Roman" w:hAnsi="Times New Roman"/>
        </w:rPr>
        <w:t xml:space="preserve">through the middle of the ancient Pueblo, </w:t>
      </w:r>
      <w:r w:rsidR="00AC7B4F">
        <w:rPr>
          <w:rFonts w:ascii="Times New Roman" w:hAnsi="Times New Roman"/>
        </w:rPr>
        <w:t>takes center stage</w:t>
      </w:r>
      <w:r>
        <w:rPr>
          <w:rFonts w:ascii="Times New Roman" w:hAnsi="Times New Roman"/>
        </w:rPr>
        <w:t xml:space="preserve">. The river </w:t>
      </w:r>
      <w:r w:rsidR="006F41AD">
        <w:rPr>
          <w:rFonts w:ascii="Times New Roman" w:hAnsi="Times New Roman"/>
        </w:rPr>
        <w:t>splits the Pueblo</w:t>
      </w:r>
      <w:r w:rsidR="001501E2">
        <w:rPr>
          <w:rFonts w:ascii="Times New Roman" w:hAnsi="Times New Roman"/>
        </w:rPr>
        <w:t>,</w:t>
      </w:r>
      <w:r w:rsidR="006F41AD">
        <w:rPr>
          <w:rFonts w:ascii="Times New Roman" w:hAnsi="Times New Roman"/>
        </w:rPr>
        <w:t xml:space="preserve"> then </w:t>
      </w:r>
      <w:r w:rsidR="00AC7B4F">
        <w:rPr>
          <w:rFonts w:ascii="Times New Roman" w:hAnsi="Times New Roman"/>
        </w:rPr>
        <w:t xml:space="preserve">jogs </w:t>
      </w:r>
      <w:r w:rsidR="008B6C93">
        <w:rPr>
          <w:rFonts w:ascii="Times New Roman" w:hAnsi="Times New Roman"/>
        </w:rPr>
        <w:t xml:space="preserve">through the </w:t>
      </w:r>
      <w:r>
        <w:rPr>
          <w:rFonts w:ascii="Times New Roman" w:hAnsi="Times New Roman"/>
        </w:rPr>
        <w:t xml:space="preserve">Sangre De Christo </w:t>
      </w:r>
      <w:r w:rsidR="001501E2">
        <w:rPr>
          <w:rFonts w:ascii="Times New Roman" w:hAnsi="Times New Roman"/>
        </w:rPr>
        <w:t xml:space="preserve">mountains </w:t>
      </w:r>
      <w:r w:rsidR="00AC7B4F">
        <w:rPr>
          <w:rFonts w:ascii="Times New Roman" w:hAnsi="Times New Roman"/>
        </w:rPr>
        <w:t>a</w:t>
      </w:r>
      <w:r w:rsidR="008B6C93">
        <w:rPr>
          <w:rFonts w:ascii="Times New Roman" w:hAnsi="Times New Roman"/>
        </w:rPr>
        <w:t>long</w:t>
      </w:r>
      <w:r w:rsidR="001501E2">
        <w:rPr>
          <w:rFonts w:ascii="Times New Roman" w:hAnsi="Times New Roman"/>
        </w:rPr>
        <w:t xml:space="preserve"> a long, </w:t>
      </w:r>
      <w:r w:rsidR="008B6C93">
        <w:rPr>
          <w:rFonts w:ascii="Times New Roman" w:hAnsi="Times New Roman"/>
        </w:rPr>
        <w:t xml:space="preserve">meandering </w:t>
      </w:r>
      <w:r w:rsidR="00AC7B4F">
        <w:rPr>
          <w:rFonts w:ascii="Times New Roman" w:hAnsi="Times New Roman"/>
        </w:rPr>
        <w:t>east by northeast course</w:t>
      </w:r>
      <w:r>
        <w:rPr>
          <w:rFonts w:ascii="Times New Roman" w:hAnsi="Times New Roman"/>
        </w:rPr>
        <w:t xml:space="preserve">, eventually </w:t>
      </w:r>
      <w:r w:rsidR="001501E2">
        <w:rPr>
          <w:rFonts w:ascii="Times New Roman" w:hAnsi="Times New Roman"/>
        </w:rPr>
        <w:t xml:space="preserve">arriving at </w:t>
      </w:r>
      <w:r>
        <w:rPr>
          <w:rFonts w:ascii="Times New Roman" w:hAnsi="Times New Roman"/>
        </w:rPr>
        <w:t>Blue L</w:t>
      </w:r>
      <w:r w:rsidR="00AC7B4F">
        <w:rPr>
          <w:rFonts w:ascii="Times New Roman" w:hAnsi="Times New Roman"/>
        </w:rPr>
        <w:t xml:space="preserve">ake, </w:t>
      </w:r>
      <w:r>
        <w:rPr>
          <w:rFonts w:ascii="Times New Roman" w:hAnsi="Times New Roman"/>
        </w:rPr>
        <w:t xml:space="preserve">the most sacred place of the Taos Pueblo Indians and their </w:t>
      </w:r>
      <w:r w:rsidR="006F41AD">
        <w:rPr>
          <w:rFonts w:ascii="Times New Roman" w:hAnsi="Times New Roman"/>
        </w:rPr>
        <w:t xml:space="preserve">mythical </w:t>
      </w:r>
      <w:r w:rsidR="00AC7B4F">
        <w:rPr>
          <w:rFonts w:ascii="Times New Roman" w:hAnsi="Times New Roman"/>
        </w:rPr>
        <w:t>point of origin</w:t>
      </w:r>
      <w:r>
        <w:rPr>
          <w:rFonts w:ascii="Times New Roman" w:hAnsi="Times New Roman"/>
        </w:rPr>
        <w:t xml:space="preserve">. </w:t>
      </w:r>
      <w:r w:rsidR="00EE54EF">
        <w:rPr>
          <w:rFonts w:ascii="Times New Roman" w:hAnsi="Times New Roman"/>
        </w:rPr>
        <w:t xml:space="preserve">Via the Rio Pueblo de Taos, it is about </w:t>
      </w:r>
      <w:r w:rsidR="008F2098">
        <w:rPr>
          <w:rFonts w:ascii="Times New Roman" w:hAnsi="Times New Roman"/>
        </w:rPr>
        <w:t>a 16-mile</w:t>
      </w:r>
      <w:r w:rsidR="00EE54EF">
        <w:rPr>
          <w:rFonts w:ascii="Times New Roman" w:hAnsi="Times New Roman"/>
        </w:rPr>
        <w:t xml:space="preserve"> </w:t>
      </w:r>
      <w:r w:rsidR="008F2098">
        <w:rPr>
          <w:rFonts w:ascii="Times New Roman" w:hAnsi="Times New Roman"/>
        </w:rPr>
        <w:t xml:space="preserve">hike </w:t>
      </w:r>
      <w:r w:rsidR="00EE54EF">
        <w:rPr>
          <w:rFonts w:ascii="Times New Roman" w:hAnsi="Times New Roman"/>
        </w:rPr>
        <w:t>to</w:t>
      </w:r>
      <w:r w:rsidR="008F2098">
        <w:rPr>
          <w:rFonts w:ascii="Times New Roman" w:hAnsi="Times New Roman"/>
        </w:rPr>
        <w:t xml:space="preserve"> Blue Lake from the Pueblo</w:t>
      </w:r>
      <w:r w:rsidR="00D32542">
        <w:rPr>
          <w:rFonts w:ascii="Times New Roman" w:hAnsi="Times New Roman"/>
        </w:rPr>
        <w:t xml:space="preserve">, or, </w:t>
      </w:r>
      <w:r w:rsidR="008F2098">
        <w:rPr>
          <w:rFonts w:ascii="Times New Roman" w:hAnsi="Times New Roman"/>
        </w:rPr>
        <w:t>as the crow flies</w:t>
      </w:r>
      <w:r w:rsidR="00D32542">
        <w:rPr>
          <w:rFonts w:ascii="Times New Roman" w:hAnsi="Times New Roman"/>
        </w:rPr>
        <w:t xml:space="preserve">, </w:t>
      </w:r>
      <w:r w:rsidR="008F2098">
        <w:rPr>
          <w:rFonts w:ascii="Times New Roman" w:hAnsi="Times New Roman"/>
        </w:rPr>
        <w:t xml:space="preserve">about 11 </w:t>
      </w:r>
      <w:r w:rsidR="008F2098" w:rsidRPr="00837C61">
        <w:rPr>
          <w:rFonts w:ascii="Times New Roman" w:hAnsi="Times New Roman"/>
        </w:rPr>
        <w:t>miles (</w:t>
      </w:r>
      <w:r w:rsidR="006C0059">
        <w:rPr>
          <w:rFonts w:ascii="Times New Roman" w:hAnsi="Times New Roman"/>
        </w:rPr>
        <w:t>fig. 4.27</w:t>
      </w:r>
      <w:r w:rsidR="008F2098" w:rsidRPr="00837C61">
        <w:rPr>
          <w:rFonts w:ascii="Times New Roman" w:hAnsi="Times New Roman"/>
        </w:rPr>
        <w:t>).</w:t>
      </w:r>
      <w:r w:rsidR="008F2098">
        <w:rPr>
          <w:rFonts w:ascii="Times New Roman" w:hAnsi="Times New Roman"/>
        </w:rPr>
        <w:t xml:space="preserve"> Yet i</w:t>
      </w:r>
      <w:r w:rsidR="008B6C93">
        <w:rPr>
          <w:rFonts w:ascii="Times New Roman" w:hAnsi="Times New Roman"/>
        </w:rPr>
        <w:t xml:space="preserve">n </w:t>
      </w:r>
      <w:r w:rsidR="008F2098">
        <w:rPr>
          <w:rFonts w:ascii="Times New Roman" w:hAnsi="Times New Roman"/>
        </w:rPr>
        <w:t xml:space="preserve">Mirabal’s </w:t>
      </w:r>
      <w:r w:rsidR="008B6C93">
        <w:rPr>
          <w:rFonts w:ascii="Times New Roman" w:hAnsi="Times New Roman"/>
        </w:rPr>
        <w:t>compressed composition, the river leads directly to Blue Lake in a straight shot</w:t>
      </w:r>
      <w:r w:rsidR="008F2098">
        <w:rPr>
          <w:rFonts w:ascii="Times New Roman" w:hAnsi="Times New Roman"/>
        </w:rPr>
        <w:t xml:space="preserve">. This visual compression and distortion has the effect of </w:t>
      </w:r>
      <w:r w:rsidR="008B6C93">
        <w:rPr>
          <w:rFonts w:ascii="Times New Roman" w:hAnsi="Times New Roman"/>
        </w:rPr>
        <w:t>emphasizing the</w:t>
      </w:r>
      <w:r w:rsidR="008F2098">
        <w:rPr>
          <w:rFonts w:ascii="Times New Roman" w:hAnsi="Times New Roman"/>
        </w:rPr>
        <w:t xml:space="preserve"> strong connection between the Pu</w:t>
      </w:r>
      <w:r w:rsidR="00DB1BBD">
        <w:rPr>
          <w:rFonts w:ascii="Times New Roman" w:hAnsi="Times New Roman"/>
        </w:rPr>
        <w:t>eblo and its most sacred place.</w:t>
      </w:r>
    </w:p>
    <w:p w14:paraId="0E918143" w14:textId="6DE3D3F8" w:rsidR="00D175D3" w:rsidRDefault="008B6C93" w:rsidP="00BC5564">
      <w:pPr>
        <w:ind w:firstLine="720"/>
        <w:rPr>
          <w:rFonts w:ascii="Times New Roman" w:hAnsi="Times New Roman"/>
        </w:rPr>
      </w:pPr>
      <w:r>
        <w:rPr>
          <w:rFonts w:ascii="Times New Roman" w:hAnsi="Times New Roman"/>
        </w:rPr>
        <w:t>Unlike Looking Elk</w:t>
      </w:r>
      <w:r w:rsidR="005B6706">
        <w:rPr>
          <w:rFonts w:ascii="Times New Roman" w:hAnsi="Times New Roman"/>
        </w:rPr>
        <w:t>’s</w:t>
      </w:r>
      <w:r>
        <w:rPr>
          <w:rFonts w:ascii="Times New Roman" w:hAnsi="Times New Roman"/>
        </w:rPr>
        <w:t xml:space="preserve"> or Lujan</w:t>
      </w:r>
      <w:r w:rsidR="005B6706">
        <w:rPr>
          <w:rFonts w:ascii="Times New Roman" w:hAnsi="Times New Roman"/>
        </w:rPr>
        <w:t>’s paintings</w:t>
      </w:r>
      <w:r>
        <w:rPr>
          <w:rFonts w:ascii="Times New Roman" w:hAnsi="Times New Roman"/>
        </w:rPr>
        <w:t xml:space="preserve">, Mirabal’s scene take place at a specific time – </w:t>
      </w:r>
      <w:r w:rsidR="005B6706">
        <w:rPr>
          <w:rFonts w:ascii="Times New Roman" w:hAnsi="Times New Roman"/>
        </w:rPr>
        <w:t xml:space="preserve">the afternoon before </w:t>
      </w:r>
      <w:r>
        <w:rPr>
          <w:rFonts w:ascii="Times New Roman" w:hAnsi="Times New Roman"/>
        </w:rPr>
        <w:t>San Geromimo Day.</w:t>
      </w:r>
      <w:r w:rsidR="00AC7B4F">
        <w:rPr>
          <w:rFonts w:ascii="Times New Roman" w:hAnsi="Times New Roman"/>
        </w:rPr>
        <w:t xml:space="preserve"> </w:t>
      </w:r>
      <w:r w:rsidR="00127FF3">
        <w:rPr>
          <w:rFonts w:ascii="Times New Roman" w:hAnsi="Times New Roman"/>
        </w:rPr>
        <w:t xml:space="preserve">To the left of the river, San Geronimo Day </w:t>
      </w:r>
      <w:r w:rsidR="006D4EA7">
        <w:rPr>
          <w:rFonts w:ascii="Times New Roman" w:hAnsi="Times New Roman"/>
        </w:rPr>
        <w:t xml:space="preserve">matachina </w:t>
      </w:r>
      <w:r w:rsidR="00127FF3">
        <w:rPr>
          <w:rFonts w:ascii="Times New Roman" w:hAnsi="Times New Roman"/>
        </w:rPr>
        <w:t>dancers congregate near the pole</w:t>
      </w:r>
      <w:r>
        <w:rPr>
          <w:rFonts w:ascii="Times New Roman" w:hAnsi="Times New Roman"/>
        </w:rPr>
        <w:t xml:space="preserve"> that will soon be climbed by clowns </w:t>
      </w:r>
      <w:r w:rsidR="00127FF3">
        <w:rPr>
          <w:rFonts w:ascii="Times New Roman" w:hAnsi="Times New Roman"/>
        </w:rPr>
        <w:t>(Kos</w:t>
      </w:r>
      <w:r w:rsidR="005B6706">
        <w:rPr>
          <w:rFonts w:ascii="Times New Roman" w:hAnsi="Times New Roman"/>
        </w:rPr>
        <w:t>h</w:t>
      </w:r>
      <w:r w:rsidR="00127FF3">
        <w:rPr>
          <w:rFonts w:ascii="Times New Roman" w:hAnsi="Times New Roman"/>
        </w:rPr>
        <w:t>are)</w:t>
      </w:r>
      <w:r>
        <w:rPr>
          <w:rFonts w:ascii="Times New Roman" w:hAnsi="Times New Roman"/>
        </w:rPr>
        <w:t xml:space="preserve"> in an effort to reach and retrieve the harvest foods placed at the top.</w:t>
      </w:r>
      <w:r>
        <w:rPr>
          <w:rStyle w:val="FootnoteReference"/>
          <w:rFonts w:ascii="Times New Roman" w:hAnsi="Times New Roman"/>
        </w:rPr>
        <w:footnoteReference w:id="245"/>
      </w:r>
      <w:r w:rsidR="005B6706">
        <w:rPr>
          <w:rFonts w:ascii="Times New Roman" w:hAnsi="Times New Roman"/>
        </w:rPr>
        <w:t xml:space="preserve"> The river leads to Blue Lake, which is </w:t>
      </w:r>
      <w:r w:rsidR="00127FF3" w:rsidRPr="005B7071">
        <w:rPr>
          <w:rFonts w:ascii="Times New Roman" w:hAnsi="Times New Roman"/>
        </w:rPr>
        <w:t xml:space="preserve">flanking </w:t>
      </w:r>
      <w:r w:rsidR="005B6706">
        <w:rPr>
          <w:rFonts w:ascii="Times New Roman" w:hAnsi="Times New Roman"/>
        </w:rPr>
        <w:t>by two parrot heads</w:t>
      </w:r>
      <w:r w:rsidR="006F41AD">
        <w:rPr>
          <w:rFonts w:ascii="Times New Roman" w:hAnsi="Times New Roman"/>
        </w:rPr>
        <w:t>,</w:t>
      </w:r>
      <w:r w:rsidR="006F41AD" w:rsidRPr="006F41AD">
        <w:rPr>
          <w:rFonts w:ascii="Times New Roman" w:hAnsi="Times New Roman"/>
        </w:rPr>
        <w:t xml:space="preserve"> </w:t>
      </w:r>
      <w:r w:rsidR="006F41AD">
        <w:rPr>
          <w:rFonts w:ascii="Times New Roman" w:hAnsi="Times New Roman"/>
        </w:rPr>
        <w:t>omnipotent</w:t>
      </w:r>
      <w:r w:rsidR="005B6706">
        <w:rPr>
          <w:rFonts w:ascii="Times New Roman" w:hAnsi="Times New Roman"/>
        </w:rPr>
        <w:t xml:space="preserve"> protective symbols.</w:t>
      </w:r>
      <w:r w:rsidR="006F41AD">
        <w:rPr>
          <w:rStyle w:val="FootnoteReference"/>
          <w:rFonts w:ascii="Times New Roman" w:hAnsi="Times New Roman"/>
        </w:rPr>
        <w:footnoteReference w:id="246"/>
      </w:r>
      <w:r w:rsidR="005B6706">
        <w:rPr>
          <w:rFonts w:ascii="Times New Roman" w:hAnsi="Times New Roman"/>
        </w:rPr>
        <w:t xml:space="preserve"> They guard</w:t>
      </w:r>
      <w:r w:rsidR="00127FF3" w:rsidRPr="005B7071">
        <w:rPr>
          <w:rFonts w:ascii="Times New Roman" w:hAnsi="Times New Roman"/>
        </w:rPr>
        <w:t xml:space="preserve"> Blue Lake, and thus literally, </w:t>
      </w:r>
      <w:r w:rsidR="00620659">
        <w:rPr>
          <w:rFonts w:ascii="Times New Roman" w:hAnsi="Times New Roman"/>
        </w:rPr>
        <w:t xml:space="preserve">the </w:t>
      </w:r>
      <w:r w:rsidR="005348F3">
        <w:rPr>
          <w:rFonts w:ascii="Times New Roman" w:hAnsi="Times New Roman"/>
        </w:rPr>
        <w:t>religious secret</w:t>
      </w:r>
      <w:r w:rsidR="00620659">
        <w:rPr>
          <w:rFonts w:ascii="Times New Roman" w:hAnsi="Times New Roman"/>
        </w:rPr>
        <w:t>s</w:t>
      </w:r>
      <w:r w:rsidR="005348F3">
        <w:rPr>
          <w:rFonts w:ascii="Times New Roman" w:hAnsi="Times New Roman"/>
        </w:rPr>
        <w:t xml:space="preserve"> </w:t>
      </w:r>
      <w:r w:rsidR="00127FF3" w:rsidRPr="005B7071">
        <w:rPr>
          <w:rFonts w:ascii="Times New Roman" w:hAnsi="Times New Roman"/>
        </w:rPr>
        <w:t>of Taos Pueblo</w:t>
      </w:r>
      <w:r w:rsidR="005348F3">
        <w:rPr>
          <w:rFonts w:ascii="Times New Roman" w:hAnsi="Times New Roman"/>
        </w:rPr>
        <w:t xml:space="preserve">. </w:t>
      </w:r>
      <w:r w:rsidR="00D175D3">
        <w:rPr>
          <w:rFonts w:ascii="Times New Roman" w:hAnsi="Times New Roman"/>
        </w:rPr>
        <w:t xml:space="preserve">Likewise, Mirabal protects his culture by creating an image </w:t>
      </w:r>
      <w:r w:rsidR="00620659">
        <w:rPr>
          <w:rFonts w:ascii="Times New Roman" w:hAnsi="Times New Roman"/>
        </w:rPr>
        <w:t xml:space="preserve">set </w:t>
      </w:r>
      <w:r w:rsidR="00D175D3">
        <w:rPr>
          <w:rFonts w:ascii="Times New Roman" w:hAnsi="Times New Roman"/>
        </w:rPr>
        <w:t xml:space="preserve">the day </w:t>
      </w:r>
      <w:r w:rsidR="00D175D3" w:rsidRPr="00620659">
        <w:rPr>
          <w:rFonts w:ascii="Times New Roman" w:hAnsi="Times New Roman"/>
          <w:i/>
        </w:rPr>
        <w:t>before</w:t>
      </w:r>
      <w:r w:rsidR="00D175D3">
        <w:rPr>
          <w:rFonts w:ascii="Times New Roman" w:hAnsi="Times New Roman"/>
        </w:rPr>
        <w:t xml:space="preserve"> the celebration. This contrasts with an earlier 1932 painting </w:t>
      </w:r>
      <w:r w:rsidR="00D175D3" w:rsidRPr="005B7071">
        <w:rPr>
          <w:rFonts w:ascii="Times New Roman" w:hAnsi="Times New Roman"/>
          <w:i/>
        </w:rPr>
        <w:t>Xmas Eve</w:t>
      </w:r>
      <w:r w:rsidR="00D175D3">
        <w:rPr>
          <w:rFonts w:ascii="Times New Roman" w:hAnsi="Times New Roman"/>
          <w:i/>
        </w:rPr>
        <w:t xml:space="preserve"> </w:t>
      </w:r>
      <w:r w:rsidR="00837C61">
        <w:rPr>
          <w:rFonts w:ascii="Times New Roman" w:hAnsi="Times New Roman"/>
        </w:rPr>
        <w:t>(fig. 4.27</w:t>
      </w:r>
      <w:r w:rsidR="00D175D3" w:rsidRPr="005B7071">
        <w:rPr>
          <w:rFonts w:ascii="Times New Roman" w:hAnsi="Times New Roman"/>
        </w:rPr>
        <w:t xml:space="preserve">), </w:t>
      </w:r>
      <w:r w:rsidR="00D175D3">
        <w:rPr>
          <w:rFonts w:ascii="Times New Roman" w:hAnsi="Times New Roman"/>
        </w:rPr>
        <w:t xml:space="preserve">in which </w:t>
      </w:r>
      <w:r w:rsidR="00D175D3" w:rsidRPr="005B7071">
        <w:rPr>
          <w:rFonts w:ascii="Times New Roman" w:hAnsi="Times New Roman"/>
        </w:rPr>
        <w:t xml:space="preserve">Mirabal </w:t>
      </w:r>
      <w:r w:rsidR="00D175D3">
        <w:rPr>
          <w:rFonts w:ascii="Times New Roman" w:hAnsi="Times New Roman"/>
        </w:rPr>
        <w:t xml:space="preserve">features Taos Pueblo </w:t>
      </w:r>
      <w:r w:rsidR="00D175D3" w:rsidRPr="005B7071">
        <w:rPr>
          <w:rFonts w:ascii="Times New Roman" w:hAnsi="Times New Roman"/>
        </w:rPr>
        <w:t>participants</w:t>
      </w:r>
      <w:r w:rsidR="00D175D3">
        <w:rPr>
          <w:rFonts w:ascii="Times New Roman" w:hAnsi="Times New Roman"/>
        </w:rPr>
        <w:t xml:space="preserve"> in the </w:t>
      </w:r>
      <w:r w:rsidR="00D175D3" w:rsidRPr="005B7071">
        <w:rPr>
          <w:rFonts w:ascii="Times New Roman" w:hAnsi="Times New Roman"/>
          <w:i/>
        </w:rPr>
        <w:t>Matachines</w:t>
      </w:r>
      <w:r w:rsidR="00D175D3" w:rsidRPr="005B7071">
        <w:rPr>
          <w:rFonts w:ascii="Times New Roman" w:hAnsi="Times New Roman"/>
        </w:rPr>
        <w:t xml:space="preserve"> Dance in Taos plaza.</w:t>
      </w:r>
      <w:r w:rsidR="00D175D3">
        <w:rPr>
          <w:rFonts w:ascii="Times New Roman" w:hAnsi="Times New Roman"/>
        </w:rPr>
        <w:t xml:space="preserve"> While painting images of religious ceremony was frowned upon by Taos elders, it </w:t>
      </w:r>
      <w:r w:rsidR="00620659">
        <w:rPr>
          <w:rFonts w:ascii="Times New Roman" w:hAnsi="Times New Roman"/>
        </w:rPr>
        <w:t xml:space="preserve">was </w:t>
      </w:r>
      <w:r w:rsidR="00D175D3">
        <w:rPr>
          <w:rFonts w:ascii="Times New Roman" w:hAnsi="Times New Roman"/>
        </w:rPr>
        <w:t>something that was very much encouraged under white patronage at the Santa Fe Indian School where Mirabal was a student in the early 1930s. By 1935, however, Mirabal seems to have come to an accommodation wherein he created an ambitious abstract scene of Taos Pueblo that embraces Blue Lake and ceremonial life at Taos Pueblo, but nevertheless hid, or protect</w:t>
      </w:r>
      <w:r w:rsidR="00620659">
        <w:rPr>
          <w:rFonts w:ascii="Times New Roman" w:hAnsi="Times New Roman"/>
        </w:rPr>
        <w:t>ed</w:t>
      </w:r>
      <w:r w:rsidR="00D175D3">
        <w:rPr>
          <w:rFonts w:ascii="Times New Roman" w:hAnsi="Times New Roman"/>
        </w:rPr>
        <w:t>, aspects of Pueblo life f</w:t>
      </w:r>
      <w:r w:rsidR="00620659">
        <w:rPr>
          <w:rFonts w:ascii="Times New Roman" w:hAnsi="Times New Roman"/>
        </w:rPr>
        <w:t>rom t</w:t>
      </w:r>
      <w:r w:rsidR="00DB1BBD">
        <w:rPr>
          <w:rFonts w:ascii="Times New Roman" w:hAnsi="Times New Roman"/>
        </w:rPr>
        <w:t>he general public.</w:t>
      </w:r>
    </w:p>
    <w:p w14:paraId="3D0B63C6" w14:textId="524C74D2" w:rsidR="002202F2" w:rsidRPr="005B7071" w:rsidRDefault="002202F2" w:rsidP="000C5C0B">
      <w:pPr>
        <w:jc w:val="center"/>
        <w:rPr>
          <w:rFonts w:ascii="Times New Roman" w:hAnsi="Times New Roman"/>
          <w:b/>
        </w:rPr>
      </w:pPr>
      <w:r w:rsidRPr="005B7071">
        <w:rPr>
          <w:rFonts w:ascii="Times New Roman" w:hAnsi="Times New Roman"/>
          <w:b/>
        </w:rPr>
        <w:t>Conclusion</w:t>
      </w:r>
    </w:p>
    <w:p w14:paraId="78FF73B3" w14:textId="3D942009" w:rsidR="002202F2" w:rsidRPr="005B7071" w:rsidRDefault="006F41AD" w:rsidP="00DB1BBD">
      <w:pPr>
        <w:ind w:firstLine="720"/>
        <w:rPr>
          <w:rFonts w:ascii="Times New Roman" w:hAnsi="Times New Roman"/>
        </w:rPr>
      </w:pPr>
      <w:r w:rsidRPr="005B7071">
        <w:rPr>
          <w:rFonts w:ascii="Times New Roman" w:hAnsi="Times New Roman"/>
        </w:rPr>
        <w:t>In combining pre-Mo</w:t>
      </w:r>
      <w:r w:rsidRPr="004937B6">
        <w:rPr>
          <w:rFonts w:ascii="Times New Roman" w:hAnsi="Times New Roman"/>
        </w:rPr>
        <w:t>dernist and Modernist stylistic tendencies from the Anglo community with auto-ethnographic symbolism and subjects, Mirabal</w:t>
      </w:r>
      <w:r>
        <w:rPr>
          <w:rFonts w:ascii="Times New Roman" w:hAnsi="Times New Roman"/>
        </w:rPr>
        <w:t xml:space="preserve">, like Albert Looking Elk and Albert Lujan, created potent images of Pueblo sovereignty. </w:t>
      </w:r>
      <w:r w:rsidR="002202F2" w:rsidRPr="005B7071">
        <w:rPr>
          <w:rFonts w:ascii="Times New Roman" w:hAnsi="Times New Roman"/>
        </w:rPr>
        <w:t>Al</w:t>
      </w:r>
      <w:r w:rsidR="00D175D3">
        <w:rPr>
          <w:rFonts w:ascii="Times New Roman" w:hAnsi="Times New Roman"/>
        </w:rPr>
        <w:t xml:space="preserve">l three </w:t>
      </w:r>
      <w:r w:rsidR="002202F2" w:rsidRPr="005B7071">
        <w:rPr>
          <w:rFonts w:ascii="Times New Roman" w:hAnsi="Times New Roman"/>
        </w:rPr>
        <w:t xml:space="preserve">negotiated social modernity in several ways. </w:t>
      </w:r>
      <w:r w:rsidR="00D175D3">
        <w:rPr>
          <w:rFonts w:ascii="Times New Roman" w:hAnsi="Times New Roman"/>
        </w:rPr>
        <w:t xml:space="preserve">They started out as models then later </w:t>
      </w:r>
      <w:r w:rsidR="002202F2" w:rsidRPr="005B7071">
        <w:rPr>
          <w:rFonts w:ascii="Times New Roman" w:hAnsi="Times New Roman"/>
        </w:rPr>
        <w:t>learned to paint, either directly or indirectly, from their encounters with white artists</w:t>
      </w:r>
      <w:r w:rsidR="00D175D3">
        <w:rPr>
          <w:rFonts w:ascii="Times New Roman" w:hAnsi="Times New Roman"/>
        </w:rPr>
        <w:t xml:space="preserve"> and teachers</w:t>
      </w:r>
      <w:r w:rsidR="002202F2" w:rsidRPr="005B7071">
        <w:rPr>
          <w:rFonts w:ascii="Times New Roman" w:hAnsi="Times New Roman"/>
        </w:rPr>
        <w:t>. In painting, each found a way to make more money, and have more agency, than they could have had as models. With this money, the</w:t>
      </w:r>
      <w:r w:rsidR="00D175D3">
        <w:rPr>
          <w:rFonts w:ascii="Times New Roman" w:hAnsi="Times New Roman"/>
        </w:rPr>
        <w:t xml:space="preserve">y were able to </w:t>
      </w:r>
      <w:r w:rsidR="002202F2" w:rsidRPr="005B7071">
        <w:rPr>
          <w:rFonts w:ascii="Times New Roman" w:hAnsi="Times New Roman"/>
        </w:rPr>
        <w:t>supplement</w:t>
      </w:r>
      <w:r w:rsidR="00D175D3">
        <w:rPr>
          <w:rFonts w:ascii="Times New Roman" w:hAnsi="Times New Roman"/>
        </w:rPr>
        <w:t xml:space="preserve"> </w:t>
      </w:r>
      <w:r w:rsidR="002202F2" w:rsidRPr="005B7071">
        <w:rPr>
          <w:rFonts w:ascii="Times New Roman" w:hAnsi="Times New Roman"/>
        </w:rPr>
        <w:t xml:space="preserve">their </w:t>
      </w:r>
      <w:r w:rsidR="00D175D3">
        <w:rPr>
          <w:rFonts w:ascii="Times New Roman" w:hAnsi="Times New Roman"/>
        </w:rPr>
        <w:t xml:space="preserve">incomes, sometimes significantly. </w:t>
      </w:r>
      <w:r w:rsidR="002202F2" w:rsidRPr="005B7071">
        <w:rPr>
          <w:rFonts w:ascii="Times New Roman" w:hAnsi="Times New Roman"/>
        </w:rPr>
        <w:t xml:space="preserve">This extra money had </w:t>
      </w:r>
      <w:r w:rsidR="00D175D3">
        <w:rPr>
          <w:rFonts w:ascii="Times New Roman" w:hAnsi="Times New Roman"/>
        </w:rPr>
        <w:t xml:space="preserve">the </w:t>
      </w:r>
      <w:r w:rsidR="002202F2" w:rsidRPr="005B7071">
        <w:rPr>
          <w:rFonts w:ascii="Times New Roman" w:hAnsi="Times New Roman"/>
        </w:rPr>
        <w:t>added benefit</w:t>
      </w:r>
      <w:r w:rsidR="00D175D3">
        <w:rPr>
          <w:rFonts w:ascii="Times New Roman" w:hAnsi="Times New Roman"/>
        </w:rPr>
        <w:t xml:space="preserve"> of allowing each artist more time to be </w:t>
      </w:r>
      <w:r w:rsidR="00620659">
        <w:rPr>
          <w:rFonts w:ascii="Times New Roman" w:hAnsi="Times New Roman"/>
        </w:rPr>
        <w:t xml:space="preserve">a </w:t>
      </w:r>
      <w:r w:rsidR="002202F2" w:rsidRPr="005B7071">
        <w:rPr>
          <w:rFonts w:ascii="Times New Roman" w:hAnsi="Times New Roman"/>
        </w:rPr>
        <w:t>full and active participant in Pueblo life</w:t>
      </w:r>
      <w:r w:rsidR="00D175D3">
        <w:rPr>
          <w:rFonts w:ascii="Times New Roman" w:hAnsi="Times New Roman"/>
        </w:rPr>
        <w:t xml:space="preserve">. </w:t>
      </w:r>
      <w:r w:rsidR="002202F2" w:rsidRPr="005B7071">
        <w:rPr>
          <w:rFonts w:ascii="Times New Roman" w:hAnsi="Times New Roman"/>
        </w:rPr>
        <w:t>By including the Pueblo and the sacred Sangre de Cristo mountains in almost all of</w:t>
      </w:r>
      <w:r w:rsidR="00D175D3">
        <w:rPr>
          <w:rFonts w:ascii="Times New Roman" w:hAnsi="Times New Roman"/>
        </w:rPr>
        <w:t xml:space="preserve"> their paintings, </w:t>
      </w:r>
      <w:r w:rsidR="002202F2" w:rsidRPr="005B7071">
        <w:rPr>
          <w:rFonts w:ascii="Times New Roman" w:hAnsi="Times New Roman"/>
        </w:rPr>
        <w:t xml:space="preserve">they produced </w:t>
      </w:r>
      <w:r w:rsidR="00D175D3">
        <w:rPr>
          <w:rFonts w:ascii="Times New Roman" w:hAnsi="Times New Roman"/>
        </w:rPr>
        <w:t xml:space="preserve">works of art that </w:t>
      </w:r>
      <w:r w:rsidR="002202F2" w:rsidRPr="005B7071">
        <w:rPr>
          <w:rFonts w:ascii="Times New Roman" w:hAnsi="Times New Roman"/>
        </w:rPr>
        <w:t xml:space="preserve">read as both tourist art </w:t>
      </w:r>
      <w:r w:rsidR="005348F3">
        <w:rPr>
          <w:rFonts w:ascii="Times New Roman" w:hAnsi="Times New Roman"/>
        </w:rPr>
        <w:t xml:space="preserve">and </w:t>
      </w:r>
      <w:r w:rsidR="002202F2" w:rsidRPr="005B7071">
        <w:rPr>
          <w:rFonts w:ascii="Times New Roman" w:hAnsi="Times New Roman"/>
        </w:rPr>
        <w:t xml:space="preserve">as symbols of Pueblo sovereignty and nationalism. Though </w:t>
      </w:r>
      <w:r w:rsidR="005348F3">
        <w:rPr>
          <w:rFonts w:ascii="Times New Roman" w:hAnsi="Times New Roman"/>
        </w:rPr>
        <w:t xml:space="preserve">some, like Alexandre Hogue, </w:t>
      </w:r>
      <w:r w:rsidR="002202F2" w:rsidRPr="005B7071">
        <w:rPr>
          <w:rFonts w:ascii="Times New Roman" w:hAnsi="Times New Roman"/>
        </w:rPr>
        <w:t xml:space="preserve">compared </w:t>
      </w:r>
      <w:r w:rsidR="005348F3">
        <w:rPr>
          <w:rFonts w:ascii="Times New Roman" w:hAnsi="Times New Roman"/>
        </w:rPr>
        <w:t xml:space="preserve">their art </w:t>
      </w:r>
      <w:r w:rsidR="002202F2" w:rsidRPr="005B7071">
        <w:rPr>
          <w:rFonts w:ascii="Times New Roman" w:hAnsi="Times New Roman"/>
        </w:rPr>
        <w:t xml:space="preserve">negatively to the flat, linear, decorative, auto-ethnographic Santa Fe Style, these </w:t>
      </w:r>
      <w:r w:rsidR="00D175D3">
        <w:rPr>
          <w:rFonts w:ascii="Times New Roman" w:hAnsi="Times New Roman"/>
        </w:rPr>
        <w:t xml:space="preserve">three </w:t>
      </w:r>
      <w:r w:rsidR="002202F2" w:rsidRPr="005B7071">
        <w:rPr>
          <w:rFonts w:ascii="Times New Roman" w:hAnsi="Times New Roman"/>
        </w:rPr>
        <w:t>artists</w:t>
      </w:r>
      <w:r w:rsidR="00D175D3">
        <w:rPr>
          <w:rFonts w:ascii="Times New Roman" w:hAnsi="Times New Roman"/>
        </w:rPr>
        <w:t xml:space="preserve"> successful</w:t>
      </w:r>
      <w:r w:rsidR="00620659">
        <w:rPr>
          <w:rFonts w:ascii="Times New Roman" w:hAnsi="Times New Roman"/>
        </w:rPr>
        <w:t xml:space="preserve">ly </w:t>
      </w:r>
      <w:r w:rsidR="002202F2" w:rsidRPr="005B7071">
        <w:rPr>
          <w:rFonts w:ascii="Times New Roman" w:hAnsi="Times New Roman"/>
        </w:rPr>
        <w:t>manag</w:t>
      </w:r>
      <w:r w:rsidR="00620659">
        <w:rPr>
          <w:rFonts w:ascii="Times New Roman" w:hAnsi="Times New Roman"/>
        </w:rPr>
        <w:t xml:space="preserve">ed the challenged of </w:t>
      </w:r>
      <w:r w:rsidR="002202F2" w:rsidRPr="005B7071">
        <w:rPr>
          <w:rFonts w:ascii="Times New Roman" w:hAnsi="Times New Roman"/>
        </w:rPr>
        <w:t>social modernity. While in some instances the</w:t>
      </w:r>
      <w:r w:rsidR="00D175D3">
        <w:rPr>
          <w:rFonts w:ascii="Times New Roman" w:hAnsi="Times New Roman"/>
        </w:rPr>
        <w:t xml:space="preserve">ir </w:t>
      </w:r>
      <w:r w:rsidR="002202F2" w:rsidRPr="005B7071">
        <w:rPr>
          <w:rFonts w:ascii="Times New Roman" w:hAnsi="Times New Roman"/>
        </w:rPr>
        <w:t xml:space="preserve">paintings look hackneyed, by viewing them through the lens of Pueblo Modernism we can see their contribution to American Indian </w:t>
      </w:r>
      <w:r w:rsidR="005348F3">
        <w:rPr>
          <w:rFonts w:ascii="Times New Roman" w:hAnsi="Times New Roman"/>
        </w:rPr>
        <w:t>art h</w:t>
      </w:r>
      <w:r w:rsidR="002202F2" w:rsidRPr="005B7071">
        <w:rPr>
          <w:rFonts w:ascii="Times New Roman" w:hAnsi="Times New Roman"/>
        </w:rPr>
        <w:t xml:space="preserve">istory. </w:t>
      </w:r>
      <w:r w:rsidR="00393430">
        <w:rPr>
          <w:rFonts w:ascii="Times New Roman" w:hAnsi="Times New Roman"/>
        </w:rPr>
        <w:t xml:space="preserve">In the end, </w:t>
      </w:r>
      <w:r w:rsidR="002202F2" w:rsidRPr="005B7071">
        <w:rPr>
          <w:rFonts w:ascii="Times New Roman" w:hAnsi="Times New Roman"/>
        </w:rPr>
        <w:t>Albert Looking Elk Martinez</w:t>
      </w:r>
      <w:r w:rsidR="00393430">
        <w:rPr>
          <w:rFonts w:ascii="Times New Roman" w:hAnsi="Times New Roman"/>
        </w:rPr>
        <w:t xml:space="preserve">, </w:t>
      </w:r>
      <w:r w:rsidR="002202F2" w:rsidRPr="005B7071">
        <w:rPr>
          <w:rFonts w:ascii="Times New Roman" w:hAnsi="Times New Roman"/>
        </w:rPr>
        <w:t>Albert Lujan</w:t>
      </w:r>
      <w:r w:rsidR="00393430">
        <w:rPr>
          <w:rFonts w:ascii="Times New Roman" w:hAnsi="Times New Roman"/>
        </w:rPr>
        <w:t>, and Juan Mirabal</w:t>
      </w:r>
      <w:r w:rsidR="002202F2" w:rsidRPr="005B7071">
        <w:rPr>
          <w:rFonts w:ascii="Times New Roman" w:hAnsi="Times New Roman"/>
        </w:rPr>
        <w:t xml:space="preserve"> </w:t>
      </w:r>
      <w:r w:rsidR="00620659">
        <w:rPr>
          <w:rFonts w:ascii="Times New Roman" w:hAnsi="Times New Roman"/>
        </w:rPr>
        <w:t xml:space="preserve">added their mark as </w:t>
      </w:r>
      <w:r w:rsidR="002202F2" w:rsidRPr="005B7071">
        <w:rPr>
          <w:rFonts w:ascii="Times New Roman" w:hAnsi="Times New Roman"/>
          <w:i/>
        </w:rPr>
        <w:t>Pueblo Modernists</w:t>
      </w:r>
      <w:r w:rsidR="00CA164C" w:rsidRPr="005B7071">
        <w:rPr>
          <w:rFonts w:ascii="Times New Roman" w:hAnsi="Times New Roman"/>
        </w:rPr>
        <w:t>.</w:t>
      </w:r>
    </w:p>
    <w:p w14:paraId="7B0692E2" w14:textId="369DC436" w:rsidR="002202F2" w:rsidRPr="005B7071" w:rsidRDefault="002202F2" w:rsidP="00DB1BBD">
      <w:pPr>
        <w:rPr>
          <w:rFonts w:ascii="Times New Roman" w:hAnsi="Times New Roman"/>
        </w:rPr>
      </w:pPr>
    </w:p>
    <w:p w14:paraId="737FECA4" w14:textId="2F982D62" w:rsidR="002202F2" w:rsidRDefault="002202F2" w:rsidP="00DB1BBD">
      <w:pPr>
        <w:rPr>
          <w:rFonts w:ascii="Times New Roman" w:hAnsi="Times New Roman"/>
        </w:rPr>
      </w:pPr>
    </w:p>
    <w:p w14:paraId="2D389F9B" w14:textId="77777777" w:rsidR="00327ADD" w:rsidRDefault="00F32029" w:rsidP="00327ADD">
      <w:pPr>
        <w:spacing w:line="240" w:lineRule="auto"/>
      </w:pPr>
      <w:r>
        <w:rPr>
          <w:noProof/>
          <w:lang w:bidi="ar-SA"/>
        </w:rPr>
        <w:drawing>
          <wp:inline distT="0" distB="0" distL="0" distR="0" wp14:anchorId="1F6C1119" wp14:editId="671130F3">
            <wp:extent cx="2805143" cy="2286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can0002 - Copy.t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2805143" cy="2286000"/>
                    </a:xfrm>
                    <a:prstGeom prst="rect">
                      <a:avLst/>
                    </a:prstGeom>
                  </pic:spPr>
                </pic:pic>
              </a:graphicData>
            </a:graphic>
          </wp:inline>
        </w:drawing>
      </w:r>
    </w:p>
    <w:p w14:paraId="75660BD1" w14:textId="0DF8EEAD" w:rsidR="00181CE1" w:rsidRDefault="00327ADD" w:rsidP="00327ADD">
      <w:pPr>
        <w:spacing w:line="240" w:lineRule="auto"/>
      </w:pPr>
      <w:bookmarkStart w:id="61" w:name="_Toc464499106"/>
      <w:r>
        <w:t>F</w:t>
      </w:r>
      <w:r w:rsidR="00D4670A">
        <w:t>igure 4</w:t>
      </w:r>
      <w:r w:rsidR="00A4025B">
        <w:t>.</w:t>
      </w:r>
      <w:r w:rsidR="00B31D83">
        <w:fldChar w:fldCharType="begin"/>
      </w:r>
      <w:r w:rsidR="00B31D83">
        <w:instrText xml:space="preserve"> SEQ Figure \* ARABIC \s 1 </w:instrText>
      </w:r>
      <w:r w:rsidR="00B31D83">
        <w:fldChar w:fldCharType="separate"/>
      </w:r>
      <w:r w:rsidR="00FE5897">
        <w:rPr>
          <w:noProof/>
        </w:rPr>
        <w:t>1</w:t>
      </w:r>
      <w:r w:rsidR="00B31D83">
        <w:rPr>
          <w:noProof/>
        </w:rPr>
        <w:fldChar w:fldCharType="end"/>
      </w:r>
      <w:r>
        <w:t xml:space="preserve"> </w:t>
      </w:r>
      <w:r w:rsidR="00AA11D8">
        <w:t>–</w:t>
      </w:r>
      <w:r w:rsidR="00FB6178">
        <w:t xml:space="preserve"> Walter </w:t>
      </w:r>
      <w:r>
        <w:t>Ufer</w:t>
      </w:r>
      <w:r w:rsidR="00FB6178">
        <w:t>,</w:t>
      </w:r>
      <w:r>
        <w:t xml:space="preserve"> </w:t>
      </w:r>
      <w:r w:rsidRPr="00327ADD">
        <w:rPr>
          <w:i/>
        </w:rPr>
        <w:t>Their Audience</w:t>
      </w:r>
      <w:bookmarkEnd w:id="61"/>
    </w:p>
    <w:p w14:paraId="37C1CCE3" w14:textId="77777777" w:rsidR="00327ADD" w:rsidRDefault="00327ADD" w:rsidP="00327ADD">
      <w:pPr>
        <w:spacing w:line="240" w:lineRule="auto"/>
      </w:pPr>
    </w:p>
    <w:p w14:paraId="06D2956F" w14:textId="5DD3A8A7" w:rsidR="00327ADD" w:rsidRPr="004937B6" w:rsidRDefault="00327ADD" w:rsidP="00327ADD">
      <w:pPr>
        <w:spacing w:line="240" w:lineRule="auto"/>
      </w:pPr>
      <w:r>
        <w:t xml:space="preserve">Walter Ufer, </w:t>
      </w:r>
      <w:r w:rsidRPr="00327ADD">
        <w:rPr>
          <w:i/>
        </w:rPr>
        <w:t>Their Audience</w:t>
      </w:r>
      <w:r>
        <w:t xml:space="preserve">, </w:t>
      </w:r>
      <w:r w:rsidR="008B0EDD">
        <w:t xml:space="preserve">1916, oil on canvas, 47 ¼  x 57 ¼ </w:t>
      </w:r>
      <w:r>
        <w:t xml:space="preserve"> inches</w:t>
      </w:r>
      <w:r w:rsidR="00AA11D8">
        <w:t xml:space="preserve">. </w:t>
      </w:r>
      <w:r>
        <w:t>Snite Museum</w:t>
      </w:r>
      <w:r w:rsidR="00DB1BBD">
        <w:t xml:space="preserve"> of Art, Notre Dame University.</w:t>
      </w:r>
    </w:p>
    <w:p w14:paraId="0EDA6BDE" w14:textId="1D6BA36F" w:rsidR="00327ADD" w:rsidRDefault="00327ADD" w:rsidP="00327ADD">
      <w:pPr>
        <w:spacing w:line="240" w:lineRule="auto"/>
      </w:pPr>
    </w:p>
    <w:p w14:paraId="4569AA8C" w14:textId="77777777" w:rsidR="00DB1BBD" w:rsidRDefault="00DB1BBD" w:rsidP="00327ADD">
      <w:pPr>
        <w:spacing w:line="240" w:lineRule="auto"/>
      </w:pPr>
    </w:p>
    <w:p w14:paraId="351DAD1D" w14:textId="72425B31" w:rsidR="00E40016" w:rsidRDefault="00E40016" w:rsidP="00E40016">
      <w:pPr>
        <w:spacing w:line="240" w:lineRule="auto"/>
      </w:pPr>
      <w:r>
        <w:rPr>
          <w:noProof/>
          <w:lang w:bidi="ar-SA"/>
        </w:rPr>
        <w:drawing>
          <wp:inline distT="0" distB="0" distL="0" distR="0" wp14:anchorId="76B1485B" wp14:editId="0A31B815">
            <wp:extent cx="3749040" cy="2296562"/>
            <wp:effectExtent l="0" t="0" r="381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ostcard of Ufer p. 97.ti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749040" cy="2296562"/>
                    </a:xfrm>
                    <a:prstGeom prst="rect">
                      <a:avLst/>
                    </a:prstGeom>
                  </pic:spPr>
                </pic:pic>
              </a:graphicData>
            </a:graphic>
          </wp:inline>
        </w:drawing>
      </w:r>
    </w:p>
    <w:p w14:paraId="233406F8" w14:textId="42996132" w:rsidR="00327ADD" w:rsidRDefault="00E40016" w:rsidP="00E40016">
      <w:pPr>
        <w:spacing w:line="240" w:lineRule="auto"/>
      </w:pPr>
      <w:bookmarkStart w:id="62" w:name="_Toc464499107"/>
      <w:r>
        <w:t>Figure 4.</w:t>
      </w:r>
      <w:r w:rsidR="00B31D83">
        <w:fldChar w:fldCharType="begin"/>
      </w:r>
      <w:r w:rsidR="00B31D83">
        <w:instrText xml:space="preserve"> SEQ Figure \* ARABIC \s 1 </w:instrText>
      </w:r>
      <w:r w:rsidR="00B31D83">
        <w:fldChar w:fldCharType="separate"/>
      </w:r>
      <w:r w:rsidR="00FE5897">
        <w:rPr>
          <w:noProof/>
        </w:rPr>
        <w:t>2</w:t>
      </w:r>
      <w:r w:rsidR="00B31D83">
        <w:rPr>
          <w:noProof/>
        </w:rPr>
        <w:fldChar w:fldCharType="end"/>
      </w:r>
      <w:r>
        <w:t xml:space="preserve"> </w:t>
      </w:r>
      <w:r w:rsidR="00AA11D8">
        <w:t>–</w:t>
      </w:r>
      <w:r w:rsidR="00FB6178">
        <w:t xml:space="preserve"> </w:t>
      </w:r>
      <w:r>
        <w:t xml:space="preserve">Walter Ufer at </w:t>
      </w:r>
      <w:r w:rsidR="004F2423">
        <w:t>San G</w:t>
      </w:r>
      <w:r w:rsidR="00351FAF" w:rsidRPr="002202F2">
        <w:t>eronimo Dance</w:t>
      </w:r>
      <w:bookmarkEnd w:id="62"/>
    </w:p>
    <w:p w14:paraId="2C40A03B" w14:textId="77777777" w:rsidR="00E40016" w:rsidRDefault="00E40016" w:rsidP="00E40016">
      <w:pPr>
        <w:spacing w:line="240" w:lineRule="auto"/>
      </w:pPr>
    </w:p>
    <w:p w14:paraId="713340BD" w14:textId="7194E6B3" w:rsidR="008D7929" w:rsidRDefault="00E40016" w:rsidP="00E40016">
      <w:pPr>
        <w:spacing w:line="240" w:lineRule="auto"/>
        <w:rPr>
          <w:rFonts w:ascii="Times New Roman" w:hAnsi="Times New Roman"/>
        </w:rPr>
      </w:pPr>
      <w:r>
        <w:t xml:space="preserve">Walter Ufer at </w:t>
      </w:r>
      <w:r w:rsidR="004F2423">
        <w:t>San G</w:t>
      </w:r>
      <w:r w:rsidR="00351FAF" w:rsidRPr="002202F2">
        <w:t>eronimo Dance</w:t>
      </w:r>
      <w:r w:rsidR="00351FAF">
        <w:t xml:space="preserve">, </w:t>
      </w:r>
      <w:r>
        <w:t>Taos Pueblo</w:t>
      </w:r>
      <w:r w:rsidR="00676A3B">
        <w:t>, 1916</w:t>
      </w:r>
      <w:r>
        <w:t xml:space="preserve">. Illustration from Dean Porter et al., </w:t>
      </w:r>
      <w:r w:rsidRPr="00DA1E36">
        <w:rPr>
          <w:rFonts w:ascii="Times New Roman" w:hAnsi="Times New Roman"/>
          <w:bCs/>
          <w:i/>
        </w:rPr>
        <w:t>Taos Artists and Their Patrons, 1898-1950</w:t>
      </w:r>
      <w:r w:rsidRPr="00DA1E36">
        <w:rPr>
          <w:rFonts w:ascii="Times New Roman" w:hAnsi="Times New Roman"/>
          <w:bCs/>
        </w:rPr>
        <w:t xml:space="preserve">. </w:t>
      </w:r>
      <w:r w:rsidRPr="00DA1E36">
        <w:rPr>
          <w:rFonts w:ascii="Times New Roman" w:hAnsi="Times New Roman"/>
        </w:rPr>
        <w:t>Albuquerque, NM:</w:t>
      </w:r>
      <w:r>
        <w:rPr>
          <w:rFonts w:ascii="Times New Roman" w:hAnsi="Times New Roman"/>
        </w:rPr>
        <w:t xml:space="preserve"> U</w:t>
      </w:r>
      <w:r w:rsidRPr="00DA1E36">
        <w:rPr>
          <w:rFonts w:ascii="Times New Roman" w:hAnsi="Times New Roman"/>
        </w:rPr>
        <w:t>niversity of New</w:t>
      </w:r>
      <w:r>
        <w:rPr>
          <w:rFonts w:ascii="Times New Roman" w:hAnsi="Times New Roman"/>
        </w:rPr>
        <w:t xml:space="preserve"> </w:t>
      </w:r>
      <w:r w:rsidRPr="00DA1E36">
        <w:rPr>
          <w:rFonts w:ascii="Times New Roman" w:hAnsi="Times New Roman"/>
        </w:rPr>
        <w:t>Mexico Press, 1999</w:t>
      </w:r>
      <w:r w:rsidR="00351FAF">
        <w:rPr>
          <w:rFonts w:ascii="Times New Roman" w:hAnsi="Times New Roman"/>
        </w:rPr>
        <w:t>, 86</w:t>
      </w:r>
      <w:r>
        <w:rPr>
          <w:rFonts w:ascii="Times New Roman" w:hAnsi="Times New Roman"/>
        </w:rPr>
        <w:t>.</w:t>
      </w:r>
    </w:p>
    <w:p w14:paraId="78635637" w14:textId="77777777" w:rsidR="00F720E7" w:rsidRDefault="00F720E7" w:rsidP="00E40016">
      <w:pPr>
        <w:spacing w:line="240" w:lineRule="auto"/>
      </w:pPr>
    </w:p>
    <w:p w14:paraId="4484BB54" w14:textId="77777777" w:rsidR="008D7929" w:rsidRDefault="008D7929" w:rsidP="00676A3B">
      <w:pPr>
        <w:spacing w:line="240" w:lineRule="auto"/>
      </w:pPr>
    </w:p>
    <w:p w14:paraId="08F27BB8" w14:textId="52622342" w:rsidR="009812FA" w:rsidRPr="009812FA" w:rsidRDefault="009812FA" w:rsidP="009812FA">
      <w:pPr>
        <w:spacing w:line="240" w:lineRule="auto"/>
        <w:rPr>
          <w:rFonts w:asciiTheme="majorHAnsi" w:hAnsiTheme="majorHAnsi" w:cstheme="majorHAnsi"/>
        </w:rPr>
      </w:pPr>
      <w:r>
        <w:rPr>
          <w:noProof/>
          <w:lang w:bidi="ar-SA"/>
        </w:rPr>
        <w:drawing>
          <wp:inline distT="0" distB="0" distL="0" distR="0" wp14:anchorId="19EF6DB3" wp14:editId="115033E3">
            <wp:extent cx="2106682" cy="2743200"/>
            <wp:effectExtent l="0" t="0" r="825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use pottery vendor.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106682" cy="2743200"/>
                    </a:xfrm>
                    <a:prstGeom prst="rect">
                      <a:avLst/>
                    </a:prstGeom>
                  </pic:spPr>
                </pic:pic>
              </a:graphicData>
            </a:graphic>
          </wp:inline>
        </w:drawing>
      </w:r>
    </w:p>
    <w:p w14:paraId="30FCC1FA" w14:textId="15D5DDFC" w:rsidR="009812FA" w:rsidRDefault="009812FA" w:rsidP="009812FA">
      <w:pPr>
        <w:spacing w:line="240" w:lineRule="auto"/>
        <w:rPr>
          <w:rFonts w:asciiTheme="majorHAnsi" w:hAnsiTheme="majorHAnsi" w:cstheme="majorHAnsi"/>
          <w:i/>
        </w:rPr>
      </w:pPr>
      <w:bookmarkStart w:id="63" w:name="_Toc464499108"/>
      <w:r w:rsidRPr="009812FA">
        <w:rPr>
          <w:rFonts w:asciiTheme="majorHAnsi" w:hAnsiTheme="majorHAnsi" w:cstheme="majorHAnsi"/>
        </w:rPr>
        <w:t>Figure 4.</w:t>
      </w:r>
      <w:r w:rsidR="00E47A28">
        <w:rPr>
          <w:rFonts w:asciiTheme="majorHAnsi" w:hAnsiTheme="majorHAnsi" w:cstheme="majorHAnsi"/>
        </w:rPr>
        <w:fldChar w:fldCharType="begin"/>
      </w:r>
      <w:r w:rsidR="00E47A28">
        <w:rPr>
          <w:rFonts w:asciiTheme="majorHAnsi" w:hAnsiTheme="majorHAnsi" w:cstheme="majorHAnsi"/>
        </w:rPr>
        <w:instrText xml:space="preserve"> SEQ Figure \* ARABIC \s 1 </w:instrText>
      </w:r>
      <w:r w:rsidR="00E47A28">
        <w:rPr>
          <w:rFonts w:asciiTheme="majorHAnsi" w:hAnsiTheme="majorHAnsi" w:cstheme="majorHAnsi"/>
        </w:rPr>
        <w:fldChar w:fldCharType="separate"/>
      </w:r>
      <w:r w:rsidR="00FE5897">
        <w:rPr>
          <w:rFonts w:asciiTheme="majorHAnsi" w:hAnsiTheme="majorHAnsi" w:cstheme="majorHAnsi"/>
          <w:noProof/>
        </w:rPr>
        <w:t>3</w:t>
      </w:r>
      <w:r w:rsidR="00E47A28">
        <w:rPr>
          <w:rFonts w:asciiTheme="majorHAnsi" w:hAnsiTheme="majorHAnsi" w:cstheme="majorHAnsi"/>
        </w:rPr>
        <w:fldChar w:fldCharType="end"/>
      </w:r>
      <w:r w:rsidR="00FB6178">
        <w:rPr>
          <w:rFonts w:asciiTheme="majorHAnsi" w:hAnsiTheme="majorHAnsi" w:cstheme="majorHAnsi"/>
        </w:rPr>
        <w:t xml:space="preserve"> </w:t>
      </w:r>
      <w:r w:rsidR="00F720E7">
        <w:rPr>
          <w:rFonts w:asciiTheme="majorHAnsi" w:hAnsiTheme="majorHAnsi" w:cstheme="majorHAnsi"/>
        </w:rPr>
        <w:t xml:space="preserve">– </w:t>
      </w:r>
      <w:r w:rsidR="00FB6178">
        <w:rPr>
          <w:rFonts w:asciiTheme="majorHAnsi" w:hAnsiTheme="majorHAnsi" w:cstheme="majorHAnsi"/>
        </w:rPr>
        <w:t xml:space="preserve">E.I. </w:t>
      </w:r>
      <w:r w:rsidRPr="009812FA">
        <w:rPr>
          <w:rFonts w:asciiTheme="majorHAnsi" w:hAnsiTheme="majorHAnsi" w:cstheme="majorHAnsi"/>
        </w:rPr>
        <w:t xml:space="preserve">Couse. </w:t>
      </w:r>
      <w:r w:rsidRPr="009812FA">
        <w:rPr>
          <w:rFonts w:asciiTheme="majorHAnsi" w:hAnsiTheme="majorHAnsi" w:cstheme="majorHAnsi"/>
          <w:i/>
        </w:rPr>
        <w:t>Pottery Vendor</w:t>
      </w:r>
      <w:bookmarkEnd w:id="63"/>
    </w:p>
    <w:p w14:paraId="3F4B3B00" w14:textId="77777777" w:rsidR="009812FA" w:rsidRPr="009812FA" w:rsidRDefault="009812FA" w:rsidP="009812FA">
      <w:pPr>
        <w:spacing w:line="240" w:lineRule="auto"/>
        <w:rPr>
          <w:rFonts w:asciiTheme="majorHAnsi" w:hAnsiTheme="majorHAnsi" w:cstheme="majorHAnsi"/>
          <w:i/>
        </w:rPr>
      </w:pPr>
    </w:p>
    <w:p w14:paraId="1220CDF6" w14:textId="532699AA" w:rsidR="008D7929" w:rsidRPr="009812FA" w:rsidRDefault="009812FA" w:rsidP="009812FA">
      <w:pPr>
        <w:spacing w:line="240" w:lineRule="auto"/>
      </w:pPr>
      <w:r w:rsidRPr="009812FA">
        <w:rPr>
          <w:rFonts w:asciiTheme="majorHAnsi" w:hAnsiTheme="majorHAnsi" w:cstheme="majorHAnsi"/>
        </w:rPr>
        <w:t xml:space="preserve">Eanger Irving Couse, </w:t>
      </w:r>
      <w:r w:rsidRPr="009812FA">
        <w:rPr>
          <w:rFonts w:asciiTheme="majorHAnsi" w:hAnsiTheme="majorHAnsi" w:cstheme="majorHAnsi"/>
          <w:i/>
        </w:rPr>
        <w:t>Pottery Vendor</w:t>
      </w:r>
      <w:r w:rsidRPr="009812FA">
        <w:rPr>
          <w:rFonts w:asciiTheme="majorHAnsi" w:hAnsiTheme="majorHAnsi" w:cstheme="majorHAnsi"/>
        </w:rPr>
        <w:t xml:space="preserve">, 1916, oil on canvas, 45 ½ x 34 ½ inches. </w:t>
      </w:r>
      <w:r w:rsidRPr="009812FA">
        <w:rPr>
          <w:rFonts w:asciiTheme="majorHAnsi" w:hAnsiTheme="majorHAnsi" w:cstheme="majorHAnsi"/>
          <w:shd w:val="clear" w:color="auto" w:fill="FFFFFF"/>
        </w:rPr>
        <w:t>The Eugene B. Adkins Collection at the Fred Jones Jr. Museum of Art, the University of Oklahoma, Norman, and the Philbrook Museum of Art, Tulsa, Oklahoma.</w:t>
      </w:r>
    </w:p>
    <w:p w14:paraId="63783F74" w14:textId="4270C9E9" w:rsidR="008D7929" w:rsidRDefault="008D7929" w:rsidP="00676A3B">
      <w:pPr>
        <w:spacing w:line="240" w:lineRule="auto"/>
      </w:pPr>
    </w:p>
    <w:p w14:paraId="7BFEBCD1" w14:textId="77777777" w:rsidR="006E5069" w:rsidRDefault="006E5069" w:rsidP="00676A3B">
      <w:pPr>
        <w:spacing w:line="240" w:lineRule="auto"/>
      </w:pPr>
    </w:p>
    <w:p w14:paraId="65F0C044" w14:textId="77777777" w:rsidR="006E5069" w:rsidRDefault="006E5069" w:rsidP="006E5069">
      <w:pPr>
        <w:spacing w:line="240" w:lineRule="auto"/>
      </w:pPr>
      <w:r>
        <w:rPr>
          <w:noProof/>
          <w:lang w:bidi="ar-SA"/>
        </w:rPr>
        <w:drawing>
          <wp:inline distT="0" distB="0" distL="0" distR="0" wp14:anchorId="409A851D" wp14:editId="49E769B2">
            <wp:extent cx="3200400" cy="2393897"/>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oki-Snake-Dance-1000x748.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200400" cy="2393897"/>
                    </a:xfrm>
                    <a:prstGeom prst="rect">
                      <a:avLst/>
                    </a:prstGeom>
                  </pic:spPr>
                </pic:pic>
              </a:graphicData>
            </a:graphic>
          </wp:inline>
        </w:drawing>
      </w:r>
    </w:p>
    <w:p w14:paraId="61AD8446" w14:textId="187C592D" w:rsidR="008D7929" w:rsidRDefault="006E5069" w:rsidP="006E5069">
      <w:pPr>
        <w:spacing w:line="240" w:lineRule="auto"/>
        <w:rPr>
          <w:i/>
        </w:rPr>
      </w:pPr>
      <w:bookmarkStart w:id="64" w:name="_Toc464499109"/>
      <w:r>
        <w:t>Figure 4.</w:t>
      </w:r>
      <w:r w:rsidR="00B31D83">
        <w:fldChar w:fldCharType="begin"/>
      </w:r>
      <w:r w:rsidR="00B31D83">
        <w:instrText xml:space="preserve"> SEQ Figure \* ARABIC \s 1 </w:instrText>
      </w:r>
      <w:r w:rsidR="00B31D83">
        <w:fldChar w:fldCharType="separate"/>
      </w:r>
      <w:r w:rsidR="00FE5897">
        <w:rPr>
          <w:noProof/>
        </w:rPr>
        <w:t>4</w:t>
      </w:r>
      <w:r w:rsidR="00B31D83">
        <w:rPr>
          <w:noProof/>
        </w:rPr>
        <w:fldChar w:fldCharType="end"/>
      </w:r>
      <w:r>
        <w:t xml:space="preserve"> </w:t>
      </w:r>
      <w:r w:rsidR="00F720E7">
        <w:t>–</w:t>
      </w:r>
      <w:r w:rsidR="00FB6178">
        <w:t xml:space="preserve"> E.I. </w:t>
      </w:r>
      <w:r>
        <w:t xml:space="preserve">Couse, </w:t>
      </w:r>
      <w:r w:rsidRPr="006E5069">
        <w:rPr>
          <w:i/>
        </w:rPr>
        <w:t>Moki Snake Dance</w:t>
      </w:r>
      <w:bookmarkEnd w:id="64"/>
    </w:p>
    <w:p w14:paraId="2F887E11" w14:textId="716E5BBC" w:rsidR="006E5069" w:rsidRDefault="006E5069" w:rsidP="006E5069">
      <w:pPr>
        <w:spacing w:line="240" w:lineRule="auto"/>
      </w:pPr>
    </w:p>
    <w:p w14:paraId="31C221BA" w14:textId="789A29E8" w:rsidR="006E5069" w:rsidRPr="006E5069" w:rsidRDefault="006E5069" w:rsidP="006E5069">
      <w:pPr>
        <w:spacing w:line="240" w:lineRule="auto"/>
      </w:pPr>
      <w:r>
        <w:t xml:space="preserve">Eanger Irving Couse, </w:t>
      </w:r>
      <w:r w:rsidRPr="006E5069">
        <w:rPr>
          <w:i/>
        </w:rPr>
        <w:t>Moki Snake Dance</w:t>
      </w:r>
      <w:r>
        <w:t>, 1904, oil on canvas, 36 x 48 inches. Anschutz Collection, Denver. CO</w:t>
      </w:r>
      <w:r w:rsidR="00D4670A">
        <w:t>.</w:t>
      </w:r>
    </w:p>
    <w:p w14:paraId="472302DC" w14:textId="31BEC118" w:rsidR="008D7929" w:rsidRDefault="008D7929" w:rsidP="00676A3B">
      <w:pPr>
        <w:spacing w:line="240" w:lineRule="auto"/>
      </w:pPr>
    </w:p>
    <w:p w14:paraId="7E0279FA" w14:textId="67558F59" w:rsidR="00D27A74" w:rsidRDefault="00D27A74" w:rsidP="00676A3B">
      <w:pPr>
        <w:spacing w:line="240" w:lineRule="auto"/>
      </w:pPr>
    </w:p>
    <w:p w14:paraId="67C4FDF2" w14:textId="77777777" w:rsidR="00D27A74" w:rsidRDefault="00D27A74" w:rsidP="007F29DA">
      <w:pPr>
        <w:spacing w:line="240" w:lineRule="auto"/>
      </w:pPr>
      <w:r>
        <w:rPr>
          <w:noProof/>
          <w:lang w:bidi="ar-SA"/>
        </w:rPr>
        <w:drawing>
          <wp:inline distT="0" distB="0" distL="0" distR="0" wp14:anchorId="1694F7B8" wp14:editId="34CF10E0">
            <wp:extent cx="2933700" cy="22853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ody-crumbo-land-of-enchantment1351757783656.jpg"/>
                    <pic:cNvPicPr/>
                  </pic:nvPicPr>
                  <pic:blipFill rotWithShape="1">
                    <a:blip r:embed="rId53" cstate="print">
                      <a:extLst>
                        <a:ext uri="{28A0092B-C50C-407E-A947-70E740481C1C}">
                          <a14:useLocalDpi xmlns:a14="http://schemas.microsoft.com/office/drawing/2010/main" val="0"/>
                        </a:ext>
                      </a:extLst>
                    </a:blip>
                    <a:srcRect l="3676" r="1981"/>
                    <a:stretch/>
                  </pic:blipFill>
                  <pic:spPr bwMode="auto">
                    <a:xfrm>
                      <a:off x="0" y="0"/>
                      <a:ext cx="2934515" cy="2286000"/>
                    </a:xfrm>
                    <a:prstGeom prst="rect">
                      <a:avLst/>
                    </a:prstGeom>
                    <a:ln>
                      <a:noFill/>
                    </a:ln>
                    <a:extLst>
                      <a:ext uri="{53640926-AAD7-44D8-BBD7-CCE9431645EC}">
                        <a14:shadowObscured xmlns:a14="http://schemas.microsoft.com/office/drawing/2010/main"/>
                      </a:ext>
                    </a:extLst>
                  </pic:spPr>
                </pic:pic>
              </a:graphicData>
            </a:graphic>
          </wp:inline>
        </w:drawing>
      </w:r>
    </w:p>
    <w:p w14:paraId="586936F3" w14:textId="252AD087" w:rsidR="00D27A74" w:rsidRPr="00275C35" w:rsidRDefault="00D27A74" w:rsidP="007F29DA">
      <w:pPr>
        <w:spacing w:line="240" w:lineRule="auto"/>
      </w:pPr>
      <w:bookmarkStart w:id="65" w:name="_Toc464499110"/>
      <w:r>
        <w:t>Figure 4</w:t>
      </w:r>
      <w:r w:rsidR="00A65C50">
        <w:t>.</w:t>
      </w:r>
      <w:r w:rsidR="00B31D83">
        <w:fldChar w:fldCharType="begin"/>
      </w:r>
      <w:r w:rsidR="00B31D83">
        <w:instrText xml:space="preserve"> SEQ Figure \* ARABIC \s 1 </w:instrText>
      </w:r>
      <w:r w:rsidR="00B31D83">
        <w:fldChar w:fldCharType="separate"/>
      </w:r>
      <w:r w:rsidR="00FE5897">
        <w:rPr>
          <w:noProof/>
        </w:rPr>
        <w:t>5</w:t>
      </w:r>
      <w:r w:rsidR="00B31D83">
        <w:rPr>
          <w:noProof/>
        </w:rPr>
        <w:fldChar w:fldCharType="end"/>
      </w:r>
      <w:r>
        <w:t xml:space="preserve"> </w:t>
      </w:r>
      <w:r w:rsidR="00FB6178">
        <w:t xml:space="preserve">– Woody </w:t>
      </w:r>
      <w:r>
        <w:t xml:space="preserve">Crumbo, </w:t>
      </w:r>
      <w:r>
        <w:rPr>
          <w:i/>
        </w:rPr>
        <w:t>Land of Enchantment</w:t>
      </w:r>
      <w:bookmarkEnd w:id="65"/>
    </w:p>
    <w:p w14:paraId="123614AC" w14:textId="23EE876B" w:rsidR="00D27A74" w:rsidRDefault="00D27A74" w:rsidP="00D27A74">
      <w:pPr>
        <w:spacing w:line="240" w:lineRule="auto"/>
        <w:rPr>
          <w:lang w:bidi="ar-SA"/>
        </w:rPr>
      </w:pPr>
    </w:p>
    <w:p w14:paraId="711B48A2" w14:textId="0E52F9FC" w:rsidR="002B673A" w:rsidRDefault="00D27A74" w:rsidP="00D27A74">
      <w:pPr>
        <w:spacing w:line="240" w:lineRule="auto"/>
        <w:rPr>
          <w:lang w:bidi="ar-SA"/>
        </w:rPr>
      </w:pPr>
      <w:r>
        <w:rPr>
          <w:lang w:bidi="ar-SA"/>
        </w:rPr>
        <w:t xml:space="preserve">Woody Crumbo, </w:t>
      </w:r>
      <w:r w:rsidRPr="00D27A74">
        <w:rPr>
          <w:i/>
          <w:lang w:bidi="ar-SA"/>
        </w:rPr>
        <w:t>Land of Enchantment</w:t>
      </w:r>
      <w:r>
        <w:rPr>
          <w:lang w:bidi="ar-SA"/>
        </w:rPr>
        <w:t>, 1946, watercolor on board, 17 ½ x 23 inches. Philbrook Museum of Art, T</w:t>
      </w:r>
      <w:r w:rsidR="002B673A">
        <w:rPr>
          <w:lang w:bidi="ar-SA"/>
        </w:rPr>
        <w:t>u</w:t>
      </w:r>
      <w:r>
        <w:rPr>
          <w:lang w:bidi="ar-SA"/>
        </w:rPr>
        <w:t>lsa, OK.</w:t>
      </w:r>
    </w:p>
    <w:p w14:paraId="204D0114" w14:textId="77777777" w:rsidR="002B673A" w:rsidRDefault="002B673A" w:rsidP="007F29DA">
      <w:pPr>
        <w:spacing w:line="240" w:lineRule="auto"/>
        <w:rPr>
          <w:lang w:bidi="ar-SA"/>
        </w:rPr>
      </w:pPr>
    </w:p>
    <w:p w14:paraId="5C7D7CE6" w14:textId="77777777" w:rsidR="002B673A" w:rsidRDefault="002B673A" w:rsidP="007F29DA">
      <w:pPr>
        <w:spacing w:line="240" w:lineRule="auto"/>
        <w:rPr>
          <w:lang w:bidi="ar-SA"/>
        </w:rPr>
      </w:pPr>
    </w:p>
    <w:p w14:paraId="405777F7" w14:textId="77777777" w:rsidR="002B673A" w:rsidRDefault="002B673A" w:rsidP="007F29DA">
      <w:pPr>
        <w:spacing w:line="240" w:lineRule="auto"/>
      </w:pPr>
      <w:r>
        <w:rPr>
          <w:noProof/>
          <w:lang w:bidi="ar-SA"/>
        </w:rPr>
        <w:drawing>
          <wp:inline distT="0" distB="0" distL="0" distR="0" wp14:anchorId="30CDE0B5" wp14:editId="43DEF673">
            <wp:extent cx="2690736" cy="22860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and of Manana - Copy.ti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690736" cy="2286000"/>
                    </a:xfrm>
                    <a:prstGeom prst="rect">
                      <a:avLst/>
                    </a:prstGeom>
                  </pic:spPr>
                </pic:pic>
              </a:graphicData>
            </a:graphic>
          </wp:inline>
        </w:drawing>
      </w:r>
    </w:p>
    <w:p w14:paraId="76A226A7" w14:textId="11367D6B" w:rsidR="002B673A" w:rsidRDefault="002B673A" w:rsidP="007F29DA">
      <w:pPr>
        <w:spacing w:line="240" w:lineRule="auto"/>
      </w:pPr>
      <w:bookmarkStart w:id="66" w:name="_Toc464499111"/>
      <w:r>
        <w:t>Figure 4.</w:t>
      </w:r>
      <w:r w:rsidR="00B31D83">
        <w:fldChar w:fldCharType="begin"/>
      </w:r>
      <w:r w:rsidR="00B31D83">
        <w:instrText xml:space="preserve"> SEQ Figure \* ARABIC \s 1 </w:instrText>
      </w:r>
      <w:r w:rsidR="00B31D83">
        <w:fldChar w:fldCharType="separate"/>
      </w:r>
      <w:r w:rsidR="00FE5897">
        <w:rPr>
          <w:noProof/>
        </w:rPr>
        <w:t>6</w:t>
      </w:r>
      <w:r w:rsidR="00B31D83">
        <w:rPr>
          <w:noProof/>
        </w:rPr>
        <w:fldChar w:fldCharType="end"/>
      </w:r>
      <w:r>
        <w:t xml:space="preserve"> </w:t>
      </w:r>
      <w:r w:rsidR="00FB6178">
        <w:t xml:space="preserve">– Walter </w:t>
      </w:r>
      <w:r>
        <w:t xml:space="preserve">Ufer, </w:t>
      </w:r>
      <w:r>
        <w:rPr>
          <w:i/>
        </w:rPr>
        <w:t>Land of Ma</w:t>
      </w:r>
      <w:r>
        <w:rPr>
          <w:rFonts w:cstheme="majorHAnsi"/>
          <w:i/>
        </w:rPr>
        <w:t>ň</w:t>
      </w:r>
      <w:r>
        <w:rPr>
          <w:i/>
        </w:rPr>
        <w:t>ana</w:t>
      </w:r>
      <w:bookmarkEnd w:id="66"/>
    </w:p>
    <w:p w14:paraId="23AA5DBD" w14:textId="15D3EC20" w:rsidR="002B673A" w:rsidRDefault="002B673A" w:rsidP="007F29DA">
      <w:pPr>
        <w:spacing w:line="240" w:lineRule="auto"/>
      </w:pPr>
    </w:p>
    <w:p w14:paraId="10CDEC37" w14:textId="2A79261D" w:rsidR="00D27A74" w:rsidRDefault="002B673A" w:rsidP="00D27A74">
      <w:pPr>
        <w:spacing w:line="240" w:lineRule="auto"/>
        <w:rPr>
          <w:lang w:bidi="ar-SA"/>
        </w:rPr>
      </w:pPr>
      <w:r>
        <w:rPr>
          <w:lang w:bidi="ar-SA"/>
        </w:rPr>
        <w:t xml:space="preserve">Walter Ufer, </w:t>
      </w:r>
      <w:r>
        <w:rPr>
          <w:i/>
          <w:lang w:bidi="ar-SA"/>
        </w:rPr>
        <w:t>Land of Ma</w:t>
      </w:r>
      <w:r>
        <w:rPr>
          <w:rFonts w:cstheme="majorHAnsi"/>
          <w:i/>
        </w:rPr>
        <w:t>ňana</w:t>
      </w:r>
      <w:r>
        <w:rPr>
          <w:rFonts w:cstheme="majorHAnsi"/>
        </w:rPr>
        <w:t>, 1916, oil on canvas, 50 x 50 inches.</w:t>
      </w:r>
      <w:r w:rsidR="00DB1BBD">
        <w:rPr>
          <w:rFonts w:cstheme="majorHAnsi"/>
        </w:rPr>
        <w:t xml:space="preserve"> Union League Club of Chicago.</w:t>
      </w:r>
    </w:p>
    <w:p w14:paraId="557D1472" w14:textId="524BA3B9" w:rsidR="002839D7" w:rsidRDefault="002839D7" w:rsidP="007F29DA">
      <w:pPr>
        <w:spacing w:line="240" w:lineRule="auto"/>
      </w:pPr>
      <w:r>
        <w:rPr>
          <w:noProof/>
          <w:lang w:bidi="ar-SA"/>
        </w:rPr>
        <w:drawing>
          <wp:inline distT="0" distB="0" distL="0" distR="0" wp14:anchorId="59B98EF1" wp14:editId="74F4AF8C">
            <wp:extent cx="1404521" cy="2743200"/>
            <wp:effectExtent l="0" t="0" r="571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3.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1404521" cy="2743200"/>
                    </a:xfrm>
                    <a:prstGeom prst="rect">
                      <a:avLst/>
                    </a:prstGeom>
                  </pic:spPr>
                </pic:pic>
              </a:graphicData>
            </a:graphic>
          </wp:inline>
        </w:drawing>
      </w:r>
      <w:r w:rsidR="00F83423">
        <w:t xml:space="preserve">  </w:t>
      </w:r>
      <w:r w:rsidR="00F83423">
        <w:rPr>
          <w:noProof/>
          <w:lang w:bidi="ar-SA"/>
        </w:rPr>
        <w:drawing>
          <wp:inline distT="0" distB="0" distL="0" distR="0" wp14:anchorId="3AD4CB18" wp14:editId="10803E39">
            <wp:extent cx="2457450" cy="17716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Awa Tsireh The Bull and the Koshares1938.jpg"/>
                    <pic:cNvPicPr/>
                  </pic:nvPicPr>
                  <pic:blipFill rotWithShape="1">
                    <a:blip r:embed="rId56" cstate="print">
                      <a:extLst>
                        <a:ext uri="{28A0092B-C50C-407E-A947-70E740481C1C}">
                          <a14:useLocalDpi xmlns:a14="http://schemas.microsoft.com/office/drawing/2010/main" val="0"/>
                        </a:ext>
                      </a:extLst>
                    </a:blip>
                    <a:srcRect l="6333" t="12285" r="14607" b="23036"/>
                    <a:stretch/>
                  </pic:blipFill>
                  <pic:spPr bwMode="auto">
                    <a:xfrm>
                      <a:off x="0" y="0"/>
                      <a:ext cx="2457952" cy="1772012"/>
                    </a:xfrm>
                    <a:prstGeom prst="rect">
                      <a:avLst/>
                    </a:prstGeom>
                    <a:ln>
                      <a:noFill/>
                    </a:ln>
                    <a:extLst>
                      <a:ext uri="{53640926-AAD7-44D8-BBD7-CCE9431645EC}">
                        <a14:shadowObscured xmlns:a14="http://schemas.microsoft.com/office/drawing/2010/main"/>
                      </a:ext>
                    </a:extLst>
                  </pic:spPr>
                </pic:pic>
              </a:graphicData>
            </a:graphic>
          </wp:inline>
        </w:drawing>
      </w:r>
    </w:p>
    <w:p w14:paraId="2E3B189A" w14:textId="5E89A6DA" w:rsidR="002B673A" w:rsidRDefault="002839D7" w:rsidP="002839D7">
      <w:pPr>
        <w:spacing w:line="240" w:lineRule="auto"/>
      </w:pPr>
      <w:bookmarkStart w:id="67" w:name="_Toc464499112"/>
      <w:r>
        <w:t>Figure 4.</w:t>
      </w:r>
      <w:r w:rsidR="00B31D83">
        <w:fldChar w:fldCharType="begin"/>
      </w:r>
      <w:r w:rsidR="00B31D83">
        <w:instrText xml:space="preserve"> SEQ Figure \* ARABIC \s 1 </w:instrText>
      </w:r>
      <w:r w:rsidR="00B31D83">
        <w:fldChar w:fldCharType="separate"/>
      </w:r>
      <w:r w:rsidR="00FE5897">
        <w:rPr>
          <w:noProof/>
        </w:rPr>
        <w:t>7</w:t>
      </w:r>
      <w:r w:rsidR="00B31D83">
        <w:rPr>
          <w:noProof/>
        </w:rPr>
        <w:fldChar w:fldCharType="end"/>
      </w:r>
      <w:r>
        <w:t xml:space="preserve"> </w:t>
      </w:r>
      <w:r w:rsidR="00F720E7">
        <w:t>–</w:t>
      </w:r>
      <w:r w:rsidR="00FB6178">
        <w:t xml:space="preserve"> </w:t>
      </w:r>
      <w:r>
        <w:t xml:space="preserve">Detail, </w:t>
      </w:r>
      <w:r>
        <w:rPr>
          <w:i/>
          <w:lang w:bidi="ar-SA"/>
        </w:rPr>
        <w:t>Land of Ma</w:t>
      </w:r>
      <w:r>
        <w:rPr>
          <w:rFonts w:cstheme="majorHAnsi"/>
          <w:i/>
        </w:rPr>
        <w:t>ňana</w:t>
      </w:r>
      <w:r w:rsidR="00F83423">
        <w:rPr>
          <w:rFonts w:cstheme="majorHAnsi"/>
          <w:i/>
        </w:rPr>
        <w:t xml:space="preserve"> </w:t>
      </w:r>
      <w:r w:rsidR="00F83423" w:rsidRPr="00F83423">
        <w:rPr>
          <w:rFonts w:cstheme="majorHAnsi"/>
        </w:rPr>
        <w:t xml:space="preserve">and </w:t>
      </w:r>
      <w:r w:rsidR="00F83423">
        <w:rPr>
          <w:rFonts w:cstheme="majorHAnsi"/>
        </w:rPr>
        <w:t xml:space="preserve">Awa Tsireh, </w:t>
      </w:r>
      <w:r w:rsidR="00F83423" w:rsidRPr="00F83423">
        <w:rPr>
          <w:rFonts w:cstheme="majorHAnsi"/>
          <w:i/>
        </w:rPr>
        <w:t>Bull and Koshare</w:t>
      </w:r>
      <w:bookmarkEnd w:id="67"/>
    </w:p>
    <w:p w14:paraId="2A9274ED" w14:textId="35E935E7" w:rsidR="002839D7" w:rsidRDefault="002839D7" w:rsidP="002839D7">
      <w:pPr>
        <w:spacing w:line="240" w:lineRule="auto"/>
        <w:rPr>
          <w:lang w:bidi="ar-SA"/>
        </w:rPr>
      </w:pPr>
    </w:p>
    <w:p w14:paraId="02344D33" w14:textId="77777777" w:rsidR="00F83423" w:rsidRDefault="002839D7" w:rsidP="002839D7">
      <w:pPr>
        <w:spacing w:line="240" w:lineRule="auto"/>
        <w:rPr>
          <w:rFonts w:cstheme="majorHAnsi"/>
        </w:rPr>
      </w:pPr>
      <w:r>
        <w:rPr>
          <w:lang w:bidi="ar-SA"/>
        </w:rPr>
        <w:t xml:space="preserve">Detail, Walter Ufer, </w:t>
      </w:r>
      <w:r>
        <w:rPr>
          <w:i/>
          <w:lang w:bidi="ar-SA"/>
        </w:rPr>
        <w:t>Land of Ma</w:t>
      </w:r>
      <w:r>
        <w:rPr>
          <w:rFonts w:cstheme="majorHAnsi"/>
          <w:i/>
        </w:rPr>
        <w:t>ňana</w:t>
      </w:r>
      <w:r>
        <w:rPr>
          <w:rFonts w:cstheme="majorHAnsi"/>
        </w:rPr>
        <w:t>, 1916, oil on canvas, 50 x 50 inche</w:t>
      </w:r>
      <w:r w:rsidR="00F83423">
        <w:rPr>
          <w:rFonts w:cstheme="majorHAnsi"/>
        </w:rPr>
        <w:t>s. Union League Club of Chicago.</w:t>
      </w:r>
    </w:p>
    <w:p w14:paraId="43017663" w14:textId="77777777" w:rsidR="00F83423" w:rsidRDefault="00F83423" w:rsidP="002839D7">
      <w:pPr>
        <w:spacing w:line="240" w:lineRule="auto"/>
        <w:rPr>
          <w:rFonts w:cstheme="majorHAnsi"/>
        </w:rPr>
      </w:pPr>
    </w:p>
    <w:p w14:paraId="7E94543A" w14:textId="374853AA" w:rsidR="00A65C50" w:rsidRDefault="00F83423" w:rsidP="00F83423">
      <w:pPr>
        <w:spacing w:line="240" w:lineRule="auto"/>
        <w:rPr>
          <w:lang w:bidi="ar-SA"/>
        </w:rPr>
      </w:pPr>
      <w:r w:rsidRPr="00A00BD6">
        <w:rPr>
          <w:lang w:bidi="ar-SA"/>
        </w:rPr>
        <w:t>Awa Tsireh</w:t>
      </w:r>
      <w:r>
        <w:rPr>
          <w:lang w:bidi="ar-SA"/>
        </w:rPr>
        <w:t>,</w:t>
      </w:r>
      <w:r w:rsidRPr="00A00BD6">
        <w:rPr>
          <w:lang w:bidi="ar-SA"/>
        </w:rPr>
        <w:t xml:space="preserve"> </w:t>
      </w:r>
      <w:r w:rsidRPr="00A00BD6">
        <w:rPr>
          <w:i/>
          <w:lang w:bidi="ar-SA"/>
        </w:rPr>
        <w:t>The Bull and the Koshares</w:t>
      </w:r>
      <w:r>
        <w:rPr>
          <w:lang w:bidi="ar-SA"/>
        </w:rPr>
        <w:t>, watercolor on paper, 1</w:t>
      </w:r>
      <w:r w:rsidRPr="00A00BD6">
        <w:rPr>
          <w:lang w:bidi="ar-SA"/>
        </w:rPr>
        <w:t>938</w:t>
      </w:r>
      <w:r>
        <w:rPr>
          <w:lang w:bidi="ar-SA"/>
        </w:rPr>
        <w:t>. California Academy of Sciences</w:t>
      </w:r>
      <w:r w:rsidR="00FB6178">
        <w:rPr>
          <w:lang w:bidi="ar-SA"/>
        </w:rPr>
        <w:t>.</w:t>
      </w:r>
    </w:p>
    <w:p w14:paraId="6CBE8456" w14:textId="77777777" w:rsidR="00FB6178" w:rsidRDefault="00FB6178" w:rsidP="00F83423">
      <w:pPr>
        <w:spacing w:line="240" w:lineRule="auto"/>
        <w:rPr>
          <w:lang w:bidi="ar-SA"/>
        </w:rPr>
      </w:pPr>
    </w:p>
    <w:p w14:paraId="0EDD7B7A" w14:textId="174ED47A" w:rsidR="00F83423" w:rsidRDefault="00F83423" w:rsidP="00F83423">
      <w:pPr>
        <w:spacing w:line="240" w:lineRule="auto"/>
        <w:rPr>
          <w:lang w:bidi="ar-SA"/>
        </w:rPr>
      </w:pPr>
    </w:p>
    <w:p w14:paraId="2EA9408F" w14:textId="77777777" w:rsidR="00091C82" w:rsidRDefault="00F83423" w:rsidP="00091C82">
      <w:pPr>
        <w:keepNext/>
        <w:spacing w:line="240" w:lineRule="auto"/>
      </w:pPr>
      <w:r>
        <w:rPr>
          <w:noProof/>
          <w:lang w:bidi="ar-SA"/>
        </w:rPr>
        <w:drawing>
          <wp:inline distT="0" distB="0" distL="0" distR="0" wp14:anchorId="208AAB77" wp14:editId="44F8A944">
            <wp:extent cx="5394960" cy="2222500"/>
            <wp:effectExtent l="0" t="0" r="0" b="6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22.jpg"/>
                    <pic:cNvPicPr/>
                  </pic:nvPicPr>
                  <pic:blipFill>
                    <a:blip r:embed="rId57">
                      <a:extLst>
                        <a:ext uri="{28A0092B-C50C-407E-A947-70E740481C1C}">
                          <a14:useLocalDpi xmlns:a14="http://schemas.microsoft.com/office/drawing/2010/main" val="0"/>
                        </a:ext>
                      </a:extLst>
                    </a:blip>
                    <a:stretch>
                      <a:fillRect/>
                    </a:stretch>
                  </pic:blipFill>
                  <pic:spPr>
                    <a:xfrm>
                      <a:off x="0" y="0"/>
                      <a:ext cx="5394960" cy="2222500"/>
                    </a:xfrm>
                    <a:prstGeom prst="rect">
                      <a:avLst/>
                    </a:prstGeom>
                  </pic:spPr>
                </pic:pic>
              </a:graphicData>
            </a:graphic>
          </wp:inline>
        </w:drawing>
      </w:r>
    </w:p>
    <w:p w14:paraId="4639F8E7" w14:textId="713A138D" w:rsidR="00F83423" w:rsidRDefault="00091C82" w:rsidP="00091C82">
      <w:pPr>
        <w:rPr>
          <w:lang w:bidi="ar-SA"/>
        </w:rPr>
      </w:pPr>
      <w:bookmarkStart w:id="68" w:name="_Toc464499113"/>
      <w:r>
        <w:t>Figure 4.</w:t>
      </w:r>
      <w:r w:rsidR="00B31D83">
        <w:fldChar w:fldCharType="begin"/>
      </w:r>
      <w:r w:rsidR="00B31D83">
        <w:instrText xml:space="preserve"> SEQ Figure \* ARABIC \s 1 </w:instrText>
      </w:r>
      <w:r w:rsidR="00B31D83">
        <w:fldChar w:fldCharType="separate"/>
      </w:r>
      <w:r w:rsidR="00FE5897">
        <w:rPr>
          <w:noProof/>
        </w:rPr>
        <w:t>8</w:t>
      </w:r>
      <w:r w:rsidR="00B31D83">
        <w:rPr>
          <w:noProof/>
        </w:rPr>
        <w:fldChar w:fldCharType="end"/>
      </w:r>
      <w:r>
        <w:t xml:space="preserve"> </w:t>
      </w:r>
      <w:r w:rsidR="00F720E7">
        <w:t>–</w:t>
      </w:r>
      <w:r w:rsidR="00FB6178">
        <w:t xml:space="preserve"> </w:t>
      </w:r>
      <w:r>
        <w:t xml:space="preserve">Detail, </w:t>
      </w:r>
      <w:r w:rsidRPr="00FB6178">
        <w:rPr>
          <w:i/>
        </w:rPr>
        <w:t>Jim and His Daughters</w:t>
      </w:r>
      <w:r>
        <w:t xml:space="preserve">, and Detail, </w:t>
      </w:r>
      <w:r w:rsidRPr="00FB6178">
        <w:rPr>
          <w:i/>
        </w:rPr>
        <w:t>Self Portrait</w:t>
      </w:r>
      <w:bookmarkEnd w:id="68"/>
    </w:p>
    <w:p w14:paraId="7BD2D869" w14:textId="3183432C" w:rsidR="00F83423" w:rsidRDefault="00F83423" w:rsidP="00DF367E">
      <w:pPr>
        <w:spacing w:line="240" w:lineRule="auto"/>
        <w:rPr>
          <w:lang w:bidi="ar-SA"/>
        </w:rPr>
      </w:pPr>
      <w:r>
        <w:rPr>
          <w:lang w:bidi="ar-SA"/>
        </w:rPr>
        <w:t xml:space="preserve">Detail, Walter Ufer, </w:t>
      </w:r>
      <w:r w:rsidRPr="00F83423">
        <w:rPr>
          <w:i/>
          <w:iCs/>
          <w:lang w:bidi="ar-SA"/>
        </w:rPr>
        <w:t>Jim and his Daughter</w:t>
      </w:r>
      <w:r w:rsidRPr="00F83423">
        <w:rPr>
          <w:lang w:bidi="ar-SA"/>
        </w:rPr>
        <w:t xml:space="preserve">, 1923, </w:t>
      </w:r>
      <w:r>
        <w:rPr>
          <w:lang w:bidi="ar-SA"/>
        </w:rPr>
        <w:t xml:space="preserve">oil on canvas, </w:t>
      </w:r>
      <w:r w:rsidRPr="00F83423">
        <w:rPr>
          <w:lang w:bidi="ar-SA"/>
        </w:rPr>
        <w:t>30 x 25 inches</w:t>
      </w:r>
      <w:r>
        <w:rPr>
          <w:lang w:bidi="ar-SA"/>
        </w:rPr>
        <w:t xml:space="preserve">. Chicago Art Institute; Detail, Walter Ufer, </w:t>
      </w:r>
      <w:r w:rsidRPr="00F83423">
        <w:rPr>
          <w:i/>
          <w:lang w:bidi="ar-SA"/>
        </w:rPr>
        <w:t>Self Portrait</w:t>
      </w:r>
      <w:r>
        <w:rPr>
          <w:lang w:bidi="ar-SA"/>
        </w:rPr>
        <w:t xml:space="preserve">, 1923, oil on canvas, </w:t>
      </w:r>
      <w:r w:rsidR="00DF367E">
        <w:rPr>
          <w:lang w:bidi="ar-SA"/>
        </w:rPr>
        <w:t>location unknown. Image – Christies.</w:t>
      </w:r>
    </w:p>
    <w:p w14:paraId="6F27241F" w14:textId="77777777" w:rsidR="00DF367E" w:rsidRDefault="00DF367E" w:rsidP="00A65C50">
      <w:pPr>
        <w:spacing w:line="240" w:lineRule="auto"/>
        <w:rPr>
          <w:lang w:bidi="ar-SA"/>
        </w:rPr>
      </w:pPr>
    </w:p>
    <w:p w14:paraId="23F63B28" w14:textId="3F21FB63" w:rsidR="00A65C50" w:rsidRDefault="00A65C50" w:rsidP="00A65C50">
      <w:pPr>
        <w:spacing w:line="240" w:lineRule="auto"/>
        <w:rPr>
          <w:lang w:bidi="ar-SA"/>
        </w:rPr>
      </w:pPr>
    </w:p>
    <w:p w14:paraId="55C49BA5" w14:textId="77777777" w:rsidR="00A65C50" w:rsidRDefault="00A65C50" w:rsidP="00A65C50">
      <w:pPr>
        <w:spacing w:line="240" w:lineRule="auto"/>
        <w:rPr>
          <w:lang w:bidi="ar-SA"/>
        </w:rPr>
      </w:pPr>
    </w:p>
    <w:p w14:paraId="4026964E" w14:textId="77777777" w:rsidR="00091C82" w:rsidRDefault="00D4670A" w:rsidP="00091C82">
      <w:pPr>
        <w:keepNext/>
        <w:spacing w:line="240" w:lineRule="auto"/>
      </w:pPr>
      <w:r>
        <w:rPr>
          <w:noProof/>
          <w:lang w:bidi="ar-SA"/>
        </w:rPr>
        <w:drawing>
          <wp:inline distT="0" distB="0" distL="0" distR="0" wp14:anchorId="2D86A0D4" wp14:editId="2AC39C7A">
            <wp:extent cx="2389632" cy="2261616"/>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an0003 - Copy.ti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389632" cy="2261616"/>
                    </a:xfrm>
                    <a:prstGeom prst="rect">
                      <a:avLst/>
                    </a:prstGeom>
                  </pic:spPr>
                </pic:pic>
              </a:graphicData>
            </a:graphic>
          </wp:inline>
        </w:drawing>
      </w:r>
    </w:p>
    <w:p w14:paraId="6CECEE21" w14:textId="7A67C6D6" w:rsidR="00D4670A" w:rsidRDefault="00091C82" w:rsidP="00091C82">
      <w:pPr>
        <w:spacing w:line="240" w:lineRule="auto"/>
      </w:pPr>
      <w:bookmarkStart w:id="69" w:name="_Toc464499114"/>
      <w:r>
        <w:t>Figure 4.</w:t>
      </w:r>
      <w:r w:rsidR="00B31D83">
        <w:fldChar w:fldCharType="begin"/>
      </w:r>
      <w:r w:rsidR="00B31D83">
        <w:instrText xml:space="preserve"> SEQ Figure \* ARABIC \s 1 </w:instrText>
      </w:r>
      <w:r w:rsidR="00B31D83">
        <w:fldChar w:fldCharType="separate"/>
      </w:r>
      <w:r w:rsidR="00FE5897">
        <w:rPr>
          <w:noProof/>
        </w:rPr>
        <w:t>9</w:t>
      </w:r>
      <w:r w:rsidR="00B31D83">
        <w:rPr>
          <w:noProof/>
        </w:rPr>
        <w:fldChar w:fldCharType="end"/>
      </w:r>
      <w:r>
        <w:t xml:space="preserve"> </w:t>
      </w:r>
      <w:r w:rsidR="00FB6178">
        <w:t xml:space="preserve">– Walter </w:t>
      </w:r>
      <w:r>
        <w:t xml:space="preserve">Ufer, </w:t>
      </w:r>
      <w:r w:rsidRPr="00D4670A">
        <w:rPr>
          <w:i/>
        </w:rPr>
        <w:t>Going East</w:t>
      </w:r>
      <w:bookmarkEnd w:id="69"/>
    </w:p>
    <w:p w14:paraId="0E8C7D77" w14:textId="6A1DCA97" w:rsidR="00D4670A" w:rsidRDefault="00D4670A" w:rsidP="00091C82">
      <w:pPr>
        <w:spacing w:line="240" w:lineRule="auto"/>
        <w:rPr>
          <w:i/>
        </w:rPr>
      </w:pPr>
    </w:p>
    <w:p w14:paraId="4C76DF98" w14:textId="4158F07F" w:rsidR="00DF367E" w:rsidRDefault="00D4670A" w:rsidP="00091C82">
      <w:pPr>
        <w:spacing w:line="240" w:lineRule="auto"/>
        <w:rPr>
          <w:rFonts w:asciiTheme="majorHAnsi" w:hAnsiTheme="majorHAnsi" w:cstheme="majorHAnsi"/>
          <w:shd w:val="clear" w:color="auto" w:fill="FFFFFF"/>
        </w:rPr>
      </w:pPr>
      <w:r>
        <w:t xml:space="preserve">Walter Ufer, </w:t>
      </w:r>
      <w:r w:rsidRPr="00D4670A">
        <w:rPr>
          <w:i/>
        </w:rPr>
        <w:t>Going East</w:t>
      </w:r>
      <w:r>
        <w:t>, 1917, oil on canvas, 51 x 51 inches.</w:t>
      </w:r>
      <w:r w:rsidRPr="00D4670A">
        <w:rPr>
          <w:rFonts w:asciiTheme="majorHAnsi" w:hAnsiTheme="majorHAnsi" w:cstheme="majorHAnsi"/>
          <w:shd w:val="clear" w:color="auto" w:fill="FFFFFF"/>
        </w:rPr>
        <w:t xml:space="preserve"> </w:t>
      </w:r>
      <w:r w:rsidRPr="009812FA">
        <w:rPr>
          <w:rFonts w:asciiTheme="majorHAnsi" w:hAnsiTheme="majorHAnsi" w:cstheme="majorHAnsi"/>
          <w:shd w:val="clear" w:color="auto" w:fill="FFFFFF"/>
        </w:rPr>
        <w:t>The Eugene B. Adkins Collection at the Fred Jones Jr. Museum of Art, the University of Oklahoma, Norman, and the Philbrook Museum of Art, Tulsa, Oklahoma.</w:t>
      </w:r>
    </w:p>
    <w:p w14:paraId="0C0F1906" w14:textId="31E0240B" w:rsidR="007F29DA" w:rsidRDefault="007F29DA" w:rsidP="007F29DA">
      <w:pPr>
        <w:spacing w:line="240" w:lineRule="auto"/>
        <w:rPr>
          <w:rFonts w:asciiTheme="majorHAnsi" w:hAnsiTheme="majorHAnsi" w:cstheme="majorHAnsi"/>
          <w:shd w:val="clear" w:color="auto" w:fill="FFFFFF"/>
        </w:rPr>
      </w:pPr>
    </w:p>
    <w:p w14:paraId="6DD70431" w14:textId="77777777" w:rsidR="00091C82" w:rsidRDefault="007F29DA" w:rsidP="00091C82">
      <w:pPr>
        <w:keepNext/>
        <w:spacing w:line="240" w:lineRule="auto"/>
      </w:pPr>
      <w:r>
        <w:rPr>
          <w:noProof/>
          <w:lang w:bidi="ar-SA"/>
        </w:rPr>
        <w:drawing>
          <wp:inline distT="0" distB="0" distL="0" distR="0" wp14:anchorId="725282E7" wp14:editId="6274BD5E">
            <wp:extent cx="1996645" cy="3200400"/>
            <wp:effectExtent l="0" t="0" r="381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1.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996645" cy="3200400"/>
                    </a:xfrm>
                    <a:prstGeom prst="rect">
                      <a:avLst/>
                    </a:prstGeom>
                  </pic:spPr>
                </pic:pic>
              </a:graphicData>
            </a:graphic>
          </wp:inline>
        </w:drawing>
      </w:r>
    </w:p>
    <w:p w14:paraId="7ED385AC" w14:textId="467E236C" w:rsidR="007F29DA" w:rsidRPr="007F29DA" w:rsidRDefault="00091C82" w:rsidP="00091C82">
      <w:pPr>
        <w:spacing w:line="240" w:lineRule="auto"/>
        <w:rPr>
          <w:rFonts w:asciiTheme="majorHAnsi" w:hAnsiTheme="majorHAnsi" w:cstheme="majorHAnsi"/>
          <w:shd w:val="clear" w:color="auto" w:fill="FFFFFF"/>
        </w:rPr>
      </w:pPr>
      <w:bookmarkStart w:id="70" w:name="_Toc464499115"/>
      <w:r>
        <w:t>Figure 4.</w:t>
      </w:r>
      <w:r w:rsidR="00B31D83">
        <w:fldChar w:fldCharType="begin"/>
      </w:r>
      <w:r w:rsidR="00B31D83">
        <w:instrText xml:space="preserve"> SEQ Figure \* ARABIC \s 1 </w:instrText>
      </w:r>
      <w:r w:rsidR="00B31D83">
        <w:fldChar w:fldCharType="separate"/>
      </w:r>
      <w:r w:rsidR="00FE5897">
        <w:rPr>
          <w:noProof/>
        </w:rPr>
        <w:t>10</w:t>
      </w:r>
      <w:r w:rsidR="00B31D83">
        <w:rPr>
          <w:noProof/>
        </w:rPr>
        <w:fldChar w:fldCharType="end"/>
      </w:r>
      <w:r>
        <w:t xml:space="preserve"> </w:t>
      </w:r>
      <w:r w:rsidR="00F720E7">
        <w:t>–</w:t>
      </w:r>
      <w:r w:rsidR="00FB6178">
        <w:t xml:space="preserve"> </w:t>
      </w:r>
      <w:r>
        <w:t>Chicago Artist Wins Prize in New York</w:t>
      </w:r>
      <w:bookmarkEnd w:id="70"/>
    </w:p>
    <w:p w14:paraId="6D5D4AF0" w14:textId="77777777" w:rsidR="00DF367E" w:rsidRDefault="00DF367E" w:rsidP="00091C82">
      <w:pPr>
        <w:spacing w:line="240" w:lineRule="auto"/>
      </w:pPr>
    </w:p>
    <w:p w14:paraId="2FD55587" w14:textId="4951B527" w:rsidR="00DF367E" w:rsidRDefault="00DF367E" w:rsidP="00091C82">
      <w:pPr>
        <w:spacing w:line="240" w:lineRule="auto"/>
        <w:rPr>
          <w:rFonts w:ascii="Times New Roman" w:hAnsi="Times New Roman"/>
        </w:rPr>
      </w:pPr>
      <w:r>
        <w:t xml:space="preserve">“Chicago Artist Wins Prize in New York, </w:t>
      </w:r>
      <w:r w:rsidRPr="004937B6">
        <w:rPr>
          <w:rFonts w:ascii="Times New Roman" w:hAnsi="Times New Roman"/>
          <w:i/>
        </w:rPr>
        <w:t>The Chicago Daily Tribune</w:t>
      </w:r>
      <w:r>
        <w:t xml:space="preserve">, </w:t>
      </w:r>
      <w:r>
        <w:rPr>
          <w:rFonts w:ascii="Times New Roman" w:hAnsi="Times New Roman"/>
        </w:rPr>
        <w:t>March 11, 1918.</w:t>
      </w:r>
    </w:p>
    <w:p w14:paraId="5E9F679E" w14:textId="09A2D176" w:rsidR="00DF367E" w:rsidRDefault="00DF367E" w:rsidP="00DF367E">
      <w:pPr>
        <w:spacing w:line="240" w:lineRule="auto"/>
        <w:rPr>
          <w:rFonts w:ascii="Times New Roman" w:hAnsi="Times New Roman"/>
        </w:rPr>
      </w:pPr>
    </w:p>
    <w:p w14:paraId="464A5736" w14:textId="77777777" w:rsidR="00DF367E" w:rsidRDefault="00DF367E" w:rsidP="00DF367E">
      <w:pPr>
        <w:spacing w:line="240" w:lineRule="auto"/>
      </w:pPr>
    </w:p>
    <w:p w14:paraId="779F4511" w14:textId="77777777" w:rsidR="00091C82" w:rsidRDefault="0098341C" w:rsidP="00091C82">
      <w:pPr>
        <w:spacing w:line="240" w:lineRule="auto"/>
      </w:pPr>
      <w:r>
        <w:rPr>
          <w:noProof/>
          <w:lang w:bidi="ar-SA"/>
        </w:rPr>
        <w:drawing>
          <wp:inline distT="0" distB="0" distL="0" distR="0" wp14:anchorId="23842CB2" wp14:editId="20B37671">
            <wp:extent cx="1159125" cy="2286000"/>
            <wp:effectExtent l="0" t="0" r="317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can0003 - Copy.tif"/>
                    <pic:cNvPicPr/>
                  </pic:nvPicPr>
                  <pic:blipFill rotWithShape="1">
                    <a:blip r:embed="rId60">
                      <a:extLst>
                        <a:ext uri="{28A0092B-C50C-407E-A947-70E740481C1C}">
                          <a14:useLocalDpi xmlns:a14="http://schemas.microsoft.com/office/drawing/2010/main" val="0"/>
                        </a:ext>
                      </a:extLst>
                    </a:blip>
                    <a:srcRect t="25835" r="81130" b="34843"/>
                    <a:stretch/>
                  </pic:blipFill>
                  <pic:spPr bwMode="auto">
                    <a:xfrm>
                      <a:off x="0" y="0"/>
                      <a:ext cx="1159125" cy="2286000"/>
                    </a:xfrm>
                    <a:prstGeom prst="rect">
                      <a:avLst/>
                    </a:prstGeom>
                    <a:ln>
                      <a:noFill/>
                    </a:ln>
                    <a:extLst>
                      <a:ext uri="{53640926-AAD7-44D8-BBD7-CCE9431645EC}">
                        <a14:shadowObscured xmlns:a14="http://schemas.microsoft.com/office/drawing/2010/main"/>
                      </a:ext>
                    </a:extLst>
                  </pic:spPr>
                </pic:pic>
              </a:graphicData>
            </a:graphic>
          </wp:inline>
        </w:drawing>
      </w:r>
    </w:p>
    <w:p w14:paraId="76162464" w14:textId="20921CDC" w:rsidR="0098341C" w:rsidRDefault="00091C82" w:rsidP="00091C82">
      <w:pPr>
        <w:spacing w:line="240" w:lineRule="auto"/>
      </w:pPr>
      <w:bookmarkStart w:id="71" w:name="_Toc464499116"/>
      <w:r>
        <w:t>Figure 4.</w:t>
      </w:r>
      <w:r w:rsidR="00B31D83">
        <w:fldChar w:fldCharType="begin"/>
      </w:r>
      <w:r w:rsidR="00B31D83">
        <w:instrText xml:space="preserve"> SEQ Figure \* ARABIC \s 1 </w:instrText>
      </w:r>
      <w:r w:rsidR="00B31D83">
        <w:fldChar w:fldCharType="separate"/>
      </w:r>
      <w:r w:rsidR="00FE5897">
        <w:rPr>
          <w:noProof/>
        </w:rPr>
        <w:t>11</w:t>
      </w:r>
      <w:r w:rsidR="00B31D83">
        <w:rPr>
          <w:noProof/>
        </w:rPr>
        <w:fldChar w:fldCharType="end"/>
      </w:r>
      <w:r w:rsidRPr="00091C82">
        <w:t xml:space="preserve"> </w:t>
      </w:r>
      <w:r w:rsidR="00F720E7">
        <w:t>–</w:t>
      </w:r>
      <w:r w:rsidR="00FB6178">
        <w:t xml:space="preserve"> </w:t>
      </w:r>
      <w:r>
        <w:t xml:space="preserve">Detail, </w:t>
      </w:r>
      <w:r w:rsidRPr="0098341C">
        <w:rPr>
          <w:i/>
        </w:rPr>
        <w:t>Going East</w:t>
      </w:r>
      <w:bookmarkEnd w:id="71"/>
    </w:p>
    <w:p w14:paraId="18F4EF12" w14:textId="77777777" w:rsidR="0098341C" w:rsidRDefault="0098341C" w:rsidP="00091C82">
      <w:pPr>
        <w:spacing w:line="240" w:lineRule="auto"/>
      </w:pPr>
    </w:p>
    <w:p w14:paraId="020482D1" w14:textId="2DA18AAC" w:rsidR="0063781D" w:rsidRDefault="00091C82" w:rsidP="00091C82">
      <w:pPr>
        <w:spacing w:line="240" w:lineRule="auto"/>
      </w:pPr>
      <w:r>
        <w:t>Detail</w:t>
      </w:r>
      <w:r w:rsidR="0098341C">
        <w:t xml:space="preserve">. Walter Ufer, </w:t>
      </w:r>
      <w:r w:rsidR="0098341C" w:rsidRPr="00D4670A">
        <w:rPr>
          <w:i/>
        </w:rPr>
        <w:t>Going East</w:t>
      </w:r>
      <w:r w:rsidR="0098341C">
        <w:t>, 1917, oil on canvas, 51 x 51 inches.</w:t>
      </w:r>
      <w:r w:rsidR="0098341C" w:rsidRPr="00D4670A">
        <w:rPr>
          <w:rFonts w:asciiTheme="majorHAnsi" w:hAnsiTheme="majorHAnsi" w:cstheme="majorHAnsi"/>
          <w:shd w:val="clear" w:color="auto" w:fill="FFFFFF"/>
        </w:rPr>
        <w:t xml:space="preserve"> </w:t>
      </w:r>
      <w:r w:rsidR="0098341C" w:rsidRPr="009812FA">
        <w:rPr>
          <w:rFonts w:asciiTheme="majorHAnsi" w:hAnsiTheme="majorHAnsi" w:cstheme="majorHAnsi"/>
          <w:shd w:val="clear" w:color="auto" w:fill="FFFFFF"/>
        </w:rPr>
        <w:t>The Eugene B. Adkins Collection at the Fred Jones Jr. Museum of Art, the University of Oklahoma, Norman, and the Philbrook Museum of Art, Tulsa, Oklahoma.</w:t>
      </w:r>
    </w:p>
    <w:p w14:paraId="30290256" w14:textId="5631F7EF" w:rsidR="002839D7" w:rsidRDefault="002839D7" w:rsidP="0098341C">
      <w:pPr>
        <w:pStyle w:val="NoSpacing"/>
      </w:pPr>
    </w:p>
    <w:p w14:paraId="560170D4" w14:textId="77777777" w:rsidR="0098341C" w:rsidRDefault="0098341C" w:rsidP="0098341C">
      <w:pPr>
        <w:pStyle w:val="NoSpacing"/>
      </w:pPr>
    </w:p>
    <w:p w14:paraId="5F094470" w14:textId="4D7D00BB" w:rsidR="00982395" w:rsidRDefault="00982395" w:rsidP="00091C82">
      <w:pPr>
        <w:spacing w:line="240" w:lineRule="auto"/>
      </w:pPr>
    </w:p>
    <w:p w14:paraId="2623EFF2" w14:textId="77777777" w:rsidR="00091C82" w:rsidRDefault="00C8127E" w:rsidP="00091C82">
      <w:pPr>
        <w:spacing w:line="240" w:lineRule="auto"/>
      </w:pPr>
      <w:r>
        <w:rPr>
          <w:noProof/>
          <w:lang w:bidi="ar-SA"/>
        </w:rPr>
        <w:drawing>
          <wp:inline distT="0" distB="0" distL="0" distR="0" wp14:anchorId="2B0D42D0" wp14:editId="6A86B2F4">
            <wp:extent cx="2195265" cy="27432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Ufer at his Easel 1920.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195265" cy="2743200"/>
                    </a:xfrm>
                    <a:prstGeom prst="rect">
                      <a:avLst/>
                    </a:prstGeom>
                  </pic:spPr>
                </pic:pic>
              </a:graphicData>
            </a:graphic>
          </wp:inline>
        </w:drawing>
      </w:r>
    </w:p>
    <w:p w14:paraId="4BB8DF38" w14:textId="1E7FCABC" w:rsidR="00091C82" w:rsidRDefault="00091C82" w:rsidP="00091C82">
      <w:pPr>
        <w:spacing w:line="240" w:lineRule="auto"/>
      </w:pPr>
      <w:bookmarkStart w:id="72" w:name="_Toc464499117"/>
      <w:r>
        <w:t>Figure 4.</w:t>
      </w:r>
      <w:r w:rsidR="00B31D83">
        <w:fldChar w:fldCharType="begin"/>
      </w:r>
      <w:r w:rsidR="00B31D83">
        <w:instrText xml:space="preserve"> SEQ Figure \* ARABIC \s 1 </w:instrText>
      </w:r>
      <w:r w:rsidR="00B31D83">
        <w:fldChar w:fldCharType="separate"/>
      </w:r>
      <w:r w:rsidR="00FE5897">
        <w:rPr>
          <w:noProof/>
        </w:rPr>
        <w:t>12</w:t>
      </w:r>
      <w:r w:rsidR="00B31D83">
        <w:rPr>
          <w:noProof/>
        </w:rPr>
        <w:fldChar w:fldCharType="end"/>
      </w:r>
      <w:r>
        <w:t xml:space="preserve"> </w:t>
      </w:r>
      <w:r w:rsidR="00F720E7">
        <w:t>–</w:t>
      </w:r>
      <w:r w:rsidR="00FB6178">
        <w:t xml:space="preserve"> </w:t>
      </w:r>
      <w:r>
        <w:t>Walter Ufer at His Easel</w:t>
      </w:r>
      <w:bookmarkEnd w:id="72"/>
    </w:p>
    <w:p w14:paraId="6475550C" w14:textId="77777777" w:rsidR="00091C82" w:rsidRDefault="00091C82" w:rsidP="00091C82">
      <w:pPr>
        <w:spacing w:line="240" w:lineRule="auto"/>
      </w:pPr>
    </w:p>
    <w:p w14:paraId="67CB0725" w14:textId="0CB376E5" w:rsidR="00982395" w:rsidRDefault="00982395" w:rsidP="00091C82">
      <w:pPr>
        <w:spacing w:line="240" w:lineRule="auto"/>
      </w:pPr>
      <w:r>
        <w:t>Walter Ufer at His Eas</w:t>
      </w:r>
      <w:r w:rsidR="00DF367E">
        <w:t>e</w:t>
      </w:r>
      <w:r>
        <w:t>l, c. 1920.</w:t>
      </w:r>
      <w:r w:rsidR="00C8127E">
        <w:t xml:space="preserve"> </w:t>
      </w:r>
      <w:r w:rsidR="00F720E7">
        <w:t>Illustration f</w:t>
      </w:r>
      <w:r w:rsidR="00C8127E">
        <w:t xml:space="preserve">rom </w:t>
      </w:r>
      <w:r w:rsidR="00C8127E" w:rsidRPr="002202F2">
        <w:t xml:space="preserve">Dean </w:t>
      </w:r>
      <w:r w:rsidR="00C8127E" w:rsidRPr="002202F2">
        <w:rPr>
          <w:bCs/>
        </w:rPr>
        <w:t xml:space="preserve">Porter, et al., </w:t>
      </w:r>
      <w:r w:rsidR="00C8127E" w:rsidRPr="002202F2">
        <w:rPr>
          <w:bCs/>
          <w:i/>
        </w:rPr>
        <w:t>Taos Artists and Their Patrons, 1898-1950</w:t>
      </w:r>
      <w:r w:rsidR="00C8127E">
        <w:rPr>
          <w:bCs/>
        </w:rPr>
        <w:t xml:space="preserve">. </w:t>
      </w:r>
      <w:r w:rsidR="00C8127E" w:rsidRPr="002202F2">
        <w:t>Albuquerque, NM: University of New Mexico Press, 1</w:t>
      </w:r>
      <w:r w:rsidR="00DB1BBD">
        <w:t>999.</w:t>
      </w:r>
    </w:p>
    <w:p w14:paraId="5A2D737A" w14:textId="502A1106" w:rsidR="00F720E7" w:rsidRDefault="00F720E7" w:rsidP="00091C82">
      <w:pPr>
        <w:spacing w:line="240" w:lineRule="auto"/>
      </w:pPr>
    </w:p>
    <w:p w14:paraId="78DBE3CD" w14:textId="77777777" w:rsidR="00F720E7" w:rsidRPr="00982395" w:rsidRDefault="00F720E7" w:rsidP="00091C82">
      <w:pPr>
        <w:spacing w:line="240" w:lineRule="auto"/>
      </w:pPr>
    </w:p>
    <w:p w14:paraId="713E1308" w14:textId="77777777" w:rsidR="00091C82" w:rsidRDefault="00C168AD" w:rsidP="00091C82">
      <w:pPr>
        <w:spacing w:line="240" w:lineRule="auto"/>
      </w:pPr>
      <w:r>
        <w:rPr>
          <w:noProof/>
          <w:lang w:bidi="ar-SA"/>
        </w:rPr>
        <w:drawing>
          <wp:inline distT="0" distB="0" distL="0" distR="0" wp14:anchorId="6F907838" wp14:editId="7AE63EB4">
            <wp:extent cx="2274000" cy="27432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rtist and model.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274000" cy="2743200"/>
                    </a:xfrm>
                    <a:prstGeom prst="rect">
                      <a:avLst/>
                    </a:prstGeom>
                  </pic:spPr>
                </pic:pic>
              </a:graphicData>
            </a:graphic>
          </wp:inline>
        </w:drawing>
      </w:r>
    </w:p>
    <w:p w14:paraId="7A6A129F" w14:textId="5E2718ED" w:rsidR="00C168AD" w:rsidRDefault="00091C82" w:rsidP="00091C82">
      <w:pPr>
        <w:spacing w:line="240" w:lineRule="auto"/>
      </w:pPr>
      <w:bookmarkStart w:id="73" w:name="_Toc464499118"/>
      <w:r>
        <w:t>Figure 4.</w:t>
      </w:r>
      <w:r w:rsidR="00B31D83">
        <w:fldChar w:fldCharType="begin"/>
      </w:r>
      <w:r w:rsidR="00B31D83">
        <w:instrText xml:space="preserve"> SEQ Figure \* ARABIC \s 1 </w:instrText>
      </w:r>
      <w:r w:rsidR="00B31D83">
        <w:fldChar w:fldCharType="separate"/>
      </w:r>
      <w:r w:rsidR="00FE5897">
        <w:rPr>
          <w:noProof/>
        </w:rPr>
        <w:t>13</w:t>
      </w:r>
      <w:r w:rsidR="00B31D83">
        <w:rPr>
          <w:noProof/>
        </w:rPr>
        <w:fldChar w:fldCharType="end"/>
      </w:r>
      <w:r>
        <w:t xml:space="preserve"> </w:t>
      </w:r>
      <w:r w:rsidR="00FB6178">
        <w:t xml:space="preserve">– Walter </w:t>
      </w:r>
      <w:r>
        <w:t xml:space="preserve">Ufer, </w:t>
      </w:r>
      <w:r w:rsidRPr="00C168AD">
        <w:rPr>
          <w:i/>
        </w:rPr>
        <w:t>Artist with Model</w:t>
      </w:r>
      <w:bookmarkEnd w:id="73"/>
    </w:p>
    <w:p w14:paraId="27F36275" w14:textId="77777777" w:rsidR="007F29DA" w:rsidRDefault="007F29DA" w:rsidP="00091C82">
      <w:pPr>
        <w:spacing w:line="240" w:lineRule="auto"/>
      </w:pPr>
    </w:p>
    <w:p w14:paraId="5FF5C54F" w14:textId="6A2876DD" w:rsidR="002839D7" w:rsidRDefault="00DF367E" w:rsidP="00091C82">
      <w:pPr>
        <w:spacing w:line="240" w:lineRule="auto"/>
      </w:pPr>
      <w:r w:rsidRPr="00A65C50">
        <w:rPr>
          <w:lang w:bidi="ar-SA"/>
        </w:rPr>
        <w:t xml:space="preserve">Walter Ufer, </w:t>
      </w:r>
      <w:r w:rsidRPr="00A65C50">
        <w:rPr>
          <w:i/>
          <w:iCs/>
          <w:lang w:bidi="ar-SA"/>
        </w:rPr>
        <w:t>Artist with Model</w:t>
      </w:r>
      <w:r w:rsidRPr="00A65C50">
        <w:rPr>
          <w:lang w:bidi="ar-SA"/>
        </w:rPr>
        <w:t xml:space="preserve">, </w:t>
      </w:r>
      <w:r>
        <w:rPr>
          <w:lang w:bidi="ar-SA"/>
        </w:rPr>
        <w:t xml:space="preserve">c. </w:t>
      </w:r>
      <w:r w:rsidRPr="00A65C50">
        <w:rPr>
          <w:lang w:bidi="ar-SA"/>
        </w:rPr>
        <w:t>1920</w:t>
      </w:r>
      <w:r>
        <w:rPr>
          <w:lang w:bidi="ar-SA"/>
        </w:rPr>
        <w:t>, oil on canvas, 30 x 25 inches. Pennsylvania Academy of Fine Arts.</w:t>
      </w:r>
    </w:p>
    <w:p w14:paraId="026D96A2" w14:textId="2B99DC04" w:rsidR="002839D7" w:rsidRDefault="002839D7" w:rsidP="0098341C">
      <w:pPr>
        <w:spacing w:line="240" w:lineRule="auto"/>
      </w:pPr>
    </w:p>
    <w:p w14:paraId="489A4BF6" w14:textId="4AC584B8" w:rsidR="002839D7" w:rsidRDefault="002839D7" w:rsidP="007F29DA">
      <w:pPr>
        <w:spacing w:line="240" w:lineRule="auto"/>
      </w:pPr>
    </w:p>
    <w:p w14:paraId="4BA03EC5" w14:textId="77777777" w:rsidR="00091C82" w:rsidRDefault="00C168AD" w:rsidP="00091C82">
      <w:pPr>
        <w:spacing w:line="240" w:lineRule="auto"/>
      </w:pPr>
      <w:r>
        <w:rPr>
          <w:noProof/>
          <w:lang w:bidi="ar-SA"/>
        </w:rPr>
        <w:drawing>
          <wp:inline distT="0" distB="0" distL="0" distR="0" wp14:anchorId="3495A722" wp14:editId="292D3161">
            <wp:extent cx="2673705" cy="27432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Luzanna and her Sisters - Copy.tif"/>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673705" cy="2743200"/>
                    </a:xfrm>
                    <a:prstGeom prst="rect">
                      <a:avLst/>
                    </a:prstGeom>
                  </pic:spPr>
                </pic:pic>
              </a:graphicData>
            </a:graphic>
          </wp:inline>
        </w:drawing>
      </w:r>
    </w:p>
    <w:p w14:paraId="5D94D811" w14:textId="787F88F4" w:rsidR="00091C82" w:rsidRDefault="00091C82" w:rsidP="00091C82">
      <w:pPr>
        <w:spacing w:line="240" w:lineRule="auto"/>
      </w:pPr>
      <w:bookmarkStart w:id="74" w:name="_Toc464499119"/>
      <w:r>
        <w:t>Figure 4.</w:t>
      </w:r>
      <w:r w:rsidR="00B31D83">
        <w:fldChar w:fldCharType="begin"/>
      </w:r>
      <w:r w:rsidR="00B31D83">
        <w:instrText xml:space="preserve"> SEQ Figure \* ARABIC \s 1 </w:instrText>
      </w:r>
      <w:r w:rsidR="00B31D83">
        <w:fldChar w:fldCharType="separate"/>
      </w:r>
      <w:r w:rsidR="00FE5897">
        <w:rPr>
          <w:noProof/>
        </w:rPr>
        <w:t>14</w:t>
      </w:r>
      <w:r w:rsidR="00B31D83">
        <w:rPr>
          <w:noProof/>
        </w:rPr>
        <w:fldChar w:fldCharType="end"/>
      </w:r>
      <w:r>
        <w:t xml:space="preserve"> </w:t>
      </w:r>
      <w:r w:rsidR="00FB6178">
        <w:t xml:space="preserve">– Walter </w:t>
      </w:r>
      <w:r w:rsidRPr="00C168AD">
        <w:rPr>
          <w:rFonts w:asciiTheme="majorHAnsi" w:hAnsiTheme="majorHAnsi" w:cstheme="majorHAnsi"/>
        </w:rPr>
        <w:t xml:space="preserve">Ufer, </w:t>
      </w:r>
      <w:r w:rsidRPr="00C168AD">
        <w:rPr>
          <w:rFonts w:asciiTheme="majorHAnsi" w:hAnsiTheme="majorHAnsi" w:cstheme="majorHAnsi"/>
          <w:i/>
        </w:rPr>
        <w:t>Luzanna and Her Sisters</w:t>
      </w:r>
      <w:bookmarkEnd w:id="74"/>
    </w:p>
    <w:p w14:paraId="0CD2E0D0" w14:textId="1A0A2BD6" w:rsidR="00C168AD" w:rsidRPr="00C168AD" w:rsidRDefault="00C168AD" w:rsidP="00091C82">
      <w:pPr>
        <w:spacing w:line="240" w:lineRule="auto"/>
        <w:rPr>
          <w:rFonts w:asciiTheme="majorHAnsi" w:hAnsiTheme="majorHAnsi" w:cstheme="majorHAnsi"/>
          <w:i/>
        </w:rPr>
      </w:pPr>
    </w:p>
    <w:p w14:paraId="2864B005" w14:textId="37D84021" w:rsidR="007F29DA" w:rsidRDefault="00C168AD" w:rsidP="00091C82">
      <w:pPr>
        <w:spacing w:line="240" w:lineRule="auto"/>
        <w:rPr>
          <w:rFonts w:asciiTheme="majorHAnsi" w:hAnsiTheme="majorHAnsi" w:cstheme="majorHAnsi"/>
        </w:rPr>
      </w:pPr>
      <w:r w:rsidRPr="00C168AD">
        <w:rPr>
          <w:rFonts w:asciiTheme="majorHAnsi" w:hAnsiTheme="majorHAnsi" w:cstheme="majorHAnsi"/>
        </w:rPr>
        <w:t xml:space="preserve">Walter Ufer, </w:t>
      </w:r>
      <w:r w:rsidRPr="00C168AD">
        <w:rPr>
          <w:rFonts w:asciiTheme="majorHAnsi" w:hAnsiTheme="majorHAnsi" w:cstheme="majorHAnsi"/>
          <w:i/>
        </w:rPr>
        <w:t>Luzanna (</w:t>
      </w:r>
      <w:r>
        <w:rPr>
          <w:rFonts w:asciiTheme="majorHAnsi" w:hAnsiTheme="majorHAnsi" w:cstheme="majorHAnsi"/>
          <w:bCs/>
          <w:i/>
          <w:iCs/>
          <w:color w:val="000000"/>
          <w:shd w:val="clear" w:color="auto" w:fill="FFFFFF"/>
        </w:rPr>
        <w:t>Lousuanna Lujan</w:t>
      </w:r>
      <w:r w:rsidRPr="00C168AD">
        <w:rPr>
          <w:rFonts w:asciiTheme="majorHAnsi" w:hAnsiTheme="majorHAnsi" w:cstheme="majorHAnsi"/>
          <w:i/>
        </w:rPr>
        <w:t>)</w:t>
      </w:r>
      <w:r>
        <w:rPr>
          <w:rFonts w:asciiTheme="majorHAnsi" w:hAnsiTheme="majorHAnsi" w:cstheme="majorHAnsi"/>
          <w:i/>
        </w:rPr>
        <w:t xml:space="preserve"> </w:t>
      </w:r>
      <w:r w:rsidRPr="00C168AD">
        <w:rPr>
          <w:rFonts w:asciiTheme="majorHAnsi" w:hAnsiTheme="majorHAnsi" w:cstheme="majorHAnsi"/>
          <w:i/>
        </w:rPr>
        <w:t>and Her Sisters</w:t>
      </w:r>
      <w:r w:rsidRPr="00C168AD">
        <w:rPr>
          <w:rFonts w:asciiTheme="majorHAnsi" w:hAnsiTheme="majorHAnsi" w:cstheme="majorHAnsi"/>
        </w:rPr>
        <w:t xml:space="preserve">, 1920, oil on canvas, </w:t>
      </w:r>
      <w:r w:rsidRPr="00C168AD">
        <w:rPr>
          <w:rFonts w:asciiTheme="majorHAnsi" w:hAnsiTheme="majorHAnsi" w:cstheme="majorHAnsi"/>
          <w:color w:val="000000"/>
          <w:shd w:val="clear" w:color="auto" w:fill="FFFFFF"/>
        </w:rPr>
        <w:t xml:space="preserve">50 </w:t>
      </w:r>
      <w:r w:rsidRPr="00C168AD">
        <w:rPr>
          <w:rFonts w:asciiTheme="majorHAnsi" w:hAnsiTheme="majorHAnsi" w:cstheme="majorHAnsi"/>
          <w:color w:val="000000"/>
          <w:shd w:val="clear" w:color="auto" w:fill="FFFFFF"/>
          <w:vertAlign w:val="superscript"/>
        </w:rPr>
        <w:t>1/8</w:t>
      </w:r>
      <w:r w:rsidRPr="00C168AD">
        <w:rPr>
          <w:rFonts w:asciiTheme="majorHAnsi" w:hAnsiTheme="majorHAnsi" w:cstheme="majorHAnsi"/>
          <w:color w:val="000000"/>
          <w:shd w:val="clear" w:color="auto" w:fill="FFFFFF"/>
        </w:rPr>
        <w:t xml:space="preserve"> x 50 </w:t>
      </w:r>
      <w:r w:rsidRPr="00C168AD">
        <w:rPr>
          <w:rFonts w:asciiTheme="majorHAnsi" w:hAnsiTheme="majorHAnsi" w:cstheme="majorHAnsi"/>
          <w:color w:val="000000"/>
          <w:shd w:val="clear" w:color="auto" w:fill="FFFFFF"/>
          <w:vertAlign w:val="superscript"/>
        </w:rPr>
        <w:t>3/16</w:t>
      </w:r>
      <w:r w:rsidRPr="00C168AD">
        <w:rPr>
          <w:rFonts w:asciiTheme="majorHAnsi" w:hAnsiTheme="majorHAnsi" w:cstheme="majorHAnsi"/>
          <w:color w:val="000000"/>
          <w:shd w:val="clear" w:color="auto" w:fill="FFFFFF"/>
        </w:rPr>
        <w:t xml:space="preserve"> inches.</w:t>
      </w:r>
      <w:r w:rsidRPr="00C168AD">
        <w:rPr>
          <w:rFonts w:asciiTheme="majorHAnsi" w:hAnsiTheme="majorHAnsi" w:cstheme="majorHAnsi"/>
        </w:rPr>
        <w:t xml:space="preserve"> Baltimore Art Museum. </w:t>
      </w:r>
    </w:p>
    <w:p w14:paraId="7E20FF3C" w14:textId="23BD346B" w:rsidR="00F720E7" w:rsidRDefault="00F720E7" w:rsidP="00091C82">
      <w:pPr>
        <w:spacing w:line="240" w:lineRule="auto"/>
        <w:rPr>
          <w:rFonts w:asciiTheme="majorHAnsi" w:hAnsiTheme="majorHAnsi" w:cstheme="majorHAnsi"/>
        </w:rPr>
      </w:pPr>
    </w:p>
    <w:p w14:paraId="2C90C091" w14:textId="77777777" w:rsidR="00F720E7" w:rsidRDefault="00F720E7" w:rsidP="00091C82">
      <w:pPr>
        <w:spacing w:line="240" w:lineRule="auto"/>
        <w:rPr>
          <w:rFonts w:asciiTheme="majorHAnsi" w:hAnsiTheme="majorHAnsi" w:cstheme="majorHAnsi"/>
        </w:rPr>
      </w:pPr>
    </w:p>
    <w:p w14:paraId="5FF0B36D" w14:textId="77777777" w:rsidR="00091C82" w:rsidRDefault="007F29DA" w:rsidP="00091C82">
      <w:pPr>
        <w:spacing w:line="240" w:lineRule="auto"/>
      </w:pPr>
      <w:r>
        <w:rPr>
          <w:noProof/>
          <w:lang w:bidi="ar-SA"/>
        </w:rPr>
        <w:drawing>
          <wp:inline distT="0" distB="0" distL="0" distR="0" wp14:anchorId="5ECAFD9F" wp14:editId="2C70AAD5">
            <wp:extent cx="1727267" cy="2286000"/>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ortrait photograph of  Albert Lujan, date &amp; collection unknown.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1727267" cy="2286000"/>
                    </a:xfrm>
                    <a:prstGeom prst="rect">
                      <a:avLst/>
                    </a:prstGeom>
                  </pic:spPr>
                </pic:pic>
              </a:graphicData>
            </a:graphic>
          </wp:inline>
        </w:drawing>
      </w:r>
      <w:r w:rsidR="006A0C9C">
        <w:t xml:space="preserve"> </w:t>
      </w:r>
      <w:r w:rsidR="006A0C9C">
        <w:rPr>
          <w:noProof/>
          <w:lang w:bidi="ar-SA"/>
        </w:rPr>
        <w:drawing>
          <wp:inline distT="0" distB="0" distL="0" distR="0" wp14:anchorId="48AEA45D" wp14:editId="70062B11">
            <wp:extent cx="1643063" cy="22860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ostcard of Albert Looking Elk, 1938 (Governor of Taos Pueblo), Collection of American Indian Art Magazine.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1643063" cy="2286000"/>
                    </a:xfrm>
                    <a:prstGeom prst="rect">
                      <a:avLst/>
                    </a:prstGeom>
                  </pic:spPr>
                </pic:pic>
              </a:graphicData>
            </a:graphic>
          </wp:inline>
        </w:drawing>
      </w:r>
    </w:p>
    <w:p w14:paraId="3020401B" w14:textId="743B8DD6" w:rsidR="00091C82" w:rsidRDefault="00091C82" w:rsidP="00091C82">
      <w:pPr>
        <w:spacing w:line="240" w:lineRule="auto"/>
      </w:pPr>
      <w:bookmarkStart w:id="75" w:name="_Toc464499120"/>
      <w:r>
        <w:t>Figure 4.</w:t>
      </w:r>
      <w:r w:rsidR="00B31D83">
        <w:fldChar w:fldCharType="begin"/>
      </w:r>
      <w:r w:rsidR="00B31D83">
        <w:instrText xml:space="preserve"> SEQ Figure \* ARABIC \s 1 </w:instrText>
      </w:r>
      <w:r w:rsidR="00B31D83">
        <w:fldChar w:fldCharType="separate"/>
      </w:r>
      <w:r w:rsidR="00FE5897">
        <w:rPr>
          <w:noProof/>
        </w:rPr>
        <w:t>15</w:t>
      </w:r>
      <w:r w:rsidR="00B31D83">
        <w:rPr>
          <w:noProof/>
        </w:rPr>
        <w:fldChar w:fldCharType="end"/>
      </w:r>
      <w:r>
        <w:t xml:space="preserve"> </w:t>
      </w:r>
      <w:r w:rsidR="00F720E7">
        <w:t>–</w:t>
      </w:r>
      <w:r w:rsidR="00FB6178">
        <w:t xml:space="preserve"> </w:t>
      </w:r>
      <w:r>
        <w:t>Albert Lujan and Albert Looking Elk</w:t>
      </w:r>
      <w:bookmarkEnd w:id="75"/>
    </w:p>
    <w:p w14:paraId="0F73B8F4" w14:textId="77777777" w:rsidR="006A0C9C" w:rsidRDefault="006A0C9C" w:rsidP="00091C82">
      <w:pPr>
        <w:spacing w:line="240" w:lineRule="auto"/>
      </w:pPr>
    </w:p>
    <w:p w14:paraId="047FC3F7" w14:textId="616F6554" w:rsidR="00A4025B" w:rsidRDefault="0076036A" w:rsidP="00A4025B">
      <w:pPr>
        <w:spacing w:line="240" w:lineRule="auto"/>
        <w:rPr>
          <w:rFonts w:asciiTheme="majorHAnsi" w:hAnsiTheme="majorHAnsi" w:cstheme="majorHAnsi"/>
        </w:rPr>
      </w:pPr>
      <w:r>
        <w:t>(Left) P</w:t>
      </w:r>
      <w:r w:rsidR="006A0C9C">
        <w:t xml:space="preserve">hotograph of </w:t>
      </w:r>
      <w:r w:rsidR="006A0C9C" w:rsidRPr="006A0C9C">
        <w:t>Albert Lujan</w:t>
      </w:r>
      <w:r w:rsidR="00A4025B">
        <w:t xml:space="preserve">. </w:t>
      </w:r>
      <w:r w:rsidR="00FB6178">
        <w:t xml:space="preserve">Illustration from </w:t>
      </w:r>
      <w:r w:rsidR="00A4025B">
        <w:t xml:space="preserve">Daid </w:t>
      </w:r>
      <w:r w:rsidR="00A4025B" w:rsidRPr="006A42FC">
        <w:rPr>
          <w:rFonts w:ascii="Times New Roman" w:hAnsi="Times New Roman"/>
        </w:rPr>
        <w:t>Witt</w:t>
      </w:r>
      <w:r w:rsidR="00A4025B">
        <w:rPr>
          <w:rFonts w:ascii="Times New Roman" w:hAnsi="Times New Roman"/>
        </w:rPr>
        <w:t xml:space="preserve"> </w:t>
      </w:r>
      <w:r w:rsidR="00A4025B" w:rsidRPr="006A42FC">
        <w:rPr>
          <w:rFonts w:ascii="Times New Roman" w:hAnsi="Times New Roman"/>
        </w:rPr>
        <w:t xml:space="preserve">et al, </w:t>
      </w:r>
      <w:r w:rsidR="00A4025B" w:rsidRPr="006A42FC">
        <w:rPr>
          <w:rFonts w:ascii="Times New Roman" w:hAnsi="Times New Roman"/>
          <w:i/>
        </w:rPr>
        <w:t>Three Taos Painters: Albert Looking Elk Martinez – Albert Lujan –</w:t>
      </w:r>
      <w:r w:rsidR="00A4025B" w:rsidRPr="00A464EF">
        <w:rPr>
          <w:rFonts w:asciiTheme="majorHAnsi" w:hAnsiTheme="majorHAnsi" w:cstheme="majorHAnsi"/>
          <w:i/>
        </w:rPr>
        <w:t>Juan Mirabal</w:t>
      </w:r>
      <w:r w:rsidR="00A4025B" w:rsidRPr="00A464EF">
        <w:rPr>
          <w:rFonts w:asciiTheme="majorHAnsi" w:hAnsiTheme="majorHAnsi" w:cstheme="majorHAnsi"/>
        </w:rPr>
        <w:t>. Santa F</w:t>
      </w:r>
      <w:r w:rsidR="00F720E7">
        <w:rPr>
          <w:rFonts w:asciiTheme="majorHAnsi" w:hAnsiTheme="majorHAnsi" w:cstheme="majorHAnsi"/>
        </w:rPr>
        <w:t xml:space="preserve">e: Harwoood Museum of Art, 2003; </w:t>
      </w:r>
      <w:r>
        <w:t xml:space="preserve">(Right) </w:t>
      </w:r>
      <w:r w:rsidR="006A0C9C" w:rsidRPr="006A0C9C">
        <w:t>Postca</w:t>
      </w:r>
      <w:r w:rsidR="002866F5">
        <w:t>rd of Albert Looking Elk, Governor of Taos Pueblo</w:t>
      </w:r>
      <w:r w:rsidR="006A0C9C" w:rsidRPr="006A0C9C">
        <w:t xml:space="preserve">, </w:t>
      </w:r>
      <w:r w:rsidR="002866F5">
        <w:t>1938. Museum of New Mexico, Santa Fe</w:t>
      </w:r>
      <w:r>
        <w:t>.</w:t>
      </w:r>
      <w:r w:rsidR="002866F5">
        <w:t xml:space="preserve"> </w:t>
      </w:r>
      <w:r w:rsidR="00A4025B">
        <w:t>Illustration from S</w:t>
      </w:r>
      <w:r w:rsidR="00A4025B" w:rsidRPr="00D25B7A">
        <w:rPr>
          <w:rFonts w:asciiTheme="majorHAnsi" w:hAnsiTheme="majorHAnsi" w:cstheme="majorHAnsi"/>
        </w:rPr>
        <w:t xml:space="preserve">amuel Watson III, “Stylistic Plurality in the Paintings of Albert Looking Elk: An Examination of Patronage,” </w:t>
      </w:r>
      <w:r w:rsidR="00A4025B" w:rsidRPr="00D25B7A">
        <w:rPr>
          <w:rFonts w:asciiTheme="majorHAnsi" w:hAnsiTheme="majorHAnsi" w:cstheme="majorHAnsi"/>
          <w:i/>
        </w:rPr>
        <w:t>American Indian Art Magazine</w:t>
      </w:r>
      <w:r w:rsidR="00A4025B">
        <w:rPr>
          <w:rFonts w:asciiTheme="majorHAnsi" w:hAnsiTheme="majorHAnsi" w:cstheme="majorHAnsi"/>
        </w:rPr>
        <w:t xml:space="preserve"> 20, no. 1 (Winter 1994): </w:t>
      </w:r>
      <w:r w:rsidR="00A4025B" w:rsidRPr="00D25B7A">
        <w:rPr>
          <w:rFonts w:asciiTheme="majorHAnsi" w:hAnsiTheme="majorHAnsi" w:cstheme="majorHAnsi"/>
        </w:rPr>
        <w:t>62-69.</w:t>
      </w:r>
    </w:p>
    <w:p w14:paraId="7D18A941" w14:textId="77777777" w:rsidR="006E5CCD" w:rsidRDefault="006E5CCD" w:rsidP="00A4025B">
      <w:pPr>
        <w:spacing w:line="240" w:lineRule="auto"/>
        <w:rPr>
          <w:rFonts w:asciiTheme="majorHAnsi" w:hAnsiTheme="majorHAnsi" w:cstheme="majorHAnsi"/>
        </w:rPr>
      </w:pPr>
    </w:p>
    <w:p w14:paraId="71EF8434" w14:textId="62AD29D0" w:rsidR="00A24E22" w:rsidRDefault="00A24E22" w:rsidP="00A4025B">
      <w:pPr>
        <w:spacing w:line="240" w:lineRule="auto"/>
      </w:pPr>
    </w:p>
    <w:p w14:paraId="13B251EB" w14:textId="77777777" w:rsidR="00091C82" w:rsidRDefault="007F29DA" w:rsidP="00091C82">
      <w:pPr>
        <w:spacing w:line="240" w:lineRule="auto"/>
      </w:pPr>
      <w:r>
        <w:rPr>
          <w:noProof/>
          <w:lang w:bidi="ar-SA"/>
        </w:rPr>
        <w:drawing>
          <wp:inline distT="0" distB="0" distL="0" distR="0" wp14:anchorId="6FA8DBAD" wp14:editId="181C18E9">
            <wp:extent cx="2088105" cy="274320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Oscar Berninghaus, A Son of the War Chief, untraced.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088105" cy="2743200"/>
                    </a:xfrm>
                    <a:prstGeom prst="rect">
                      <a:avLst/>
                    </a:prstGeom>
                  </pic:spPr>
                </pic:pic>
              </a:graphicData>
            </a:graphic>
          </wp:inline>
        </w:drawing>
      </w:r>
    </w:p>
    <w:p w14:paraId="1D739F26" w14:textId="404F86E9" w:rsidR="007F29DA" w:rsidRDefault="00091C82" w:rsidP="00091C82">
      <w:pPr>
        <w:spacing w:line="240" w:lineRule="auto"/>
      </w:pPr>
      <w:bookmarkStart w:id="76" w:name="_Toc464499121"/>
      <w:r>
        <w:t>Figure 4.</w:t>
      </w:r>
      <w:r w:rsidR="00B31D83">
        <w:fldChar w:fldCharType="begin"/>
      </w:r>
      <w:r w:rsidR="00B31D83">
        <w:instrText xml:space="preserve"> SEQ Figure \* ARABIC \s 1 </w:instrText>
      </w:r>
      <w:r w:rsidR="00B31D83">
        <w:fldChar w:fldCharType="separate"/>
      </w:r>
      <w:r w:rsidR="00FE5897">
        <w:rPr>
          <w:noProof/>
        </w:rPr>
        <w:t>16</w:t>
      </w:r>
      <w:r w:rsidR="00B31D83">
        <w:rPr>
          <w:noProof/>
        </w:rPr>
        <w:fldChar w:fldCharType="end"/>
      </w:r>
      <w:r>
        <w:t xml:space="preserve"> </w:t>
      </w:r>
      <w:r w:rsidR="00F720E7">
        <w:t>–</w:t>
      </w:r>
      <w:r w:rsidR="00A4025B">
        <w:t xml:space="preserve"> </w:t>
      </w:r>
      <w:r w:rsidRPr="00D25B7A">
        <w:t xml:space="preserve">Berninghaus, </w:t>
      </w:r>
      <w:r w:rsidRPr="00F720E7">
        <w:rPr>
          <w:i/>
        </w:rPr>
        <w:t>A</w:t>
      </w:r>
      <w:r w:rsidRPr="00D25B7A">
        <w:t xml:space="preserve"> </w:t>
      </w:r>
      <w:r w:rsidRPr="00D25B7A">
        <w:rPr>
          <w:i/>
        </w:rPr>
        <w:t>Son of the War Chief</w:t>
      </w:r>
      <w:bookmarkEnd w:id="76"/>
    </w:p>
    <w:p w14:paraId="3CDA4576" w14:textId="77777777" w:rsidR="0076036A" w:rsidRDefault="0076036A" w:rsidP="00091C82">
      <w:pPr>
        <w:spacing w:line="240" w:lineRule="auto"/>
      </w:pPr>
    </w:p>
    <w:p w14:paraId="46EBE8C4" w14:textId="2B19CBC8" w:rsidR="00D25B7A" w:rsidRDefault="00A24E22" w:rsidP="00091C82">
      <w:pPr>
        <w:spacing w:line="240" w:lineRule="auto"/>
        <w:rPr>
          <w:rFonts w:asciiTheme="majorHAnsi" w:hAnsiTheme="majorHAnsi" w:cstheme="majorHAnsi"/>
        </w:rPr>
      </w:pPr>
      <w:r w:rsidRPr="00D25B7A">
        <w:t xml:space="preserve">Oscar Berninghaus, </w:t>
      </w:r>
      <w:r w:rsidRPr="00D25B7A">
        <w:rPr>
          <w:i/>
        </w:rPr>
        <w:t>A Son of the War Chief</w:t>
      </w:r>
      <w:r w:rsidRPr="00D25B7A">
        <w:t>, oil on canvas</w:t>
      </w:r>
      <w:r w:rsidR="00D25B7A" w:rsidRPr="00D25B7A">
        <w:t>. U</w:t>
      </w:r>
      <w:r w:rsidRPr="00D25B7A">
        <w:t>ntraced.</w:t>
      </w:r>
      <w:r w:rsidR="00D25B7A" w:rsidRPr="00D25B7A">
        <w:t xml:space="preserve"> </w:t>
      </w:r>
      <w:r w:rsidR="00D25B7A">
        <w:t>Illustrat</w:t>
      </w:r>
      <w:r w:rsidR="007F29DA">
        <w:t>ed in S</w:t>
      </w:r>
      <w:r w:rsidR="00D25B7A" w:rsidRPr="00D25B7A">
        <w:rPr>
          <w:rFonts w:asciiTheme="majorHAnsi" w:hAnsiTheme="majorHAnsi" w:cstheme="majorHAnsi"/>
        </w:rPr>
        <w:t xml:space="preserve">amuel Watson III, “Stylistic Plurality in the Paintings of Albert Looking Elk: An Examination of Patronage,” </w:t>
      </w:r>
      <w:r w:rsidR="00D25B7A" w:rsidRPr="00D25B7A">
        <w:rPr>
          <w:rFonts w:asciiTheme="majorHAnsi" w:hAnsiTheme="majorHAnsi" w:cstheme="majorHAnsi"/>
          <w:i/>
        </w:rPr>
        <w:t>American Indian Art Magazine</w:t>
      </w:r>
      <w:r w:rsidR="007F29DA">
        <w:rPr>
          <w:rFonts w:asciiTheme="majorHAnsi" w:hAnsiTheme="majorHAnsi" w:cstheme="majorHAnsi"/>
        </w:rPr>
        <w:t xml:space="preserve"> 20, no. 1 (Winter 1994): </w:t>
      </w:r>
      <w:r w:rsidR="00D25B7A" w:rsidRPr="00D25B7A">
        <w:rPr>
          <w:rFonts w:asciiTheme="majorHAnsi" w:hAnsiTheme="majorHAnsi" w:cstheme="majorHAnsi"/>
        </w:rPr>
        <w:t>62-69.</w:t>
      </w:r>
    </w:p>
    <w:p w14:paraId="17AB6E82" w14:textId="31A8FC64" w:rsidR="00F720E7" w:rsidRDefault="00F720E7" w:rsidP="00091C82">
      <w:pPr>
        <w:spacing w:line="240" w:lineRule="auto"/>
        <w:rPr>
          <w:rFonts w:asciiTheme="majorHAnsi" w:hAnsiTheme="majorHAnsi" w:cstheme="majorHAnsi"/>
        </w:rPr>
      </w:pPr>
    </w:p>
    <w:p w14:paraId="3AE74F23" w14:textId="77777777" w:rsidR="00F720E7" w:rsidRDefault="00F720E7" w:rsidP="00091C82">
      <w:pPr>
        <w:spacing w:line="240" w:lineRule="auto"/>
        <w:rPr>
          <w:rFonts w:asciiTheme="majorHAnsi" w:hAnsiTheme="majorHAnsi" w:cstheme="majorHAnsi"/>
        </w:rPr>
      </w:pPr>
    </w:p>
    <w:p w14:paraId="6B5357E9" w14:textId="77777777" w:rsidR="00091C82" w:rsidRDefault="007F29DA" w:rsidP="00091C82">
      <w:pPr>
        <w:spacing w:line="240" w:lineRule="auto"/>
      </w:pPr>
      <w:r>
        <w:rPr>
          <w:noProof/>
          <w:lang w:bidi="ar-SA"/>
        </w:rPr>
        <w:drawing>
          <wp:inline distT="0" distB="0" distL="0" distR="0" wp14:anchorId="1F47E2A6" wp14:editId="23CEB460">
            <wp:extent cx="2630233" cy="32004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Albert Lujan postcards, c. 1930.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630233" cy="3200400"/>
                    </a:xfrm>
                    <a:prstGeom prst="rect">
                      <a:avLst/>
                    </a:prstGeom>
                  </pic:spPr>
                </pic:pic>
              </a:graphicData>
            </a:graphic>
          </wp:inline>
        </w:drawing>
      </w:r>
    </w:p>
    <w:p w14:paraId="3BEA96D8" w14:textId="1D687790" w:rsidR="007F29DA" w:rsidRPr="007F29DA" w:rsidRDefault="00091C82" w:rsidP="00091C82">
      <w:pPr>
        <w:spacing w:line="240" w:lineRule="auto"/>
        <w:rPr>
          <w:rFonts w:asciiTheme="majorHAnsi" w:hAnsiTheme="majorHAnsi" w:cstheme="majorHAnsi"/>
        </w:rPr>
      </w:pPr>
      <w:bookmarkStart w:id="77" w:name="_Toc464499122"/>
      <w:r>
        <w:t>Figure 4.</w:t>
      </w:r>
      <w:r w:rsidR="00B31D83">
        <w:fldChar w:fldCharType="begin"/>
      </w:r>
      <w:r w:rsidR="00B31D83">
        <w:instrText xml:space="preserve"> SEQ Figure \* ARABIC \s 1 </w:instrText>
      </w:r>
      <w:r w:rsidR="00B31D83">
        <w:fldChar w:fldCharType="separate"/>
      </w:r>
      <w:r w:rsidR="00FE5897">
        <w:rPr>
          <w:noProof/>
        </w:rPr>
        <w:t>17</w:t>
      </w:r>
      <w:r w:rsidR="00B31D83">
        <w:rPr>
          <w:noProof/>
        </w:rPr>
        <w:fldChar w:fldCharType="end"/>
      </w:r>
      <w:r>
        <w:t xml:space="preserve"> </w:t>
      </w:r>
      <w:r w:rsidR="00A4025B">
        <w:t xml:space="preserve">– Albert </w:t>
      </w:r>
      <w:r>
        <w:t>Lujan at Taos Pueblo</w:t>
      </w:r>
      <w:bookmarkEnd w:id="77"/>
    </w:p>
    <w:p w14:paraId="34737612" w14:textId="77777777" w:rsidR="00091C82" w:rsidRDefault="00091C82" w:rsidP="00091C82">
      <w:pPr>
        <w:spacing w:line="240" w:lineRule="auto"/>
      </w:pPr>
    </w:p>
    <w:p w14:paraId="003D64AC" w14:textId="64629177" w:rsidR="006A0C9C" w:rsidRPr="006A0C9C" w:rsidRDefault="00D25B7A" w:rsidP="00091C82">
      <w:pPr>
        <w:spacing w:line="240" w:lineRule="auto"/>
      </w:pPr>
      <w:r>
        <w:t xml:space="preserve">Postcard, Albert Lujan at Taos Pueblo, c. 1930. </w:t>
      </w:r>
      <w:r w:rsidR="007F29DA">
        <w:t xml:space="preserve">Collection of </w:t>
      </w:r>
      <w:r w:rsidR="007F29DA" w:rsidRPr="007F29DA">
        <w:rPr>
          <w:i/>
        </w:rPr>
        <w:t>American Indian Art Magazine</w:t>
      </w:r>
      <w:r w:rsidR="007F29DA">
        <w:t>.</w:t>
      </w:r>
    </w:p>
    <w:p w14:paraId="2E515DDB" w14:textId="49AA4BD7" w:rsidR="006A0C9C" w:rsidRDefault="006A0C9C" w:rsidP="007F29DA"/>
    <w:p w14:paraId="719268F4" w14:textId="77777777" w:rsidR="00091C82" w:rsidRDefault="007F29DA" w:rsidP="00091C82">
      <w:pPr>
        <w:spacing w:line="240" w:lineRule="auto"/>
      </w:pPr>
      <w:r>
        <w:rPr>
          <w:noProof/>
          <w:lang w:bidi="ar-SA"/>
        </w:rPr>
        <w:drawing>
          <wp:inline distT="0" distB="0" distL="0" distR="0" wp14:anchorId="4DDEBB58" wp14:editId="19BAF082">
            <wp:extent cx="2103120" cy="27432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Dan Namingha, Afternoon Rainclouds, 1987, Acrylic on canvas, Gallery Sam.jpg"/>
                    <pic:cNvPicPr/>
                  </pic:nvPicPr>
                  <pic:blipFill>
                    <a:blip r:embed="rId68">
                      <a:extLst>
                        <a:ext uri="{28A0092B-C50C-407E-A947-70E740481C1C}">
                          <a14:useLocalDpi xmlns:a14="http://schemas.microsoft.com/office/drawing/2010/main" val="0"/>
                        </a:ext>
                      </a:extLst>
                    </a:blip>
                    <a:stretch>
                      <a:fillRect/>
                    </a:stretch>
                  </pic:blipFill>
                  <pic:spPr>
                    <a:xfrm>
                      <a:off x="0" y="0"/>
                      <a:ext cx="2103120" cy="2743200"/>
                    </a:xfrm>
                    <a:prstGeom prst="rect">
                      <a:avLst/>
                    </a:prstGeom>
                  </pic:spPr>
                </pic:pic>
              </a:graphicData>
            </a:graphic>
          </wp:inline>
        </w:drawing>
      </w:r>
    </w:p>
    <w:p w14:paraId="0A307586" w14:textId="79EE64F4" w:rsidR="007F29DA" w:rsidRDefault="00091C82" w:rsidP="00091C82">
      <w:pPr>
        <w:spacing w:line="240" w:lineRule="auto"/>
      </w:pPr>
      <w:bookmarkStart w:id="78" w:name="_Toc464499123"/>
      <w:r>
        <w:t>Figure 4.</w:t>
      </w:r>
      <w:r w:rsidR="00B31D83">
        <w:fldChar w:fldCharType="begin"/>
      </w:r>
      <w:r w:rsidR="00B31D83">
        <w:instrText xml:space="preserve"> SEQ Figure \* ARABIC \s 1 </w:instrText>
      </w:r>
      <w:r w:rsidR="00B31D83">
        <w:fldChar w:fldCharType="separate"/>
      </w:r>
      <w:r w:rsidR="00FE5897">
        <w:rPr>
          <w:noProof/>
        </w:rPr>
        <w:t>18</w:t>
      </w:r>
      <w:r w:rsidR="00B31D83">
        <w:rPr>
          <w:noProof/>
        </w:rPr>
        <w:fldChar w:fldCharType="end"/>
      </w:r>
      <w:r>
        <w:t xml:space="preserve"> </w:t>
      </w:r>
      <w:r w:rsidR="00A4025B">
        <w:t xml:space="preserve">– Dan </w:t>
      </w:r>
      <w:r>
        <w:t xml:space="preserve">Namingha, </w:t>
      </w:r>
      <w:r w:rsidRPr="007F29DA">
        <w:rPr>
          <w:i/>
        </w:rPr>
        <w:t>Afternoon Rain</w:t>
      </w:r>
      <w:r>
        <w:rPr>
          <w:i/>
        </w:rPr>
        <w:t xml:space="preserve"> C</w:t>
      </w:r>
      <w:r w:rsidRPr="007F29DA">
        <w:rPr>
          <w:i/>
        </w:rPr>
        <w:t>louds</w:t>
      </w:r>
      <w:bookmarkEnd w:id="78"/>
    </w:p>
    <w:p w14:paraId="18CAE624" w14:textId="77777777" w:rsidR="00091C82" w:rsidRDefault="00091C82" w:rsidP="00091C82">
      <w:pPr>
        <w:spacing w:line="240" w:lineRule="auto"/>
      </w:pPr>
    </w:p>
    <w:p w14:paraId="1BE4767A" w14:textId="16109578" w:rsidR="007F29DA" w:rsidRPr="007F29DA" w:rsidRDefault="007F29DA" w:rsidP="00091C82">
      <w:pPr>
        <w:spacing w:line="240" w:lineRule="auto"/>
      </w:pPr>
      <w:r w:rsidRPr="007F29DA">
        <w:t xml:space="preserve">Dan Namingha, </w:t>
      </w:r>
      <w:r w:rsidRPr="007F29DA">
        <w:rPr>
          <w:i/>
          <w:iCs/>
        </w:rPr>
        <w:t>Afternoon Rain</w:t>
      </w:r>
      <w:r>
        <w:rPr>
          <w:i/>
          <w:iCs/>
        </w:rPr>
        <w:t xml:space="preserve"> C</w:t>
      </w:r>
      <w:r w:rsidRPr="007F29DA">
        <w:rPr>
          <w:i/>
          <w:iCs/>
        </w:rPr>
        <w:t>louds</w:t>
      </w:r>
      <w:r>
        <w:t>, 1987, Acrylic on canvas.</w:t>
      </w:r>
      <w:r w:rsidRPr="007F29DA">
        <w:t xml:space="preserve"> Gallery Sam</w:t>
      </w:r>
      <w:r w:rsidR="005617CE">
        <w:t>, a</w:t>
      </w:r>
      <w:r w:rsidR="007D753B">
        <w:t>ccessed</w:t>
      </w:r>
      <w:r>
        <w:t xml:space="preserve"> October 10, 2016. </w:t>
      </w:r>
      <w:r w:rsidRPr="007F29DA">
        <w:t>http://www.artnet.com/galleries/gallery-sam/artist-dan-namingha/</w:t>
      </w:r>
    </w:p>
    <w:p w14:paraId="2FA21EAD" w14:textId="0DCA38E1" w:rsidR="007F29DA" w:rsidRDefault="007F29DA" w:rsidP="007F29DA">
      <w:pPr>
        <w:spacing w:line="240" w:lineRule="auto"/>
      </w:pPr>
    </w:p>
    <w:p w14:paraId="21F4B91A" w14:textId="33F67D33" w:rsidR="007F29DA" w:rsidRDefault="007F29DA" w:rsidP="007F29DA">
      <w:pPr>
        <w:spacing w:line="240" w:lineRule="auto"/>
      </w:pPr>
    </w:p>
    <w:p w14:paraId="15E2D1D5" w14:textId="77777777" w:rsidR="00091C82" w:rsidRDefault="007F29DA" w:rsidP="00091C82">
      <w:pPr>
        <w:spacing w:line="240" w:lineRule="auto"/>
      </w:pPr>
      <w:r>
        <w:rPr>
          <w:noProof/>
          <w:lang w:bidi="ar-SA"/>
        </w:rPr>
        <w:drawing>
          <wp:inline distT="0" distB="0" distL="0" distR="0" wp14:anchorId="0B85542F" wp14:editId="10195838">
            <wp:extent cx="4206240" cy="2754156"/>
            <wp:effectExtent l="0" t="0" r="3810" b="825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Albert Looking Elk, Untitled (Taos Pueblo Scene), n.d., Oil on Board, School of American Research, Santa Fe.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4206240" cy="2754156"/>
                    </a:xfrm>
                    <a:prstGeom prst="rect">
                      <a:avLst/>
                    </a:prstGeom>
                  </pic:spPr>
                </pic:pic>
              </a:graphicData>
            </a:graphic>
          </wp:inline>
        </w:drawing>
      </w:r>
    </w:p>
    <w:p w14:paraId="630960D4" w14:textId="4385E28A" w:rsidR="007F29DA" w:rsidRDefault="00091C82" w:rsidP="00091C82">
      <w:pPr>
        <w:spacing w:line="240" w:lineRule="auto"/>
      </w:pPr>
      <w:bookmarkStart w:id="79" w:name="_Toc464499124"/>
      <w:r>
        <w:t>Figure 4.</w:t>
      </w:r>
      <w:r w:rsidR="00B31D83">
        <w:fldChar w:fldCharType="begin"/>
      </w:r>
      <w:r w:rsidR="00B31D83">
        <w:instrText xml:space="preserve"> SEQ Figure \* ARABIC \s 1 </w:instrText>
      </w:r>
      <w:r w:rsidR="00B31D83">
        <w:fldChar w:fldCharType="separate"/>
      </w:r>
      <w:r w:rsidR="00FE5897">
        <w:rPr>
          <w:noProof/>
        </w:rPr>
        <w:t>19</w:t>
      </w:r>
      <w:r w:rsidR="00B31D83">
        <w:rPr>
          <w:noProof/>
        </w:rPr>
        <w:fldChar w:fldCharType="end"/>
      </w:r>
      <w:r w:rsidRPr="00091C82">
        <w:t xml:space="preserve"> </w:t>
      </w:r>
      <w:r w:rsidR="00A4025B">
        <w:t xml:space="preserve">– Albert </w:t>
      </w:r>
      <w:r>
        <w:t xml:space="preserve">Looking Elk, </w:t>
      </w:r>
      <w:r w:rsidRPr="003E549D">
        <w:rPr>
          <w:i/>
        </w:rPr>
        <w:t>Untitled (Taos Pueblo Scene)</w:t>
      </w:r>
      <w:bookmarkEnd w:id="79"/>
    </w:p>
    <w:p w14:paraId="513321EF" w14:textId="77777777" w:rsidR="0076036A" w:rsidRDefault="0076036A" w:rsidP="00091C82">
      <w:pPr>
        <w:spacing w:line="240" w:lineRule="auto"/>
      </w:pPr>
    </w:p>
    <w:p w14:paraId="5DCE97D2" w14:textId="64A2D326" w:rsidR="007F29DA" w:rsidRDefault="007F29DA" w:rsidP="00091C82">
      <w:pPr>
        <w:spacing w:line="240" w:lineRule="auto"/>
      </w:pPr>
      <w:r>
        <w:t xml:space="preserve">Albert Looking Elk, </w:t>
      </w:r>
      <w:r w:rsidRPr="003E549D">
        <w:rPr>
          <w:i/>
        </w:rPr>
        <w:t>Untitled (Taos Pueblo Scene)</w:t>
      </w:r>
      <w:r w:rsidR="0076036A">
        <w:t>, n.d., o</w:t>
      </w:r>
      <w:r>
        <w:t>il on b</w:t>
      </w:r>
      <w:r w:rsidRPr="007F29DA">
        <w:t>oard</w:t>
      </w:r>
      <w:r>
        <w:t xml:space="preserve">. </w:t>
      </w:r>
      <w:r w:rsidRPr="007F29DA">
        <w:t>School of American Research, Santa Fe</w:t>
      </w:r>
      <w:r>
        <w:t>, NM.</w:t>
      </w:r>
    </w:p>
    <w:p w14:paraId="4F9E79D3" w14:textId="6E82C181" w:rsidR="003E549D" w:rsidRDefault="003E549D" w:rsidP="007F29DA">
      <w:pPr>
        <w:spacing w:line="240" w:lineRule="auto"/>
      </w:pPr>
    </w:p>
    <w:p w14:paraId="29465658" w14:textId="27A83CCD" w:rsidR="003E549D" w:rsidRDefault="003E549D" w:rsidP="007F29DA">
      <w:pPr>
        <w:spacing w:line="240" w:lineRule="auto"/>
      </w:pPr>
    </w:p>
    <w:p w14:paraId="26A59CEB" w14:textId="77777777" w:rsidR="00091C82" w:rsidRDefault="003E549D" w:rsidP="00091C82">
      <w:pPr>
        <w:spacing w:line="240" w:lineRule="auto"/>
      </w:pPr>
      <w:r>
        <w:rPr>
          <w:noProof/>
          <w:lang w:bidi="ar-SA"/>
        </w:rPr>
        <w:drawing>
          <wp:inline distT="0" distB="0" distL="0" distR="0" wp14:anchorId="1A3925EC" wp14:editId="3C73E706">
            <wp:extent cx="3909786" cy="274320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Albert Lujan, Untitled (View of Taos Pueblo), c. 1941, Oil on canvas, National cowboy Hall of Fame and Western Heritage Museum, OKC.jpg"/>
                    <pic:cNvPicPr/>
                  </pic:nvPicPr>
                  <pic:blipFill>
                    <a:blip r:embed="rId70" cstate="print">
                      <a:extLst>
                        <a:ext uri="{28A0092B-C50C-407E-A947-70E740481C1C}">
                          <a14:useLocalDpi xmlns:a14="http://schemas.microsoft.com/office/drawing/2010/main" val="0"/>
                        </a:ext>
                      </a:extLst>
                    </a:blip>
                    <a:stretch>
                      <a:fillRect/>
                    </a:stretch>
                  </pic:blipFill>
                  <pic:spPr>
                    <a:xfrm>
                      <a:off x="0" y="0"/>
                      <a:ext cx="3909786" cy="2743200"/>
                    </a:xfrm>
                    <a:prstGeom prst="rect">
                      <a:avLst/>
                    </a:prstGeom>
                  </pic:spPr>
                </pic:pic>
              </a:graphicData>
            </a:graphic>
          </wp:inline>
        </w:drawing>
      </w:r>
    </w:p>
    <w:p w14:paraId="4AF06E9A" w14:textId="2CE0EE96" w:rsidR="003E549D" w:rsidRDefault="00091C82" w:rsidP="00091C82">
      <w:pPr>
        <w:spacing w:line="240" w:lineRule="auto"/>
      </w:pPr>
      <w:bookmarkStart w:id="80" w:name="_Toc464499125"/>
      <w:r>
        <w:t xml:space="preserve">Figure </w:t>
      </w:r>
      <w:r w:rsidR="00A4025B">
        <w:t>4.</w:t>
      </w:r>
      <w:r w:rsidR="00B31D83">
        <w:fldChar w:fldCharType="begin"/>
      </w:r>
      <w:r w:rsidR="00B31D83">
        <w:instrText xml:space="preserve"> SEQ Figure \* ARABIC \s 1 </w:instrText>
      </w:r>
      <w:r w:rsidR="00B31D83">
        <w:fldChar w:fldCharType="separate"/>
      </w:r>
      <w:r w:rsidR="00FE5897">
        <w:rPr>
          <w:noProof/>
        </w:rPr>
        <w:t>20</w:t>
      </w:r>
      <w:r w:rsidR="00B31D83">
        <w:rPr>
          <w:noProof/>
        </w:rPr>
        <w:fldChar w:fldCharType="end"/>
      </w:r>
      <w:r>
        <w:t xml:space="preserve"> </w:t>
      </w:r>
      <w:r w:rsidR="00F720E7">
        <w:t>–</w:t>
      </w:r>
      <w:r w:rsidR="00A4025B">
        <w:t xml:space="preserve"> Albert </w:t>
      </w:r>
      <w:r>
        <w:t xml:space="preserve">Lujan, </w:t>
      </w:r>
      <w:r w:rsidRPr="003E549D">
        <w:rPr>
          <w:i/>
        </w:rPr>
        <w:t>View of Taos</w:t>
      </w:r>
      <w:r>
        <w:rPr>
          <w:i/>
        </w:rPr>
        <w:t xml:space="preserve"> Pueblo</w:t>
      </w:r>
      <w:bookmarkEnd w:id="80"/>
    </w:p>
    <w:p w14:paraId="4EEDC814" w14:textId="2B113FDE" w:rsidR="003E549D" w:rsidRDefault="003E549D" w:rsidP="00091C82">
      <w:pPr>
        <w:spacing w:line="240" w:lineRule="auto"/>
        <w:rPr>
          <w:lang w:bidi="ar-SA"/>
        </w:rPr>
      </w:pPr>
    </w:p>
    <w:p w14:paraId="632A02EE" w14:textId="2C130136" w:rsidR="003E549D" w:rsidRPr="003E549D" w:rsidRDefault="003E549D" w:rsidP="00091C82">
      <w:pPr>
        <w:spacing w:line="240" w:lineRule="auto"/>
        <w:rPr>
          <w:lang w:bidi="ar-SA"/>
        </w:rPr>
      </w:pPr>
      <w:r w:rsidRPr="003E549D">
        <w:rPr>
          <w:lang w:bidi="ar-SA"/>
        </w:rPr>
        <w:t xml:space="preserve">Albert Lujan, </w:t>
      </w:r>
      <w:r w:rsidRPr="003E549D">
        <w:rPr>
          <w:i/>
          <w:iCs/>
          <w:lang w:bidi="ar-SA"/>
        </w:rPr>
        <w:t>Untitled (View of Taos Pueblo)</w:t>
      </w:r>
      <w:r>
        <w:rPr>
          <w:lang w:bidi="ar-SA"/>
        </w:rPr>
        <w:t>, c. 1941, oil on canvas. National C</w:t>
      </w:r>
      <w:r w:rsidRPr="003E549D">
        <w:rPr>
          <w:lang w:bidi="ar-SA"/>
        </w:rPr>
        <w:t>owboy Hall of Fame and Western Heritage Museum, O</w:t>
      </w:r>
      <w:r>
        <w:rPr>
          <w:lang w:bidi="ar-SA"/>
        </w:rPr>
        <w:t>klahoma City, OK.</w:t>
      </w:r>
    </w:p>
    <w:p w14:paraId="4FCBFD24" w14:textId="77777777" w:rsidR="003E549D" w:rsidRDefault="003E549D" w:rsidP="003E549D">
      <w:pPr>
        <w:rPr>
          <w:lang w:bidi="ar-SA"/>
        </w:rPr>
      </w:pPr>
    </w:p>
    <w:p w14:paraId="1B96ADF7" w14:textId="77777777" w:rsidR="00FB6178" w:rsidRDefault="003E549D" w:rsidP="00FB6178">
      <w:pPr>
        <w:spacing w:line="240" w:lineRule="auto"/>
      </w:pPr>
      <w:r>
        <w:rPr>
          <w:noProof/>
          <w:lang w:bidi="ar-SA"/>
        </w:rPr>
        <w:drawing>
          <wp:inline distT="0" distB="0" distL="0" distR="0" wp14:anchorId="0F803A64" wp14:editId="124E85BB">
            <wp:extent cx="3840480" cy="2756055"/>
            <wp:effectExtent l="0" t="0" r="7620" b="635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Albert Looking Elk, Burros at Taos Pueblo, c. 1928, 5 x 7 inches, Oil on Board, c. 1928, PMA.jpg"/>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840480" cy="2756055"/>
                    </a:xfrm>
                    <a:prstGeom prst="rect">
                      <a:avLst/>
                    </a:prstGeom>
                  </pic:spPr>
                </pic:pic>
              </a:graphicData>
            </a:graphic>
          </wp:inline>
        </w:drawing>
      </w:r>
    </w:p>
    <w:p w14:paraId="79D9CE54" w14:textId="3C24FD58" w:rsidR="003E549D" w:rsidRDefault="00FB6178" w:rsidP="00FB6178">
      <w:pPr>
        <w:spacing w:line="240" w:lineRule="auto"/>
      </w:pPr>
      <w:bookmarkStart w:id="81" w:name="_Toc464499126"/>
      <w:r>
        <w:t>Figure 4.</w:t>
      </w:r>
      <w:r w:rsidR="00B31D83">
        <w:fldChar w:fldCharType="begin"/>
      </w:r>
      <w:r w:rsidR="00B31D83">
        <w:instrText xml:space="preserve"> SEQ Figure \* ARABIC \s 1 </w:instrText>
      </w:r>
      <w:r w:rsidR="00B31D83">
        <w:fldChar w:fldCharType="separate"/>
      </w:r>
      <w:r w:rsidR="00FE5897">
        <w:rPr>
          <w:noProof/>
        </w:rPr>
        <w:t>21</w:t>
      </w:r>
      <w:r w:rsidR="00B31D83">
        <w:rPr>
          <w:noProof/>
        </w:rPr>
        <w:fldChar w:fldCharType="end"/>
      </w:r>
      <w:r>
        <w:t xml:space="preserve"> </w:t>
      </w:r>
      <w:r w:rsidR="00A4025B">
        <w:t xml:space="preserve">– Albert </w:t>
      </w:r>
      <w:r>
        <w:t xml:space="preserve">Looking Elk, </w:t>
      </w:r>
      <w:r w:rsidRPr="003E549D">
        <w:rPr>
          <w:i/>
        </w:rPr>
        <w:t>Burros at Taos Pueblo</w:t>
      </w:r>
      <w:bookmarkEnd w:id="81"/>
    </w:p>
    <w:p w14:paraId="5A8A32EF" w14:textId="1D3BDD33" w:rsidR="003E549D" w:rsidRDefault="003E549D" w:rsidP="00FB6178">
      <w:pPr>
        <w:spacing w:line="240" w:lineRule="auto"/>
      </w:pPr>
    </w:p>
    <w:p w14:paraId="76A7B506" w14:textId="00567C27" w:rsidR="003E549D" w:rsidRDefault="003E549D" w:rsidP="00FB6178">
      <w:pPr>
        <w:spacing w:line="240" w:lineRule="auto"/>
      </w:pPr>
      <w:r w:rsidRPr="003E549D">
        <w:t xml:space="preserve">Albert Looking Elk, </w:t>
      </w:r>
      <w:r w:rsidRPr="003E549D">
        <w:rPr>
          <w:i/>
          <w:iCs/>
        </w:rPr>
        <w:t>Burros at Taos Pueblo</w:t>
      </w:r>
      <w:r>
        <w:t xml:space="preserve">, c. 1928, 5 x 7 inches, oil on board. </w:t>
      </w:r>
      <w:r w:rsidRPr="003E549D">
        <w:t>P</w:t>
      </w:r>
      <w:r>
        <w:t>hilbrook Museum of Art, Tulsa OK.</w:t>
      </w:r>
    </w:p>
    <w:p w14:paraId="10E5837E" w14:textId="4D180280" w:rsidR="0076036A" w:rsidRDefault="0076036A" w:rsidP="003E549D">
      <w:pPr>
        <w:spacing w:line="240" w:lineRule="auto"/>
      </w:pPr>
    </w:p>
    <w:p w14:paraId="2D24B9A6" w14:textId="77777777" w:rsidR="0076036A" w:rsidRDefault="0076036A" w:rsidP="003E549D">
      <w:pPr>
        <w:spacing w:line="240" w:lineRule="auto"/>
      </w:pPr>
    </w:p>
    <w:p w14:paraId="2A6F16CE" w14:textId="486D56A4" w:rsidR="003E549D" w:rsidRDefault="003E549D" w:rsidP="003E549D">
      <w:pPr>
        <w:spacing w:line="240" w:lineRule="auto"/>
      </w:pPr>
    </w:p>
    <w:p w14:paraId="6A6C8976" w14:textId="17D63C21" w:rsidR="00FB6178" w:rsidRDefault="003E549D" w:rsidP="00FB6178">
      <w:pPr>
        <w:spacing w:line="240" w:lineRule="auto"/>
      </w:pPr>
      <w:r>
        <w:rPr>
          <w:noProof/>
          <w:lang w:bidi="ar-SA"/>
        </w:rPr>
        <w:drawing>
          <wp:inline distT="0" distB="0" distL="0" distR="0" wp14:anchorId="42A409A6" wp14:editId="3F35AA09">
            <wp:extent cx="2809818" cy="1828800"/>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worlds fair 1.jpg"/>
                    <pic:cNvPicPr/>
                  </pic:nvPicPr>
                  <pic:blipFill>
                    <a:blip r:embed="rId72">
                      <a:extLst>
                        <a:ext uri="{28A0092B-C50C-407E-A947-70E740481C1C}">
                          <a14:useLocalDpi xmlns:a14="http://schemas.microsoft.com/office/drawing/2010/main" val="0"/>
                        </a:ext>
                      </a:extLst>
                    </a:blip>
                    <a:stretch>
                      <a:fillRect/>
                    </a:stretch>
                  </pic:blipFill>
                  <pic:spPr>
                    <a:xfrm>
                      <a:off x="0" y="0"/>
                      <a:ext cx="2809818" cy="1828800"/>
                    </a:xfrm>
                    <a:prstGeom prst="rect">
                      <a:avLst/>
                    </a:prstGeom>
                  </pic:spPr>
                </pic:pic>
              </a:graphicData>
            </a:graphic>
          </wp:inline>
        </w:drawing>
      </w:r>
      <w:r w:rsidR="00FB6178">
        <w:t xml:space="preserve">  </w:t>
      </w:r>
      <w:r w:rsidR="00FB6178">
        <w:rPr>
          <w:noProof/>
          <w:lang w:bidi="ar-SA"/>
        </w:rPr>
        <w:drawing>
          <wp:inline distT="0" distB="0" distL="0" distR="0" wp14:anchorId="10CD8C37" wp14:editId="3888E5BC">
            <wp:extent cx="1703850" cy="182880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Worlds fair 2.jpg"/>
                    <pic:cNvPicPr/>
                  </pic:nvPicPr>
                  <pic:blipFill>
                    <a:blip r:embed="rId73">
                      <a:extLst>
                        <a:ext uri="{28A0092B-C50C-407E-A947-70E740481C1C}">
                          <a14:useLocalDpi xmlns:a14="http://schemas.microsoft.com/office/drawing/2010/main" val="0"/>
                        </a:ext>
                      </a:extLst>
                    </a:blip>
                    <a:stretch>
                      <a:fillRect/>
                    </a:stretch>
                  </pic:blipFill>
                  <pic:spPr>
                    <a:xfrm>
                      <a:off x="0" y="0"/>
                      <a:ext cx="1703850" cy="1828800"/>
                    </a:xfrm>
                    <a:prstGeom prst="rect">
                      <a:avLst/>
                    </a:prstGeom>
                  </pic:spPr>
                </pic:pic>
              </a:graphicData>
            </a:graphic>
          </wp:inline>
        </w:drawing>
      </w:r>
    </w:p>
    <w:p w14:paraId="2C619C5A" w14:textId="5516A538" w:rsidR="00FB6178" w:rsidRDefault="00FB6178" w:rsidP="00FB6178">
      <w:pPr>
        <w:spacing w:line="240" w:lineRule="auto"/>
      </w:pPr>
      <w:bookmarkStart w:id="82" w:name="_Toc464499127"/>
      <w:r>
        <w:t>Figure 4.</w:t>
      </w:r>
      <w:r w:rsidR="00B31D83">
        <w:fldChar w:fldCharType="begin"/>
      </w:r>
      <w:r w:rsidR="00B31D83">
        <w:instrText xml:space="preserve"> SEQ Figure \* ARABIC \s 1 </w:instrText>
      </w:r>
      <w:r w:rsidR="00B31D83">
        <w:fldChar w:fldCharType="separate"/>
      </w:r>
      <w:r w:rsidR="00FE5897">
        <w:rPr>
          <w:noProof/>
        </w:rPr>
        <w:t>22</w:t>
      </w:r>
      <w:r w:rsidR="00B31D83">
        <w:rPr>
          <w:noProof/>
        </w:rPr>
        <w:fldChar w:fldCharType="end"/>
      </w:r>
      <w:r w:rsidR="00F720E7">
        <w:t xml:space="preserve"> – “C</w:t>
      </w:r>
      <w:r w:rsidRPr="003E549D">
        <w:t xml:space="preserve">liff Dwellers” </w:t>
      </w:r>
      <w:r>
        <w:t>and “</w:t>
      </w:r>
      <w:r w:rsidRPr="003E549D">
        <w:t>Cheyenne Chief &amp; Family</w:t>
      </w:r>
      <w:r>
        <w:t>” exhibits</w:t>
      </w:r>
      <w:bookmarkEnd w:id="82"/>
    </w:p>
    <w:p w14:paraId="5925D9A2" w14:textId="77777777" w:rsidR="003E549D" w:rsidRPr="003E549D" w:rsidRDefault="003E549D" w:rsidP="00FB6178">
      <w:pPr>
        <w:spacing w:line="240" w:lineRule="auto"/>
      </w:pPr>
    </w:p>
    <w:p w14:paraId="25A1B7B5" w14:textId="3B6AE0F5" w:rsidR="003E549D" w:rsidRDefault="003E549D" w:rsidP="00FB6178">
      <w:pPr>
        <w:spacing w:line="240" w:lineRule="auto"/>
      </w:pPr>
      <w:r>
        <w:t>“Cliff Dwellers” and “</w:t>
      </w:r>
      <w:r w:rsidRPr="003E549D">
        <w:t>Cheyenne Chief &amp; Family</w:t>
      </w:r>
      <w:r>
        <w:t>”</w:t>
      </w:r>
      <w:r w:rsidRPr="003E549D">
        <w:t xml:space="preserve"> </w:t>
      </w:r>
      <w:r>
        <w:t xml:space="preserve">Exhibits, </w:t>
      </w:r>
      <w:r w:rsidRPr="003E549D">
        <w:t>Louisiana Purchase Ex</w:t>
      </w:r>
      <w:r>
        <w:t xml:space="preserve">position, </w:t>
      </w:r>
      <w:r w:rsidRPr="003E549D">
        <w:t>St. Louis, MO, 1904</w:t>
      </w:r>
      <w:r>
        <w:t>.</w:t>
      </w:r>
    </w:p>
    <w:p w14:paraId="0E44F485" w14:textId="77777777" w:rsidR="00F720E7" w:rsidRPr="003E549D" w:rsidRDefault="00F720E7" w:rsidP="00FB6178">
      <w:pPr>
        <w:spacing w:line="240" w:lineRule="auto"/>
      </w:pPr>
    </w:p>
    <w:p w14:paraId="1CA1ADAB" w14:textId="77777777" w:rsidR="003E549D" w:rsidRDefault="003E549D" w:rsidP="003E549D">
      <w:pPr>
        <w:spacing w:line="240" w:lineRule="auto"/>
      </w:pPr>
    </w:p>
    <w:p w14:paraId="7FFFDD4C" w14:textId="77777777" w:rsidR="00FB6178" w:rsidRDefault="0076036A" w:rsidP="00FB6178">
      <w:pPr>
        <w:spacing w:line="240" w:lineRule="auto"/>
      </w:pPr>
      <w:r>
        <w:rPr>
          <w:noProof/>
          <w:lang w:bidi="ar-SA"/>
        </w:rPr>
        <w:drawing>
          <wp:inline distT="0" distB="0" distL="0" distR="0" wp14:anchorId="6D6548BA" wp14:editId="139FBCCC">
            <wp:extent cx="3796414" cy="274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Juan Mirabal, Untitled (Taos Pueblo Scene), Oil on Panel, Private Collection.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796414" cy="2743200"/>
                    </a:xfrm>
                    <a:prstGeom prst="rect">
                      <a:avLst/>
                    </a:prstGeom>
                  </pic:spPr>
                </pic:pic>
              </a:graphicData>
            </a:graphic>
          </wp:inline>
        </w:drawing>
      </w:r>
    </w:p>
    <w:p w14:paraId="5015E00C" w14:textId="280D9838" w:rsidR="0076036A" w:rsidRDefault="00FB6178" w:rsidP="00FB6178">
      <w:pPr>
        <w:spacing w:line="240" w:lineRule="auto"/>
      </w:pPr>
      <w:bookmarkStart w:id="83" w:name="_Toc464499128"/>
      <w:r>
        <w:t>Figure 4.</w:t>
      </w:r>
      <w:r w:rsidR="00B31D83">
        <w:fldChar w:fldCharType="begin"/>
      </w:r>
      <w:r w:rsidR="00B31D83">
        <w:instrText xml:space="preserve"> SEQ Figure \* ARABIC \s 1 </w:instrText>
      </w:r>
      <w:r w:rsidR="00B31D83">
        <w:fldChar w:fldCharType="separate"/>
      </w:r>
      <w:r w:rsidR="00FE5897">
        <w:rPr>
          <w:noProof/>
        </w:rPr>
        <w:t>23</w:t>
      </w:r>
      <w:r w:rsidR="00B31D83">
        <w:rPr>
          <w:noProof/>
        </w:rPr>
        <w:fldChar w:fldCharType="end"/>
      </w:r>
      <w:r>
        <w:t xml:space="preserve"> </w:t>
      </w:r>
      <w:r w:rsidR="00F720E7">
        <w:t>–</w:t>
      </w:r>
      <w:r w:rsidR="00A4025B">
        <w:t xml:space="preserve"> </w:t>
      </w:r>
      <w:r>
        <w:t xml:space="preserve">Mirabal, </w:t>
      </w:r>
      <w:r w:rsidRPr="0076036A">
        <w:rPr>
          <w:i/>
        </w:rPr>
        <w:t xml:space="preserve">Taos </w:t>
      </w:r>
      <w:r>
        <w:rPr>
          <w:i/>
        </w:rPr>
        <w:t xml:space="preserve">Pueblo </w:t>
      </w:r>
      <w:r w:rsidRPr="0076036A">
        <w:rPr>
          <w:i/>
        </w:rPr>
        <w:t>Scene</w:t>
      </w:r>
      <w:bookmarkEnd w:id="83"/>
    </w:p>
    <w:p w14:paraId="46D281B8" w14:textId="77777777" w:rsidR="00FB6178" w:rsidRDefault="00FB6178" w:rsidP="00FB6178">
      <w:pPr>
        <w:spacing w:line="240" w:lineRule="auto"/>
        <w:rPr>
          <w:rFonts w:eastAsiaTheme="minorEastAsia" w:hAnsi="Calibri" w:cstheme="minorBidi"/>
          <w:color w:val="000000" w:themeColor="text1"/>
          <w:kern w:val="24"/>
        </w:rPr>
      </w:pPr>
    </w:p>
    <w:p w14:paraId="2AB24653" w14:textId="10DE9A4F" w:rsidR="0076036A" w:rsidRDefault="0076036A" w:rsidP="00FB6178">
      <w:pPr>
        <w:spacing w:line="240" w:lineRule="auto"/>
      </w:pPr>
      <w:r>
        <w:rPr>
          <w:rFonts w:eastAsiaTheme="minorEastAsia" w:hAnsi="Calibri" w:cstheme="minorBidi"/>
          <w:color w:val="000000" w:themeColor="text1"/>
          <w:kern w:val="24"/>
        </w:rPr>
        <w:t xml:space="preserve">Juan Mirabal, </w:t>
      </w:r>
      <w:r>
        <w:rPr>
          <w:rFonts w:eastAsiaTheme="minorEastAsia" w:hAnsi="Calibri" w:cstheme="minorBidi"/>
          <w:i/>
          <w:iCs/>
          <w:color w:val="000000" w:themeColor="text1"/>
          <w:kern w:val="24"/>
        </w:rPr>
        <w:t>Untitled (Taos Pueblo Scene),</w:t>
      </w:r>
      <w:r>
        <w:rPr>
          <w:rFonts w:eastAsiaTheme="minorEastAsia" w:hAnsi="Calibri" w:cstheme="minorBidi"/>
          <w:color w:val="000000" w:themeColor="text1"/>
          <w:kern w:val="24"/>
        </w:rPr>
        <w:t xml:space="preserve"> no date, oil on panel. Private Collection.</w:t>
      </w:r>
    </w:p>
    <w:p w14:paraId="641DBFF0" w14:textId="548A8CAD" w:rsidR="0076036A" w:rsidRPr="0076036A" w:rsidRDefault="0076036A" w:rsidP="0076036A">
      <w:pPr>
        <w:spacing w:line="240" w:lineRule="auto"/>
      </w:pPr>
    </w:p>
    <w:p w14:paraId="4B2EF76F" w14:textId="77777777" w:rsidR="003E549D" w:rsidRPr="003E549D" w:rsidRDefault="003E549D" w:rsidP="0076036A">
      <w:pPr>
        <w:spacing w:line="240" w:lineRule="auto"/>
        <w:rPr>
          <w:lang w:bidi="ar-SA"/>
        </w:rPr>
      </w:pPr>
    </w:p>
    <w:p w14:paraId="766B14EA" w14:textId="77777777" w:rsidR="00A4025B" w:rsidRDefault="0076036A" w:rsidP="00A4025B">
      <w:pPr>
        <w:spacing w:line="240" w:lineRule="auto"/>
      </w:pPr>
      <w:r>
        <w:rPr>
          <w:noProof/>
          <w:lang w:bidi="ar-SA"/>
        </w:rPr>
        <w:drawing>
          <wp:inline distT="0" distB="0" distL="0" distR="0" wp14:anchorId="31B5BEE4" wp14:editId="60015294">
            <wp:extent cx="2622550" cy="3282315"/>
            <wp:effectExtent l="0" t="0" r="635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Bust_of_Juan1.jpg"/>
                    <pic:cNvPicPr/>
                  </pic:nvPicPr>
                  <pic:blipFill rotWithShape="1">
                    <a:blip r:embed="rId75">
                      <a:extLst>
                        <a:ext uri="{28A0092B-C50C-407E-A947-70E740481C1C}">
                          <a14:useLocalDpi xmlns:a14="http://schemas.microsoft.com/office/drawing/2010/main" val="0"/>
                        </a:ext>
                      </a:extLst>
                    </a:blip>
                    <a:srcRect l="2315" t="1869" r="2058" b="1587"/>
                    <a:stretch/>
                  </pic:blipFill>
                  <pic:spPr bwMode="auto">
                    <a:xfrm>
                      <a:off x="0" y="0"/>
                      <a:ext cx="2623233" cy="3283170"/>
                    </a:xfrm>
                    <a:prstGeom prst="rect">
                      <a:avLst/>
                    </a:prstGeom>
                    <a:ln>
                      <a:noFill/>
                    </a:ln>
                    <a:extLst>
                      <a:ext uri="{53640926-AAD7-44D8-BBD7-CCE9431645EC}">
                        <a14:shadowObscured xmlns:a14="http://schemas.microsoft.com/office/drawing/2010/main"/>
                      </a:ext>
                    </a:extLst>
                  </pic:spPr>
                </pic:pic>
              </a:graphicData>
            </a:graphic>
          </wp:inline>
        </w:drawing>
      </w:r>
    </w:p>
    <w:p w14:paraId="72F5602C" w14:textId="2CA03C1B" w:rsidR="0076036A" w:rsidRDefault="00A4025B" w:rsidP="00A4025B">
      <w:pPr>
        <w:spacing w:line="240" w:lineRule="auto"/>
      </w:pPr>
      <w:bookmarkStart w:id="84" w:name="_Toc464499129"/>
      <w:r>
        <w:t>Figure 4.</w:t>
      </w:r>
      <w:r w:rsidR="00B31D83">
        <w:fldChar w:fldCharType="begin"/>
      </w:r>
      <w:r w:rsidR="00B31D83">
        <w:instrText xml:space="preserve"> SEQ Figure \* ARABIC \s 1 </w:instrText>
      </w:r>
      <w:r w:rsidR="00B31D83">
        <w:fldChar w:fldCharType="separate"/>
      </w:r>
      <w:r w:rsidR="00FE5897">
        <w:rPr>
          <w:noProof/>
        </w:rPr>
        <w:t>24</w:t>
      </w:r>
      <w:r w:rsidR="00B31D83">
        <w:rPr>
          <w:noProof/>
        </w:rPr>
        <w:fldChar w:fldCharType="end"/>
      </w:r>
      <w:r w:rsidR="00F720E7">
        <w:t xml:space="preserve"> – </w:t>
      </w:r>
      <w:r w:rsidRPr="006A0C9C">
        <w:t>Marjorie Eaton,</w:t>
      </w:r>
      <w:r>
        <w:t xml:space="preserve"> </w:t>
      </w:r>
      <w:r w:rsidRPr="0076036A">
        <w:rPr>
          <w:i/>
        </w:rPr>
        <w:t>Bust of Juan</w:t>
      </w:r>
      <w:r>
        <w:rPr>
          <w:i/>
        </w:rPr>
        <w:t xml:space="preserve"> (Mirabal)</w:t>
      </w:r>
      <w:bookmarkEnd w:id="84"/>
    </w:p>
    <w:p w14:paraId="398E20E3" w14:textId="5FED9789" w:rsidR="003E549D" w:rsidRDefault="003E549D" w:rsidP="00A4025B">
      <w:pPr>
        <w:spacing w:line="240" w:lineRule="auto"/>
      </w:pPr>
    </w:p>
    <w:p w14:paraId="7CBF36D5" w14:textId="6FB06E11" w:rsidR="0076036A" w:rsidRDefault="0076036A" w:rsidP="00A4025B">
      <w:pPr>
        <w:spacing w:line="240" w:lineRule="auto"/>
      </w:pPr>
      <w:r w:rsidRPr="006A0C9C">
        <w:t xml:space="preserve">Marjorie Eaton, </w:t>
      </w:r>
      <w:r>
        <w:rPr>
          <w:i/>
        </w:rPr>
        <w:t xml:space="preserve">Bust of </w:t>
      </w:r>
      <w:r w:rsidRPr="006A0C9C">
        <w:rPr>
          <w:i/>
        </w:rPr>
        <w:t xml:space="preserve">Juan </w:t>
      </w:r>
      <w:r>
        <w:t xml:space="preserve">(Mirabal), </w:t>
      </w:r>
      <w:r w:rsidRPr="006A0C9C">
        <w:t xml:space="preserve">c. 1930, </w:t>
      </w:r>
      <w:r>
        <w:t xml:space="preserve">oil on board, 30 x 24 inches. Gerald Peters Gallery, Santa Fe, NM. </w:t>
      </w:r>
    </w:p>
    <w:p w14:paraId="5E7B873F" w14:textId="2A57E1BA" w:rsidR="0076036A" w:rsidRDefault="0076036A" w:rsidP="0076036A">
      <w:pPr>
        <w:spacing w:line="240" w:lineRule="auto"/>
      </w:pPr>
    </w:p>
    <w:p w14:paraId="625D08C7" w14:textId="77777777" w:rsidR="00FB6178" w:rsidRDefault="0076036A" w:rsidP="00FB6178">
      <w:pPr>
        <w:spacing w:line="240" w:lineRule="auto"/>
      </w:pPr>
      <w:r>
        <w:rPr>
          <w:noProof/>
          <w:lang w:bidi="ar-SA"/>
        </w:rPr>
        <w:drawing>
          <wp:inline distT="0" distB="0" distL="0" distR="0" wp14:anchorId="01E84B0C" wp14:editId="212BB622">
            <wp:extent cx="4114800" cy="1915494"/>
            <wp:effectExtent l="0" t="0" r="0" b="889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Juan Mirabal, Untitled (Taos Pueblo Scene), c. 1930, oil on Panel, Harwood Museum of Art, Taos, Santa Fe.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114800" cy="1915494"/>
                    </a:xfrm>
                    <a:prstGeom prst="rect">
                      <a:avLst/>
                    </a:prstGeom>
                  </pic:spPr>
                </pic:pic>
              </a:graphicData>
            </a:graphic>
          </wp:inline>
        </w:drawing>
      </w:r>
    </w:p>
    <w:p w14:paraId="3D51FFFC" w14:textId="6822EA4B" w:rsidR="0076036A" w:rsidRDefault="00FB6178" w:rsidP="00FB6178">
      <w:pPr>
        <w:spacing w:line="240" w:lineRule="auto"/>
      </w:pPr>
      <w:bookmarkStart w:id="85" w:name="_Toc464499130"/>
      <w:r>
        <w:t>Figure 4.</w:t>
      </w:r>
      <w:r w:rsidR="00B31D83">
        <w:fldChar w:fldCharType="begin"/>
      </w:r>
      <w:r w:rsidR="00B31D83">
        <w:instrText xml:space="preserve"> SEQ Figure \* ARABIC \s 1 </w:instrText>
      </w:r>
      <w:r w:rsidR="00B31D83">
        <w:fldChar w:fldCharType="separate"/>
      </w:r>
      <w:r w:rsidR="00FE5897">
        <w:rPr>
          <w:noProof/>
        </w:rPr>
        <w:t>25</w:t>
      </w:r>
      <w:r w:rsidR="00B31D83">
        <w:rPr>
          <w:noProof/>
        </w:rPr>
        <w:fldChar w:fldCharType="end"/>
      </w:r>
      <w:r>
        <w:t xml:space="preserve"> </w:t>
      </w:r>
      <w:r w:rsidR="00A4025B">
        <w:t xml:space="preserve">– Juan </w:t>
      </w:r>
      <w:r>
        <w:t xml:space="preserve">Mirabal, </w:t>
      </w:r>
      <w:r w:rsidRPr="00FB6178">
        <w:rPr>
          <w:i/>
        </w:rPr>
        <w:t>Taos Pueblo Scene</w:t>
      </w:r>
      <w:bookmarkEnd w:id="85"/>
    </w:p>
    <w:p w14:paraId="714AC6B6" w14:textId="77777777" w:rsidR="0076036A" w:rsidRDefault="0076036A" w:rsidP="00FB6178">
      <w:pPr>
        <w:spacing w:line="240" w:lineRule="auto"/>
      </w:pPr>
    </w:p>
    <w:p w14:paraId="33FCBF20" w14:textId="44BD4485" w:rsidR="0076036A" w:rsidRDefault="0076036A" w:rsidP="00FB6178">
      <w:pPr>
        <w:spacing w:line="240" w:lineRule="auto"/>
      </w:pPr>
      <w:r w:rsidRPr="0076036A">
        <w:t xml:space="preserve">Juan Mirabal, </w:t>
      </w:r>
      <w:r w:rsidRPr="0076036A">
        <w:rPr>
          <w:i/>
          <w:iCs/>
        </w:rPr>
        <w:t>Untitled (Taos Pueblo Scene)</w:t>
      </w:r>
      <w:r w:rsidR="00E21C2A">
        <w:t>, c. 1935</w:t>
      </w:r>
      <w:r>
        <w:t>, oil on panel.</w:t>
      </w:r>
      <w:r w:rsidRPr="0076036A">
        <w:t xml:space="preserve"> Harwood Museum of Art, Taos, </w:t>
      </w:r>
      <w:r>
        <w:t>New Mexico.</w:t>
      </w:r>
    </w:p>
    <w:p w14:paraId="2BFA7770" w14:textId="77777777" w:rsidR="004F2423" w:rsidRDefault="004F2423" w:rsidP="00FB6178">
      <w:pPr>
        <w:spacing w:line="240" w:lineRule="auto"/>
      </w:pPr>
    </w:p>
    <w:p w14:paraId="2DAAA362" w14:textId="6B3C512E" w:rsidR="0076036A" w:rsidRDefault="0076036A" w:rsidP="004F2423">
      <w:pPr>
        <w:spacing w:line="240" w:lineRule="auto"/>
      </w:pPr>
    </w:p>
    <w:p w14:paraId="04033778" w14:textId="77DF4A51" w:rsidR="00342000" w:rsidRDefault="00342000" w:rsidP="004F2423">
      <w:pPr>
        <w:spacing w:line="240" w:lineRule="auto"/>
      </w:pPr>
      <w:r>
        <w:rPr>
          <w:noProof/>
          <w:lang w:bidi="ar-SA"/>
        </w:rPr>
        <w:drawing>
          <wp:inline distT="0" distB="0" distL="0" distR="0" wp14:anchorId="4C33015B" wp14:editId="5BC7EAAE">
            <wp:extent cx="3749040" cy="2933571"/>
            <wp:effectExtent l="0" t="0" r="3810" b="63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691.jpg"/>
                    <pic:cNvPicPr/>
                  </pic:nvPicPr>
                  <pic:blipFill>
                    <a:blip r:embed="rId77">
                      <a:extLst>
                        <a:ext uri="{28A0092B-C50C-407E-A947-70E740481C1C}">
                          <a14:useLocalDpi xmlns:a14="http://schemas.microsoft.com/office/drawing/2010/main" val="0"/>
                        </a:ext>
                      </a:extLst>
                    </a:blip>
                    <a:stretch>
                      <a:fillRect/>
                    </a:stretch>
                  </pic:blipFill>
                  <pic:spPr>
                    <a:xfrm>
                      <a:off x="0" y="0"/>
                      <a:ext cx="3749040" cy="2933571"/>
                    </a:xfrm>
                    <a:prstGeom prst="rect">
                      <a:avLst/>
                    </a:prstGeom>
                  </pic:spPr>
                </pic:pic>
              </a:graphicData>
            </a:graphic>
          </wp:inline>
        </w:drawing>
      </w:r>
    </w:p>
    <w:p w14:paraId="318FE60B" w14:textId="68298075" w:rsidR="00342000" w:rsidRDefault="00342000" w:rsidP="00342000">
      <w:pPr>
        <w:spacing w:line="240" w:lineRule="auto"/>
      </w:pPr>
      <w:bookmarkStart w:id="86" w:name="_Toc464499133"/>
      <w:r>
        <w:t xml:space="preserve">Figure 4.26 – Juan Mirabal, </w:t>
      </w:r>
      <w:r w:rsidRPr="00091C82">
        <w:rPr>
          <w:i/>
        </w:rPr>
        <w:t>Fall at Taos Pueblo</w:t>
      </w:r>
      <w:bookmarkEnd w:id="86"/>
    </w:p>
    <w:p w14:paraId="78790703" w14:textId="77777777" w:rsidR="00342000" w:rsidRDefault="00342000" w:rsidP="00342000">
      <w:pPr>
        <w:spacing w:line="240" w:lineRule="auto"/>
      </w:pPr>
    </w:p>
    <w:p w14:paraId="4B9ADF98" w14:textId="560F082F" w:rsidR="00342000" w:rsidRDefault="00342000" w:rsidP="00342000">
      <w:pPr>
        <w:spacing w:line="240" w:lineRule="auto"/>
      </w:pPr>
      <w:r>
        <w:t xml:space="preserve">Juan Mirabal, </w:t>
      </w:r>
      <w:r w:rsidRPr="00091C82">
        <w:rPr>
          <w:i/>
        </w:rPr>
        <w:t>Fall at Taos Pueblo</w:t>
      </w:r>
      <w:r>
        <w:t>. c. 1930, oil on panel. Millicent Roger Museum, Taos, NM.</w:t>
      </w:r>
    </w:p>
    <w:p w14:paraId="32498113" w14:textId="7955E944" w:rsidR="00342000" w:rsidRDefault="00342000" w:rsidP="004F2423">
      <w:pPr>
        <w:spacing w:line="240" w:lineRule="auto"/>
      </w:pPr>
    </w:p>
    <w:p w14:paraId="6FE2BFF3" w14:textId="01289161" w:rsidR="00342000" w:rsidRDefault="00342000" w:rsidP="004F2423">
      <w:pPr>
        <w:spacing w:line="240" w:lineRule="auto"/>
      </w:pPr>
    </w:p>
    <w:p w14:paraId="0C5DD44A" w14:textId="7AE66654" w:rsidR="00342000" w:rsidRDefault="00342000" w:rsidP="004F2423">
      <w:pPr>
        <w:spacing w:line="240" w:lineRule="auto"/>
      </w:pPr>
    </w:p>
    <w:p w14:paraId="73F0A0C8" w14:textId="367E3F55" w:rsidR="00342000" w:rsidRDefault="00342000" w:rsidP="004F2423">
      <w:pPr>
        <w:spacing w:line="240" w:lineRule="auto"/>
      </w:pPr>
    </w:p>
    <w:p w14:paraId="2450681D" w14:textId="5671BC8B" w:rsidR="00342000" w:rsidRDefault="00342000" w:rsidP="004F2423">
      <w:pPr>
        <w:spacing w:line="240" w:lineRule="auto"/>
      </w:pPr>
    </w:p>
    <w:p w14:paraId="645B0247" w14:textId="1A0284C7" w:rsidR="00342000" w:rsidRDefault="00342000" w:rsidP="004F2423">
      <w:pPr>
        <w:spacing w:line="240" w:lineRule="auto"/>
      </w:pPr>
    </w:p>
    <w:p w14:paraId="6DAC7605" w14:textId="2E24DA50" w:rsidR="00342000" w:rsidRDefault="00342000" w:rsidP="004F2423">
      <w:pPr>
        <w:spacing w:line="240" w:lineRule="auto"/>
      </w:pPr>
    </w:p>
    <w:p w14:paraId="56D7EB3B" w14:textId="5FB2CFD1" w:rsidR="00342000" w:rsidRDefault="00342000" w:rsidP="004F2423">
      <w:pPr>
        <w:spacing w:line="240" w:lineRule="auto"/>
      </w:pPr>
    </w:p>
    <w:p w14:paraId="69DB5E2A" w14:textId="77777777" w:rsidR="00342000" w:rsidRDefault="00342000" w:rsidP="004F2423">
      <w:pPr>
        <w:spacing w:line="240" w:lineRule="auto"/>
      </w:pPr>
    </w:p>
    <w:p w14:paraId="3A315EB6" w14:textId="0574586C" w:rsidR="004F2423" w:rsidRDefault="00F720E7" w:rsidP="004F2423">
      <w:pPr>
        <w:spacing w:line="240" w:lineRule="auto"/>
      </w:pPr>
      <w:r>
        <w:rPr>
          <w:noProof/>
          <w:lang w:bidi="ar-SA"/>
        </w:rPr>
        <w:drawing>
          <wp:inline distT="0" distB="0" distL="0" distR="0" wp14:anchorId="5B70EC51" wp14:editId="24B2976C">
            <wp:extent cx="5029200" cy="2014403"/>
            <wp:effectExtent l="0" t="0" r="0" b="508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as the crow.jpg"/>
                    <pic:cNvPicPr/>
                  </pic:nvPicPr>
                  <pic:blipFill>
                    <a:blip r:embed="rId78">
                      <a:extLst>
                        <a:ext uri="{28A0092B-C50C-407E-A947-70E740481C1C}">
                          <a14:useLocalDpi xmlns:a14="http://schemas.microsoft.com/office/drawing/2010/main" val="0"/>
                        </a:ext>
                      </a:extLst>
                    </a:blip>
                    <a:stretch>
                      <a:fillRect/>
                    </a:stretch>
                  </pic:blipFill>
                  <pic:spPr>
                    <a:xfrm>
                      <a:off x="0" y="0"/>
                      <a:ext cx="5029200" cy="2014403"/>
                    </a:xfrm>
                    <a:prstGeom prst="rect">
                      <a:avLst/>
                    </a:prstGeom>
                  </pic:spPr>
                </pic:pic>
              </a:graphicData>
            </a:graphic>
          </wp:inline>
        </w:drawing>
      </w:r>
    </w:p>
    <w:p w14:paraId="318725BC" w14:textId="581B8FB1" w:rsidR="00FB6178" w:rsidRDefault="004F2423" w:rsidP="004F2423">
      <w:pPr>
        <w:spacing w:line="240" w:lineRule="auto"/>
      </w:pPr>
      <w:bookmarkStart w:id="87" w:name="_Toc464499131"/>
      <w:r>
        <w:t>Figure 4.</w:t>
      </w:r>
      <w:r w:rsidR="00342000">
        <w:t>27</w:t>
      </w:r>
      <w:r>
        <w:t xml:space="preserve"> </w:t>
      </w:r>
      <w:r w:rsidR="00F720E7">
        <w:t xml:space="preserve">– </w:t>
      </w:r>
      <w:r>
        <w:t>Taos Pueblo to Blue Lake</w:t>
      </w:r>
      <w:bookmarkEnd w:id="87"/>
    </w:p>
    <w:p w14:paraId="3E80F5CA" w14:textId="77777777" w:rsidR="004F2423" w:rsidRDefault="004F2423" w:rsidP="004F2423">
      <w:pPr>
        <w:spacing w:line="240" w:lineRule="auto"/>
      </w:pPr>
    </w:p>
    <w:p w14:paraId="0591C595" w14:textId="2B38E8E1" w:rsidR="004F2423" w:rsidRDefault="004F2423" w:rsidP="004F2423">
      <w:pPr>
        <w:spacing w:line="240" w:lineRule="auto"/>
      </w:pPr>
      <w:r>
        <w:t xml:space="preserve">Google </w:t>
      </w:r>
      <w:r w:rsidR="006C0526">
        <w:t>Maps. Taos Pueblo to Blue Lake, a</w:t>
      </w:r>
      <w:r w:rsidR="007D753B">
        <w:t>ccessed</w:t>
      </w:r>
      <w:r w:rsidR="006C0526">
        <w:t xml:space="preserve"> October 14, 2016,</w:t>
      </w:r>
      <w:r>
        <w:t xml:space="preserve"> https:///www. google.com/maps</w:t>
      </w:r>
    </w:p>
    <w:p w14:paraId="1611E2F7" w14:textId="40B4A50C" w:rsidR="00FB6178" w:rsidRDefault="00FB6178" w:rsidP="0076036A">
      <w:pPr>
        <w:spacing w:line="240" w:lineRule="auto"/>
      </w:pPr>
    </w:p>
    <w:p w14:paraId="6D2C9180" w14:textId="77777777" w:rsidR="006C0526" w:rsidRDefault="006C0526" w:rsidP="0076036A">
      <w:pPr>
        <w:spacing w:line="240" w:lineRule="auto"/>
      </w:pPr>
    </w:p>
    <w:p w14:paraId="70DB686A" w14:textId="77777777" w:rsidR="00FB6178" w:rsidRDefault="0076036A" w:rsidP="00FB6178">
      <w:pPr>
        <w:spacing w:line="240" w:lineRule="auto"/>
      </w:pPr>
      <w:r>
        <w:rPr>
          <w:noProof/>
          <w:lang w:bidi="ar-SA"/>
        </w:rPr>
        <w:drawing>
          <wp:inline distT="0" distB="0" distL="0" distR="0" wp14:anchorId="26633A43" wp14:editId="4C555E97">
            <wp:extent cx="3810880" cy="256032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Xmass Eve, c. 1932, Charlotte Mittler Collection.jpg"/>
                    <pic:cNvPicPr/>
                  </pic:nvPicPr>
                  <pic:blipFill>
                    <a:blip r:embed="rId79">
                      <a:extLst>
                        <a:ext uri="{28A0092B-C50C-407E-A947-70E740481C1C}">
                          <a14:useLocalDpi xmlns:a14="http://schemas.microsoft.com/office/drawing/2010/main" val="0"/>
                        </a:ext>
                      </a:extLst>
                    </a:blip>
                    <a:stretch>
                      <a:fillRect/>
                    </a:stretch>
                  </pic:blipFill>
                  <pic:spPr>
                    <a:xfrm>
                      <a:off x="0" y="0"/>
                      <a:ext cx="3810880" cy="2560320"/>
                    </a:xfrm>
                    <a:prstGeom prst="rect">
                      <a:avLst/>
                    </a:prstGeom>
                  </pic:spPr>
                </pic:pic>
              </a:graphicData>
            </a:graphic>
          </wp:inline>
        </w:drawing>
      </w:r>
    </w:p>
    <w:p w14:paraId="723E978B" w14:textId="26D4EDE6" w:rsidR="0076036A" w:rsidRDefault="00FB6178" w:rsidP="00FB6178">
      <w:pPr>
        <w:spacing w:line="240" w:lineRule="auto"/>
      </w:pPr>
      <w:bookmarkStart w:id="88" w:name="_Toc464499132"/>
      <w:r>
        <w:t>Figure 4.</w:t>
      </w:r>
      <w:r w:rsidR="00342000">
        <w:t>28</w:t>
      </w:r>
      <w:r w:rsidR="00A4025B">
        <w:t xml:space="preserve"> – Juan </w:t>
      </w:r>
      <w:r>
        <w:t xml:space="preserve">Mirabal, </w:t>
      </w:r>
      <w:r w:rsidRPr="0076036A">
        <w:rPr>
          <w:i/>
        </w:rPr>
        <w:t>Xmass Eve</w:t>
      </w:r>
      <w:bookmarkEnd w:id="88"/>
    </w:p>
    <w:p w14:paraId="61BD8442" w14:textId="4372DE69" w:rsidR="0076036A" w:rsidRDefault="0076036A" w:rsidP="00FB6178">
      <w:pPr>
        <w:spacing w:line="240" w:lineRule="auto"/>
      </w:pPr>
    </w:p>
    <w:p w14:paraId="5C8594F3" w14:textId="7D82D401" w:rsidR="0076036A" w:rsidRPr="0076036A" w:rsidRDefault="0076036A" w:rsidP="00FB6178">
      <w:pPr>
        <w:spacing w:line="240" w:lineRule="auto"/>
      </w:pPr>
      <w:r>
        <w:t xml:space="preserve">Juan Mirabal, </w:t>
      </w:r>
      <w:r w:rsidRPr="0076036A">
        <w:rPr>
          <w:i/>
        </w:rPr>
        <w:t>Xmass Eve</w:t>
      </w:r>
      <w:r w:rsidRPr="0076036A">
        <w:t xml:space="preserve">, c. 1932, </w:t>
      </w:r>
      <w:r>
        <w:t xml:space="preserve">oil o panel. </w:t>
      </w:r>
      <w:r w:rsidRPr="0076036A">
        <w:t>Charlotte Mittler Collection</w:t>
      </w:r>
      <w:r>
        <w:t>.</w:t>
      </w:r>
    </w:p>
    <w:p w14:paraId="28CB3D1C" w14:textId="1921A54D" w:rsidR="0076036A" w:rsidRDefault="0076036A" w:rsidP="00FB6178">
      <w:pPr>
        <w:spacing w:line="240" w:lineRule="auto"/>
      </w:pPr>
    </w:p>
    <w:p w14:paraId="3ACF41B5" w14:textId="77777777" w:rsidR="00DB1BBD" w:rsidRDefault="00DB1BBD" w:rsidP="00FB6178">
      <w:pPr>
        <w:spacing w:line="240" w:lineRule="auto"/>
      </w:pPr>
    </w:p>
    <w:p w14:paraId="464092B4" w14:textId="38BF6578" w:rsidR="00FB6178" w:rsidRDefault="00FB6178" w:rsidP="00FB6178">
      <w:pPr>
        <w:spacing w:line="240" w:lineRule="auto"/>
      </w:pPr>
    </w:p>
    <w:p w14:paraId="72EABEF5" w14:textId="652C6A2F" w:rsidR="00091C82" w:rsidRDefault="00091C82" w:rsidP="00FB6178">
      <w:pPr>
        <w:spacing w:line="240" w:lineRule="auto"/>
      </w:pPr>
    </w:p>
    <w:p w14:paraId="1C1DA30D" w14:textId="264DC05B" w:rsidR="00091C82" w:rsidRDefault="00091C82" w:rsidP="0076036A"/>
    <w:p w14:paraId="693C23CD" w14:textId="22D0B805" w:rsidR="007F29DA" w:rsidRPr="00C168AD" w:rsidRDefault="003E549D" w:rsidP="007F29DA">
      <w:pPr>
        <w:spacing w:line="240" w:lineRule="auto"/>
      </w:pPr>
      <w:r>
        <w:br w:type="page"/>
      </w:r>
    </w:p>
    <w:p w14:paraId="4BC66B50" w14:textId="4C8E640B" w:rsidR="00202848" w:rsidRDefault="000A5828" w:rsidP="00D33940">
      <w:pPr>
        <w:pStyle w:val="Heading1"/>
      </w:pPr>
      <w:bookmarkStart w:id="89" w:name="_Toc468379263"/>
      <w:r w:rsidRPr="00D33940">
        <w:t xml:space="preserve">Chapter 5 </w:t>
      </w:r>
      <w:r w:rsidR="00D33940">
        <w:t>–</w:t>
      </w:r>
      <w:r w:rsidRPr="00D33940">
        <w:t xml:space="preserve"> </w:t>
      </w:r>
      <w:r w:rsidR="00202848" w:rsidRPr="00D33940">
        <w:t>Conclusion</w:t>
      </w:r>
      <w:bookmarkEnd w:id="89"/>
    </w:p>
    <w:p w14:paraId="792AB244" w14:textId="77777777" w:rsidR="00D33940" w:rsidRPr="00D33940" w:rsidRDefault="00D33940" w:rsidP="00D33940">
      <w:pPr>
        <w:rPr>
          <w:lang w:bidi="ar-SA"/>
        </w:rPr>
      </w:pPr>
    </w:p>
    <w:p w14:paraId="7E517D66" w14:textId="6CF9DB82" w:rsidR="00D33940" w:rsidRDefault="00342000" w:rsidP="0069781D">
      <w:pPr>
        <w:ind w:firstLine="720"/>
      </w:pPr>
      <w:r>
        <w:t>Between 1885</w:t>
      </w:r>
      <w:r w:rsidR="00C311CF">
        <w:t xml:space="preserve"> and 1920, </w:t>
      </w:r>
      <w:r w:rsidR="0069781D">
        <w:t xml:space="preserve">Indian Territory, the Hawaiian Islands, and New Mexico Territory </w:t>
      </w:r>
      <w:r w:rsidR="00C311CF">
        <w:t>shared many geopolitical characteristics that made them idea</w:t>
      </w:r>
      <w:r w:rsidR="00D33940">
        <w:t>l</w:t>
      </w:r>
      <w:r w:rsidR="00C311CF">
        <w:t xml:space="preserve"> for this study. Each area was marginal to the burgeoning American empire, yet </w:t>
      </w:r>
      <w:r w:rsidR="00204AEE">
        <w:t xml:space="preserve">would </w:t>
      </w:r>
      <w:r w:rsidR="00C311CF">
        <w:t>in time</w:t>
      </w:r>
      <w:r w:rsidR="00204AEE">
        <w:t xml:space="preserve"> become </w:t>
      </w:r>
      <w:r w:rsidR="00C311CF">
        <w:t>vital</w:t>
      </w:r>
      <w:r w:rsidR="00204AEE">
        <w:t xml:space="preserve">. </w:t>
      </w:r>
      <w:r w:rsidR="00C311CF">
        <w:t>In each case, indigenous peoples were forced to accommodate white settlers under coercive conditions that threatened their sovereignty and culture.</w:t>
      </w:r>
      <w:r w:rsidR="00D33940">
        <w:t xml:space="preserve"> Finally, in each case, Euro-American artists made compelling images and texts of the people and the land, and in each case, </w:t>
      </w:r>
      <w:r w:rsidR="00E939BF">
        <w:t>Native peoples resisted the colonizing narrative through images and texts.</w:t>
      </w:r>
    </w:p>
    <w:p w14:paraId="7F569080" w14:textId="4447F81A" w:rsidR="00F97DEC" w:rsidRDefault="00E939BF" w:rsidP="00E939BF">
      <w:pPr>
        <w:ind w:firstLine="720"/>
      </w:pPr>
      <w:r>
        <w:t>Yet in each case, interesting differences emerged, too</w:t>
      </w:r>
      <w:r w:rsidR="00F97DEC">
        <w:t>. Indian Territory in the nineteenth century was composed of dozens of tribes and so the emerging voices of resistance were Cherokee, Creek, Kiowa and more. At first an overlooked place</w:t>
      </w:r>
      <w:r w:rsidR="00342000">
        <w:t xml:space="preserve">, </w:t>
      </w:r>
      <w:r w:rsidR="009861F0">
        <w:t>by 1885 In</w:t>
      </w:r>
      <w:r w:rsidR="00F97DEC">
        <w:t xml:space="preserve">dian Territory </w:t>
      </w:r>
      <w:r w:rsidR="009861F0">
        <w:t xml:space="preserve">was a militarized contact zone ringed by would-be settlers. </w:t>
      </w:r>
      <w:r w:rsidR="00F97DEC">
        <w:t xml:space="preserve">In contrast, </w:t>
      </w:r>
      <w:r w:rsidR="009861F0">
        <w:t>American and European artist</w:t>
      </w:r>
      <w:r>
        <w:t>s</w:t>
      </w:r>
      <w:r w:rsidR="009861F0">
        <w:t xml:space="preserve"> visited </w:t>
      </w:r>
      <w:r w:rsidR="00F97DEC">
        <w:t xml:space="preserve">the Hawaiian Islands, a far distant outpost virtually unknown to westerners at the start of the century, </w:t>
      </w:r>
      <w:r w:rsidR="009861F0">
        <w:t xml:space="preserve">in the 1880s and transformed Kilauea volcano into a </w:t>
      </w:r>
      <w:r w:rsidR="00F97DEC">
        <w:t>premier tourist zone</w:t>
      </w:r>
      <w:r>
        <w:t xml:space="preserve">. Rather than </w:t>
      </w:r>
      <w:r w:rsidR="00342000">
        <w:t xml:space="preserve">through </w:t>
      </w:r>
      <w:r>
        <w:t xml:space="preserve">images, Hawaiians resisted via newspapers and hula. </w:t>
      </w:r>
      <w:r w:rsidR="009861F0">
        <w:t>Like Hawai’i, artists visited New Mexico Territory</w:t>
      </w:r>
      <w:r w:rsidR="00F97DEC">
        <w:t xml:space="preserve"> </w:t>
      </w:r>
      <w:r w:rsidR="009861F0">
        <w:t xml:space="preserve">in part to </w:t>
      </w:r>
      <w:r>
        <w:t xml:space="preserve">capitalize </w:t>
      </w:r>
      <w:r w:rsidR="00204AEE">
        <w:t>o</w:t>
      </w:r>
      <w:r>
        <w:t xml:space="preserve">n </w:t>
      </w:r>
      <w:r w:rsidR="009861F0">
        <w:t xml:space="preserve">romantic spectacle, in this case of the ancient Puebloan people of Taos. </w:t>
      </w:r>
      <w:r>
        <w:t>Some n</w:t>
      </w:r>
      <w:r w:rsidR="009861F0">
        <w:t xml:space="preserve">ative models resisted, though, both through the art they were featured in </w:t>
      </w:r>
      <w:r>
        <w:t xml:space="preserve">and through their choice to </w:t>
      </w:r>
      <w:r w:rsidR="00DB1BBD">
        <w:t>take up a career as artists.</w:t>
      </w:r>
    </w:p>
    <w:p w14:paraId="68B12950" w14:textId="5AC2E88B" w:rsidR="00E939BF" w:rsidRDefault="00E939BF" w:rsidP="00E939BF">
      <w:pPr>
        <w:ind w:firstLine="720"/>
      </w:pPr>
      <w:r>
        <w:t xml:space="preserve">Moving forward, I </w:t>
      </w:r>
      <w:r w:rsidR="00204AEE">
        <w:t xml:space="preserve">believe </w:t>
      </w:r>
      <w:r>
        <w:t>that the American intra-colonial aesthetic identified and defined in this dissertation will help focus attention on the effects the contact zone has had on shaping the images and texts made in other marginalized areas. The intra-colonial aesthetic, seen in the light of America’s bourgeoning empire at the turn of the twentieth century, can be a useful tool to open up avenues of research for future scholars of art made in other colonial cont</w:t>
      </w:r>
      <w:r w:rsidR="00DB1BBD">
        <w:t>act zones throughout the world.</w:t>
      </w:r>
    </w:p>
    <w:p w14:paraId="2CA5AE0A" w14:textId="2D102416" w:rsidR="006F04B4" w:rsidRDefault="00E939BF" w:rsidP="006F04B4">
      <w:pPr>
        <w:ind w:firstLine="720"/>
      </w:pPr>
      <w:r>
        <w:t xml:space="preserve">Specific to the study of American art, the intra-colonial aesthetic could be useful in analyzing images and texts created </w:t>
      </w:r>
      <w:r w:rsidR="006F04B4">
        <w:t>both in the North American continent as well as in the nascent American territorial empire</w:t>
      </w:r>
      <w:r w:rsidR="00204AEE">
        <w:t xml:space="preserve">. </w:t>
      </w:r>
      <w:r w:rsidR="006F04B4">
        <w:t xml:space="preserve">At the same time the American global empire was spreading, the </w:t>
      </w:r>
      <w:r w:rsidR="00BD6C13">
        <w:t xml:space="preserve">geography of the </w:t>
      </w:r>
      <w:r w:rsidR="006F04B4">
        <w:t xml:space="preserve">continental United States was </w:t>
      </w:r>
      <w:r w:rsidR="00BD6C13">
        <w:t>solidifying into today’s map</w:t>
      </w:r>
      <w:r w:rsidR="006F04B4">
        <w:t xml:space="preserve">. Of particular interest, Arizona, admitted to the Union in 1912, and Alaska, admitted to the Union in 1959, faced similar, yet different, problems from Indian Territory. Both Arizona and Alaska started as far-west territories, and each faced the problems inherent in a contact zone, yet the unique history of each area </w:t>
      </w:r>
      <w:r w:rsidR="00BD6C13">
        <w:t>and the vastly different geography of each s</w:t>
      </w:r>
      <w:r w:rsidR="006F04B4">
        <w:t>hould be served well by the flexible intra-colonial model.</w:t>
      </w:r>
    </w:p>
    <w:p w14:paraId="6DA717A8" w14:textId="052B32FF" w:rsidR="006F04B4" w:rsidRDefault="00204AEE" w:rsidP="00E939BF">
      <w:pPr>
        <w:ind w:firstLine="720"/>
      </w:pPr>
      <w:r>
        <w:t>Worldwide, i</w:t>
      </w:r>
      <w:r w:rsidR="00E939BF">
        <w:t>n the aftermath of the 1898 Spanish-American War</w:t>
      </w:r>
      <w:r w:rsidR="006F04B4">
        <w:t>,</w:t>
      </w:r>
      <w:r w:rsidR="00E939BF">
        <w:t xml:space="preserve"> Cuba briefly (1898-1902) and the Philippines for a much longer time (1898-1946) were part of the America imperial orbit. </w:t>
      </w:r>
      <w:r w:rsidR="006F04B4">
        <w:t>T</w:t>
      </w:r>
      <w:r w:rsidR="00E939BF">
        <w:t xml:space="preserve">he case of the Philippines, ruled for three centuries by Spain, could be an especially profitable case study in the different responses to different colonial situations. In contrast, both Puerto Rico and Guam remain territorial possessions of the United States. Much as native Hawaiians still resist </w:t>
      </w:r>
      <w:r w:rsidR="006F04B4">
        <w:t>non-Hawaiian ways of knowing and using Kilauea</w:t>
      </w:r>
      <w:r w:rsidR="00E939BF">
        <w:t xml:space="preserve">, </w:t>
      </w:r>
      <w:r w:rsidR="006F04B4">
        <w:t>it would be interesting to compare and contrast historic and contemporary forms of resistance to colonialism as seen in art and texts in Guam and Puerto Rico.</w:t>
      </w:r>
    </w:p>
    <w:p w14:paraId="7E4B86C3" w14:textId="6C75B89C" w:rsidR="00E939BF" w:rsidRDefault="006F04B4" w:rsidP="0069781D">
      <w:pPr>
        <w:ind w:firstLine="720"/>
      </w:pPr>
      <w:r>
        <w:t>The final area of research that could be furthered with this model is the “Scramble for Africa</w:t>
      </w:r>
      <w:r w:rsidR="00204AEE">
        <w:t>”</w:t>
      </w:r>
      <w:r>
        <w:t xml:space="preserve"> and global colonialism from the 1870s to World War I. </w:t>
      </w:r>
      <w:r w:rsidR="00204AEE">
        <w:t xml:space="preserve">Although </w:t>
      </w:r>
      <w:r>
        <w:t xml:space="preserve">significant attention has been given to this topic, </w:t>
      </w:r>
      <w:r w:rsidR="00204AEE">
        <w:t>history and</w:t>
      </w:r>
      <w:r>
        <w:t xml:space="preserve"> literary studies</w:t>
      </w:r>
      <w:r w:rsidR="00204AEE">
        <w:t xml:space="preserve"> </w:t>
      </w:r>
      <w:r w:rsidR="00342000">
        <w:t xml:space="preserve">have </w:t>
      </w:r>
      <w:r w:rsidR="00204AEE">
        <w:t>tend</w:t>
      </w:r>
      <w:r w:rsidR="00342000">
        <w:t>ed</w:t>
      </w:r>
      <w:r w:rsidR="00204AEE">
        <w:t xml:space="preserve"> to lead the way. What additional contributions can art historians make? </w:t>
      </w:r>
    </w:p>
    <w:p w14:paraId="0EDCBC6D" w14:textId="16EA8E70" w:rsidR="00204AEE" w:rsidRDefault="00204AEE">
      <w:pPr>
        <w:spacing w:line="240" w:lineRule="auto"/>
      </w:pPr>
      <w:r>
        <w:br w:type="page"/>
      </w:r>
    </w:p>
    <w:p w14:paraId="53E92924" w14:textId="71C788EC" w:rsidR="00B26394" w:rsidRPr="008457EF" w:rsidRDefault="00186DCC" w:rsidP="008457EF">
      <w:pPr>
        <w:pStyle w:val="Heading2"/>
      </w:pPr>
      <w:bookmarkStart w:id="90" w:name="_Toc468379264"/>
      <w:r w:rsidRPr="008457EF">
        <w:t>Bibliography</w:t>
      </w:r>
      <w:bookmarkEnd w:id="18"/>
      <w:bookmarkEnd w:id="60"/>
      <w:bookmarkEnd w:id="90"/>
    </w:p>
    <w:p w14:paraId="43E1AE74" w14:textId="3D9EFE5C"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Adamson, Walter L. </w:t>
      </w:r>
      <w:r w:rsidRPr="00DA1E36">
        <w:rPr>
          <w:rFonts w:ascii="Times New Roman" w:hAnsi="Times New Roman"/>
          <w:i/>
          <w:szCs w:val="24"/>
        </w:rPr>
        <w:t>Hegemony and Revolution: A Study of Antonio Gramsci’s Political</w:t>
      </w:r>
      <w:r>
        <w:rPr>
          <w:rFonts w:ascii="Times New Roman" w:hAnsi="Times New Roman"/>
          <w:i/>
          <w:szCs w:val="24"/>
        </w:rPr>
        <w:tab/>
      </w:r>
      <w:r w:rsidRPr="00DA1E36">
        <w:rPr>
          <w:rFonts w:ascii="Times New Roman" w:hAnsi="Times New Roman"/>
          <w:i/>
          <w:szCs w:val="24"/>
        </w:rPr>
        <w:t>and Cultural</w:t>
      </w:r>
      <w:r>
        <w:rPr>
          <w:rFonts w:ascii="Times New Roman" w:hAnsi="Times New Roman"/>
          <w:i/>
          <w:szCs w:val="24"/>
        </w:rPr>
        <w:t xml:space="preserve"> </w:t>
      </w:r>
      <w:r w:rsidRPr="00DA1E36">
        <w:rPr>
          <w:rFonts w:ascii="Times New Roman" w:hAnsi="Times New Roman"/>
          <w:i/>
          <w:szCs w:val="24"/>
        </w:rPr>
        <w:t>Theory</w:t>
      </w:r>
      <w:r w:rsidRPr="00DA1E36">
        <w:rPr>
          <w:rFonts w:ascii="Times New Roman" w:hAnsi="Times New Roman"/>
          <w:szCs w:val="24"/>
        </w:rPr>
        <w:t>. Berkley</w:t>
      </w:r>
      <w:r>
        <w:rPr>
          <w:rFonts w:ascii="Times New Roman" w:hAnsi="Times New Roman"/>
          <w:szCs w:val="24"/>
        </w:rPr>
        <w:t>, CA</w:t>
      </w:r>
      <w:r w:rsidRPr="00DA1E36">
        <w:rPr>
          <w:rFonts w:ascii="Times New Roman" w:hAnsi="Times New Roman"/>
          <w:szCs w:val="24"/>
        </w:rPr>
        <w:t>: Univer</w:t>
      </w:r>
      <w:r w:rsidR="000C5C0B">
        <w:rPr>
          <w:rFonts w:ascii="Times New Roman" w:hAnsi="Times New Roman"/>
          <w:szCs w:val="24"/>
        </w:rPr>
        <w:t>sity of California Press, 1980.</w:t>
      </w:r>
    </w:p>
    <w:p w14:paraId="43EE8084" w14:textId="126D647C" w:rsidR="00186DCC" w:rsidRDefault="00186DCC" w:rsidP="00186DCC">
      <w:pPr>
        <w:pStyle w:val="NoSpacing"/>
        <w:rPr>
          <w:rFonts w:ascii="Times New Roman" w:hAnsi="Times New Roman"/>
          <w:szCs w:val="24"/>
        </w:rPr>
      </w:pPr>
    </w:p>
    <w:p w14:paraId="557B0339" w14:textId="2BCEC934" w:rsidR="0016471F" w:rsidRDefault="0016471F" w:rsidP="00186DCC">
      <w:pPr>
        <w:pStyle w:val="NoSpacing"/>
        <w:rPr>
          <w:rFonts w:ascii="Times New Roman" w:hAnsi="Times New Roman"/>
          <w:szCs w:val="24"/>
        </w:rPr>
      </w:pPr>
      <w:r>
        <w:rPr>
          <w:rFonts w:ascii="Times New Roman" w:hAnsi="Times New Roman"/>
          <w:szCs w:val="24"/>
        </w:rPr>
        <w:t xml:space="preserve">Alvarez, Joseph, ed. </w:t>
      </w:r>
      <w:r w:rsidRPr="007F2CED">
        <w:rPr>
          <w:rFonts w:ascii="Times New Roman" w:hAnsi="Times New Roman"/>
          <w:i/>
          <w:szCs w:val="24"/>
        </w:rPr>
        <w:t>Mark Twain’s Geographic Imagination</w:t>
      </w:r>
      <w:r>
        <w:rPr>
          <w:rFonts w:ascii="Times New Roman" w:hAnsi="Times New Roman"/>
          <w:szCs w:val="24"/>
        </w:rPr>
        <w:t>.</w:t>
      </w:r>
      <w:r w:rsidR="007F2CED">
        <w:rPr>
          <w:rFonts w:ascii="Times New Roman" w:hAnsi="Times New Roman"/>
          <w:szCs w:val="24"/>
        </w:rPr>
        <w:t xml:space="preserve"> Newcastle Upon Tyne</w:t>
      </w:r>
      <w:r w:rsidR="00264A78">
        <w:rPr>
          <w:rFonts w:ascii="Times New Roman" w:hAnsi="Times New Roman"/>
          <w:szCs w:val="24"/>
        </w:rPr>
        <w:t>:</w:t>
      </w:r>
      <w:r w:rsidR="00264A78">
        <w:rPr>
          <w:rFonts w:ascii="Times New Roman" w:hAnsi="Times New Roman"/>
          <w:szCs w:val="24"/>
        </w:rPr>
        <w:tab/>
        <w:t xml:space="preserve">Cambridge Scholar, </w:t>
      </w:r>
      <w:r w:rsidR="007F2CED">
        <w:rPr>
          <w:rFonts w:ascii="Times New Roman" w:hAnsi="Times New Roman"/>
          <w:szCs w:val="24"/>
        </w:rPr>
        <w:t xml:space="preserve">2009. </w:t>
      </w:r>
    </w:p>
    <w:p w14:paraId="0B8FFFDC" w14:textId="681DACCC" w:rsidR="0016471F" w:rsidRDefault="0016471F" w:rsidP="00186DCC">
      <w:pPr>
        <w:pStyle w:val="NoSpacing"/>
        <w:rPr>
          <w:rFonts w:ascii="Times New Roman" w:hAnsi="Times New Roman"/>
          <w:szCs w:val="24"/>
        </w:rPr>
      </w:pPr>
      <w:r>
        <w:rPr>
          <w:rFonts w:ascii="Times New Roman" w:hAnsi="Times New Roman"/>
          <w:szCs w:val="24"/>
        </w:rPr>
        <w:t xml:space="preserve"> </w:t>
      </w:r>
    </w:p>
    <w:p w14:paraId="7843FCDF" w14:textId="480F7A19" w:rsidR="00F244FB" w:rsidRPr="00E6018E" w:rsidRDefault="00F244FB" w:rsidP="00186DCC">
      <w:pPr>
        <w:pStyle w:val="NoSpacing"/>
        <w:rPr>
          <w:rFonts w:asciiTheme="majorHAnsi" w:hAnsiTheme="majorHAnsi" w:cstheme="majorHAnsi"/>
          <w:szCs w:val="24"/>
        </w:rPr>
      </w:pPr>
      <w:r w:rsidRPr="00F244FB">
        <w:rPr>
          <w:rFonts w:asciiTheme="majorHAnsi" w:hAnsiTheme="majorHAnsi" w:cstheme="majorHAnsi"/>
          <w:color w:val="000000"/>
          <w:szCs w:val="24"/>
          <w:lang w:bidi="ar-SA"/>
        </w:rPr>
        <w:t xml:space="preserve">“A Notable Picture: The Latest from the Brush of Jules Tavernier,” </w:t>
      </w:r>
      <w:r w:rsidRPr="00F244FB">
        <w:rPr>
          <w:rFonts w:asciiTheme="majorHAnsi" w:hAnsiTheme="majorHAnsi" w:cstheme="majorHAnsi"/>
          <w:i/>
          <w:color w:val="000000"/>
          <w:szCs w:val="24"/>
          <w:lang w:bidi="ar-SA"/>
        </w:rPr>
        <w:t>Pacific Commercial</w:t>
      </w:r>
      <w:r>
        <w:rPr>
          <w:rFonts w:asciiTheme="majorHAnsi" w:hAnsiTheme="majorHAnsi" w:cstheme="majorHAnsi"/>
          <w:i/>
          <w:color w:val="000000"/>
          <w:szCs w:val="24"/>
          <w:lang w:bidi="ar-SA"/>
        </w:rPr>
        <w:tab/>
      </w:r>
      <w:r w:rsidRPr="00F244FB">
        <w:rPr>
          <w:rFonts w:asciiTheme="majorHAnsi" w:hAnsiTheme="majorHAnsi" w:cstheme="majorHAnsi"/>
          <w:i/>
          <w:color w:val="000000"/>
          <w:szCs w:val="24"/>
          <w:lang w:bidi="ar-SA"/>
        </w:rPr>
        <w:t>Advertiser</w:t>
      </w:r>
      <w:r w:rsidRPr="00E6018E">
        <w:rPr>
          <w:rFonts w:asciiTheme="majorHAnsi" w:hAnsiTheme="majorHAnsi" w:cstheme="majorHAnsi"/>
          <w:szCs w:val="24"/>
          <w:lang w:bidi="ar-SA"/>
        </w:rPr>
        <w:t xml:space="preserve">, September 23, 1887. </w:t>
      </w:r>
      <w:r w:rsidRPr="00E6018E">
        <w:rPr>
          <w:rFonts w:asciiTheme="majorHAnsi" w:hAnsiTheme="majorHAnsi" w:cstheme="majorHAnsi"/>
          <w:szCs w:val="24"/>
        </w:rPr>
        <w:t>Accessed Sept</w:t>
      </w:r>
      <w:r w:rsidR="00A801C3" w:rsidRPr="00E6018E">
        <w:rPr>
          <w:rFonts w:asciiTheme="majorHAnsi" w:hAnsiTheme="majorHAnsi" w:cstheme="majorHAnsi"/>
          <w:szCs w:val="24"/>
        </w:rPr>
        <w:t xml:space="preserve">ember 27, 2016. </w:t>
      </w:r>
      <w:hyperlink w:history="1">
        <w:r w:rsidR="00E6018E" w:rsidRPr="00E6018E">
          <w:rPr>
            <w:rStyle w:val="Hyperlink"/>
            <w:rFonts w:asciiTheme="majorHAnsi" w:hAnsiTheme="majorHAnsi" w:cstheme="majorHAnsi"/>
            <w:color w:val="auto"/>
            <w:szCs w:val="24"/>
            <w:u w:val="none"/>
          </w:rPr>
          <w:t>http://chronicli</w:t>
        </w:r>
        <w:r w:rsidR="00E6018E" w:rsidRPr="00E6018E">
          <w:rPr>
            <w:rStyle w:val="Hyperlink"/>
            <w:rFonts w:asciiTheme="majorHAnsi" w:hAnsiTheme="majorHAnsi" w:cstheme="majorHAnsi"/>
            <w:color w:val="auto"/>
            <w:szCs w:val="24"/>
            <w:u w:val="none"/>
          </w:rPr>
          <w:tab/>
          <w:t>ngamerica.loc.gov/lccn/sn85047084/1889-06-21/ed-1/</w:t>
        </w:r>
      </w:hyperlink>
      <w:r w:rsidRPr="00E6018E">
        <w:rPr>
          <w:rFonts w:asciiTheme="majorHAnsi" w:hAnsiTheme="majorHAnsi" w:cstheme="majorHAnsi"/>
          <w:szCs w:val="24"/>
        </w:rPr>
        <w:t>.</w:t>
      </w:r>
    </w:p>
    <w:p w14:paraId="00BE74BD" w14:textId="77777777" w:rsidR="00F244FB" w:rsidRPr="00E6018E" w:rsidRDefault="00F244FB" w:rsidP="00186DCC">
      <w:pPr>
        <w:pStyle w:val="NoSpacing"/>
        <w:rPr>
          <w:rFonts w:asciiTheme="majorHAnsi" w:hAnsiTheme="majorHAnsi" w:cstheme="majorHAnsi"/>
          <w:szCs w:val="24"/>
        </w:rPr>
      </w:pPr>
    </w:p>
    <w:p w14:paraId="46680BF6" w14:textId="7F097DCA" w:rsidR="00614649" w:rsidRDefault="00614649" w:rsidP="00186DCC">
      <w:pPr>
        <w:pStyle w:val="NoSpacing"/>
        <w:rPr>
          <w:rFonts w:asciiTheme="majorHAnsi" w:hAnsiTheme="majorHAnsi" w:cstheme="majorHAnsi"/>
          <w:szCs w:val="24"/>
        </w:rPr>
      </w:pPr>
      <w:r>
        <w:rPr>
          <w:rFonts w:asciiTheme="majorHAnsi" w:hAnsiTheme="majorHAnsi" w:cstheme="majorHAnsi"/>
          <w:szCs w:val="24"/>
        </w:rPr>
        <w:t xml:space="preserve">Bacca, Elmo. “Taos Pueblo Painters.” </w:t>
      </w:r>
      <w:r w:rsidRPr="00614649">
        <w:rPr>
          <w:rFonts w:asciiTheme="majorHAnsi" w:hAnsiTheme="majorHAnsi" w:cstheme="majorHAnsi"/>
          <w:i/>
          <w:szCs w:val="24"/>
        </w:rPr>
        <w:t>New Mexico Magazine</w:t>
      </w:r>
      <w:r>
        <w:rPr>
          <w:rFonts w:asciiTheme="majorHAnsi" w:hAnsiTheme="majorHAnsi" w:cstheme="majorHAnsi"/>
          <w:szCs w:val="24"/>
        </w:rPr>
        <w:t xml:space="preserve"> </w:t>
      </w:r>
      <w:r w:rsidR="00DB1BBD">
        <w:rPr>
          <w:rFonts w:asciiTheme="majorHAnsi" w:hAnsiTheme="majorHAnsi" w:cstheme="majorHAnsi"/>
          <w:szCs w:val="24"/>
        </w:rPr>
        <w:t>81, no 1 (January 2003):</w:t>
      </w:r>
      <w:r w:rsidR="00DB1BBD">
        <w:rPr>
          <w:rFonts w:asciiTheme="majorHAnsi" w:hAnsiTheme="majorHAnsi" w:cstheme="majorHAnsi"/>
          <w:szCs w:val="24"/>
        </w:rPr>
        <w:tab/>
        <w:t>64-68.</w:t>
      </w:r>
    </w:p>
    <w:p w14:paraId="18B51A57" w14:textId="77777777" w:rsidR="00614649" w:rsidRDefault="00614649" w:rsidP="00186DCC">
      <w:pPr>
        <w:pStyle w:val="NoSpacing"/>
        <w:rPr>
          <w:rFonts w:asciiTheme="majorHAnsi" w:hAnsiTheme="majorHAnsi" w:cstheme="majorHAnsi"/>
          <w:szCs w:val="24"/>
        </w:rPr>
      </w:pPr>
    </w:p>
    <w:p w14:paraId="60B9CA27" w14:textId="48B667B3" w:rsidR="0020094F" w:rsidRPr="0020094F" w:rsidRDefault="0020094F" w:rsidP="00186DCC">
      <w:pPr>
        <w:pStyle w:val="NoSpacing"/>
        <w:rPr>
          <w:rFonts w:asciiTheme="majorHAnsi" w:hAnsiTheme="majorHAnsi" w:cstheme="majorHAnsi"/>
          <w:szCs w:val="24"/>
        </w:rPr>
      </w:pPr>
      <w:r w:rsidRPr="0020094F">
        <w:rPr>
          <w:rFonts w:asciiTheme="majorHAnsi" w:hAnsiTheme="majorHAnsi" w:cstheme="majorHAnsi"/>
          <w:szCs w:val="24"/>
        </w:rPr>
        <w:t xml:space="preserve">Bedell, Rebecca. </w:t>
      </w:r>
      <w:r w:rsidRPr="0020094F">
        <w:rPr>
          <w:rFonts w:asciiTheme="majorHAnsi" w:hAnsiTheme="majorHAnsi" w:cstheme="majorHAnsi"/>
          <w:i/>
          <w:szCs w:val="24"/>
        </w:rPr>
        <w:t>The Anatomy of Nature: Geology and American Landscape Painting,</w:t>
      </w:r>
      <w:r>
        <w:rPr>
          <w:rFonts w:asciiTheme="majorHAnsi" w:hAnsiTheme="majorHAnsi" w:cstheme="majorHAnsi"/>
          <w:i/>
          <w:szCs w:val="24"/>
        </w:rPr>
        <w:tab/>
      </w:r>
      <w:r w:rsidRPr="0020094F">
        <w:rPr>
          <w:rFonts w:asciiTheme="majorHAnsi" w:hAnsiTheme="majorHAnsi" w:cstheme="majorHAnsi"/>
          <w:i/>
          <w:szCs w:val="24"/>
        </w:rPr>
        <w:t>1825-1875</w:t>
      </w:r>
      <w:r w:rsidRPr="0020094F">
        <w:rPr>
          <w:rFonts w:asciiTheme="majorHAnsi" w:hAnsiTheme="majorHAnsi" w:cstheme="majorHAnsi"/>
          <w:szCs w:val="24"/>
        </w:rPr>
        <w:t>. Princeton</w:t>
      </w:r>
      <w:r w:rsidR="00E6018E">
        <w:rPr>
          <w:rFonts w:asciiTheme="majorHAnsi" w:hAnsiTheme="majorHAnsi" w:cstheme="majorHAnsi"/>
          <w:szCs w:val="24"/>
        </w:rPr>
        <w:t>, NJ</w:t>
      </w:r>
      <w:r w:rsidRPr="0020094F">
        <w:rPr>
          <w:rFonts w:asciiTheme="majorHAnsi" w:hAnsiTheme="majorHAnsi" w:cstheme="majorHAnsi"/>
          <w:szCs w:val="24"/>
        </w:rPr>
        <w:t>:</w:t>
      </w:r>
      <w:r>
        <w:rPr>
          <w:rFonts w:asciiTheme="majorHAnsi" w:hAnsiTheme="majorHAnsi" w:cstheme="majorHAnsi"/>
          <w:szCs w:val="24"/>
        </w:rPr>
        <w:t xml:space="preserve"> </w:t>
      </w:r>
      <w:r w:rsidRPr="0020094F">
        <w:rPr>
          <w:rFonts w:asciiTheme="majorHAnsi" w:hAnsiTheme="majorHAnsi" w:cstheme="majorHAnsi"/>
          <w:szCs w:val="24"/>
        </w:rPr>
        <w:t>Princeton University Press, 2001.</w:t>
      </w:r>
    </w:p>
    <w:p w14:paraId="70B83972" w14:textId="77777777" w:rsidR="0020094F" w:rsidRPr="0020094F" w:rsidRDefault="0020094F" w:rsidP="00186DCC">
      <w:pPr>
        <w:pStyle w:val="NoSpacing"/>
        <w:rPr>
          <w:rFonts w:asciiTheme="majorHAnsi" w:hAnsiTheme="majorHAnsi" w:cstheme="majorHAnsi"/>
          <w:szCs w:val="24"/>
        </w:rPr>
      </w:pPr>
    </w:p>
    <w:p w14:paraId="2FC522C4" w14:textId="7A060327" w:rsidR="00186DCC" w:rsidRPr="00DA1E36" w:rsidRDefault="00186DCC" w:rsidP="00186DCC">
      <w:pPr>
        <w:pStyle w:val="NoSpacing"/>
        <w:rPr>
          <w:rFonts w:ascii="Times New Roman" w:hAnsi="Times New Roman"/>
          <w:szCs w:val="24"/>
        </w:rPr>
      </w:pPr>
      <w:r w:rsidRPr="0020094F">
        <w:rPr>
          <w:rFonts w:asciiTheme="majorHAnsi" w:hAnsiTheme="majorHAnsi" w:cstheme="majorHAnsi"/>
          <w:szCs w:val="24"/>
        </w:rPr>
        <w:t>Banner, Stuart. “Preparing to Be Colonized: Land Tenure and Legal Strategy in</w:t>
      </w:r>
      <w:r w:rsidRPr="0020094F">
        <w:rPr>
          <w:rFonts w:asciiTheme="majorHAnsi" w:hAnsiTheme="majorHAnsi" w:cstheme="majorHAnsi"/>
          <w:szCs w:val="24"/>
        </w:rPr>
        <w:tab/>
      </w:r>
      <w:r w:rsidRPr="0020094F">
        <w:rPr>
          <w:rFonts w:asciiTheme="majorHAnsi" w:hAnsiTheme="majorHAnsi" w:cstheme="majorHAnsi"/>
          <w:szCs w:val="24"/>
        </w:rPr>
        <w:tab/>
        <w:t xml:space="preserve">Nineteenth-Century Hawaii.” </w:t>
      </w:r>
      <w:r w:rsidRPr="0020094F">
        <w:rPr>
          <w:rFonts w:asciiTheme="majorHAnsi" w:hAnsiTheme="majorHAnsi" w:cstheme="majorHAnsi"/>
          <w:i/>
          <w:szCs w:val="24"/>
        </w:rPr>
        <w:t>Law and Society</w:t>
      </w:r>
      <w:r w:rsidRPr="00DA1E36">
        <w:rPr>
          <w:rFonts w:ascii="Times New Roman" w:hAnsi="Times New Roman"/>
          <w:i/>
          <w:szCs w:val="24"/>
        </w:rPr>
        <w:t xml:space="preserve"> Review</w:t>
      </w:r>
      <w:r>
        <w:rPr>
          <w:rFonts w:ascii="Times New Roman" w:hAnsi="Times New Roman"/>
          <w:szCs w:val="24"/>
        </w:rPr>
        <w:t>,</w:t>
      </w:r>
      <w:r w:rsidR="00E6018E">
        <w:rPr>
          <w:rFonts w:ascii="Times New Roman" w:hAnsi="Times New Roman"/>
          <w:szCs w:val="24"/>
        </w:rPr>
        <w:t xml:space="preserve"> 39, no. </w:t>
      </w:r>
      <w:r w:rsidRPr="00DA1E36">
        <w:rPr>
          <w:rFonts w:ascii="Times New Roman" w:hAnsi="Times New Roman"/>
          <w:szCs w:val="24"/>
        </w:rPr>
        <w:t>2 (June 2005)</w:t>
      </w:r>
      <w:r w:rsidR="00614649">
        <w:rPr>
          <w:rFonts w:ascii="Times New Roman" w:hAnsi="Times New Roman"/>
          <w:szCs w:val="24"/>
        </w:rPr>
        <w:t>:</w:t>
      </w:r>
      <w:r w:rsidR="00E6018E">
        <w:rPr>
          <w:rFonts w:ascii="Times New Roman" w:hAnsi="Times New Roman"/>
          <w:szCs w:val="24"/>
        </w:rPr>
        <w:tab/>
      </w:r>
      <w:r w:rsidRPr="00DA1E36">
        <w:rPr>
          <w:rFonts w:ascii="Times New Roman" w:hAnsi="Times New Roman"/>
          <w:szCs w:val="24"/>
        </w:rPr>
        <w:t>273-314.</w:t>
      </w:r>
    </w:p>
    <w:p w14:paraId="38D398BD" w14:textId="77777777" w:rsidR="00186DCC" w:rsidRPr="00DA1E36" w:rsidRDefault="00186DCC" w:rsidP="00186DCC">
      <w:pPr>
        <w:pStyle w:val="NoSpacing"/>
        <w:rPr>
          <w:rFonts w:ascii="Times New Roman" w:hAnsi="Times New Roman"/>
          <w:szCs w:val="24"/>
        </w:rPr>
      </w:pPr>
    </w:p>
    <w:p w14:paraId="289754D7" w14:textId="3C8D0192"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Barrell, John. </w:t>
      </w:r>
      <w:r w:rsidRPr="00DA1E36">
        <w:rPr>
          <w:rFonts w:ascii="Times New Roman" w:hAnsi="Times New Roman"/>
          <w:i/>
          <w:szCs w:val="24"/>
        </w:rPr>
        <w:t>The Dark Side of the Landscape: The Rural Poor in English Paintings,</w:t>
      </w:r>
      <w:r>
        <w:rPr>
          <w:rFonts w:ascii="Times New Roman" w:hAnsi="Times New Roman"/>
          <w:i/>
          <w:szCs w:val="24"/>
        </w:rPr>
        <w:tab/>
      </w:r>
      <w:r w:rsidRPr="00DA1E36">
        <w:rPr>
          <w:rFonts w:ascii="Times New Roman" w:hAnsi="Times New Roman"/>
          <w:i/>
          <w:szCs w:val="24"/>
        </w:rPr>
        <w:t>1730-1840</w:t>
      </w:r>
      <w:r w:rsidRPr="00DA1E36">
        <w:rPr>
          <w:rFonts w:ascii="Times New Roman" w:hAnsi="Times New Roman"/>
          <w:szCs w:val="24"/>
        </w:rPr>
        <w:t>.</w:t>
      </w:r>
      <w:r>
        <w:rPr>
          <w:rFonts w:ascii="Times New Roman" w:hAnsi="Times New Roman"/>
          <w:szCs w:val="24"/>
        </w:rPr>
        <w:t xml:space="preserve"> </w:t>
      </w:r>
      <w:r w:rsidR="0099395F">
        <w:rPr>
          <w:rFonts w:ascii="Times New Roman" w:hAnsi="Times New Roman"/>
          <w:szCs w:val="24"/>
        </w:rPr>
        <w:t xml:space="preserve">Cambridge: </w:t>
      </w:r>
      <w:r w:rsidRPr="00DA1E36">
        <w:rPr>
          <w:rFonts w:ascii="Times New Roman" w:hAnsi="Times New Roman"/>
          <w:szCs w:val="24"/>
        </w:rPr>
        <w:t>Cambridge University Press, 1983.</w:t>
      </w:r>
    </w:p>
    <w:p w14:paraId="509E8F33" w14:textId="0CAD4DEF" w:rsidR="00186DCC" w:rsidRDefault="009B1217" w:rsidP="009B1217">
      <w:pPr>
        <w:pStyle w:val="NoSpacing"/>
        <w:tabs>
          <w:tab w:val="left" w:pos="6727"/>
        </w:tabs>
        <w:rPr>
          <w:rFonts w:ascii="Times New Roman" w:hAnsi="Times New Roman"/>
          <w:szCs w:val="24"/>
        </w:rPr>
      </w:pPr>
      <w:r>
        <w:rPr>
          <w:rFonts w:ascii="Times New Roman" w:hAnsi="Times New Roman"/>
          <w:szCs w:val="24"/>
        </w:rPr>
        <w:tab/>
      </w:r>
    </w:p>
    <w:p w14:paraId="49672D67" w14:textId="71E61073" w:rsidR="00A464EF" w:rsidRDefault="00A464EF" w:rsidP="00186DCC">
      <w:pPr>
        <w:pStyle w:val="NoSpacing"/>
        <w:rPr>
          <w:szCs w:val="24"/>
        </w:rPr>
      </w:pPr>
      <w:r>
        <w:rPr>
          <w:szCs w:val="24"/>
        </w:rPr>
        <w:t xml:space="preserve">Barter, Judith A. </w:t>
      </w:r>
      <w:r>
        <w:rPr>
          <w:i/>
          <w:szCs w:val="24"/>
        </w:rPr>
        <w:t>Window on the West: Chicago and the Art of the New Frontier, 1890-</w:t>
      </w:r>
      <w:r>
        <w:rPr>
          <w:i/>
          <w:szCs w:val="24"/>
        </w:rPr>
        <w:tab/>
        <w:t>1940</w:t>
      </w:r>
      <w:r>
        <w:rPr>
          <w:szCs w:val="24"/>
        </w:rPr>
        <w:t>. Chicago: Art Institute of Chicago, and New York: Hudson Hills Press,</w:t>
      </w:r>
      <w:r>
        <w:rPr>
          <w:szCs w:val="24"/>
        </w:rPr>
        <w:tab/>
        <w:t>2003.</w:t>
      </w:r>
    </w:p>
    <w:p w14:paraId="2171C9CE" w14:textId="77777777" w:rsidR="00A464EF" w:rsidRDefault="00A464EF" w:rsidP="00186DCC">
      <w:pPr>
        <w:pStyle w:val="NoSpacing"/>
        <w:rPr>
          <w:rFonts w:ascii="Times New Roman" w:hAnsi="Times New Roman"/>
          <w:szCs w:val="24"/>
        </w:rPr>
      </w:pPr>
    </w:p>
    <w:p w14:paraId="2C2478FB" w14:textId="5B33E389" w:rsidR="007F2CED" w:rsidRDefault="007F2CED" w:rsidP="00186DCC">
      <w:pPr>
        <w:pStyle w:val="NoSpacing"/>
        <w:rPr>
          <w:rFonts w:ascii="Times New Roman" w:hAnsi="Times New Roman"/>
          <w:szCs w:val="24"/>
        </w:rPr>
      </w:pPr>
      <w:r>
        <w:rPr>
          <w:rFonts w:ascii="Times New Roman" w:hAnsi="Times New Roman"/>
          <w:szCs w:val="24"/>
        </w:rPr>
        <w:t xml:space="preserve">Beaulieu, Jill, and </w:t>
      </w:r>
      <w:r w:rsidR="00037120">
        <w:rPr>
          <w:rFonts w:ascii="Times New Roman" w:hAnsi="Times New Roman"/>
          <w:szCs w:val="24"/>
        </w:rPr>
        <w:t xml:space="preserve">Mary </w:t>
      </w:r>
      <w:r>
        <w:rPr>
          <w:rFonts w:ascii="Times New Roman" w:hAnsi="Times New Roman"/>
          <w:szCs w:val="24"/>
        </w:rPr>
        <w:t>Roberts,</w:t>
      </w:r>
      <w:r w:rsidR="00037120">
        <w:rPr>
          <w:rFonts w:ascii="Times New Roman" w:hAnsi="Times New Roman"/>
          <w:szCs w:val="24"/>
        </w:rPr>
        <w:t xml:space="preserve"> </w:t>
      </w:r>
      <w:r>
        <w:rPr>
          <w:rFonts w:ascii="Times New Roman" w:hAnsi="Times New Roman"/>
          <w:szCs w:val="24"/>
        </w:rPr>
        <w:t xml:space="preserve">eds. </w:t>
      </w:r>
      <w:r w:rsidRPr="007F2CED">
        <w:rPr>
          <w:rFonts w:ascii="Times New Roman" w:hAnsi="Times New Roman"/>
          <w:i/>
          <w:szCs w:val="24"/>
        </w:rPr>
        <w:t>Orientalism’s Interlocutors: Paintings,</w:t>
      </w:r>
      <w:r w:rsidRPr="007F2CED">
        <w:rPr>
          <w:rFonts w:ascii="Times New Roman" w:hAnsi="Times New Roman"/>
          <w:i/>
          <w:szCs w:val="24"/>
        </w:rPr>
        <w:tab/>
      </w:r>
      <w:r w:rsidRPr="007F2CED">
        <w:rPr>
          <w:rFonts w:ascii="Times New Roman" w:hAnsi="Times New Roman"/>
          <w:i/>
          <w:szCs w:val="24"/>
        </w:rPr>
        <w:tab/>
        <w:t>Architecture, Photography</w:t>
      </w:r>
      <w:r w:rsidR="0099395F">
        <w:rPr>
          <w:rFonts w:ascii="Times New Roman" w:hAnsi="Times New Roman"/>
          <w:szCs w:val="24"/>
        </w:rPr>
        <w:t>. Durham</w:t>
      </w:r>
      <w:r>
        <w:rPr>
          <w:rFonts w:ascii="Times New Roman" w:hAnsi="Times New Roman"/>
          <w:szCs w:val="24"/>
        </w:rPr>
        <w:t>: Duke University Press, 2002.</w:t>
      </w:r>
    </w:p>
    <w:p w14:paraId="7256F8F7" w14:textId="55BF6F7A" w:rsidR="007F2CED" w:rsidRPr="00DA1E36" w:rsidRDefault="007F2CED" w:rsidP="00186DCC">
      <w:pPr>
        <w:pStyle w:val="NoSpacing"/>
        <w:rPr>
          <w:rFonts w:ascii="Times New Roman" w:hAnsi="Times New Roman"/>
          <w:szCs w:val="24"/>
        </w:rPr>
      </w:pPr>
      <w:r>
        <w:rPr>
          <w:rFonts w:ascii="Times New Roman" w:hAnsi="Times New Roman"/>
          <w:szCs w:val="24"/>
        </w:rPr>
        <w:t xml:space="preserve"> </w:t>
      </w:r>
    </w:p>
    <w:p w14:paraId="6DE88239" w14:textId="1A6FC3B2"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Berlo, Janet, ed. </w:t>
      </w:r>
      <w:r w:rsidRPr="00DA1E36">
        <w:rPr>
          <w:rFonts w:ascii="Times New Roman" w:hAnsi="Times New Roman"/>
          <w:i/>
          <w:szCs w:val="24"/>
        </w:rPr>
        <w:t>The Early Years of Native American Art History: The Politics of</w:t>
      </w:r>
      <w:r w:rsidR="005F0895">
        <w:rPr>
          <w:rFonts w:ascii="Times New Roman" w:hAnsi="Times New Roman"/>
          <w:i/>
          <w:szCs w:val="24"/>
        </w:rPr>
        <w:tab/>
      </w:r>
      <w:r w:rsidR="005F0895">
        <w:rPr>
          <w:rFonts w:ascii="Times New Roman" w:hAnsi="Times New Roman"/>
          <w:i/>
          <w:szCs w:val="24"/>
        </w:rPr>
        <w:tab/>
      </w:r>
      <w:r w:rsidRPr="00DA1E36">
        <w:rPr>
          <w:rFonts w:ascii="Times New Roman" w:hAnsi="Times New Roman"/>
          <w:i/>
          <w:szCs w:val="24"/>
        </w:rPr>
        <w:t>Scholarship and</w:t>
      </w:r>
      <w:r w:rsidR="005F0895">
        <w:rPr>
          <w:rFonts w:ascii="Times New Roman" w:hAnsi="Times New Roman"/>
          <w:i/>
          <w:szCs w:val="24"/>
        </w:rPr>
        <w:t xml:space="preserve"> </w:t>
      </w:r>
      <w:r w:rsidRPr="00DA1E36">
        <w:rPr>
          <w:rFonts w:ascii="Times New Roman" w:hAnsi="Times New Roman"/>
          <w:i/>
          <w:szCs w:val="24"/>
        </w:rPr>
        <w:t>Collecting</w:t>
      </w:r>
      <w:r w:rsidRPr="005F0895">
        <w:rPr>
          <w:rFonts w:ascii="Times New Roman" w:hAnsi="Times New Roman"/>
          <w:szCs w:val="24"/>
        </w:rPr>
        <w:t>.</w:t>
      </w:r>
      <w:r w:rsidR="005F0895" w:rsidRPr="005F0895">
        <w:rPr>
          <w:rFonts w:ascii="Times New Roman" w:hAnsi="Times New Roman"/>
          <w:szCs w:val="24"/>
        </w:rPr>
        <w:t xml:space="preserve"> </w:t>
      </w:r>
      <w:r w:rsidRPr="00DA1E36">
        <w:rPr>
          <w:rFonts w:ascii="Times New Roman" w:hAnsi="Times New Roman"/>
          <w:szCs w:val="24"/>
        </w:rPr>
        <w:t>Seattle: University of Washington Press, 1992.</w:t>
      </w:r>
    </w:p>
    <w:p w14:paraId="0BD8B7BA" w14:textId="3798022A" w:rsidR="00186DCC" w:rsidRDefault="00186DCC" w:rsidP="00186DCC">
      <w:pPr>
        <w:pStyle w:val="NoSpacing"/>
        <w:rPr>
          <w:rFonts w:ascii="Times New Roman" w:hAnsi="Times New Roman"/>
          <w:szCs w:val="24"/>
        </w:rPr>
      </w:pPr>
    </w:p>
    <w:p w14:paraId="5D97C911" w14:textId="0D71D34B" w:rsidR="00E77E65" w:rsidRDefault="00E77E65" w:rsidP="00186DCC">
      <w:pPr>
        <w:pStyle w:val="NoSpacing"/>
        <w:rPr>
          <w:szCs w:val="24"/>
        </w:rPr>
      </w:pPr>
      <w:r w:rsidRPr="006A42FC">
        <w:rPr>
          <w:rFonts w:ascii="Times New Roman" w:hAnsi="Times New Roman"/>
          <w:szCs w:val="24"/>
        </w:rPr>
        <w:t>Bernstein</w:t>
      </w:r>
      <w:r>
        <w:rPr>
          <w:szCs w:val="24"/>
        </w:rPr>
        <w:t>,</w:t>
      </w:r>
      <w:r w:rsidRPr="006A42FC">
        <w:rPr>
          <w:szCs w:val="24"/>
        </w:rPr>
        <w:t xml:space="preserve"> </w:t>
      </w:r>
      <w:r w:rsidRPr="006A42FC">
        <w:rPr>
          <w:rFonts w:ascii="Times New Roman" w:hAnsi="Times New Roman"/>
          <w:szCs w:val="24"/>
        </w:rPr>
        <w:t>Bruce</w:t>
      </w:r>
      <w:r>
        <w:rPr>
          <w:szCs w:val="24"/>
        </w:rPr>
        <w:t>,</w:t>
      </w:r>
      <w:r w:rsidRPr="006A42FC">
        <w:rPr>
          <w:rFonts w:ascii="Times New Roman" w:hAnsi="Times New Roman"/>
          <w:szCs w:val="24"/>
        </w:rPr>
        <w:t xml:space="preserve"> and </w:t>
      </w:r>
      <w:r w:rsidR="0099395F" w:rsidRPr="006A42FC">
        <w:rPr>
          <w:rFonts w:ascii="Times New Roman" w:hAnsi="Times New Roman"/>
          <w:szCs w:val="24"/>
        </w:rPr>
        <w:t xml:space="preserve">W. Jackson </w:t>
      </w:r>
      <w:r w:rsidRPr="006A42FC">
        <w:rPr>
          <w:rFonts w:ascii="Times New Roman" w:hAnsi="Times New Roman"/>
          <w:szCs w:val="24"/>
        </w:rPr>
        <w:t>Rushing III</w:t>
      </w:r>
      <w:r>
        <w:rPr>
          <w:szCs w:val="24"/>
        </w:rPr>
        <w:t>.</w:t>
      </w:r>
      <w:r w:rsidRPr="006A42FC">
        <w:rPr>
          <w:rFonts w:ascii="Times New Roman" w:hAnsi="Times New Roman"/>
          <w:szCs w:val="24"/>
        </w:rPr>
        <w:t xml:space="preserve"> </w:t>
      </w:r>
      <w:r>
        <w:rPr>
          <w:i/>
          <w:szCs w:val="24"/>
        </w:rPr>
        <w:t>Modern b</w:t>
      </w:r>
      <w:r w:rsidRPr="006A42FC">
        <w:rPr>
          <w:rFonts w:ascii="Times New Roman" w:hAnsi="Times New Roman"/>
          <w:i/>
          <w:szCs w:val="24"/>
        </w:rPr>
        <w:t>y Tradition: American Indian</w:t>
      </w:r>
      <w:r>
        <w:rPr>
          <w:rFonts w:ascii="Times New Roman" w:hAnsi="Times New Roman"/>
          <w:i/>
          <w:szCs w:val="24"/>
        </w:rPr>
        <w:tab/>
      </w:r>
      <w:r w:rsidRPr="006A42FC">
        <w:rPr>
          <w:rFonts w:ascii="Times New Roman" w:hAnsi="Times New Roman"/>
          <w:i/>
          <w:szCs w:val="24"/>
        </w:rPr>
        <w:t>Painting in the Studio Style</w:t>
      </w:r>
      <w:r w:rsidR="0099395F">
        <w:rPr>
          <w:rFonts w:ascii="Times New Roman" w:hAnsi="Times New Roman"/>
          <w:szCs w:val="24"/>
        </w:rPr>
        <w:t xml:space="preserve">. Albuquerque: </w:t>
      </w:r>
      <w:r w:rsidRPr="006A42FC">
        <w:rPr>
          <w:rFonts w:ascii="Times New Roman" w:hAnsi="Times New Roman"/>
          <w:szCs w:val="24"/>
        </w:rPr>
        <w:t>Museum o</w:t>
      </w:r>
      <w:r>
        <w:rPr>
          <w:rFonts w:ascii="Times New Roman" w:hAnsi="Times New Roman"/>
          <w:szCs w:val="24"/>
        </w:rPr>
        <w:t>f New Mexico Press, 1995</w:t>
      </w:r>
      <w:r>
        <w:rPr>
          <w:szCs w:val="24"/>
        </w:rPr>
        <w:t>.</w:t>
      </w:r>
    </w:p>
    <w:p w14:paraId="098314E9" w14:textId="77777777" w:rsidR="00E77E65" w:rsidRPr="00DA1E36" w:rsidRDefault="00E77E65" w:rsidP="00186DCC">
      <w:pPr>
        <w:pStyle w:val="NoSpacing"/>
        <w:rPr>
          <w:rFonts w:ascii="Times New Roman" w:hAnsi="Times New Roman"/>
          <w:szCs w:val="24"/>
        </w:rPr>
      </w:pPr>
    </w:p>
    <w:p w14:paraId="140D0728" w14:textId="3F628B12" w:rsidR="00186DCC" w:rsidRPr="00DA1E36" w:rsidRDefault="00186DCC" w:rsidP="00186DCC">
      <w:pPr>
        <w:pStyle w:val="EndnoteText"/>
        <w:rPr>
          <w:rFonts w:ascii="Times New Roman" w:hAnsi="Times New Roman" w:cs="Times New Roman"/>
          <w:sz w:val="24"/>
          <w:szCs w:val="24"/>
        </w:rPr>
      </w:pPr>
      <w:r w:rsidRPr="00DA1E36">
        <w:rPr>
          <w:rFonts w:ascii="Times New Roman" w:hAnsi="Times New Roman" w:cs="Times New Roman"/>
          <w:sz w:val="24"/>
          <w:szCs w:val="24"/>
        </w:rPr>
        <w:t xml:space="preserve">Bevins, Darcy, ed. </w:t>
      </w:r>
      <w:r w:rsidRPr="00DA1E36">
        <w:rPr>
          <w:rFonts w:ascii="Times New Roman" w:hAnsi="Times New Roman" w:cs="Times New Roman"/>
          <w:i/>
          <w:sz w:val="24"/>
          <w:szCs w:val="24"/>
        </w:rPr>
        <w:t>On the Rim of Kilauea: Excepts from the Volcano House Register,</w:t>
      </w:r>
      <w:r w:rsidR="005F0895">
        <w:rPr>
          <w:rFonts w:ascii="Times New Roman" w:hAnsi="Times New Roman" w:cs="Times New Roman"/>
          <w:i/>
          <w:sz w:val="24"/>
          <w:szCs w:val="24"/>
        </w:rPr>
        <w:tab/>
      </w:r>
      <w:r w:rsidRPr="00DA1E36">
        <w:rPr>
          <w:rFonts w:ascii="Times New Roman" w:hAnsi="Times New Roman" w:cs="Times New Roman"/>
          <w:i/>
          <w:sz w:val="24"/>
          <w:szCs w:val="24"/>
        </w:rPr>
        <w:t>1865-1955</w:t>
      </w:r>
      <w:r w:rsidRPr="00DA1E36">
        <w:rPr>
          <w:rFonts w:ascii="Times New Roman" w:hAnsi="Times New Roman" w:cs="Times New Roman"/>
          <w:sz w:val="24"/>
          <w:szCs w:val="24"/>
        </w:rPr>
        <w:t>.</w:t>
      </w:r>
      <w:r w:rsidR="005F0895">
        <w:rPr>
          <w:rFonts w:ascii="Times New Roman" w:hAnsi="Times New Roman" w:cs="Times New Roman"/>
          <w:sz w:val="24"/>
          <w:szCs w:val="24"/>
        </w:rPr>
        <w:t xml:space="preserve"> Honolulu: </w:t>
      </w:r>
      <w:r w:rsidRPr="00DA1E36">
        <w:rPr>
          <w:rFonts w:ascii="Times New Roman" w:hAnsi="Times New Roman" w:cs="Times New Roman"/>
          <w:sz w:val="24"/>
          <w:szCs w:val="24"/>
        </w:rPr>
        <w:t>Hawai’i Nat</w:t>
      </w:r>
      <w:r w:rsidR="00181CE1">
        <w:rPr>
          <w:rFonts w:ascii="Times New Roman" w:hAnsi="Times New Roman" w:cs="Times New Roman"/>
          <w:sz w:val="24"/>
          <w:szCs w:val="24"/>
        </w:rPr>
        <w:t>ural History Association, 1992.</w:t>
      </w:r>
    </w:p>
    <w:p w14:paraId="52D83FEE" w14:textId="77777777" w:rsidR="00186DCC" w:rsidRPr="00DA1E36" w:rsidRDefault="00186DCC" w:rsidP="00186DCC">
      <w:pPr>
        <w:pStyle w:val="NoSpacing"/>
        <w:rPr>
          <w:rFonts w:ascii="Times New Roman" w:hAnsi="Times New Roman"/>
          <w:szCs w:val="24"/>
        </w:rPr>
      </w:pPr>
    </w:p>
    <w:p w14:paraId="4D19625B" w14:textId="0FE91348"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Bickerstaff, Laura M. </w:t>
      </w:r>
      <w:r w:rsidRPr="00264A78">
        <w:rPr>
          <w:rStyle w:val="matchterm0"/>
          <w:rFonts w:ascii="Times New Roman" w:hAnsi="Times New Roman"/>
          <w:bCs/>
          <w:i/>
        </w:rPr>
        <w:t>Pioneer</w:t>
      </w:r>
      <w:r w:rsidRPr="00DA1E36">
        <w:rPr>
          <w:rFonts w:ascii="Times New Roman" w:hAnsi="Times New Roman"/>
          <w:bCs/>
          <w:i/>
          <w:szCs w:val="24"/>
        </w:rPr>
        <w:t xml:space="preserve"> </w:t>
      </w:r>
      <w:r w:rsidRPr="00E6018E">
        <w:rPr>
          <w:rFonts w:ascii="Times New Roman" w:hAnsi="Times New Roman"/>
          <w:bCs/>
          <w:i/>
          <w:szCs w:val="24"/>
        </w:rPr>
        <w:t>A</w:t>
      </w:r>
      <w:r w:rsidRPr="00E6018E">
        <w:rPr>
          <w:rStyle w:val="matchterm0"/>
          <w:rFonts w:ascii="Times New Roman" w:hAnsi="Times New Roman"/>
          <w:bCs/>
          <w:i/>
        </w:rPr>
        <w:t>rtists</w:t>
      </w:r>
      <w:r w:rsidRPr="00E6018E">
        <w:rPr>
          <w:rFonts w:ascii="Times New Roman" w:hAnsi="Times New Roman"/>
          <w:bCs/>
          <w:i/>
          <w:szCs w:val="24"/>
        </w:rPr>
        <w:t xml:space="preserve"> of </w:t>
      </w:r>
      <w:r w:rsidRPr="00E6018E">
        <w:rPr>
          <w:rStyle w:val="matchterm0"/>
          <w:rFonts w:ascii="Times New Roman" w:hAnsi="Times New Roman"/>
          <w:bCs/>
          <w:i/>
        </w:rPr>
        <w:t>Taos</w:t>
      </w:r>
      <w:r w:rsidRPr="00DA1E36">
        <w:rPr>
          <w:rStyle w:val="matchterm0"/>
          <w:rFonts w:ascii="Times New Roman" w:hAnsi="Times New Roman"/>
          <w:bCs/>
        </w:rPr>
        <w:t>.</w:t>
      </w:r>
      <w:r w:rsidRPr="00DA1E36">
        <w:rPr>
          <w:rFonts w:ascii="Times New Roman" w:hAnsi="Times New Roman"/>
          <w:bCs/>
          <w:szCs w:val="24"/>
        </w:rPr>
        <w:t xml:space="preserve"> </w:t>
      </w:r>
      <w:r w:rsidRPr="00DA1E36">
        <w:rPr>
          <w:rFonts w:ascii="Times New Roman" w:hAnsi="Times New Roman"/>
          <w:szCs w:val="24"/>
        </w:rPr>
        <w:t>Denver: Old West Publishing Company,</w:t>
      </w:r>
      <w:r w:rsidR="005F0895">
        <w:rPr>
          <w:rFonts w:ascii="Times New Roman" w:hAnsi="Times New Roman"/>
          <w:szCs w:val="24"/>
        </w:rPr>
        <w:tab/>
      </w:r>
      <w:r w:rsidR="00181CE1">
        <w:rPr>
          <w:rFonts w:ascii="Times New Roman" w:hAnsi="Times New Roman"/>
          <w:szCs w:val="24"/>
        </w:rPr>
        <w:t>1983.</w:t>
      </w:r>
    </w:p>
    <w:p w14:paraId="61DF0F2E" w14:textId="523727BA" w:rsidR="00186DCC" w:rsidRDefault="00186DCC" w:rsidP="00186DCC">
      <w:pPr>
        <w:pStyle w:val="NoSpacing"/>
        <w:rPr>
          <w:rFonts w:ascii="Times New Roman" w:hAnsi="Times New Roman"/>
          <w:szCs w:val="24"/>
        </w:rPr>
      </w:pPr>
    </w:p>
    <w:p w14:paraId="28FBDE91" w14:textId="5B6901FC" w:rsidR="008711D5" w:rsidRDefault="008711D5" w:rsidP="00186DCC">
      <w:pPr>
        <w:pStyle w:val="NoSpacing"/>
        <w:rPr>
          <w:rFonts w:ascii="Times New Roman" w:hAnsi="Times New Roman"/>
          <w:bCs/>
          <w:szCs w:val="24"/>
        </w:rPr>
      </w:pPr>
      <w:r w:rsidRPr="008711D5">
        <w:rPr>
          <w:rFonts w:ascii="Times New Roman" w:hAnsi="Times New Roman"/>
          <w:bCs/>
          <w:i/>
          <w:szCs w:val="24"/>
        </w:rPr>
        <w:t>Biographical History of Barton County, Kansas</w:t>
      </w:r>
      <w:r w:rsidRPr="004817B9">
        <w:rPr>
          <w:rFonts w:ascii="Times New Roman" w:hAnsi="Times New Roman"/>
          <w:bCs/>
          <w:szCs w:val="24"/>
        </w:rPr>
        <w:t>. Barton County:</w:t>
      </w:r>
      <w:r w:rsidR="00DB1BBD">
        <w:rPr>
          <w:rFonts w:ascii="Times New Roman" w:hAnsi="Times New Roman"/>
          <w:bCs/>
          <w:szCs w:val="24"/>
        </w:rPr>
        <w:t xml:space="preserve"> Great Bend </w:t>
      </w:r>
      <w:r>
        <w:rPr>
          <w:rFonts w:ascii="Times New Roman" w:hAnsi="Times New Roman"/>
          <w:bCs/>
          <w:szCs w:val="24"/>
        </w:rPr>
        <w:t>Tribune,</w:t>
      </w:r>
      <w:r w:rsidR="00DB1BBD">
        <w:rPr>
          <w:rFonts w:ascii="Times New Roman" w:hAnsi="Times New Roman"/>
          <w:bCs/>
          <w:szCs w:val="24"/>
        </w:rPr>
        <w:tab/>
      </w:r>
      <w:r>
        <w:rPr>
          <w:rFonts w:ascii="Times New Roman" w:hAnsi="Times New Roman"/>
          <w:bCs/>
          <w:szCs w:val="24"/>
        </w:rPr>
        <w:t>1912.</w:t>
      </w:r>
    </w:p>
    <w:p w14:paraId="3DC23067" w14:textId="1DD5740A" w:rsidR="007F2CED" w:rsidRDefault="007F2CED" w:rsidP="00186DCC">
      <w:pPr>
        <w:pStyle w:val="NoSpacing"/>
        <w:rPr>
          <w:rFonts w:ascii="Times New Roman" w:hAnsi="Times New Roman"/>
          <w:szCs w:val="24"/>
        </w:rPr>
      </w:pPr>
      <w:r>
        <w:rPr>
          <w:rFonts w:ascii="Times New Roman" w:hAnsi="Times New Roman"/>
          <w:szCs w:val="24"/>
        </w:rPr>
        <w:t xml:space="preserve">Blumenschein, Ernest L., and </w:t>
      </w:r>
      <w:r w:rsidR="0099395F">
        <w:rPr>
          <w:rFonts w:ascii="Times New Roman" w:hAnsi="Times New Roman"/>
          <w:szCs w:val="24"/>
        </w:rPr>
        <w:t xml:space="preserve">Bert G. </w:t>
      </w:r>
      <w:r>
        <w:rPr>
          <w:rFonts w:ascii="Times New Roman" w:hAnsi="Times New Roman"/>
          <w:szCs w:val="24"/>
        </w:rPr>
        <w:t>Phillips</w:t>
      </w:r>
      <w:r w:rsidR="0099395F">
        <w:rPr>
          <w:rFonts w:ascii="Times New Roman" w:hAnsi="Times New Roman"/>
          <w:szCs w:val="24"/>
        </w:rPr>
        <w:t>.</w:t>
      </w:r>
      <w:r>
        <w:rPr>
          <w:rFonts w:ascii="Times New Roman" w:hAnsi="Times New Roman"/>
          <w:szCs w:val="24"/>
        </w:rPr>
        <w:t xml:space="preserve"> “Appreciation of Indian Art.”</w:t>
      </w:r>
      <w:r w:rsidR="007B7B4C">
        <w:rPr>
          <w:rFonts w:ascii="Times New Roman" w:hAnsi="Times New Roman"/>
          <w:szCs w:val="24"/>
        </w:rPr>
        <w:t xml:space="preserve"> </w:t>
      </w:r>
      <w:r w:rsidR="007B7B4C" w:rsidRPr="007B7B4C">
        <w:rPr>
          <w:rFonts w:ascii="Times New Roman" w:hAnsi="Times New Roman"/>
          <w:i/>
          <w:szCs w:val="24"/>
        </w:rPr>
        <w:t>El Palacio</w:t>
      </w:r>
      <w:r w:rsidR="007B7B4C">
        <w:rPr>
          <w:rFonts w:ascii="Times New Roman" w:hAnsi="Times New Roman"/>
          <w:szCs w:val="24"/>
        </w:rPr>
        <w:tab/>
        <w:t xml:space="preserve"> 6 (May 1919): 178-179.</w:t>
      </w:r>
    </w:p>
    <w:p w14:paraId="362AA755" w14:textId="77777777" w:rsidR="00614649" w:rsidRDefault="00614649" w:rsidP="00186DCC">
      <w:pPr>
        <w:pStyle w:val="NoSpacing"/>
        <w:rPr>
          <w:rFonts w:ascii="Times New Roman" w:hAnsi="Times New Roman"/>
          <w:szCs w:val="24"/>
        </w:rPr>
      </w:pPr>
    </w:p>
    <w:p w14:paraId="58B6FC4C" w14:textId="0D55F87E" w:rsidR="008711D5" w:rsidRDefault="00186DCC" w:rsidP="00186DCC">
      <w:pPr>
        <w:pStyle w:val="NoSpacing"/>
        <w:rPr>
          <w:rFonts w:ascii="Times New Roman" w:hAnsi="Times New Roman"/>
          <w:szCs w:val="24"/>
        </w:rPr>
      </w:pPr>
      <w:r w:rsidRPr="00DA1E36">
        <w:rPr>
          <w:rFonts w:ascii="Times New Roman" w:hAnsi="Times New Roman"/>
          <w:szCs w:val="24"/>
        </w:rPr>
        <w:t xml:space="preserve">Broder, Patricia Janice. </w:t>
      </w:r>
      <w:r w:rsidRPr="00DA1E36">
        <w:rPr>
          <w:rFonts w:ascii="Times New Roman" w:hAnsi="Times New Roman"/>
          <w:i/>
          <w:szCs w:val="24"/>
        </w:rPr>
        <w:t>Taos, A Painter’s Dream</w:t>
      </w:r>
      <w:r w:rsidRPr="00DA1E36">
        <w:rPr>
          <w:rFonts w:ascii="Times New Roman" w:hAnsi="Times New Roman"/>
          <w:szCs w:val="24"/>
        </w:rPr>
        <w:t>. Boston: New York Graphic Society,</w:t>
      </w:r>
      <w:r w:rsidR="005F0895">
        <w:rPr>
          <w:rFonts w:ascii="Times New Roman" w:hAnsi="Times New Roman"/>
          <w:szCs w:val="24"/>
        </w:rPr>
        <w:tab/>
      </w:r>
      <w:r w:rsidRPr="00DA1E36">
        <w:rPr>
          <w:rFonts w:ascii="Times New Roman" w:hAnsi="Times New Roman"/>
          <w:szCs w:val="24"/>
        </w:rPr>
        <w:t>1980.</w:t>
      </w:r>
    </w:p>
    <w:p w14:paraId="4556348C" w14:textId="62B502E1" w:rsidR="00186DCC" w:rsidRDefault="00186DCC" w:rsidP="00186DCC">
      <w:pPr>
        <w:pStyle w:val="NoSpacing"/>
        <w:rPr>
          <w:rFonts w:ascii="Times New Roman" w:hAnsi="Times New Roman"/>
          <w:szCs w:val="24"/>
        </w:rPr>
      </w:pPr>
      <w:r w:rsidRPr="00DA1E36">
        <w:rPr>
          <w:rFonts w:ascii="Times New Roman" w:hAnsi="Times New Roman"/>
          <w:szCs w:val="24"/>
        </w:rPr>
        <w:t xml:space="preserve"> </w:t>
      </w:r>
    </w:p>
    <w:p w14:paraId="172ABAB9" w14:textId="69E716C6" w:rsidR="00186DCC" w:rsidRPr="00264A78" w:rsidRDefault="008711D5" w:rsidP="00186DCC">
      <w:pPr>
        <w:pStyle w:val="NoSpacing"/>
        <w:rPr>
          <w:rFonts w:ascii="Times New Roman" w:hAnsi="Times New Roman"/>
          <w:szCs w:val="24"/>
        </w:rPr>
      </w:pPr>
      <w:r w:rsidRPr="008711D5">
        <w:rPr>
          <w:rFonts w:ascii="Times New Roman" w:hAnsi="Times New Roman"/>
          <w:szCs w:val="24"/>
        </w:rPr>
        <w:t xml:space="preserve">“Boomer Movement.” </w:t>
      </w:r>
      <w:r w:rsidRPr="008711D5">
        <w:rPr>
          <w:rFonts w:ascii="Times New Roman" w:hAnsi="Times New Roman"/>
          <w:i/>
          <w:szCs w:val="24"/>
        </w:rPr>
        <w:t>Oklahoma Historical Society Encyclopedia of Oklahoma History</w:t>
      </w:r>
      <w:r w:rsidRPr="008711D5">
        <w:rPr>
          <w:rFonts w:ascii="Times New Roman" w:hAnsi="Times New Roman"/>
          <w:i/>
          <w:szCs w:val="24"/>
        </w:rPr>
        <w:tab/>
      </w:r>
      <w:r w:rsidRPr="00264A78">
        <w:rPr>
          <w:rFonts w:ascii="Times New Roman" w:hAnsi="Times New Roman"/>
          <w:i/>
          <w:szCs w:val="24"/>
        </w:rPr>
        <w:t>and Culture</w:t>
      </w:r>
      <w:r w:rsidRPr="00264A78">
        <w:rPr>
          <w:rFonts w:ascii="Times New Roman" w:hAnsi="Times New Roman"/>
          <w:szCs w:val="24"/>
        </w:rPr>
        <w:t xml:space="preserve">. </w:t>
      </w:r>
      <w:hyperlink r:id="rId80" w:history="1">
        <w:r w:rsidR="00264A78" w:rsidRPr="00264A78">
          <w:rPr>
            <w:rStyle w:val="Hyperlink"/>
            <w:rFonts w:ascii="Times New Roman" w:hAnsi="Times New Roman"/>
            <w:color w:val="auto"/>
            <w:szCs w:val="24"/>
            <w:u w:val="none"/>
          </w:rPr>
          <w:t xml:space="preserve">http://digital.library.okstate.edu/encyclopedia/entries/S/SP016.html </w:t>
        </w:r>
      </w:hyperlink>
      <w:r w:rsidR="00264A78" w:rsidRPr="00264A78">
        <w:rPr>
          <w:rFonts w:ascii="Times New Roman" w:hAnsi="Times New Roman"/>
          <w:szCs w:val="24"/>
        </w:rPr>
        <w:tab/>
        <w:t>(Accessed September 27, 2016).</w:t>
      </w:r>
    </w:p>
    <w:p w14:paraId="69A9E758" w14:textId="269C89F2" w:rsidR="008711D5" w:rsidRPr="00264A78" w:rsidRDefault="008711D5" w:rsidP="00186DCC">
      <w:pPr>
        <w:pStyle w:val="NoSpacing"/>
        <w:rPr>
          <w:rFonts w:ascii="Times New Roman" w:hAnsi="Times New Roman"/>
          <w:szCs w:val="24"/>
        </w:rPr>
      </w:pPr>
    </w:p>
    <w:p w14:paraId="5E64D9D6" w14:textId="66DFE34B" w:rsidR="007B7B4C" w:rsidRDefault="007B7B4C" w:rsidP="00186DCC">
      <w:pPr>
        <w:pStyle w:val="NoSpacing"/>
        <w:rPr>
          <w:rFonts w:ascii="Times New Roman" w:hAnsi="Times New Roman"/>
          <w:szCs w:val="24"/>
        </w:rPr>
      </w:pPr>
      <w:r>
        <w:rPr>
          <w:rFonts w:ascii="Times New Roman" w:hAnsi="Times New Roman"/>
          <w:szCs w:val="24"/>
        </w:rPr>
        <w:t xml:space="preserve">Brody, David. </w:t>
      </w:r>
      <w:r w:rsidRPr="007B7B4C">
        <w:rPr>
          <w:rFonts w:ascii="Times New Roman" w:hAnsi="Times New Roman"/>
          <w:i/>
          <w:szCs w:val="24"/>
        </w:rPr>
        <w:t>Visualizing American Empire: Orientalism and Imperialism in the</w:t>
      </w:r>
      <w:r>
        <w:rPr>
          <w:rFonts w:ascii="Times New Roman" w:hAnsi="Times New Roman"/>
          <w:i/>
          <w:szCs w:val="24"/>
        </w:rPr>
        <w:tab/>
      </w:r>
      <w:r>
        <w:rPr>
          <w:rFonts w:ascii="Times New Roman" w:hAnsi="Times New Roman"/>
          <w:i/>
          <w:szCs w:val="24"/>
        </w:rPr>
        <w:tab/>
      </w:r>
      <w:r w:rsidRPr="007B7B4C">
        <w:rPr>
          <w:rFonts w:ascii="Times New Roman" w:hAnsi="Times New Roman"/>
          <w:i/>
          <w:szCs w:val="24"/>
        </w:rPr>
        <w:t>Philippines</w:t>
      </w:r>
      <w:r>
        <w:rPr>
          <w:rFonts w:ascii="Times New Roman" w:hAnsi="Times New Roman"/>
          <w:szCs w:val="24"/>
        </w:rPr>
        <w:t>. Chicago: University of C</w:t>
      </w:r>
      <w:r w:rsidR="00DB1BBD">
        <w:rPr>
          <w:rFonts w:ascii="Times New Roman" w:hAnsi="Times New Roman"/>
          <w:szCs w:val="24"/>
        </w:rPr>
        <w:t>hicago Press, 2010.</w:t>
      </w:r>
    </w:p>
    <w:p w14:paraId="1AF77796" w14:textId="77777777" w:rsidR="007B7B4C" w:rsidRPr="00DA1E36" w:rsidRDefault="007B7B4C" w:rsidP="00186DCC">
      <w:pPr>
        <w:pStyle w:val="NoSpacing"/>
        <w:rPr>
          <w:rFonts w:ascii="Times New Roman" w:hAnsi="Times New Roman"/>
          <w:szCs w:val="24"/>
        </w:rPr>
      </w:pPr>
    </w:p>
    <w:p w14:paraId="05B4D8EB" w14:textId="53C97DF4" w:rsidR="00E77E65" w:rsidRDefault="00E77E65" w:rsidP="00186DCC">
      <w:pPr>
        <w:pStyle w:val="NoSpacing"/>
        <w:rPr>
          <w:rFonts w:ascii="Times New Roman" w:hAnsi="Times New Roman"/>
          <w:szCs w:val="24"/>
        </w:rPr>
      </w:pPr>
      <w:r w:rsidRPr="006A42FC">
        <w:rPr>
          <w:rFonts w:ascii="Times New Roman" w:hAnsi="Times New Roman"/>
          <w:szCs w:val="24"/>
        </w:rPr>
        <w:t>Brody,</w:t>
      </w:r>
      <w:r>
        <w:rPr>
          <w:szCs w:val="24"/>
        </w:rPr>
        <w:t xml:space="preserve"> J.J.</w:t>
      </w:r>
      <w:r w:rsidRPr="006A42FC">
        <w:rPr>
          <w:rFonts w:ascii="Times New Roman" w:hAnsi="Times New Roman"/>
          <w:szCs w:val="24"/>
        </w:rPr>
        <w:t xml:space="preserve"> </w:t>
      </w:r>
      <w:r w:rsidRPr="006A42FC">
        <w:rPr>
          <w:rFonts w:ascii="Times New Roman" w:hAnsi="Times New Roman"/>
          <w:i/>
          <w:szCs w:val="24"/>
        </w:rPr>
        <w:t>Indian Painters and White Patrons</w:t>
      </w:r>
      <w:r>
        <w:rPr>
          <w:rFonts w:ascii="Times New Roman" w:hAnsi="Times New Roman"/>
          <w:szCs w:val="24"/>
        </w:rPr>
        <w:t xml:space="preserve">. </w:t>
      </w:r>
      <w:r w:rsidRPr="006A42FC">
        <w:rPr>
          <w:rFonts w:ascii="Times New Roman" w:hAnsi="Times New Roman"/>
          <w:szCs w:val="24"/>
        </w:rPr>
        <w:t>Albuquerque, NM</w:t>
      </w:r>
      <w:r>
        <w:rPr>
          <w:rFonts w:ascii="Times New Roman" w:hAnsi="Times New Roman"/>
          <w:szCs w:val="24"/>
        </w:rPr>
        <w:t>: University of New</w:t>
      </w:r>
      <w:r>
        <w:rPr>
          <w:rFonts w:ascii="Times New Roman" w:hAnsi="Times New Roman"/>
          <w:szCs w:val="24"/>
        </w:rPr>
        <w:tab/>
        <w:t xml:space="preserve">Mexico Press, </w:t>
      </w:r>
      <w:r w:rsidRPr="006A42FC">
        <w:rPr>
          <w:rFonts w:ascii="Times New Roman" w:hAnsi="Times New Roman"/>
          <w:szCs w:val="24"/>
        </w:rPr>
        <w:t>1971.</w:t>
      </w:r>
    </w:p>
    <w:p w14:paraId="2577A4A3" w14:textId="63E9DA17" w:rsidR="00E77E65" w:rsidRDefault="00E77E65" w:rsidP="00186DCC">
      <w:pPr>
        <w:pStyle w:val="NoSpacing"/>
        <w:rPr>
          <w:rFonts w:ascii="Times New Roman" w:hAnsi="Times New Roman"/>
          <w:szCs w:val="24"/>
        </w:rPr>
      </w:pPr>
    </w:p>
    <w:p w14:paraId="1D608F81" w14:textId="5E563ADD" w:rsidR="007B7B4C" w:rsidRDefault="007B7B4C" w:rsidP="00186DCC">
      <w:pPr>
        <w:pStyle w:val="NoSpacing"/>
        <w:rPr>
          <w:rFonts w:ascii="Times New Roman" w:hAnsi="Times New Roman"/>
          <w:szCs w:val="24"/>
        </w:rPr>
      </w:pPr>
      <w:r>
        <w:rPr>
          <w:rFonts w:ascii="Times New Roman" w:hAnsi="Times New Roman"/>
          <w:szCs w:val="24"/>
        </w:rPr>
        <w:t xml:space="preserve">Bronner, Simon, ed. </w:t>
      </w:r>
      <w:r>
        <w:rPr>
          <w:rFonts w:ascii="Times New Roman" w:hAnsi="Times New Roman"/>
          <w:i/>
          <w:szCs w:val="24"/>
        </w:rPr>
        <w:t>Consuming Visions: Accumulation and Display of Goods in</w:t>
      </w:r>
      <w:r>
        <w:rPr>
          <w:rFonts w:ascii="Times New Roman" w:hAnsi="Times New Roman"/>
          <w:i/>
          <w:szCs w:val="24"/>
        </w:rPr>
        <w:tab/>
      </w:r>
      <w:r>
        <w:rPr>
          <w:rFonts w:ascii="Times New Roman" w:hAnsi="Times New Roman"/>
          <w:i/>
          <w:szCs w:val="24"/>
        </w:rPr>
        <w:tab/>
        <w:t>America, 1880-1920</w:t>
      </w:r>
      <w:r>
        <w:rPr>
          <w:rFonts w:ascii="Times New Roman" w:hAnsi="Times New Roman"/>
          <w:szCs w:val="24"/>
        </w:rPr>
        <w:t>. New York: W.W. Norton and Company,</w:t>
      </w:r>
      <w:r w:rsidR="00DB1BBD">
        <w:rPr>
          <w:rFonts w:ascii="Times New Roman" w:hAnsi="Times New Roman"/>
          <w:szCs w:val="24"/>
        </w:rPr>
        <w:t xml:space="preserve"> 1989.</w:t>
      </w:r>
    </w:p>
    <w:p w14:paraId="710F8E4D" w14:textId="77777777" w:rsidR="007B7B4C" w:rsidRDefault="007B7B4C" w:rsidP="00186DCC">
      <w:pPr>
        <w:pStyle w:val="NoSpacing"/>
        <w:rPr>
          <w:rFonts w:ascii="Times New Roman" w:hAnsi="Times New Roman"/>
          <w:szCs w:val="24"/>
        </w:rPr>
      </w:pPr>
    </w:p>
    <w:p w14:paraId="5D4A1935" w14:textId="40633AC1" w:rsidR="00186DCC" w:rsidRPr="00DA1E36" w:rsidRDefault="00186DCC" w:rsidP="00186DCC">
      <w:pPr>
        <w:pStyle w:val="NoSpacing"/>
        <w:rPr>
          <w:rFonts w:ascii="Times New Roman" w:hAnsi="Times New Roman"/>
          <w:szCs w:val="24"/>
        </w:rPr>
      </w:pPr>
      <w:r w:rsidRPr="00DA1E36">
        <w:rPr>
          <w:rFonts w:ascii="Times New Roman" w:hAnsi="Times New Roman"/>
          <w:szCs w:val="24"/>
        </w:rPr>
        <w:t>Bryant, Keith L. “The Atchison, Topeka and Santa Fe Railway and the Development of</w:t>
      </w:r>
      <w:r w:rsidR="005F0895">
        <w:rPr>
          <w:rFonts w:ascii="Times New Roman" w:hAnsi="Times New Roman"/>
          <w:szCs w:val="24"/>
        </w:rPr>
        <w:tab/>
      </w:r>
      <w:r w:rsidRPr="00DA1E36">
        <w:rPr>
          <w:rFonts w:ascii="Times New Roman" w:hAnsi="Times New Roman"/>
          <w:szCs w:val="24"/>
        </w:rPr>
        <w:t>the Taos &amp;</w:t>
      </w:r>
      <w:r w:rsidR="005F0895">
        <w:rPr>
          <w:rFonts w:ascii="Times New Roman" w:hAnsi="Times New Roman"/>
          <w:szCs w:val="24"/>
        </w:rPr>
        <w:t xml:space="preserve"> </w:t>
      </w:r>
      <w:r w:rsidRPr="00DA1E36">
        <w:rPr>
          <w:rFonts w:ascii="Times New Roman" w:hAnsi="Times New Roman"/>
          <w:szCs w:val="24"/>
        </w:rPr>
        <w:t xml:space="preserve">Santa Fe Art Colonies.” </w:t>
      </w:r>
      <w:r w:rsidRPr="00DA1E36">
        <w:rPr>
          <w:rFonts w:ascii="Times New Roman" w:hAnsi="Times New Roman"/>
          <w:i/>
          <w:szCs w:val="24"/>
        </w:rPr>
        <w:t>The Western History Quarterly</w:t>
      </w:r>
      <w:r w:rsidR="00037120">
        <w:rPr>
          <w:rFonts w:ascii="Times New Roman" w:hAnsi="Times New Roman"/>
          <w:szCs w:val="24"/>
        </w:rPr>
        <w:t xml:space="preserve"> 9, no. </w:t>
      </w:r>
      <w:r w:rsidRPr="00DA1E36">
        <w:rPr>
          <w:rFonts w:ascii="Times New Roman" w:hAnsi="Times New Roman"/>
          <w:szCs w:val="24"/>
        </w:rPr>
        <w:t>4</w:t>
      </w:r>
      <w:r w:rsidR="00037120">
        <w:rPr>
          <w:rFonts w:ascii="Times New Roman" w:hAnsi="Times New Roman"/>
          <w:szCs w:val="24"/>
        </w:rPr>
        <w:tab/>
      </w:r>
      <w:r w:rsidRPr="00DA1E36">
        <w:rPr>
          <w:rFonts w:ascii="Times New Roman" w:hAnsi="Times New Roman"/>
          <w:szCs w:val="24"/>
        </w:rPr>
        <w:t>(October</w:t>
      </w:r>
      <w:r w:rsidR="00037120">
        <w:rPr>
          <w:rFonts w:ascii="Times New Roman" w:hAnsi="Times New Roman"/>
          <w:szCs w:val="24"/>
        </w:rPr>
        <w:t xml:space="preserve"> </w:t>
      </w:r>
      <w:r w:rsidRPr="00DA1E36">
        <w:rPr>
          <w:rFonts w:ascii="Times New Roman" w:hAnsi="Times New Roman"/>
          <w:szCs w:val="24"/>
        </w:rPr>
        <w:t>1978): 437-453.</w:t>
      </w:r>
    </w:p>
    <w:p w14:paraId="7EB5E376" w14:textId="77777777" w:rsidR="00186DCC" w:rsidRPr="00DA1E36" w:rsidRDefault="00186DCC" w:rsidP="00186DCC">
      <w:pPr>
        <w:pStyle w:val="NoSpacing"/>
        <w:rPr>
          <w:rFonts w:ascii="Times New Roman" w:hAnsi="Times New Roman"/>
          <w:szCs w:val="24"/>
        </w:rPr>
      </w:pPr>
    </w:p>
    <w:p w14:paraId="22E42493" w14:textId="08441599" w:rsidR="00186DCC" w:rsidRPr="0020094F" w:rsidRDefault="00186DCC" w:rsidP="00186DCC">
      <w:pPr>
        <w:pStyle w:val="NoSpacing"/>
        <w:rPr>
          <w:rFonts w:asciiTheme="majorHAnsi" w:hAnsiTheme="majorHAnsi" w:cstheme="majorHAnsi"/>
          <w:szCs w:val="24"/>
        </w:rPr>
      </w:pPr>
      <w:r w:rsidRPr="00DA1E36">
        <w:rPr>
          <w:rFonts w:ascii="Times New Roman" w:hAnsi="Times New Roman"/>
          <w:szCs w:val="24"/>
        </w:rPr>
        <w:t xml:space="preserve">Bulington, Judy James Bellamy. </w:t>
      </w:r>
      <w:r w:rsidR="0029022E">
        <w:rPr>
          <w:rFonts w:ascii="Times New Roman" w:hAnsi="Times New Roman"/>
          <w:szCs w:val="24"/>
        </w:rPr>
        <w:t>“</w:t>
      </w:r>
      <w:r w:rsidR="0029022E">
        <w:rPr>
          <w:rFonts w:ascii="Times New Roman" w:hAnsi="Times New Roman"/>
          <w:bCs/>
          <w:i/>
          <w:szCs w:val="24"/>
        </w:rPr>
        <w:t>The Artist-as-Traveler a</w:t>
      </w:r>
      <w:r w:rsidRPr="00DA1E36">
        <w:rPr>
          <w:rFonts w:ascii="Times New Roman" w:hAnsi="Times New Roman"/>
          <w:bCs/>
          <w:i/>
          <w:szCs w:val="24"/>
        </w:rPr>
        <w:t>nd Expanding Horizons of</w:t>
      </w:r>
      <w:r w:rsidR="005F0895">
        <w:rPr>
          <w:rFonts w:ascii="Times New Roman" w:hAnsi="Times New Roman"/>
          <w:bCs/>
          <w:i/>
          <w:szCs w:val="24"/>
        </w:rPr>
        <w:tab/>
      </w:r>
      <w:r w:rsidRPr="00DA1E36">
        <w:rPr>
          <w:rFonts w:ascii="Times New Roman" w:hAnsi="Times New Roman"/>
          <w:bCs/>
          <w:i/>
          <w:szCs w:val="24"/>
        </w:rPr>
        <w:t>American</w:t>
      </w:r>
      <w:r w:rsidR="005F0895">
        <w:rPr>
          <w:rFonts w:ascii="Times New Roman" w:hAnsi="Times New Roman"/>
          <w:bCs/>
          <w:i/>
          <w:szCs w:val="24"/>
        </w:rPr>
        <w:t xml:space="preserve"> </w:t>
      </w:r>
      <w:r w:rsidRPr="00DA1E36">
        <w:rPr>
          <w:rFonts w:ascii="Times New Roman" w:hAnsi="Times New Roman"/>
          <w:bCs/>
          <w:i/>
          <w:szCs w:val="24"/>
        </w:rPr>
        <w:t>Cosmopolitanism in the Gilded Age</w:t>
      </w:r>
      <w:r w:rsidRPr="00DA1E36">
        <w:rPr>
          <w:rFonts w:ascii="Times New Roman" w:hAnsi="Times New Roman"/>
          <w:bCs/>
          <w:szCs w:val="24"/>
        </w:rPr>
        <w:t>.</w:t>
      </w:r>
      <w:r w:rsidR="0029022E">
        <w:rPr>
          <w:rFonts w:ascii="Times New Roman" w:hAnsi="Times New Roman"/>
          <w:bCs/>
          <w:szCs w:val="24"/>
        </w:rPr>
        <w:t>”</w:t>
      </w:r>
      <w:r w:rsidRPr="00DA1E36">
        <w:rPr>
          <w:rFonts w:ascii="Times New Roman" w:hAnsi="Times New Roman"/>
          <w:bCs/>
          <w:szCs w:val="24"/>
        </w:rPr>
        <w:t xml:space="preserve"> </w:t>
      </w:r>
      <w:r w:rsidR="0029022E">
        <w:rPr>
          <w:rFonts w:ascii="Times New Roman" w:hAnsi="Times New Roman"/>
          <w:bCs/>
          <w:szCs w:val="24"/>
        </w:rPr>
        <w:t xml:space="preserve">PhD diss., </w:t>
      </w:r>
      <w:r w:rsidRPr="00DA1E36">
        <w:rPr>
          <w:rFonts w:ascii="Times New Roman" w:hAnsi="Times New Roman"/>
          <w:szCs w:val="24"/>
        </w:rPr>
        <w:t>Indiana</w:t>
      </w:r>
      <w:r w:rsidR="005F0895" w:rsidRPr="0020094F">
        <w:rPr>
          <w:rFonts w:asciiTheme="majorHAnsi" w:hAnsiTheme="majorHAnsi" w:cstheme="majorHAnsi"/>
          <w:szCs w:val="24"/>
        </w:rPr>
        <w:tab/>
      </w:r>
      <w:r w:rsidRPr="0020094F">
        <w:rPr>
          <w:rFonts w:asciiTheme="majorHAnsi" w:hAnsiTheme="majorHAnsi" w:cstheme="majorHAnsi"/>
          <w:szCs w:val="24"/>
        </w:rPr>
        <w:t>University,</w:t>
      </w:r>
      <w:r w:rsidR="0029022E">
        <w:rPr>
          <w:rFonts w:asciiTheme="majorHAnsi" w:hAnsiTheme="majorHAnsi" w:cstheme="majorHAnsi"/>
          <w:szCs w:val="24"/>
        </w:rPr>
        <w:tab/>
      </w:r>
      <w:r w:rsidRPr="0020094F">
        <w:rPr>
          <w:rFonts w:asciiTheme="majorHAnsi" w:hAnsiTheme="majorHAnsi" w:cstheme="majorHAnsi"/>
          <w:szCs w:val="24"/>
        </w:rPr>
        <w:t>1997.</w:t>
      </w:r>
    </w:p>
    <w:p w14:paraId="255BD4E0" w14:textId="6564F581" w:rsidR="00186DCC" w:rsidRPr="0020094F" w:rsidRDefault="00186DCC" w:rsidP="00186DCC">
      <w:pPr>
        <w:pStyle w:val="NoSpacing"/>
        <w:rPr>
          <w:rFonts w:asciiTheme="majorHAnsi" w:hAnsiTheme="majorHAnsi" w:cstheme="majorHAnsi"/>
          <w:szCs w:val="24"/>
        </w:rPr>
      </w:pPr>
    </w:p>
    <w:p w14:paraId="6D2B4966" w14:textId="17CF39C2" w:rsidR="004C05F1" w:rsidRDefault="004C05F1" w:rsidP="00186DCC">
      <w:pPr>
        <w:pStyle w:val="NoSpacing"/>
        <w:rPr>
          <w:rFonts w:ascii="Times New Roman" w:hAnsi="Times New Roman"/>
          <w:szCs w:val="24"/>
        </w:rPr>
      </w:pPr>
      <w:r w:rsidRPr="0020094F">
        <w:rPr>
          <w:rFonts w:asciiTheme="majorHAnsi" w:hAnsiTheme="majorHAnsi" w:cstheme="majorHAnsi"/>
          <w:szCs w:val="24"/>
        </w:rPr>
        <w:t xml:space="preserve">Cahill, E.H. “American Has Its Primitives.” </w:t>
      </w:r>
      <w:r w:rsidRPr="0020094F">
        <w:rPr>
          <w:rFonts w:asciiTheme="majorHAnsi" w:hAnsiTheme="majorHAnsi" w:cstheme="majorHAnsi"/>
          <w:i/>
          <w:szCs w:val="24"/>
        </w:rPr>
        <w:t>International Journal</w:t>
      </w:r>
      <w:r w:rsidRPr="0020094F">
        <w:rPr>
          <w:rFonts w:asciiTheme="majorHAnsi" w:hAnsiTheme="majorHAnsi" w:cstheme="majorHAnsi"/>
          <w:szCs w:val="24"/>
        </w:rPr>
        <w:t xml:space="preserve"> 75 (March 1920): </w:t>
      </w:r>
      <w:r w:rsidR="0029022E">
        <w:rPr>
          <w:rFonts w:ascii="Times New Roman" w:hAnsi="Times New Roman"/>
          <w:szCs w:val="24"/>
        </w:rPr>
        <w:tab/>
        <w:t>80-83.</w:t>
      </w:r>
    </w:p>
    <w:p w14:paraId="12C9EF1C" w14:textId="77777777" w:rsidR="004C05F1" w:rsidRPr="00DA1E36" w:rsidRDefault="004C05F1" w:rsidP="00186DCC">
      <w:pPr>
        <w:pStyle w:val="NoSpacing"/>
        <w:rPr>
          <w:rFonts w:ascii="Times New Roman" w:hAnsi="Times New Roman"/>
          <w:szCs w:val="24"/>
        </w:rPr>
      </w:pPr>
    </w:p>
    <w:p w14:paraId="2320152E" w14:textId="3519A483" w:rsidR="00FE6EB2" w:rsidRDefault="00FE6EB2" w:rsidP="00186DCC">
      <w:pPr>
        <w:pStyle w:val="EndnoteText"/>
        <w:rPr>
          <w:rFonts w:ascii="Times New Roman" w:hAnsi="Times New Roman" w:cs="Times New Roman"/>
          <w:sz w:val="24"/>
          <w:szCs w:val="24"/>
        </w:rPr>
      </w:pPr>
      <w:r>
        <w:rPr>
          <w:rFonts w:ascii="Times New Roman" w:hAnsi="Times New Roman" w:cs="Times New Roman"/>
          <w:sz w:val="24"/>
          <w:szCs w:val="24"/>
        </w:rPr>
        <w:t xml:space="preserve">California World’s Fair Corporation. </w:t>
      </w:r>
      <w:r w:rsidRPr="00DA1E36">
        <w:rPr>
          <w:rFonts w:ascii="Times New Roman" w:hAnsi="Times New Roman" w:cs="Times New Roman"/>
          <w:i/>
          <w:sz w:val="24"/>
          <w:szCs w:val="24"/>
        </w:rPr>
        <w:t>Final Report of the California World’s Fair</w:t>
      </w:r>
      <w:r>
        <w:rPr>
          <w:rFonts w:ascii="Times New Roman" w:hAnsi="Times New Roman" w:cs="Times New Roman"/>
          <w:i/>
          <w:sz w:val="24"/>
          <w:szCs w:val="24"/>
        </w:rPr>
        <w:tab/>
      </w:r>
      <w:r>
        <w:rPr>
          <w:rFonts w:ascii="Times New Roman" w:hAnsi="Times New Roman" w:cs="Times New Roman"/>
          <w:i/>
          <w:sz w:val="24"/>
          <w:szCs w:val="24"/>
        </w:rPr>
        <w:tab/>
      </w:r>
      <w:r w:rsidRPr="00DA1E36">
        <w:rPr>
          <w:rFonts w:ascii="Times New Roman" w:hAnsi="Times New Roman" w:cs="Times New Roman"/>
          <w:i/>
          <w:sz w:val="24"/>
          <w:szCs w:val="24"/>
        </w:rPr>
        <w:t>Commission, Including a De</w:t>
      </w:r>
      <w:r>
        <w:rPr>
          <w:rFonts w:ascii="Times New Roman" w:hAnsi="Times New Roman" w:cs="Times New Roman"/>
          <w:i/>
          <w:sz w:val="24"/>
          <w:szCs w:val="24"/>
        </w:rPr>
        <w:t xml:space="preserve">scription of All Exhibits from </w:t>
      </w:r>
      <w:r w:rsidRPr="00DA1E36">
        <w:rPr>
          <w:rFonts w:ascii="Times New Roman" w:hAnsi="Times New Roman" w:cs="Times New Roman"/>
          <w:i/>
          <w:sz w:val="24"/>
          <w:szCs w:val="24"/>
        </w:rPr>
        <w:t>the State of</w:t>
      </w:r>
      <w:r>
        <w:rPr>
          <w:rFonts w:ascii="Times New Roman" w:hAnsi="Times New Roman" w:cs="Times New Roman"/>
          <w:i/>
          <w:sz w:val="24"/>
          <w:szCs w:val="24"/>
        </w:rPr>
        <w:tab/>
      </w:r>
      <w:r>
        <w:rPr>
          <w:rFonts w:ascii="Times New Roman" w:hAnsi="Times New Roman" w:cs="Times New Roman"/>
          <w:i/>
          <w:sz w:val="24"/>
          <w:szCs w:val="24"/>
        </w:rPr>
        <w:tab/>
      </w:r>
      <w:r w:rsidRPr="00DA1E36">
        <w:rPr>
          <w:rFonts w:ascii="Times New Roman" w:hAnsi="Times New Roman" w:cs="Times New Roman"/>
          <w:i/>
          <w:sz w:val="24"/>
          <w:szCs w:val="24"/>
        </w:rPr>
        <w:t>California</w:t>
      </w:r>
      <w:r w:rsidRPr="00DA1E36">
        <w:rPr>
          <w:rFonts w:ascii="Times New Roman" w:hAnsi="Times New Roman" w:cs="Times New Roman"/>
          <w:sz w:val="24"/>
          <w:szCs w:val="24"/>
        </w:rPr>
        <w:t xml:space="preserve">, </w:t>
      </w:r>
      <w:r w:rsidRPr="00DA1E36">
        <w:rPr>
          <w:rFonts w:ascii="Times New Roman" w:hAnsi="Times New Roman" w:cs="Times New Roman"/>
          <w:i/>
          <w:sz w:val="24"/>
          <w:szCs w:val="24"/>
        </w:rPr>
        <w:t>Collected and Maintained Under Legisla</w:t>
      </w:r>
      <w:r>
        <w:rPr>
          <w:rFonts w:ascii="Times New Roman" w:hAnsi="Times New Roman" w:cs="Times New Roman"/>
          <w:i/>
          <w:sz w:val="24"/>
          <w:szCs w:val="24"/>
        </w:rPr>
        <w:t>tive Enactments, at the</w:t>
      </w:r>
      <w:r>
        <w:rPr>
          <w:rFonts w:ascii="Times New Roman" w:hAnsi="Times New Roman" w:cs="Times New Roman"/>
          <w:i/>
          <w:sz w:val="24"/>
          <w:szCs w:val="24"/>
        </w:rPr>
        <w:tab/>
        <w:t>World’s C</w:t>
      </w:r>
      <w:r w:rsidR="0029022E">
        <w:rPr>
          <w:rFonts w:ascii="Times New Roman" w:hAnsi="Times New Roman" w:cs="Times New Roman"/>
          <w:i/>
          <w:sz w:val="24"/>
          <w:szCs w:val="24"/>
        </w:rPr>
        <w:t xml:space="preserve">olumbian Exposition Chicago, </w:t>
      </w:r>
      <w:r w:rsidRPr="00DA1E36">
        <w:rPr>
          <w:rFonts w:ascii="Times New Roman" w:hAnsi="Times New Roman" w:cs="Times New Roman"/>
          <w:i/>
          <w:sz w:val="24"/>
          <w:szCs w:val="24"/>
        </w:rPr>
        <w:t>1893</w:t>
      </w:r>
      <w:r w:rsidR="00037120">
        <w:rPr>
          <w:rFonts w:ascii="Times New Roman" w:hAnsi="Times New Roman" w:cs="Times New Roman"/>
          <w:sz w:val="24"/>
          <w:szCs w:val="24"/>
        </w:rPr>
        <w:t>. Sacramento</w:t>
      </w:r>
      <w:r w:rsidRPr="00DA1E36">
        <w:rPr>
          <w:rFonts w:ascii="Times New Roman" w:hAnsi="Times New Roman" w:cs="Times New Roman"/>
          <w:sz w:val="24"/>
          <w:szCs w:val="24"/>
        </w:rPr>
        <w:t>: State Office,</w:t>
      </w:r>
      <w:r w:rsidR="00037120">
        <w:rPr>
          <w:rFonts w:ascii="Times New Roman" w:hAnsi="Times New Roman" w:cs="Times New Roman"/>
          <w:sz w:val="24"/>
          <w:szCs w:val="24"/>
        </w:rPr>
        <w:t xml:space="preserve"> </w:t>
      </w:r>
      <w:r w:rsidRPr="00DA1E36">
        <w:rPr>
          <w:rFonts w:ascii="Times New Roman" w:hAnsi="Times New Roman" w:cs="Times New Roman"/>
          <w:sz w:val="24"/>
          <w:szCs w:val="24"/>
        </w:rPr>
        <w:t>1894.</w:t>
      </w:r>
    </w:p>
    <w:p w14:paraId="42585747" w14:textId="77777777" w:rsidR="00FE6EB2" w:rsidRDefault="00FE6EB2" w:rsidP="00186DCC">
      <w:pPr>
        <w:pStyle w:val="EndnoteText"/>
        <w:rPr>
          <w:rFonts w:ascii="Times New Roman" w:hAnsi="Times New Roman" w:cs="Times New Roman"/>
          <w:sz w:val="24"/>
          <w:szCs w:val="24"/>
        </w:rPr>
      </w:pPr>
    </w:p>
    <w:p w14:paraId="4F025510" w14:textId="4F5AD391" w:rsidR="00186DCC" w:rsidRPr="00DA1E36" w:rsidRDefault="00264A78" w:rsidP="00186DCC">
      <w:pPr>
        <w:pStyle w:val="EndnoteText"/>
        <w:rPr>
          <w:rFonts w:ascii="Times New Roman" w:hAnsi="Times New Roman" w:cs="Times New Roman"/>
          <w:sz w:val="24"/>
          <w:szCs w:val="24"/>
        </w:rPr>
      </w:pPr>
      <w:r>
        <w:rPr>
          <w:rFonts w:ascii="Times New Roman" w:hAnsi="Times New Roman" w:cs="Times New Roman"/>
          <w:sz w:val="24"/>
          <w:szCs w:val="24"/>
        </w:rPr>
        <w:t xml:space="preserve">Callcott, Maria, </w:t>
      </w:r>
      <w:r w:rsidR="00186DCC" w:rsidRPr="00DA1E36">
        <w:rPr>
          <w:rFonts w:ascii="Times New Roman" w:hAnsi="Times New Roman" w:cs="Times New Roman"/>
          <w:sz w:val="24"/>
          <w:szCs w:val="24"/>
        </w:rPr>
        <w:t>George Anson</w:t>
      </w:r>
      <w:r>
        <w:rPr>
          <w:rFonts w:ascii="Times New Roman" w:hAnsi="Times New Roman" w:cs="Times New Roman"/>
          <w:sz w:val="24"/>
          <w:szCs w:val="24"/>
        </w:rPr>
        <w:t xml:space="preserve"> Byron, </w:t>
      </w:r>
      <w:r w:rsidR="00186DCC" w:rsidRPr="00DA1E36">
        <w:rPr>
          <w:rFonts w:ascii="Times New Roman" w:hAnsi="Times New Roman" w:cs="Times New Roman"/>
          <w:sz w:val="24"/>
          <w:szCs w:val="24"/>
        </w:rPr>
        <w:t xml:space="preserve">and </w:t>
      </w:r>
      <w:r w:rsidR="00037120" w:rsidRPr="00DA1E36">
        <w:rPr>
          <w:rFonts w:ascii="Times New Roman" w:hAnsi="Times New Roman" w:cs="Times New Roman"/>
          <w:sz w:val="24"/>
          <w:szCs w:val="24"/>
        </w:rPr>
        <w:t xml:space="preserve">Richard Rowland </w:t>
      </w:r>
      <w:r w:rsidR="00037120">
        <w:rPr>
          <w:rFonts w:ascii="Times New Roman" w:hAnsi="Times New Roman" w:cs="Times New Roman"/>
          <w:sz w:val="24"/>
          <w:szCs w:val="24"/>
        </w:rPr>
        <w:t>Bloxam</w:t>
      </w:r>
      <w:r w:rsidR="00186DCC" w:rsidRPr="00DA1E36">
        <w:rPr>
          <w:rFonts w:ascii="Times New Roman" w:hAnsi="Times New Roman" w:cs="Times New Roman"/>
          <w:sz w:val="24"/>
          <w:szCs w:val="24"/>
        </w:rPr>
        <w:t xml:space="preserve">. </w:t>
      </w:r>
      <w:r w:rsidR="00186DCC" w:rsidRPr="00DA1E36">
        <w:rPr>
          <w:rFonts w:ascii="Times New Roman" w:hAnsi="Times New Roman" w:cs="Times New Roman"/>
          <w:i/>
          <w:iCs/>
          <w:sz w:val="24"/>
          <w:szCs w:val="24"/>
        </w:rPr>
        <w:t>Voyage of</w:t>
      </w:r>
      <w:r w:rsidR="005F0895">
        <w:rPr>
          <w:rFonts w:ascii="Times New Roman" w:hAnsi="Times New Roman" w:cs="Times New Roman"/>
          <w:i/>
          <w:iCs/>
          <w:sz w:val="24"/>
          <w:szCs w:val="24"/>
        </w:rPr>
        <w:tab/>
      </w:r>
      <w:r w:rsidR="005F0895">
        <w:rPr>
          <w:rFonts w:ascii="Times New Roman" w:hAnsi="Times New Roman" w:cs="Times New Roman"/>
          <w:i/>
          <w:iCs/>
          <w:sz w:val="24"/>
          <w:szCs w:val="24"/>
        </w:rPr>
        <w:tab/>
      </w:r>
      <w:r w:rsidR="00186DCC" w:rsidRPr="00DA1E36">
        <w:rPr>
          <w:rFonts w:ascii="Times New Roman" w:hAnsi="Times New Roman" w:cs="Times New Roman"/>
          <w:i/>
          <w:iCs/>
          <w:sz w:val="24"/>
          <w:szCs w:val="24"/>
        </w:rPr>
        <w:t>H.M.S. Blonde to the</w:t>
      </w:r>
      <w:r w:rsidR="005F0895">
        <w:rPr>
          <w:rFonts w:ascii="Times New Roman" w:hAnsi="Times New Roman" w:cs="Times New Roman"/>
          <w:i/>
          <w:iCs/>
          <w:sz w:val="24"/>
          <w:szCs w:val="24"/>
        </w:rPr>
        <w:t xml:space="preserve"> </w:t>
      </w:r>
      <w:r w:rsidR="00186DCC" w:rsidRPr="00DA1E36">
        <w:rPr>
          <w:rFonts w:ascii="Times New Roman" w:hAnsi="Times New Roman" w:cs="Times New Roman"/>
          <w:i/>
          <w:iCs/>
          <w:sz w:val="24"/>
          <w:szCs w:val="24"/>
        </w:rPr>
        <w:t>Sandwich Islands, in the Years 1824-1825</w:t>
      </w:r>
      <w:r w:rsidR="00D100B1">
        <w:rPr>
          <w:rFonts w:ascii="Times New Roman" w:hAnsi="Times New Roman" w:cs="Times New Roman"/>
          <w:sz w:val="24"/>
          <w:szCs w:val="24"/>
        </w:rPr>
        <w:t>.</w:t>
      </w:r>
      <w:r w:rsidR="00186DCC" w:rsidRPr="00DA1E36">
        <w:rPr>
          <w:rFonts w:ascii="Times New Roman" w:hAnsi="Times New Roman" w:cs="Times New Roman"/>
          <w:sz w:val="24"/>
          <w:szCs w:val="24"/>
        </w:rPr>
        <w:t xml:space="preserve"> London: J.</w:t>
      </w:r>
      <w:r w:rsidR="005F0895">
        <w:rPr>
          <w:rFonts w:ascii="Times New Roman" w:hAnsi="Times New Roman" w:cs="Times New Roman"/>
          <w:sz w:val="24"/>
          <w:szCs w:val="24"/>
        </w:rPr>
        <w:tab/>
      </w:r>
      <w:r w:rsidR="00181CE1">
        <w:rPr>
          <w:rFonts w:ascii="Times New Roman" w:hAnsi="Times New Roman" w:cs="Times New Roman"/>
          <w:sz w:val="24"/>
          <w:szCs w:val="24"/>
        </w:rPr>
        <w:t>Murray, 1826.</w:t>
      </w:r>
    </w:p>
    <w:p w14:paraId="72316B26" w14:textId="77777777" w:rsidR="009665BD" w:rsidRDefault="009665BD" w:rsidP="00186DCC">
      <w:pPr>
        <w:pStyle w:val="EndnoteText"/>
        <w:rPr>
          <w:rFonts w:ascii="Times New Roman" w:hAnsi="Times New Roman" w:cs="Times New Roman"/>
          <w:sz w:val="24"/>
          <w:szCs w:val="24"/>
        </w:rPr>
      </w:pPr>
    </w:p>
    <w:p w14:paraId="61E41E37" w14:textId="75B9F240" w:rsidR="00186DCC" w:rsidRPr="00DA1E36" w:rsidRDefault="00D100B1" w:rsidP="00186DCC">
      <w:pPr>
        <w:pStyle w:val="EndnoteText"/>
        <w:rPr>
          <w:rFonts w:ascii="Times New Roman" w:hAnsi="Times New Roman" w:cs="Times New Roman"/>
          <w:sz w:val="24"/>
          <w:szCs w:val="24"/>
        </w:rPr>
      </w:pPr>
      <w:r>
        <w:rPr>
          <w:rFonts w:ascii="Times New Roman" w:hAnsi="Times New Roman" w:cs="Times New Roman"/>
          <w:sz w:val="24"/>
          <w:szCs w:val="24"/>
        </w:rPr>
        <w:t xml:space="preserve">Cameron, William E., </w:t>
      </w:r>
      <w:r w:rsidRPr="00DA1E36">
        <w:rPr>
          <w:rFonts w:ascii="Times New Roman" w:hAnsi="Times New Roman" w:cs="Times New Roman"/>
          <w:sz w:val="24"/>
          <w:szCs w:val="24"/>
        </w:rPr>
        <w:t>Thomas W.</w:t>
      </w:r>
      <w:r>
        <w:rPr>
          <w:rFonts w:ascii="Times New Roman" w:hAnsi="Times New Roman" w:cs="Times New Roman"/>
          <w:sz w:val="24"/>
          <w:szCs w:val="24"/>
        </w:rPr>
        <w:t xml:space="preserve"> </w:t>
      </w:r>
      <w:r w:rsidR="00186DCC" w:rsidRPr="00DA1E36">
        <w:rPr>
          <w:rFonts w:ascii="Times New Roman" w:hAnsi="Times New Roman" w:cs="Times New Roman"/>
          <w:sz w:val="24"/>
          <w:szCs w:val="24"/>
        </w:rPr>
        <w:t xml:space="preserve">Palmer, and </w:t>
      </w:r>
      <w:r w:rsidRPr="00DA1E36">
        <w:rPr>
          <w:rFonts w:ascii="Times New Roman" w:hAnsi="Times New Roman" w:cs="Times New Roman"/>
          <w:sz w:val="24"/>
          <w:szCs w:val="24"/>
        </w:rPr>
        <w:t>Frances E.</w:t>
      </w:r>
      <w:r>
        <w:rPr>
          <w:rFonts w:ascii="Times New Roman" w:hAnsi="Times New Roman" w:cs="Times New Roman"/>
          <w:sz w:val="24"/>
          <w:szCs w:val="24"/>
        </w:rPr>
        <w:t xml:space="preserve"> Willard. </w:t>
      </w:r>
      <w:r w:rsidR="00186DCC" w:rsidRPr="00DA1E36">
        <w:rPr>
          <w:rFonts w:ascii="Times New Roman" w:hAnsi="Times New Roman" w:cs="Times New Roman"/>
          <w:i/>
          <w:sz w:val="24"/>
          <w:szCs w:val="24"/>
        </w:rPr>
        <w:t>The World’s Fair,</w:t>
      </w:r>
      <w:r w:rsidR="005F0895">
        <w:rPr>
          <w:rFonts w:ascii="Times New Roman" w:hAnsi="Times New Roman" w:cs="Times New Roman"/>
          <w:i/>
          <w:sz w:val="24"/>
          <w:szCs w:val="24"/>
        </w:rPr>
        <w:tab/>
      </w:r>
      <w:r w:rsidR="00186DCC" w:rsidRPr="00DA1E36">
        <w:rPr>
          <w:rFonts w:ascii="Times New Roman" w:hAnsi="Times New Roman" w:cs="Times New Roman"/>
          <w:i/>
          <w:sz w:val="24"/>
          <w:szCs w:val="24"/>
        </w:rPr>
        <w:t>Being a Pictorial</w:t>
      </w:r>
      <w:r w:rsidR="005F0895">
        <w:rPr>
          <w:rFonts w:ascii="Times New Roman" w:hAnsi="Times New Roman" w:cs="Times New Roman"/>
          <w:i/>
          <w:sz w:val="24"/>
          <w:szCs w:val="24"/>
        </w:rPr>
        <w:t xml:space="preserve"> </w:t>
      </w:r>
      <w:r w:rsidR="00186DCC" w:rsidRPr="00DA1E36">
        <w:rPr>
          <w:rFonts w:ascii="Times New Roman" w:hAnsi="Times New Roman" w:cs="Times New Roman"/>
          <w:i/>
          <w:sz w:val="24"/>
          <w:szCs w:val="24"/>
        </w:rPr>
        <w:t>His</w:t>
      </w:r>
      <w:r>
        <w:rPr>
          <w:rFonts w:ascii="Times New Roman" w:hAnsi="Times New Roman" w:cs="Times New Roman"/>
          <w:i/>
          <w:sz w:val="24"/>
          <w:szCs w:val="24"/>
        </w:rPr>
        <w:t>tory of t</w:t>
      </w:r>
      <w:r w:rsidR="00186DCC" w:rsidRPr="00DA1E36">
        <w:rPr>
          <w:rFonts w:ascii="Times New Roman" w:hAnsi="Times New Roman" w:cs="Times New Roman"/>
          <w:i/>
          <w:sz w:val="24"/>
          <w:szCs w:val="24"/>
        </w:rPr>
        <w:t>he Columbian Exposition</w:t>
      </w:r>
      <w:r>
        <w:rPr>
          <w:rFonts w:ascii="Times New Roman" w:hAnsi="Times New Roman" w:cs="Times New Roman"/>
          <w:sz w:val="24"/>
          <w:szCs w:val="24"/>
        </w:rPr>
        <w:t>. Grand Rapids</w:t>
      </w:r>
      <w:r w:rsidR="00186DCC" w:rsidRPr="00DA1E36">
        <w:rPr>
          <w:rFonts w:ascii="Times New Roman" w:hAnsi="Times New Roman" w:cs="Times New Roman"/>
          <w:sz w:val="24"/>
          <w:szCs w:val="24"/>
        </w:rPr>
        <w:t>: P.D.</w:t>
      </w:r>
      <w:r w:rsidR="005F0895">
        <w:rPr>
          <w:rFonts w:ascii="Times New Roman" w:hAnsi="Times New Roman" w:cs="Times New Roman"/>
          <w:sz w:val="24"/>
          <w:szCs w:val="24"/>
        </w:rPr>
        <w:tab/>
      </w:r>
      <w:r w:rsidR="00186DCC" w:rsidRPr="00DA1E36">
        <w:rPr>
          <w:rFonts w:ascii="Times New Roman" w:hAnsi="Times New Roman" w:cs="Times New Roman"/>
          <w:sz w:val="24"/>
          <w:szCs w:val="24"/>
        </w:rPr>
        <w:t>Farrell &amp; Co., 1893.</w:t>
      </w:r>
    </w:p>
    <w:p w14:paraId="076808EA" w14:textId="77777777" w:rsidR="00186DCC" w:rsidRPr="00DA1E36" w:rsidRDefault="00186DCC" w:rsidP="00186DCC">
      <w:pPr>
        <w:pStyle w:val="NoSpacing"/>
        <w:rPr>
          <w:rFonts w:ascii="Times New Roman" w:hAnsi="Times New Roman"/>
          <w:szCs w:val="24"/>
        </w:rPr>
      </w:pPr>
    </w:p>
    <w:p w14:paraId="3D2A9FD2" w14:textId="1F584AB2" w:rsidR="00186DCC" w:rsidRDefault="00186DCC" w:rsidP="00186DCC">
      <w:pPr>
        <w:pStyle w:val="NoSpacing"/>
        <w:rPr>
          <w:rFonts w:ascii="Times New Roman" w:hAnsi="Times New Roman"/>
          <w:szCs w:val="24"/>
        </w:rPr>
      </w:pPr>
      <w:r w:rsidRPr="00DA1E36">
        <w:rPr>
          <w:rFonts w:ascii="Times New Roman" w:hAnsi="Times New Roman"/>
          <w:szCs w:val="24"/>
        </w:rPr>
        <w:t xml:space="preserve">Carrier, James. “Occidentalism: The World Turned Upside-Down.” </w:t>
      </w:r>
      <w:r w:rsidR="007A1328">
        <w:rPr>
          <w:rFonts w:ascii="Times New Roman" w:hAnsi="Times New Roman"/>
          <w:i/>
          <w:szCs w:val="24"/>
        </w:rPr>
        <w:t>America</w:t>
      </w:r>
      <w:r w:rsidR="007A1328">
        <w:rPr>
          <w:rFonts w:ascii="Times New Roman" w:hAnsi="Times New Roman"/>
          <w:i/>
          <w:szCs w:val="24"/>
        </w:rPr>
        <w:tab/>
      </w:r>
      <w:r w:rsidR="007A1328">
        <w:rPr>
          <w:rFonts w:ascii="Times New Roman" w:hAnsi="Times New Roman"/>
          <w:i/>
          <w:szCs w:val="24"/>
        </w:rPr>
        <w:tab/>
      </w:r>
      <w:r w:rsidRPr="00DA1E36">
        <w:rPr>
          <w:rFonts w:ascii="Times New Roman" w:hAnsi="Times New Roman"/>
          <w:i/>
          <w:szCs w:val="24"/>
        </w:rPr>
        <w:t>Ethnologist</w:t>
      </w:r>
      <w:r w:rsidRPr="00DA1E36">
        <w:rPr>
          <w:rFonts w:ascii="Times New Roman" w:hAnsi="Times New Roman"/>
          <w:szCs w:val="24"/>
        </w:rPr>
        <w:t xml:space="preserve"> 19</w:t>
      </w:r>
      <w:r w:rsidR="005F0895">
        <w:rPr>
          <w:rFonts w:ascii="Times New Roman" w:hAnsi="Times New Roman"/>
          <w:szCs w:val="24"/>
        </w:rPr>
        <w:t xml:space="preserve">, no. </w:t>
      </w:r>
      <w:r w:rsidRPr="00DA1E36">
        <w:rPr>
          <w:rFonts w:ascii="Times New Roman" w:hAnsi="Times New Roman"/>
          <w:szCs w:val="24"/>
        </w:rPr>
        <w:t>2 (1992):195–212.</w:t>
      </w:r>
    </w:p>
    <w:p w14:paraId="193642D1" w14:textId="717480BC" w:rsidR="001D1448" w:rsidRDefault="001D1448" w:rsidP="00186DCC">
      <w:pPr>
        <w:pStyle w:val="NoSpacing"/>
        <w:rPr>
          <w:rFonts w:ascii="Times New Roman" w:hAnsi="Times New Roman"/>
          <w:szCs w:val="24"/>
        </w:rPr>
      </w:pPr>
    </w:p>
    <w:p w14:paraId="1D7B9007" w14:textId="2CA15131" w:rsidR="001D1448" w:rsidRDefault="001D1448" w:rsidP="00186DCC">
      <w:pPr>
        <w:pStyle w:val="NoSpacing"/>
        <w:rPr>
          <w:rFonts w:ascii="Times New Roman" w:hAnsi="Times New Roman"/>
          <w:szCs w:val="24"/>
        </w:rPr>
      </w:pPr>
      <w:r>
        <w:rPr>
          <w:rFonts w:asciiTheme="majorHAnsi" w:hAnsiTheme="majorHAnsi" w:cstheme="majorHAnsi"/>
          <w:szCs w:val="24"/>
        </w:rPr>
        <w:t>Ge</w:t>
      </w:r>
      <w:r w:rsidRPr="0035388D">
        <w:rPr>
          <w:rFonts w:asciiTheme="majorHAnsi" w:hAnsiTheme="majorHAnsi" w:cstheme="majorHAnsi"/>
          <w:szCs w:val="24"/>
        </w:rPr>
        <w:t>o</w:t>
      </w:r>
      <w:r>
        <w:rPr>
          <w:rFonts w:asciiTheme="majorHAnsi" w:hAnsiTheme="majorHAnsi" w:cstheme="majorHAnsi"/>
          <w:szCs w:val="24"/>
        </w:rPr>
        <w:t>r</w:t>
      </w:r>
      <w:r w:rsidRPr="0035388D">
        <w:rPr>
          <w:rFonts w:asciiTheme="majorHAnsi" w:hAnsiTheme="majorHAnsi" w:cstheme="majorHAnsi"/>
          <w:szCs w:val="24"/>
        </w:rPr>
        <w:t>ge Catlin</w:t>
      </w:r>
      <w:r>
        <w:rPr>
          <w:rFonts w:asciiTheme="majorHAnsi" w:hAnsiTheme="majorHAnsi" w:cstheme="majorHAnsi"/>
          <w:szCs w:val="24"/>
        </w:rPr>
        <w:t xml:space="preserve">. </w:t>
      </w:r>
      <w:r w:rsidRPr="0035388D">
        <w:rPr>
          <w:rFonts w:asciiTheme="majorHAnsi" w:hAnsiTheme="majorHAnsi" w:cstheme="majorHAnsi"/>
          <w:i/>
          <w:szCs w:val="24"/>
        </w:rPr>
        <w:t>Letters and Notes</w:t>
      </w:r>
      <w:r>
        <w:rPr>
          <w:rFonts w:asciiTheme="majorHAnsi" w:hAnsiTheme="majorHAnsi" w:cstheme="majorHAnsi"/>
          <w:i/>
          <w:szCs w:val="24"/>
        </w:rPr>
        <w:t xml:space="preserve"> on the Manners, Customs, and Traditions of the North</w:t>
      </w:r>
      <w:r>
        <w:rPr>
          <w:rFonts w:asciiTheme="majorHAnsi" w:hAnsiTheme="majorHAnsi" w:cstheme="majorHAnsi"/>
          <w:i/>
          <w:szCs w:val="24"/>
        </w:rPr>
        <w:tab/>
        <w:t>American Indians</w:t>
      </w:r>
      <w:r>
        <w:rPr>
          <w:rFonts w:asciiTheme="majorHAnsi" w:hAnsiTheme="majorHAnsi" w:cstheme="majorHAnsi"/>
          <w:szCs w:val="24"/>
        </w:rPr>
        <w:t>. London: Egyptian Hall, Piccadilly, 1841, and New York:</w:t>
      </w:r>
      <w:r>
        <w:rPr>
          <w:rFonts w:asciiTheme="majorHAnsi" w:hAnsiTheme="majorHAnsi" w:cstheme="majorHAnsi"/>
          <w:szCs w:val="24"/>
        </w:rPr>
        <w:tab/>
        <w:t>Dover</w:t>
      </w:r>
      <w:r w:rsidRPr="0035388D">
        <w:rPr>
          <w:rFonts w:asciiTheme="majorHAnsi" w:hAnsiTheme="majorHAnsi" w:cstheme="majorHAnsi"/>
          <w:szCs w:val="24"/>
        </w:rPr>
        <w:t xml:space="preserve">, </w:t>
      </w:r>
      <w:r>
        <w:rPr>
          <w:rFonts w:asciiTheme="majorHAnsi" w:hAnsiTheme="majorHAnsi" w:cstheme="majorHAnsi"/>
          <w:szCs w:val="24"/>
        </w:rPr>
        <w:t>1973. 2 volumes.</w:t>
      </w:r>
    </w:p>
    <w:p w14:paraId="27421894" w14:textId="1872D5E4" w:rsidR="005F0895" w:rsidRDefault="005F0895" w:rsidP="00186DCC">
      <w:pPr>
        <w:pStyle w:val="NoSpacing"/>
        <w:rPr>
          <w:rFonts w:ascii="Times New Roman" w:hAnsi="Times New Roman"/>
          <w:szCs w:val="24"/>
        </w:rPr>
      </w:pPr>
    </w:p>
    <w:p w14:paraId="78C578C3" w14:textId="7D8B0BF8" w:rsidR="009044C1" w:rsidRPr="00265330" w:rsidRDefault="009044C1" w:rsidP="00186DCC">
      <w:pPr>
        <w:pStyle w:val="NoSpacing"/>
        <w:rPr>
          <w:rFonts w:ascii="Times New Roman" w:hAnsi="Times New Roman"/>
        </w:rPr>
      </w:pPr>
      <w:r w:rsidRPr="00265330">
        <w:rPr>
          <w:rFonts w:ascii="Times New Roman" w:hAnsi="Times New Roman"/>
          <w:bCs/>
          <w:i/>
          <w:szCs w:val="24"/>
        </w:rPr>
        <w:t>Champney Sketches MSS Archive</w:t>
      </w:r>
      <w:r w:rsidRPr="00265330">
        <w:rPr>
          <w:rFonts w:ascii="Times New Roman" w:hAnsi="Times New Roman"/>
          <w:bCs/>
          <w:szCs w:val="24"/>
        </w:rPr>
        <w:t>.</w:t>
      </w:r>
      <w:r w:rsidRPr="00265330">
        <w:rPr>
          <w:rFonts w:ascii="Times New Roman" w:hAnsi="Times New Roman"/>
          <w:bCs/>
          <w:kern w:val="36"/>
          <w:szCs w:val="24"/>
        </w:rPr>
        <w:t xml:space="preserve"> Lilly Library Manuscript Collections. </w:t>
      </w:r>
      <w:r w:rsidRPr="00265330">
        <w:rPr>
          <w:rFonts w:ascii="Times New Roman" w:hAnsi="Times New Roman"/>
          <w:bCs/>
          <w:szCs w:val="24"/>
        </w:rPr>
        <w:t>Lilly Library</w:t>
      </w:r>
      <w:r w:rsidR="00265330" w:rsidRPr="00265330">
        <w:rPr>
          <w:rFonts w:ascii="Times New Roman" w:hAnsi="Times New Roman"/>
          <w:bCs/>
          <w:szCs w:val="24"/>
        </w:rPr>
        <w:t>,</w:t>
      </w:r>
      <w:r w:rsidR="00265330" w:rsidRPr="00265330">
        <w:rPr>
          <w:rFonts w:ascii="Times New Roman" w:hAnsi="Times New Roman"/>
          <w:bCs/>
          <w:szCs w:val="24"/>
        </w:rPr>
        <w:tab/>
        <w:t>Indiana University</w:t>
      </w:r>
      <w:r w:rsidRPr="00265330">
        <w:rPr>
          <w:rFonts w:ascii="Times New Roman" w:hAnsi="Times New Roman"/>
          <w:bCs/>
          <w:szCs w:val="24"/>
        </w:rPr>
        <w:t>.</w:t>
      </w:r>
      <w:r w:rsidR="00265330" w:rsidRPr="00265330">
        <w:rPr>
          <w:rFonts w:ascii="Times New Roman" w:hAnsi="Times New Roman"/>
          <w:bCs/>
          <w:szCs w:val="24"/>
        </w:rPr>
        <w:t xml:space="preserve"> </w:t>
      </w:r>
      <w:r w:rsidR="007D753B">
        <w:rPr>
          <w:rFonts w:ascii="Times New Roman" w:hAnsi="Times New Roman"/>
          <w:bCs/>
          <w:szCs w:val="24"/>
        </w:rPr>
        <w:t>Accessed</w:t>
      </w:r>
      <w:r w:rsidRPr="00265330">
        <w:rPr>
          <w:rFonts w:ascii="Times New Roman" w:hAnsi="Times New Roman"/>
          <w:bCs/>
          <w:szCs w:val="24"/>
        </w:rPr>
        <w:t xml:space="preserve"> September 27, 2016.</w:t>
      </w:r>
      <w:r w:rsidRPr="00265330">
        <w:rPr>
          <w:rFonts w:ascii="Times New Roman" w:hAnsi="Times New Roman"/>
          <w:b/>
          <w:bCs/>
          <w:szCs w:val="24"/>
        </w:rPr>
        <w:t xml:space="preserve"> </w:t>
      </w:r>
      <w:hyperlink r:id="rId81" w:history="1">
        <w:r w:rsidR="00265330" w:rsidRPr="00265330">
          <w:rPr>
            <w:rStyle w:val="Hyperlink"/>
            <w:rFonts w:ascii="Times New Roman" w:hAnsi="Times New Roman"/>
            <w:color w:val="auto"/>
            <w:u w:val="none"/>
          </w:rPr>
          <w:t>http://www.indiana.edu/</w:t>
        </w:r>
        <w:r w:rsidR="00265330" w:rsidRPr="00265330">
          <w:rPr>
            <w:rStyle w:val="Hyperlink"/>
            <w:rFonts w:ascii="Times New Roman" w:hAnsi="Times New Roman"/>
            <w:color w:val="auto"/>
            <w:u w:val="none"/>
          </w:rPr>
          <w:tab/>
          <w:t>~liblilly/ lilly/mss/html/champnsk.html</w:t>
        </w:r>
      </w:hyperlink>
      <w:r w:rsidRPr="00265330">
        <w:rPr>
          <w:rFonts w:ascii="Times New Roman" w:hAnsi="Times New Roman"/>
        </w:rPr>
        <w:t>.</w:t>
      </w:r>
    </w:p>
    <w:p w14:paraId="28F48EE0" w14:textId="77777777" w:rsidR="009044C1" w:rsidRPr="00265330" w:rsidRDefault="009044C1" w:rsidP="00186DCC">
      <w:pPr>
        <w:pStyle w:val="NoSpacing"/>
        <w:rPr>
          <w:rFonts w:ascii="Times New Roman" w:hAnsi="Times New Roman"/>
          <w:szCs w:val="24"/>
        </w:rPr>
      </w:pPr>
    </w:p>
    <w:p w14:paraId="2DB59EB6" w14:textId="71F25576"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Chang, David. </w:t>
      </w:r>
      <w:r w:rsidRPr="00DA1E36">
        <w:rPr>
          <w:rFonts w:ascii="Times New Roman" w:hAnsi="Times New Roman"/>
          <w:i/>
          <w:szCs w:val="24"/>
        </w:rPr>
        <w:t>The Color of the Land: Race, Nation, and the Politics of Landownership</w:t>
      </w:r>
      <w:r w:rsidR="005F0895">
        <w:rPr>
          <w:rFonts w:ascii="Times New Roman" w:hAnsi="Times New Roman"/>
          <w:i/>
          <w:szCs w:val="24"/>
        </w:rPr>
        <w:tab/>
      </w:r>
      <w:r w:rsidRPr="00DA1E36">
        <w:rPr>
          <w:rFonts w:ascii="Times New Roman" w:hAnsi="Times New Roman"/>
          <w:i/>
          <w:szCs w:val="24"/>
        </w:rPr>
        <w:t>in Oklahoma,</w:t>
      </w:r>
      <w:r w:rsidR="005F0895">
        <w:rPr>
          <w:rFonts w:ascii="Times New Roman" w:hAnsi="Times New Roman"/>
          <w:i/>
          <w:szCs w:val="24"/>
        </w:rPr>
        <w:t xml:space="preserve"> </w:t>
      </w:r>
      <w:r w:rsidRPr="00DA1E36">
        <w:rPr>
          <w:rFonts w:ascii="Times New Roman" w:hAnsi="Times New Roman"/>
          <w:i/>
          <w:szCs w:val="24"/>
        </w:rPr>
        <w:t>1832-1929</w:t>
      </w:r>
      <w:r w:rsidRPr="00DA1E36">
        <w:rPr>
          <w:rFonts w:ascii="Times New Roman" w:hAnsi="Times New Roman"/>
          <w:szCs w:val="24"/>
        </w:rPr>
        <w:t>. Raleigh: University of North Carolina Press, 2010.</w:t>
      </w:r>
    </w:p>
    <w:p w14:paraId="2B9687C2" w14:textId="77777777" w:rsidR="00186DCC" w:rsidRPr="00DA1E36" w:rsidRDefault="00186DCC" w:rsidP="00186DCC">
      <w:pPr>
        <w:pStyle w:val="NoSpacing"/>
        <w:rPr>
          <w:rFonts w:ascii="Times New Roman" w:hAnsi="Times New Roman"/>
          <w:szCs w:val="24"/>
        </w:rPr>
      </w:pPr>
    </w:p>
    <w:p w14:paraId="48E2D692" w14:textId="10245867"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Chapin, Helen G. “Newspapers of Hawai’i 1834 to 1903: From </w:t>
      </w:r>
      <w:r w:rsidRPr="00DA1E36">
        <w:rPr>
          <w:rFonts w:ascii="Times New Roman" w:hAnsi="Times New Roman"/>
          <w:i/>
          <w:szCs w:val="24"/>
        </w:rPr>
        <w:t>He Liona</w:t>
      </w:r>
      <w:r w:rsidRPr="00DA1E36">
        <w:rPr>
          <w:rFonts w:ascii="Times New Roman" w:hAnsi="Times New Roman"/>
          <w:szCs w:val="24"/>
        </w:rPr>
        <w:t xml:space="preserve"> to the Pacific</w:t>
      </w:r>
      <w:r w:rsidR="005F0895">
        <w:rPr>
          <w:rFonts w:ascii="Times New Roman" w:hAnsi="Times New Roman"/>
          <w:szCs w:val="24"/>
        </w:rPr>
        <w:tab/>
      </w:r>
      <w:r w:rsidRPr="00DA1E36">
        <w:rPr>
          <w:rFonts w:ascii="Times New Roman" w:hAnsi="Times New Roman"/>
          <w:szCs w:val="24"/>
        </w:rPr>
        <w:t>Cable,”</w:t>
      </w:r>
      <w:r w:rsidR="005F0895">
        <w:rPr>
          <w:rFonts w:ascii="Times New Roman" w:hAnsi="Times New Roman"/>
          <w:szCs w:val="24"/>
        </w:rPr>
        <w:t xml:space="preserve"> </w:t>
      </w:r>
      <w:r w:rsidRPr="00DA1E36">
        <w:rPr>
          <w:rFonts w:ascii="Times New Roman" w:hAnsi="Times New Roman"/>
          <w:i/>
          <w:szCs w:val="24"/>
        </w:rPr>
        <w:t>Hawaiian Journal of History</w:t>
      </w:r>
      <w:r w:rsidRPr="00DA1E36">
        <w:rPr>
          <w:rFonts w:ascii="Times New Roman" w:hAnsi="Times New Roman"/>
          <w:szCs w:val="24"/>
        </w:rPr>
        <w:t xml:space="preserve"> 18 (1984): 47-86.</w:t>
      </w:r>
    </w:p>
    <w:p w14:paraId="414E889D" w14:textId="77777777" w:rsidR="00186DCC" w:rsidRPr="00DA1E36" w:rsidRDefault="00186DCC" w:rsidP="00186DCC">
      <w:pPr>
        <w:pStyle w:val="NoSpacing"/>
        <w:rPr>
          <w:rFonts w:ascii="Times New Roman" w:hAnsi="Times New Roman"/>
          <w:szCs w:val="24"/>
        </w:rPr>
      </w:pPr>
    </w:p>
    <w:p w14:paraId="7CDBC640" w14:textId="3318775A" w:rsidR="00186DCC" w:rsidRPr="00DA1E36" w:rsidRDefault="00186DCC" w:rsidP="00186DCC">
      <w:pPr>
        <w:pStyle w:val="EndnoteText"/>
        <w:rPr>
          <w:rFonts w:ascii="Times New Roman" w:hAnsi="Times New Roman" w:cs="Times New Roman"/>
          <w:sz w:val="24"/>
          <w:szCs w:val="24"/>
        </w:rPr>
      </w:pPr>
      <w:r w:rsidRPr="00DA1E36">
        <w:rPr>
          <w:rFonts w:ascii="Times New Roman" w:hAnsi="Times New Roman" w:cs="Times New Roman"/>
          <w:sz w:val="24"/>
          <w:szCs w:val="24"/>
        </w:rPr>
        <w:t>Charlot, John. “Pele and Hi‘iaka: The Haw</w:t>
      </w:r>
      <w:r w:rsidR="00265330">
        <w:rPr>
          <w:rFonts w:ascii="Times New Roman" w:hAnsi="Times New Roman" w:cs="Times New Roman"/>
          <w:sz w:val="24"/>
          <w:szCs w:val="24"/>
        </w:rPr>
        <w:t>aiian-Language Newspaper Series.</w:t>
      </w:r>
      <w:r w:rsidRPr="00DA1E36">
        <w:rPr>
          <w:rFonts w:ascii="Times New Roman" w:hAnsi="Times New Roman" w:cs="Times New Roman"/>
          <w:sz w:val="24"/>
          <w:szCs w:val="24"/>
        </w:rPr>
        <w:t>”</w:t>
      </w:r>
      <w:r w:rsidR="00DB1BBD">
        <w:rPr>
          <w:rFonts w:ascii="Times New Roman" w:hAnsi="Times New Roman" w:cs="Times New Roman"/>
          <w:sz w:val="24"/>
          <w:szCs w:val="24"/>
        </w:rPr>
        <w:tab/>
      </w:r>
      <w:r w:rsidRPr="00DA1E36">
        <w:rPr>
          <w:rFonts w:ascii="Times New Roman" w:hAnsi="Times New Roman" w:cs="Times New Roman"/>
          <w:i/>
          <w:sz w:val="24"/>
          <w:szCs w:val="24"/>
        </w:rPr>
        <w:t>Anthoropos</w:t>
      </w:r>
      <w:r w:rsidRPr="00DA1E36">
        <w:rPr>
          <w:rFonts w:ascii="Times New Roman" w:hAnsi="Times New Roman" w:cs="Times New Roman"/>
          <w:sz w:val="24"/>
          <w:szCs w:val="24"/>
        </w:rPr>
        <w:t xml:space="preserve"> 93 (1998)</w:t>
      </w:r>
      <w:r w:rsidR="005F0895">
        <w:rPr>
          <w:rFonts w:ascii="Times New Roman" w:hAnsi="Times New Roman" w:cs="Times New Roman"/>
          <w:sz w:val="24"/>
          <w:szCs w:val="24"/>
        </w:rPr>
        <w:t xml:space="preserve">: </w:t>
      </w:r>
      <w:r w:rsidRPr="00DA1E36">
        <w:rPr>
          <w:rFonts w:ascii="Times New Roman" w:hAnsi="Times New Roman" w:cs="Times New Roman"/>
          <w:sz w:val="24"/>
          <w:szCs w:val="24"/>
        </w:rPr>
        <w:t>60.</w:t>
      </w:r>
    </w:p>
    <w:p w14:paraId="16516F93" w14:textId="2FA72EBB" w:rsidR="00186DCC" w:rsidRDefault="00186DCC" w:rsidP="00186DCC">
      <w:pPr>
        <w:pStyle w:val="NoSpacing"/>
        <w:rPr>
          <w:rFonts w:ascii="Times New Roman" w:hAnsi="Times New Roman"/>
          <w:szCs w:val="24"/>
        </w:rPr>
      </w:pPr>
    </w:p>
    <w:p w14:paraId="3BB87D1F" w14:textId="1E3AFC4B" w:rsidR="004C05F1" w:rsidRDefault="004C05F1" w:rsidP="00186DCC">
      <w:pPr>
        <w:pStyle w:val="NoSpacing"/>
        <w:rPr>
          <w:rFonts w:ascii="Times New Roman" w:hAnsi="Times New Roman"/>
          <w:szCs w:val="24"/>
        </w:rPr>
      </w:pPr>
      <w:r>
        <w:rPr>
          <w:rFonts w:ascii="Times New Roman" w:hAnsi="Times New Roman"/>
          <w:szCs w:val="24"/>
        </w:rPr>
        <w:t xml:space="preserve">Chave, Anna C. “O’Keefe and the Masculine Gaze.” In </w:t>
      </w:r>
      <w:r w:rsidR="00DB1BBD">
        <w:rPr>
          <w:rFonts w:ascii="Times New Roman" w:hAnsi="Times New Roman"/>
          <w:szCs w:val="24"/>
        </w:rPr>
        <w:t>Marianne Doezema and</w:t>
      </w:r>
      <w:r w:rsidR="00DB1BBD">
        <w:rPr>
          <w:rFonts w:ascii="Times New Roman" w:hAnsi="Times New Roman"/>
          <w:szCs w:val="24"/>
        </w:rPr>
        <w:tab/>
      </w:r>
      <w:r w:rsidR="00FB63FF" w:rsidRPr="004C05F1">
        <w:rPr>
          <w:rFonts w:ascii="Adobe Garamond Pro" w:eastAsia="PMingLiU" w:hAnsi="Adobe Garamond Pro" w:cs="Gautami"/>
          <w:lang w:bidi="ar-SA"/>
        </w:rPr>
        <w:t>Elizabeth Milroy</w:t>
      </w:r>
      <w:r w:rsidR="00FB63FF">
        <w:rPr>
          <w:rFonts w:ascii="Adobe Garamond Pro" w:eastAsia="PMingLiU" w:hAnsi="Adobe Garamond Pro" w:cs="Gautami"/>
          <w:lang w:bidi="ar-SA"/>
        </w:rPr>
        <w:t xml:space="preserve">, eds. </w:t>
      </w:r>
      <w:r w:rsidRPr="004C05F1">
        <w:rPr>
          <w:rFonts w:ascii="Times New Roman" w:hAnsi="Times New Roman"/>
          <w:i/>
          <w:szCs w:val="24"/>
        </w:rPr>
        <w:t>Reading American Art</w:t>
      </w:r>
      <w:r w:rsidR="00FB63FF">
        <w:rPr>
          <w:rFonts w:ascii="Times New Roman" w:hAnsi="Times New Roman"/>
          <w:szCs w:val="24"/>
        </w:rPr>
        <w:t xml:space="preserve">. </w:t>
      </w:r>
      <w:r>
        <w:rPr>
          <w:rFonts w:ascii="Times New Roman" w:hAnsi="Times New Roman"/>
          <w:szCs w:val="24"/>
        </w:rPr>
        <w:t>New</w:t>
      </w:r>
      <w:r w:rsidR="00475B84">
        <w:rPr>
          <w:rFonts w:ascii="Times New Roman" w:hAnsi="Times New Roman"/>
          <w:szCs w:val="24"/>
        </w:rPr>
        <w:t xml:space="preserve"> </w:t>
      </w:r>
      <w:r>
        <w:rPr>
          <w:rFonts w:ascii="Times New Roman" w:hAnsi="Times New Roman"/>
          <w:szCs w:val="24"/>
        </w:rPr>
        <w:t>Haven: Yale University</w:t>
      </w:r>
      <w:r>
        <w:rPr>
          <w:rFonts w:ascii="Times New Roman" w:hAnsi="Times New Roman"/>
          <w:szCs w:val="24"/>
        </w:rPr>
        <w:tab/>
        <w:t xml:space="preserve">Press, 1998, 350-370. </w:t>
      </w:r>
    </w:p>
    <w:p w14:paraId="0896CD23" w14:textId="5DC3929D" w:rsidR="004C05F1" w:rsidRDefault="004C05F1" w:rsidP="00186DCC">
      <w:pPr>
        <w:pStyle w:val="NoSpacing"/>
        <w:rPr>
          <w:rFonts w:ascii="Times New Roman" w:hAnsi="Times New Roman"/>
          <w:szCs w:val="24"/>
        </w:rPr>
      </w:pPr>
    </w:p>
    <w:p w14:paraId="3B9B9459" w14:textId="7C867285" w:rsidR="004F51BA" w:rsidRPr="004F51BA" w:rsidRDefault="004F51BA" w:rsidP="00186DCC">
      <w:pPr>
        <w:pStyle w:val="NoSpacing"/>
        <w:rPr>
          <w:rFonts w:ascii="Times New Roman" w:hAnsi="Times New Roman"/>
          <w:szCs w:val="24"/>
        </w:rPr>
      </w:pPr>
      <w:r w:rsidRPr="004F51BA">
        <w:rPr>
          <w:rFonts w:ascii="Times New Roman" w:hAnsi="Times New Roman"/>
          <w:szCs w:val="24"/>
        </w:rPr>
        <w:t>Cherokee Nation. “Nearly 100 Years Later: The Cherokee Advo</w:t>
      </w:r>
      <w:r w:rsidR="00DB1BBD">
        <w:rPr>
          <w:rFonts w:ascii="Times New Roman" w:hAnsi="Times New Roman"/>
          <w:szCs w:val="24"/>
        </w:rPr>
        <w:t>cate Newspaper</w:t>
      </w:r>
      <w:r w:rsidR="00DB1BBD">
        <w:rPr>
          <w:rFonts w:ascii="Times New Roman" w:hAnsi="Times New Roman"/>
          <w:szCs w:val="24"/>
        </w:rPr>
        <w:tab/>
      </w:r>
      <w:r w:rsidRPr="004F51BA">
        <w:rPr>
          <w:rFonts w:ascii="Times New Roman" w:hAnsi="Times New Roman"/>
          <w:szCs w:val="24"/>
        </w:rPr>
        <w:t>Printing Press Retur</w:t>
      </w:r>
      <w:r w:rsidR="00475B84">
        <w:rPr>
          <w:rFonts w:ascii="Times New Roman" w:hAnsi="Times New Roman"/>
          <w:szCs w:val="24"/>
        </w:rPr>
        <w:t xml:space="preserve">ns </w:t>
      </w:r>
      <w:r w:rsidR="00475B84" w:rsidRPr="00FB63FF">
        <w:rPr>
          <w:rFonts w:ascii="Times New Roman" w:hAnsi="Times New Roman"/>
          <w:szCs w:val="24"/>
        </w:rPr>
        <w:t>to Cherokee Nation.”</w:t>
      </w:r>
      <w:r w:rsidR="00FB63FF" w:rsidRPr="00FB63FF">
        <w:rPr>
          <w:rFonts w:ascii="Times New Roman" w:hAnsi="Times New Roman"/>
          <w:szCs w:val="24"/>
        </w:rPr>
        <w:t xml:space="preserve"> http://www.cherokeenation.org</w:t>
      </w:r>
      <w:r w:rsidR="00FB63FF" w:rsidRPr="00FB63FF">
        <w:rPr>
          <w:rFonts w:ascii="Times New Roman" w:hAnsi="Times New Roman"/>
          <w:szCs w:val="24"/>
        </w:rPr>
        <w:tab/>
      </w:r>
      <w:hyperlink r:id="rId82" w:history="1">
        <w:r w:rsidRPr="00FB63FF">
          <w:rPr>
            <w:rStyle w:val="Hyperlink"/>
            <w:rFonts w:ascii="Times New Roman" w:hAnsi="Times New Roman"/>
            <w:color w:val="auto"/>
            <w:u w:val="none"/>
          </w:rPr>
          <w:t>/News/Stories/24204.aspx</w:t>
        </w:r>
      </w:hyperlink>
      <w:r w:rsidR="00FB63FF">
        <w:rPr>
          <w:rFonts w:ascii="Times New Roman" w:hAnsi="Times New Roman"/>
          <w:szCs w:val="24"/>
        </w:rPr>
        <w:t>, accessed</w:t>
      </w:r>
      <w:r w:rsidR="00FB63FF" w:rsidRPr="004F51BA">
        <w:rPr>
          <w:rFonts w:ascii="Times New Roman" w:hAnsi="Times New Roman"/>
          <w:szCs w:val="24"/>
        </w:rPr>
        <w:t xml:space="preserve"> August 16, 2016.</w:t>
      </w:r>
    </w:p>
    <w:p w14:paraId="0C1CD187" w14:textId="77777777" w:rsidR="004F51BA" w:rsidRPr="004F51BA" w:rsidRDefault="004F51BA" w:rsidP="00186DCC">
      <w:pPr>
        <w:pStyle w:val="NoSpacing"/>
        <w:rPr>
          <w:rFonts w:ascii="Times New Roman" w:hAnsi="Times New Roman"/>
          <w:szCs w:val="24"/>
        </w:rPr>
      </w:pPr>
    </w:p>
    <w:p w14:paraId="4D322AA6" w14:textId="7D9EC71F"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“Chicago Artist Wins Prize in New York.” </w:t>
      </w:r>
      <w:r w:rsidRPr="00DA1E36">
        <w:rPr>
          <w:rFonts w:ascii="Times New Roman" w:hAnsi="Times New Roman"/>
          <w:i/>
          <w:szCs w:val="24"/>
        </w:rPr>
        <w:t>Chicago Daily Tribune</w:t>
      </w:r>
      <w:r w:rsidR="00FF25DF">
        <w:rPr>
          <w:rFonts w:ascii="Times New Roman" w:hAnsi="Times New Roman"/>
          <w:szCs w:val="24"/>
        </w:rPr>
        <w:t xml:space="preserve">. </w:t>
      </w:r>
      <w:r w:rsidRPr="00DA1E36">
        <w:rPr>
          <w:rFonts w:ascii="Times New Roman" w:hAnsi="Times New Roman"/>
          <w:szCs w:val="24"/>
        </w:rPr>
        <w:t>March 12, 1918</w:t>
      </w:r>
      <w:r w:rsidR="00FF25DF">
        <w:rPr>
          <w:rFonts w:ascii="Times New Roman" w:hAnsi="Times New Roman"/>
          <w:szCs w:val="24"/>
        </w:rPr>
        <w:t>.</w:t>
      </w:r>
    </w:p>
    <w:p w14:paraId="3C41F104" w14:textId="77777777" w:rsidR="00FF25DF" w:rsidRDefault="00FF25DF" w:rsidP="00186DCC">
      <w:pPr>
        <w:pStyle w:val="NoSpacing"/>
        <w:rPr>
          <w:rFonts w:ascii="Times New Roman" w:hAnsi="Times New Roman"/>
          <w:szCs w:val="24"/>
        </w:rPr>
      </w:pPr>
    </w:p>
    <w:p w14:paraId="0FDE658D" w14:textId="3E1C7692" w:rsidR="00186DCC" w:rsidRPr="00DA1E36" w:rsidRDefault="00186DCC" w:rsidP="00186DCC">
      <w:pPr>
        <w:pStyle w:val="NoSpacing"/>
        <w:rPr>
          <w:rFonts w:ascii="Times New Roman" w:hAnsi="Times New Roman"/>
          <w:szCs w:val="24"/>
        </w:rPr>
      </w:pPr>
      <w:r w:rsidRPr="00DA1E36">
        <w:rPr>
          <w:rFonts w:ascii="Times New Roman" w:hAnsi="Times New Roman"/>
          <w:szCs w:val="24"/>
        </w:rPr>
        <w:t>Chon, Kye-Sung. “Tourism Destination Image Modification Process: Marketing</w:t>
      </w:r>
      <w:r w:rsidR="005F0895">
        <w:rPr>
          <w:rFonts w:ascii="Times New Roman" w:hAnsi="Times New Roman"/>
          <w:szCs w:val="24"/>
        </w:rPr>
        <w:tab/>
      </w:r>
      <w:r w:rsidRPr="00DA1E36">
        <w:rPr>
          <w:rFonts w:ascii="Times New Roman" w:hAnsi="Times New Roman"/>
          <w:szCs w:val="24"/>
        </w:rPr>
        <w:t xml:space="preserve">Implications.” </w:t>
      </w:r>
      <w:r w:rsidRPr="00DA1E36">
        <w:rPr>
          <w:rFonts w:ascii="Times New Roman" w:hAnsi="Times New Roman"/>
          <w:i/>
          <w:szCs w:val="24"/>
        </w:rPr>
        <w:t>Tourism</w:t>
      </w:r>
      <w:r w:rsidR="005F0895">
        <w:rPr>
          <w:rFonts w:ascii="Times New Roman" w:hAnsi="Times New Roman"/>
          <w:i/>
          <w:szCs w:val="24"/>
        </w:rPr>
        <w:t xml:space="preserve"> </w:t>
      </w:r>
      <w:r w:rsidRPr="00DA1E36">
        <w:rPr>
          <w:rFonts w:ascii="Times New Roman" w:hAnsi="Times New Roman"/>
          <w:i/>
          <w:szCs w:val="24"/>
        </w:rPr>
        <w:t xml:space="preserve">Management </w:t>
      </w:r>
      <w:r w:rsidRPr="00DA1E36">
        <w:rPr>
          <w:rFonts w:ascii="Times New Roman" w:hAnsi="Times New Roman"/>
          <w:szCs w:val="24"/>
        </w:rPr>
        <w:t>12</w:t>
      </w:r>
      <w:r w:rsidR="005F0895">
        <w:rPr>
          <w:rFonts w:ascii="Times New Roman" w:hAnsi="Times New Roman"/>
          <w:szCs w:val="24"/>
        </w:rPr>
        <w:t xml:space="preserve">, no. </w:t>
      </w:r>
      <w:r w:rsidR="00181CE1">
        <w:rPr>
          <w:rFonts w:ascii="Times New Roman" w:hAnsi="Times New Roman"/>
          <w:szCs w:val="24"/>
        </w:rPr>
        <w:t>1 (March 1991): 68-72.</w:t>
      </w:r>
    </w:p>
    <w:p w14:paraId="61EA96DB" w14:textId="77777777" w:rsidR="00186DCC" w:rsidRPr="00DA1E36" w:rsidRDefault="00186DCC" w:rsidP="00186DCC">
      <w:pPr>
        <w:pStyle w:val="NoSpacing"/>
        <w:rPr>
          <w:rFonts w:ascii="Times New Roman" w:hAnsi="Times New Roman"/>
          <w:szCs w:val="24"/>
        </w:rPr>
      </w:pPr>
    </w:p>
    <w:p w14:paraId="7FAA3814" w14:textId="77777777" w:rsidR="00186DCC" w:rsidRDefault="00186DCC" w:rsidP="00186DCC">
      <w:pPr>
        <w:pStyle w:val="NoSpacing"/>
        <w:rPr>
          <w:rFonts w:ascii="Times New Roman" w:hAnsi="Times New Roman"/>
          <w:szCs w:val="24"/>
        </w:rPr>
      </w:pPr>
      <w:r w:rsidRPr="00DA1E36">
        <w:rPr>
          <w:rFonts w:ascii="Times New Roman" w:hAnsi="Times New Roman"/>
          <w:szCs w:val="24"/>
        </w:rPr>
        <w:t xml:space="preserve">Clark, Thomas D. </w:t>
      </w:r>
      <w:r w:rsidRPr="00DA1E36">
        <w:rPr>
          <w:rFonts w:ascii="Times New Roman" w:hAnsi="Times New Roman"/>
          <w:bCs/>
          <w:i/>
          <w:szCs w:val="24"/>
        </w:rPr>
        <w:t>Travels in the New South, A Bibliography</w:t>
      </w:r>
      <w:r w:rsidRPr="00DA1E36">
        <w:rPr>
          <w:rFonts w:ascii="Times New Roman" w:hAnsi="Times New Roman"/>
          <w:bCs/>
          <w:szCs w:val="24"/>
        </w:rPr>
        <w:t xml:space="preserve">. </w:t>
      </w:r>
      <w:r w:rsidRPr="00DA1E36">
        <w:rPr>
          <w:rFonts w:ascii="Times New Roman" w:hAnsi="Times New Roman"/>
          <w:szCs w:val="24"/>
        </w:rPr>
        <w:t>Norman, OK: University</w:t>
      </w:r>
      <w:r w:rsidR="005F0895">
        <w:rPr>
          <w:rFonts w:ascii="Times New Roman" w:hAnsi="Times New Roman"/>
          <w:szCs w:val="24"/>
        </w:rPr>
        <w:tab/>
      </w:r>
      <w:r w:rsidRPr="00DA1E36">
        <w:rPr>
          <w:rFonts w:ascii="Times New Roman" w:hAnsi="Times New Roman"/>
          <w:szCs w:val="24"/>
        </w:rPr>
        <w:t>of</w:t>
      </w:r>
      <w:r w:rsidR="005F0895">
        <w:rPr>
          <w:rFonts w:ascii="Times New Roman" w:hAnsi="Times New Roman"/>
          <w:szCs w:val="24"/>
        </w:rPr>
        <w:t xml:space="preserve"> </w:t>
      </w:r>
      <w:r w:rsidRPr="00DA1E36">
        <w:rPr>
          <w:rFonts w:ascii="Times New Roman" w:hAnsi="Times New Roman"/>
          <w:szCs w:val="24"/>
        </w:rPr>
        <w:t>Oklahoma</w:t>
      </w:r>
      <w:r w:rsidR="005F0895">
        <w:rPr>
          <w:rFonts w:ascii="Times New Roman" w:hAnsi="Times New Roman"/>
          <w:szCs w:val="24"/>
        </w:rPr>
        <w:t xml:space="preserve"> </w:t>
      </w:r>
      <w:r w:rsidRPr="00DA1E36">
        <w:rPr>
          <w:rFonts w:ascii="Times New Roman" w:hAnsi="Times New Roman"/>
          <w:szCs w:val="24"/>
        </w:rPr>
        <w:t>Press, 1962.</w:t>
      </w:r>
    </w:p>
    <w:p w14:paraId="40366661" w14:textId="77777777" w:rsidR="005F0895" w:rsidRPr="00DA1E36" w:rsidRDefault="005F0895" w:rsidP="00186DCC">
      <w:pPr>
        <w:pStyle w:val="NoSpacing"/>
        <w:rPr>
          <w:rFonts w:ascii="Times New Roman" w:hAnsi="Times New Roman"/>
          <w:szCs w:val="24"/>
        </w:rPr>
      </w:pPr>
    </w:p>
    <w:p w14:paraId="02026EAF" w14:textId="54A83316" w:rsidR="00186DCC" w:rsidRPr="00DA1E36" w:rsidRDefault="00186DCC" w:rsidP="00186DCC">
      <w:pPr>
        <w:pStyle w:val="NoSpacing"/>
        <w:rPr>
          <w:rFonts w:ascii="Times New Roman" w:hAnsi="Times New Roman"/>
          <w:szCs w:val="24"/>
        </w:rPr>
      </w:pPr>
      <w:r w:rsidRPr="00DA1E36">
        <w:rPr>
          <w:rFonts w:ascii="Times New Roman" w:hAnsi="Times New Roman"/>
          <w:szCs w:val="24"/>
        </w:rPr>
        <w:t>Collins, Bradford. “The Dialectic of Desire, the Narcissism of Authorship: A Male</w:t>
      </w:r>
      <w:r w:rsidR="005F0895">
        <w:rPr>
          <w:rFonts w:ascii="Times New Roman" w:hAnsi="Times New Roman"/>
          <w:szCs w:val="24"/>
        </w:rPr>
        <w:tab/>
      </w:r>
      <w:r w:rsidRPr="00DA1E36">
        <w:rPr>
          <w:rFonts w:ascii="Times New Roman" w:hAnsi="Times New Roman"/>
          <w:szCs w:val="24"/>
        </w:rPr>
        <w:t>Interpretation of</w:t>
      </w:r>
      <w:r w:rsidR="005F0895">
        <w:rPr>
          <w:rFonts w:ascii="Times New Roman" w:hAnsi="Times New Roman"/>
          <w:szCs w:val="24"/>
        </w:rPr>
        <w:t xml:space="preserve"> </w:t>
      </w:r>
      <w:r w:rsidRPr="00DA1E36">
        <w:rPr>
          <w:rFonts w:ascii="Times New Roman" w:hAnsi="Times New Roman"/>
          <w:szCs w:val="24"/>
        </w:rPr>
        <w:t xml:space="preserve">the Psychological Origins of Manet’s </w:t>
      </w:r>
      <w:r w:rsidRPr="00DA1E36">
        <w:rPr>
          <w:rFonts w:ascii="Times New Roman" w:hAnsi="Times New Roman"/>
          <w:i/>
          <w:szCs w:val="24"/>
        </w:rPr>
        <w:t>Bar</w:t>
      </w:r>
      <w:r w:rsidRPr="00DA1E36">
        <w:rPr>
          <w:rFonts w:ascii="Times New Roman" w:hAnsi="Times New Roman"/>
          <w:szCs w:val="24"/>
        </w:rPr>
        <w:t xml:space="preserve">.” In </w:t>
      </w:r>
      <w:r w:rsidR="00FB63FF" w:rsidRPr="00DA1E36">
        <w:rPr>
          <w:rFonts w:ascii="Times New Roman" w:hAnsi="Times New Roman"/>
          <w:szCs w:val="24"/>
        </w:rPr>
        <w:t>Bradford</w:t>
      </w:r>
      <w:r w:rsidR="00DB1BBD">
        <w:rPr>
          <w:rFonts w:ascii="Times New Roman" w:hAnsi="Times New Roman"/>
          <w:szCs w:val="24"/>
        </w:rPr>
        <w:tab/>
      </w:r>
      <w:r w:rsidR="00DB1BBD">
        <w:rPr>
          <w:rFonts w:ascii="Times New Roman" w:hAnsi="Times New Roman"/>
          <w:szCs w:val="24"/>
        </w:rPr>
        <w:tab/>
      </w:r>
      <w:r w:rsidR="00FB63FF" w:rsidRPr="00DA1E36">
        <w:rPr>
          <w:rFonts w:ascii="Times New Roman" w:hAnsi="Times New Roman"/>
          <w:szCs w:val="24"/>
        </w:rPr>
        <w:t>Collin</w:t>
      </w:r>
      <w:r w:rsidR="00FB63FF">
        <w:rPr>
          <w:rFonts w:ascii="Times New Roman" w:hAnsi="Times New Roman"/>
          <w:szCs w:val="24"/>
        </w:rPr>
        <w:t>s, ed.</w:t>
      </w:r>
      <w:r w:rsidR="00FB63FF" w:rsidRPr="00DA1E36">
        <w:rPr>
          <w:rFonts w:ascii="Times New Roman" w:hAnsi="Times New Roman"/>
          <w:szCs w:val="24"/>
        </w:rPr>
        <w:t xml:space="preserve"> </w:t>
      </w:r>
      <w:r w:rsidRPr="00DA1E36">
        <w:rPr>
          <w:rFonts w:ascii="Times New Roman" w:hAnsi="Times New Roman"/>
          <w:i/>
          <w:szCs w:val="24"/>
        </w:rPr>
        <w:t>12 Views of</w:t>
      </w:r>
      <w:r w:rsidR="00FB63FF">
        <w:rPr>
          <w:rFonts w:ascii="Times New Roman" w:hAnsi="Times New Roman"/>
          <w:i/>
          <w:szCs w:val="24"/>
        </w:rPr>
        <w:t xml:space="preserve"> Manet’s</w:t>
      </w:r>
      <w:r w:rsidRPr="00DA1E36">
        <w:rPr>
          <w:rFonts w:ascii="Times New Roman" w:hAnsi="Times New Roman"/>
          <w:i/>
          <w:szCs w:val="24"/>
        </w:rPr>
        <w:t xml:space="preserve"> Bar</w:t>
      </w:r>
      <w:r w:rsidRPr="00FB63FF">
        <w:rPr>
          <w:rFonts w:ascii="Times New Roman" w:hAnsi="Times New Roman"/>
          <w:szCs w:val="24"/>
        </w:rPr>
        <w:t>.</w:t>
      </w:r>
      <w:r w:rsidR="005F0895">
        <w:rPr>
          <w:rFonts w:ascii="Times New Roman" w:hAnsi="Times New Roman"/>
          <w:szCs w:val="24"/>
        </w:rPr>
        <w:t xml:space="preserve"> </w:t>
      </w:r>
      <w:r w:rsidRPr="00DA1E36">
        <w:rPr>
          <w:rFonts w:ascii="Times New Roman" w:hAnsi="Times New Roman"/>
          <w:szCs w:val="24"/>
        </w:rPr>
        <w:t>Princeton, NJ: Princeton University</w:t>
      </w:r>
      <w:r w:rsidR="00C47301">
        <w:rPr>
          <w:rFonts w:ascii="Times New Roman" w:hAnsi="Times New Roman"/>
          <w:szCs w:val="24"/>
        </w:rPr>
        <w:tab/>
      </w:r>
      <w:r w:rsidR="00181CE1">
        <w:rPr>
          <w:rFonts w:ascii="Times New Roman" w:hAnsi="Times New Roman"/>
          <w:szCs w:val="24"/>
        </w:rPr>
        <w:t>Press,</w:t>
      </w:r>
      <w:r w:rsidR="00FB63FF">
        <w:rPr>
          <w:rFonts w:ascii="Times New Roman" w:hAnsi="Times New Roman"/>
          <w:szCs w:val="24"/>
        </w:rPr>
        <w:tab/>
      </w:r>
      <w:r w:rsidR="00181CE1">
        <w:rPr>
          <w:rFonts w:ascii="Times New Roman" w:hAnsi="Times New Roman"/>
          <w:szCs w:val="24"/>
        </w:rPr>
        <w:t>1995.</w:t>
      </w:r>
    </w:p>
    <w:p w14:paraId="325CE214" w14:textId="0F504F74" w:rsidR="00186DCC" w:rsidRDefault="00186DCC" w:rsidP="00186DCC">
      <w:pPr>
        <w:pStyle w:val="NoSpacing"/>
        <w:rPr>
          <w:rFonts w:ascii="Times New Roman" w:hAnsi="Times New Roman"/>
          <w:szCs w:val="24"/>
        </w:rPr>
      </w:pPr>
    </w:p>
    <w:p w14:paraId="1704C76C" w14:textId="22471581" w:rsidR="000520D6" w:rsidRPr="000520D6" w:rsidRDefault="000520D6" w:rsidP="00186DCC">
      <w:pPr>
        <w:pStyle w:val="NoSpacing"/>
        <w:rPr>
          <w:rFonts w:ascii="Times New Roman" w:hAnsi="Times New Roman"/>
          <w:szCs w:val="24"/>
        </w:rPr>
      </w:pPr>
      <w:r w:rsidRPr="000520D6">
        <w:rPr>
          <w:rFonts w:ascii="Times New Roman" w:hAnsi="Times New Roman"/>
          <w:szCs w:val="24"/>
        </w:rPr>
        <w:t xml:space="preserve">Conzon Michael P. </w:t>
      </w:r>
      <w:r w:rsidRPr="000520D6">
        <w:rPr>
          <w:rFonts w:ascii="Times New Roman" w:hAnsi="Times New Roman"/>
          <w:i/>
          <w:szCs w:val="24"/>
        </w:rPr>
        <w:t>Mapping Manifest Destiny: Chicago and the American West</w:t>
      </w:r>
      <w:r w:rsidR="00FB63FF">
        <w:rPr>
          <w:rFonts w:ascii="Times New Roman" w:hAnsi="Times New Roman"/>
          <w:szCs w:val="24"/>
        </w:rPr>
        <w:t>.</w:t>
      </w:r>
      <w:r w:rsidR="00FB63FF">
        <w:rPr>
          <w:rFonts w:ascii="Times New Roman" w:hAnsi="Times New Roman"/>
          <w:szCs w:val="24"/>
        </w:rPr>
        <w:tab/>
      </w:r>
      <w:r w:rsidR="00FB63FF">
        <w:rPr>
          <w:rFonts w:ascii="Times New Roman" w:hAnsi="Times New Roman"/>
          <w:szCs w:val="24"/>
        </w:rPr>
        <w:tab/>
        <w:t>Chicago</w:t>
      </w:r>
      <w:r w:rsidRPr="000520D6">
        <w:rPr>
          <w:rFonts w:ascii="Times New Roman" w:hAnsi="Times New Roman"/>
          <w:szCs w:val="24"/>
        </w:rPr>
        <w:t>: Newberry Library, 2007.</w:t>
      </w:r>
    </w:p>
    <w:p w14:paraId="7730BAF7" w14:textId="5E595A6F" w:rsidR="000520D6" w:rsidRDefault="000520D6" w:rsidP="00186DCC">
      <w:pPr>
        <w:pStyle w:val="NoSpacing"/>
        <w:rPr>
          <w:rFonts w:ascii="Times New Roman" w:hAnsi="Times New Roman"/>
          <w:szCs w:val="24"/>
        </w:rPr>
      </w:pPr>
    </w:p>
    <w:p w14:paraId="7517A438" w14:textId="425E0740" w:rsidR="0020094F" w:rsidRDefault="0020094F" w:rsidP="00186DCC">
      <w:pPr>
        <w:pStyle w:val="NoSpacing"/>
        <w:rPr>
          <w:rFonts w:ascii="Times New Roman" w:hAnsi="Times New Roman"/>
          <w:szCs w:val="24"/>
        </w:rPr>
      </w:pPr>
      <w:r>
        <w:rPr>
          <w:rFonts w:ascii="Times New Roman" w:hAnsi="Times New Roman"/>
          <w:szCs w:val="24"/>
        </w:rPr>
        <w:t xml:space="preserve">Couse Archive. </w:t>
      </w:r>
      <w:r w:rsidR="00FB63FF">
        <w:rPr>
          <w:rFonts w:ascii="Times New Roman" w:hAnsi="Times New Roman"/>
          <w:szCs w:val="24"/>
        </w:rPr>
        <w:t>Correspondence, Eliseo</w:t>
      </w:r>
      <w:r w:rsidR="000520D6">
        <w:rPr>
          <w:rFonts w:ascii="Times New Roman" w:hAnsi="Times New Roman"/>
          <w:szCs w:val="24"/>
        </w:rPr>
        <w:t xml:space="preserve"> Lujan </w:t>
      </w:r>
      <w:r w:rsidR="00FB63FF">
        <w:rPr>
          <w:rFonts w:ascii="Times New Roman" w:hAnsi="Times New Roman"/>
          <w:szCs w:val="24"/>
        </w:rPr>
        <w:t xml:space="preserve">to Virginia Couse Leavitt, </w:t>
      </w:r>
      <w:r w:rsidR="000520D6">
        <w:rPr>
          <w:rFonts w:ascii="Times New Roman" w:hAnsi="Times New Roman"/>
          <w:szCs w:val="24"/>
        </w:rPr>
        <w:t>1984</w:t>
      </w:r>
      <w:r w:rsidR="00C47301">
        <w:rPr>
          <w:rFonts w:ascii="Times New Roman" w:hAnsi="Times New Roman"/>
          <w:szCs w:val="24"/>
        </w:rPr>
        <w:t>.</w:t>
      </w:r>
    </w:p>
    <w:p w14:paraId="24EF3EF3" w14:textId="34098E1E" w:rsidR="000520D6" w:rsidRDefault="000520D6" w:rsidP="0020094F">
      <w:pPr>
        <w:pStyle w:val="NoSpacing"/>
        <w:ind w:firstLine="720"/>
        <w:rPr>
          <w:rFonts w:ascii="Times New Roman" w:hAnsi="Times New Roman"/>
          <w:szCs w:val="24"/>
        </w:rPr>
      </w:pPr>
      <w:r>
        <w:rPr>
          <w:rFonts w:ascii="Times New Roman" w:hAnsi="Times New Roman"/>
          <w:szCs w:val="24"/>
        </w:rPr>
        <w:t xml:space="preserve">E.I. Couse </w:t>
      </w:r>
      <w:r w:rsidR="00FB63FF">
        <w:rPr>
          <w:rFonts w:ascii="Times New Roman" w:hAnsi="Times New Roman"/>
          <w:szCs w:val="24"/>
        </w:rPr>
        <w:t xml:space="preserve">Foundation, </w:t>
      </w:r>
      <w:r w:rsidR="0020094F">
        <w:rPr>
          <w:rFonts w:ascii="Times New Roman" w:hAnsi="Times New Roman"/>
          <w:szCs w:val="24"/>
        </w:rPr>
        <w:t>Taos, NM.</w:t>
      </w:r>
    </w:p>
    <w:p w14:paraId="5F66A4E4" w14:textId="28E72BFA" w:rsidR="0020094F" w:rsidRDefault="0020094F" w:rsidP="00186DCC">
      <w:pPr>
        <w:pStyle w:val="NoSpacing"/>
        <w:rPr>
          <w:rFonts w:ascii="Times New Roman" w:hAnsi="Times New Roman"/>
          <w:szCs w:val="24"/>
        </w:rPr>
      </w:pPr>
    </w:p>
    <w:p w14:paraId="478ED3DC" w14:textId="688662B1" w:rsidR="0020094F" w:rsidRPr="0020094F" w:rsidRDefault="0020094F" w:rsidP="00186DCC">
      <w:pPr>
        <w:pStyle w:val="NoSpacing"/>
        <w:rPr>
          <w:rFonts w:ascii="Times New Roman" w:hAnsi="Times New Roman"/>
          <w:szCs w:val="24"/>
        </w:rPr>
      </w:pPr>
      <w:r>
        <w:rPr>
          <w:rFonts w:ascii="Times New Roman" w:hAnsi="Times New Roman"/>
          <w:szCs w:val="24"/>
        </w:rPr>
        <w:t xml:space="preserve">Curtis, Natalie. “The Perpetuation of Indian Art. </w:t>
      </w:r>
      <w:r>
        <w:rPr>
          <w:rFonts w:ascii="Times New Roman" w:hAnsi="Times New Roman"/>
          <w:i/>
          <w:szCs w:val="24"/>
        </w:rPr>
        <w:t>Outlook</w:t>
      </w:r>
      <w:r>
        <w:rPr>
          <w:rFonts w:ascii="Times New Roman" w:hAnsi="Times New Roman"/>
          <w:szCs w:val="24"/>
        </w:rPr>
        <w:t xml:space="preserve"> (November 22, 1913): 623.</w:t>
      </w:r>
    </w:p>
    <w:p w14:paraId="677D2AEE" w14:textId="77777777" w:rsidR="00FB63FF" w:rsidRDefault="00FB63FF" w:rsidP="00FB63FF">
      <w:pPr>
        <w:pStyle w:val="NoSpacing"/>
        <w:rPr>
          <w:rStyle w:val="apple-converted-space"/>
          <w:rFonts w:ascii="Times New Roman" w:hAnsi="Times New Roman"/>
          <w:i/>
          <w:szCs w:val="24"/>
          <w:shd w:val="clear" w:color="auto" w:fill="FFFFFF"/>
        </w:rPr>
      </w:pPr>
    </w:p>
    <w:p w14:paraId="37692989" w14:textId="7C792552" w:rsidR="004F51BA" w:rsidRDefault="008C60C1" w:rsidP="00186DCC">
      <w:pPr>
        <w:pStyle w:val="NoSpacing"/>
        <w:rPr>
          <w:rFonts w:ascii="Times New Roman" w:hAnsi="Times New Roman"/>
          <w:color w:val="222222"/>
          <w:shd w:val="clear" w:color="auto" w:fill="FFFFFF"/>
        </w:rPr>
      </w:pPr>
      <w:r w:rsidRPr="008C60C1">
        <w:rPr>
          <w:rFonts w:ascii="Times New Roman" w:hAnsi="Times New Roman"/>
          <w:szCs w:val="24"/>
        </w:rPr>
        <w:t xml:space="preserve">Denzin, Norman K. </w:t>
      </w:r>
      <w:r w:rsidRPr="008C60C1">
        <w:rPr>
          <w:rStyle w:val="a-size-extra-large"/>
          <w:rFonts w:ascii="Times New Roman" w:hAnsi="Times New Roman"/>
          <w:i/>
          <w:color w:val="111111"/>
          <w:szCs w:val="24"/>
        </w:rPr>
        <w:t>Indians in Color: Native Art, Identity, and Performance in the New</w:t>
      </w:r>
      <w:r>
        <w:rPr>
          <w:rStyle w:val="a-size-extra-large"/>
          <w:rFonts w:ascii="Times New Roman" w:hAnsi="Times New Roman"/>
          <w:i/>
          <w:color w:val="111111"/>
          <w:szCs w:val="24"/>
        </w:rPr>
        <w:tab/>
      </w:r>
      <w:r w:rsidRPr="008C60C1">
        <w:rPr>
          <w:rStyle w:val="a-size-extra-large"/>
          <w:rFonts w:ascii="Times New Roman" w:hAnsi="Times New Roman"/>
          <w:i/>
          <w:color w:val="111111"/>
          <w:szCs w:val="24"/>
        </w:rPr>
        <w:t>West</w:t>
      </w:r>
      <w:r>
        <w:rPr>
          <w:rFonts w:ascii="Times New Roman" w:hAnsi="Times New Roman"/>
          <w:szCs w:val="24"/>
        </w:rPr>
        <w:t xml:space="preserve">. </w:t>
      </w:r>
      <w:r w:rsidR="0003369E">
        <w:rPr>
          <w:rFonts w:ascii="Times New Roman" w:hAnsi="Times New Roman"/>
          <w:color w:val="222222"/>
          <w:shd w:val="clear" w:color="auto" w:fill="FFFFFF"/>
        </w:rPr>
        <w:t>London</w:t>
      </w:r>
      <w:r w:rsidRPr="008C60C1">
        <w:rPr>
          <w:rFonts w:ascii="Times New Roman" w:hAnsi="Times New Roman"/>
          <w:color w:val="222222"/>
          <w:shd w:val="clear" w:color="auto" w:fill="FFFFFF"/>
        </w:rPr>
        <w:t xml:space="preserve">: </w:t>
      </w:r>
      <w:r>
        <w:rPr>
          <w:rFonts w:ascii="Times New Roman" w:hAnsi="Times New Roman"/>
          <w:color w:val="222222"/>
          <w:shd w:val="clear" w:color="auto" w:fill="FFFFFF"/>
        </w:rPr>
        <w:t>Routledge, 2015.</w:t>
      </w:r>
    </w:p>
    <w:p w14:paraId="663CDAA6" w14:textId="77777777" w:rsidR="008C60C1" w:rsidRPr="000520D6" w:rsidRDefault="008C60C1" w:rsidP="00186DCC">
      <w:pPr>
        <w:pStyle w:val="NoSpacing"/>
        <w:rPr>
          <w:rStyle w:val="HTMLCite"/>
          <w:rFonts w:ascii="Times New Roman" w:hAnsi="Times New Roman"/>
          <w:szCs w:val="24"/>
          <w:shd w:val="clear" w:color="auto" w:fill="FFFFFF"/>
        </w:rPr>
      </w:pPr>
    </w:p>
    <w:p w14:paraId="3059DD14" w14:textId="2E4A7175" w:rsidR="00186DCC" w:rsidRDefault="00186DCC" w:rsidP="00186DCC">
      <w:pPr>
        <w:pStyle w:val="NoSpacing"/>
        <w:rPr>
          <w:rStyle w:val="matchterm0"/>
          <w:rFonts w:ascii="Times New Roman" w:hAnsi="Times New Roman"/>
          <w:bCs/>
        </w:rPr>
      </w:pPr>
      <w:r w:rsidRPr="00DA1E36">
        <w:rPr>
          <w:rStyle w:val="matchterm0"/>
          <w:rFonts w:ascii="Times New Roman" w:hAnsi="Times New Roman"/>
          <w:bCs/>
        </w:rPr>
        <w:t xml:space="preserve">Desmond, Jane C. </w:t>
      </w:r>
      <w:r w:rsidRPr="005F0895">
        <w:rPr>
          <w:rStyle w:val="matchterm0"/>
          <w:rFonts w:ascii="Times New Roman" w:hAnsi="Times New Roman"/>
          <w:bCs/>
          <w:i/>
        </w:rPr>
        <w:t>Staging Tourism: Bodies on Display from Waikiki to Sea World</w:t>
      </w:r>
      <w:r w:rsidRPr="00DA1E36">
        <w:rPr>
          <w:rStyle w:val="matchterm0"/>
          <w:rFonts w:ascii="Times New Roman" w:hAnsi="Times New Roman"/>
          <w:bCs/>
        </w:rPr>
        <w:t>.</w:t>
      </w:r>
      <w:r w:rsidR="005F0895">
        <w:rPr>
          <w:rStyle w:val="matchterm0"/>
          <w:rFonts w:ascii="Times New Roman" w:hAnsi="Times New Roman"/>
          <w:bCs/>
        </w:rPr>
        <w:tab/>
      </w:r>
      <w:r w:rsidRPr="00DA1E36">
        <w:rPr>
          <w:rStyle w:val="matchterm0"/>
          <w:rFonts w:ascii="Times New Roman" w:hAnsi="Times New Roman"/>
          <w:bCs/>
        </w:rPr>
        <w:t>Chicago: University of Chicago Press, 1999.</w:t>
      </w:r>
    </w:p>
    <w:p w14:paraId="78EF5411" w14:textId="6B71B703" w:rsidR="0003369E" w:rsidRDefault="0003369E" w:rsidP="00186DCC">
      <w:pPr>
        <w:pStyle w:val="NoSpacing"/>
        <w:rPr>
          <w:rStyle w:val="matchterm0"/>
          <w:rFonts w:ascii="Times New Roman" w:hAnsi="Times New Roman"/>
          <w:bCs/>
        </w:rPr>
      </w:pPr>
    </w:p>
    <w:p w14:paraId="7BA93883" w14:textId="1FF0ED06"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Derrida, Jacques </w:t>
      </w:r>
      <w:r w:rsidRPr="00DA1E36">
        <w:rPr>
          <w:rFonts w:ascii="Times New Roman" w:hAnsi="Times New Roman"/>
          <w:i/>
          <w:szCs w:val="24"/>
        </w:rPr>
        <w:t>Of Grammatology</w:t>
      </w:r>
      <w:r w:rsidRPr="00DA1E36">
        <w:rPr>
          <w:rFonts w:ascii="Times New Roman" w:hAnsi="Times New Roman"/>
          <w:szCs w:val="24"/>
        </w:rPr>
        <w:t>.</w:t>
      </w:r>
      <w:r w:rsidR="0003369E">
        <w:rPr>
          <w:rFonts w:ascii="Times New Roman" w:hAnsi="Times New Roman"/>
          <w:szCs w:val="24"/>
        </w:rPr>
        <w:t xml:space="preserve"> Translated by Gayatri Chakravorty Spivak.</w:t>
      </w:r>
      <w:r w:rsidR="005F0895">
        <w:rPr>
          <w:rFonts w:ascii="Times New Roman" w:hAnsi="Times New Roman"/>
          <w:szCs w:val="24"/>
        </w:rPr>
        <w:tab/>
      </w:r>
      <w:r w:rsidR="0003369E">
        <w:rPr>
          <w:rFonts w:ascii="Times New Roman" w:hAnsi="Times New Roman"/>
          <w:szCs w:val="24"/>
        </w:rPr>
        <w:t>Baltimore</w:t>
      </w:r>
      <w:r w:rsidRPr="00DA1E36">
        <w:rPr>
          <w:rFonts w:ascii="Times New Roman" w:hAnsi="Times New Roman"/>
          <w:szCs w:val="24"/>
        </w:rPr>
        <w:t>: The</w:t>
      </w:r>
      <w:r w:rsidR="005F0895">
        <w:rPr>
          <w:rFonts w:ascii="Times New Roman" w:hAnsi="Times New Roman"/>
          <w:szCs w:val="24"/>
        </w:rPr>
        <w:t xml:space="preserve"> </w:t>
      </w:r>
      <w:r w:rsidRPr="00DA1E36">
        <w:rPr>
          <w:rFonts w:ascii="Times New Roman" w:hAnsi="Times New Roman"/>
          <w:szCs w:val="24"/>
        </w:rPr>
        <w:t>Johns Hopkins University Press, 1976.</w:t>
      </w:r>
    </w:p>
    <w:p w14:paraId="25E9F3F4" w14:textId="77777777" w:rsidR="00186DCC" w:rsidRPr="00DA1E36" w:rsidRDefault="00186DCC" w:rsidP="00186DCC">
      <w:pPr>
        <w:pStyle w:val="NoSpacing"/>
        <w:rPr>
          <w:rFonts w:ascii="Times New Roman" w:hAnsi="Times New Roman"/>
          <w:szCs w:val="24"/>
        </w:rPr>
      </w:pPr>
    </w:p>
    <w:p w14:paraId="1B409383" w14:textId="77777777" w:rsidR="00186DCC" w:rsidRPr="00A464EF" w:rsidRDefault="00186DCC" w:rsidP="00186DCC">
      <w:pPr>
        <w:pStyle w:val="NoSpacing"/>
        <w:rPr>
          <w:rFonts w:asciiTheme="majorHAnsi" w:hAnsiTheme="majorHAnsi" w:cstheme="majorHAnsi"/>
          <w:szCs w:val="24"/>
        </w:rPr>
      </w:pPr>
      <w:r w:rsidRPr="00DA1E36">
        <w:rPr>
          <w:rFonts w:ascii="Times New Roman" w:hAnsi="Times New Roman"/>
          <w:szCs w:val="24"/>
        </w:rPr>
        <w:t xml:space="preserve">Dilworth, Leah. </w:t>
      </w:r>
      <w:r w:rsidRPr="00DA1E36">
        <w:rPr>
          <w:rFonts w:ascii="Times New Roman" w:hAnsi="Times New Roman"/>
          <w:i/>
          <w:szCs w:val="24"/>
        </w:rPr>
        <w:t>Imagining Indians in the Southwest: Persistent Visions of a Primitive</w:t>
      </w:r>
      <w:r w:rsidR="005F0895" w:rsidRPr="00A464EF">
        <w:rPr>
          <w:rFonts w:asciiTheme="majorHAnsi" w:hAnsiTheme="majorHAnsi" w:cstheme="majorHAnsi"/>
          <w:i/>
          <w:szCs w:val="24"/>
        </w:rPr>
        <w:tab/>
      </w:r>
      <w:r w:rsidRPr="00A464EF">
        <w:rPr>
          <w:rFonts w:asciiTheme="majorHAnsi" w:hAnsiTheme="majorHAnsi" w:cstheme="majorHAnsi"/>
          <w:i/>
          <w:szCs w:val="24"/>
        </w:rPr>
        <w:t>Past</w:t>
      </w:r>
      <w:r w:rsidRPr="00A464EF">
        <w:rPr>
          <w:rFonts w:asciiTheme="majorHAnsi" w:hAnsiTheme="majorHAnsi" w:cstheme="majorHAnsi"/>
          <w:szCs w:val="24"/>
        </w:rPr>
        <w:t>. Washington</w:t>
      </w:r>
      <w:r w:rsidR="005F0895" w:rsidRPr="00A464EF">
        <w:rPr>
          <w:rFonts w:asciiTheme="majorHAnsi" w:hAnsiTheme="majorHAnsi" w:cstheme="majorHAnsi"/>
          <w:szCs w:val="24"/>
        </w:rPr>
        <w:t xml:space="preserve"> </w:t>
      </w:r>
      <w:r w:rsidRPr="00A464EF">
        <w:rPr>
          <w:rFonts w:asciiTheme="majorHAnsi" w:hAnsiTheme="majorHAnsi" w:cstheme="majorHAnsi"/>
          <w:szCs w:val="24"/>
        </w:rPr>
        <w:t>and London: Smithsonian Institution Press, 1996.</w:t>
      </w:r>
    </w:p>
    <w:p w14:paraId="1767C117" w14:textId="3F702954" w:rsidR="00186DCC" w:rsidRPr="00A464EF" w:rsidRDefault="00186DCC" w:rsidP="00186DCC">
      <w:pPr>
        <w:pStyle w:val="NoSpacing"/>
        <w:rPr>
          <w:rFonts w:asciiTheme="majorHAnsi" w:hAnsiTheme="majorHAnsi" w:cstheme="majorHAnsi"/>
          <w:szCs w:val="24"/>
        </w:rPr>
      </w:pPr>
    </w:p>
    <w:p w14:paraId="4CEE6457" w14:textId="17F2FE9E" w:rsidR="00A464EF" w:rsidRPr="00A464EF" w:rsidRDefault="00A464EF" w:rsidP="00186DCC">
      <w:pPr>
        <w:pStyle w:val="NoSpacing"/>
        <w:rPr>
          <w:rFonts w:asciiTheme="majorHAnsi" w:hAnsiTheme="majorHAnsi" w:cstheme="majorHAnsi"/>
          <w:bCs/>
        </w:rPr>
      </w:pPr>
      <w:r w:rsidRPr="00A464EF">
        <w:rPr>
          <w:rFonts w:asciiTheme="majorHAnsi" w:hAnsiTheme="majorHAnsi" w:cstheme="majorHAnsi"/>
          <w:bCs/>
        </w:rPr>
        <w:t xml:space="preserve">Dippie, Brian. </w:t>
      </w:r>
      <w:r w:rsidRPr="00A464EF">
        <w:rPr>
          <w:rFonts w:asciiTheme="majorHAnsi" w:hAnsiTheme="majorHAnsi" w:cstheme="majorHAnsi"/>
          <w:bCs/>
          <w:i/>
        </w:rPr>
        <w:t>Catlin and His Contemporaries: The Politics of Political Patronage</w:t>
      </w:r>
      <w:r w:rsidRPr="00A464EF">
        <w:rPr>
          <w:rFonts w:asciiTheme="majorHAnsi" w:hAnsiTheme="majorHAnsi" w:cstheme="majorHAnsi"/>
          <w:bCs/>
        </w:rPr>
        <w:t>.</w:t>
      </w:r>
      <w:r>
        <w:rPr>
          <w:rFonts w:asciiTheme="majorHAnsi" w:hAnsiTheme="majorHAnsi" w:cstheme="majorHAnsi"/>
          <w:bCs/>
        </w:rPr>
        <w:tab/>
      </w:r>
      <w:r w:rsidRPr="00A464EF">
        <w:rPr>
          <w:rFonts w:asciiTheme="majorHAnsi" w:hAnsiTheme="majorHAnsi" w:cstheme="majorHAnsi"/>
          <w:bCs/>
        </w:rPr>
        <w:t>Lincoln: University of Nebraska Press, 1990.</w:t>
      </w:r>
    </w:p>
    <w:p w14:paraId="6AA4DDE2" w14:textId="0F270E1B" w:rsidR="00A464EF" w:rsidRDefault="00A464EF" w:rsidP="00186DCC">
      <w:pPr>
        <w:pStyle w:val="NoSpacing"/>
        <w:rPr>
          <w:rFonts w:asciiTheme="majorHAnsi" w:hAnsiTheme="majorHAnsi" w:cstheme="majorHAnsi"/>
          <w:szCs w:val="24"/>
        </w:rPr>
      </w:pPr>
    </w:p>
    <w:p w14:paraId="4086C9CA" w14:textId="721246F1" w:rsidR="00BB053A" w:rsidRPr="004817B9" w:rsidRDefault="00845A39" w:rsidP="00C45B0A">
      <w:pPr>
        <w:pStyle w:val="NoSpacing"/>
        <w:rPr>
          <w:rFonts w:ascii="Times New Roman" w:hAnsi="Times New Roman"/>
          <w:szCs w:val="24"/>
        </w:rPr>
      </w:pPr>
      <w:r>
        <w:rPr>
          <w:rFonts w:ascii="Times New Roman" w:hAnsi="Times New Roman"/>
          <w:color w:val="000000"/>
          <w:szCs w:val="24"/>
        </w:rPr>
        <w:softHyphen/>
      </w:r>
      <w:r>
        <w:rPr>
          <w:rFonts w:ascii="Times New Roman" w:hAnsi="Times New Roman"/>
          <w:color w:val="000000"/>
          <w:szCs w:val="24"/>
        </w:rPr>
        <w:softHyphen/>
      </w:r>
      <w:r>
        <w:rPr>
          <w:rFonts w:ascii="Times New Roman" w:hAnsi="Times New Roman"/>
          <w:color w:val="000000"/>
          <w:szCs w:val="24"/>
        </w:rPr>
        <w:softHyphen/>
      </w:r>
      <w:r>
        <w:rPr>
          <w:rFonts w:ascii="Times New Roman" w:hAnsi="Times New Roman"/>
          <w:color w:val="000000"/>
          <w:szCs w:val="24"/>
        </w:rPr>
        <w:softHyphen/>
      </w:r>
      <w:r w:rsidR="0003369E" w:rsidRPr="0003369E">
        <w:rPr>
          <w:rFonts w:asciiTheme="majorHAnsi" w:hAnsiTheme="majorHAnsi" w:cstheme="majorHAnsi"/>
          <w:szCs w:val="24"/>
        </w:rPr>
        <w:t xml:space="preserve"> </w:t>
      </w:r>
      <w:r w:rsidR="0003369E" w:rsidRPr="00BB053A">
        <w:rPr>
          <w:rFonts w:asciiTheme="majorHAnsi" w:hAnsiTheme="majorHAnsi" w:cstheme="majorHAnsi"/>
          <w:szCs w:val="24"/>
        </w:rPr>
        <w:t>Duncan, W. A.</w:t>
      </w:r>
      <w:r w:rsidR="00BB053A" w:rsidRPr="004817B9">
        <w:rPr>
          <w:rFonts w:ascii="Times New Roman" w:hAnsi="Times New Roman"/>
          <w:color w:val="000000"/>
          <w:szCs w:val="24"/>
        </w:rPr>
        <w:t xml:space="preserve"> “</w:t>
      </w:r>
      <w:r w:rsidR="00BB053A" w:rsidRPr="004817B9">
        <w:rPr>
          <w:rFonts w:ascii="Times New Roman" w:hAnsi="Times New Roman"/>
          <w:bCs/>
          <w:color w:val="000000"/>
          <w:szCs w:val="24"/>
        </w:rPr>
        <w:t>The Great Question.”</w:t>
      </w:r>
      <w:r w:rsidR="00BB053A" w:rsidRPr="004817B9">
        <w:rPr>
          <w:rFonts w:ascii="Times New Roman" w:hAnsi="Times New Roman"/>
          <w:color w:val="000000"/>
          <w:szCs w:val="24"/>
        </w:rPr>
        <w:t xml:space="preserve"> </w:t>
      </w:r>
      <w:r w:rsidR="00BB053A" w:rsidRPr="00440FB3">
        <w:rPr>
          <w:rFonts w:ascii="Times New Roman" w:hAnsi="Times New Roman"/>
          <w:bCs/>
          <w:i/>
          <w:iCs/>
          <w:color w:val="000000"/>
          <w:szCs w:val="24"/>
        </w:rPr>
        <w:t>Cherokee Advocate</w:t>
      </w:r>
      <w:r w:rsidR="00BB053A">
        <w:rPr>
          <w:rFonts w:ascii="Times New Roman" w:hAnsi="Times New Roman"/>
          <w:color w:val="000000"/>
          <w:szCs w:val="24"/>
        </w:rPr>
        <w:t xml:space="preserve">. </w:t>
      </w:r>
      <w:r w:rsidR="0003369E">
        <w:rPr>
          <w:rFonts w:ascii="Times New Roman" w:hAnsi="Times New Roman"/>
          <w:color w:val="000000"/>
          <w:szCs w:val="24"/>
        </w:rPr>
        <w:t xml:space="preserve">April </w:t>
      </w:r>
      <w:r w:rsidR="00BB053A" w:rsidRPr="004817B9">
        <w:rPr>
          <w:rFonts w:ascii="Times New Roman" w:hAnsi="Times New Roman"/>
          <w:color w:val="000000"/>
          <w:szCs w:val="24"/>
        </w:rPr>
        <w:t>3</w:t>
      </w:r>
      <w:r w:rsidR="00BB053A">
        <w:rPr>
          <w:rFonts w:ascii="Times New Roman" w:hAnsi="Times New Roman"/>
          <w:color w:val="000000"/>
          <w:szCs w:val="24"/>
        </w:rPr>
        <w:t>, 1885, n.p.</w:t>
      </w:r>
      <w:r w:rsidR="00BB053A" w:rsidRPr="004817B9">
        <w:rPr>
          <w:rFonts w:ascii="Times New Roman" w:hAnsi="Times New Roman"/>
          <w:color w:val="000000"/>
          <w:szCs w:val="24"/>
        </w:rPr>
        <w:t xml:space="preserve"> </w:t>
      </w:r>
      <w:r w:rsidR="00BB053A">
        <w:rPr>
          <w:rFonts w:ascii="Times New Roman" w:hAnsi="Times New Roman"/>
          <w:color w:val="000000"/>
          <w:szCs w:val="24"/>
        </w:rPr>
        <w:tab/>
      </w:r>
      <w:r w:rsidR="00BB053A">
        <w:rPr>
          <w:rFonts w:ascii="Times New Roman" w:hAnsi="Times New Roman"/>
          <w:color w:val="000000"/>
          <w:szCs w:val="24"/>
        </w:rPr>
        <w:tab/>
      </w:r>
      <w:r w:rsidR="00187047" w:rsidRPr="00187047">
        <w:rPr>
          <w:rFonts w:asciiTheme="majorHAnsi" w:hAnsiTheme="majorHAnsi" w:cstheme="majorHAnsi"/>
          <w:i/>
          <w:iCs/>
          <w:szCs w:val="24"/>
          <w:lang w:bidi="ar-SA"/>
        </w:rPr>
        <w:t>19th Century</w:t>
      </w:r>
      <w:r w:rsidR="00187047">
        <w:rPr>
          <w:rFonts w:asciiTheme="majorHAnsi" w:hAnsiTheme="majorHAnsi" w:cstheme="majorHAnsi"/>
          <w:i/>
          <w:iCs/>
          <w:szCs w:val="24"/>
          <w:lang w:bidi="ar-SA"/>
        </w:rPr>
        <w:t xml:space="preserve"> </w:t>
      </w:r>
      <w:r w:rsidR="00187047" w:rsidRPr="00187047">
        <w:rPr>
          <w:rFonts w:asciiTheme="majorHAnsi" w:hAnsiTheme="majorHAnsi" w:cstheme="majorHAnsi"/>
          <w:i/>
          <w:iCs/>
          <w:szCs w:val="24"/>
          <w:lang w:bidi="ar-SA"/>
        </w:rPr>
        <w:t>U.S. Newspapers</w:t>
      </w:r>
      <w:r w:rsidR="00187047" w:rsidRPr="00187047">
        <w:rPr>
          <w:rFonts w:asciiTheme="majorHAnsi" w:hAnsiTheme="majorHAnsi" w:cstheme="majorHAnsi"/>
          <w:szCs w:val="24"/>
          <w:lang w:bidi="ar-SA"/>
        </w:rPr>
        <w:t xml:space="preserve">. </w:t>
      </w:r>
      <w:hyperlink r:id="rId83" w:history="1">
        <w:r w:rsidR="00187047" w:rsidRPr="00187047">
          <w:rPr>
            <w:rStyle w:val="Hyperlink"/>
            <w:rFonts w:asciiTheme="majorHAnsi" w:hAnsiTheme="majorHAnsi" w:cstheme="majorHAnsi"/>
            <w:color w:val="auto"/>
            <w:szCs w:val="24"/>
            <w:u w:val="none"/>
            <w:lang w:bidi="ar-SA"/>
          </w:rPr>
          <w:t>http://find.galegroup.com</w:t>
        </w:r>
      </w:hyperlink>
      <w:r w:rsidR="00187047" w:rsidRPr="00187047">
        <w:rPr>
          <w:rFonts w:asciiTheme="majorHAnsi" w:hAnsiTheme="majorHAnsi" w:cstheme="majorHAnsi"/>
          <w:szCs w:val="24"/>
          <w:lang w:bidi="ar-SA"/>
        </w:rPr>
        <w:t xml:space="preserve"> (</w:t>
      </w:r>
      <w:r w:rsidR="00187047" w:rsidRPr="00187047">
        <w:rPr>
          <w:rFonts w:asciiTheme="majorHAnsi" w:hAnsiTheme="majorHAnsi" w:cstheme="majorHAnsi"/>
          <w:szCs w:val="24"/>
        </w:rPr>
        <w:t>accessed August 16,</w:t>
      </w:r>
      <w:r w:rsidR="00187047">
        <w:rPr>
          <w:rFonts w:asciiTheme="majorHAnsi" w:hAnsiTheme="majorHAnsi" w:cstheme="majorHAnsi"/>
          <w:szCs w:val="24"/>
        </w:rPr>
        <w:tab/>
      </w:r>
      <w:r w:rsidR="00187047" w:rsidRPr="00187047">
        <w:rPr>
          <w:rFonts w:asciiTheme="majorHAnsi" w:hAnsiTheme="majorHAnsi" w:cstheme="majorHAnsi"/>
          <w:szCs w:val="24"/>
        </w:rPr>
        <w:t>2016.</w:t>
      </w:r>
      <w:r w:rsidR="00187047" w:rsidRPr="00187047">
        <w:rPr>
          <w:rFonts w:asciiTheme="majorHAnsi" w:hAnsiTheme="majorHAnsi" w:cstheme="majorHAnsi"/>
          <w:szCs w:val="24"/>
          <w:lang w:bidi="ar-SA"/>
        </w:rPr>
        <w:t>)</w:t>
      </w:r>
    </w:p>
    <w:p w14:paraId="0337C52C" w14:textId="6C30625D" w:rsidR="00BB053A" w:rsidRDefault="00BB053A" w:rsidP="00C45B0A">
      <w:pPr>
        <w:pStyle w:val="NoSpacing"/>
        <w:rPr>
          <w:rFonts w:ascii="Times New Roman" w:hAnsi="Times New Roman"/>
          <w:szCs w:val="24"/>
        </w:rPr>
      </w:pPr>
    </w:p>
    <w:p w14:paraId="74898855" w14:textId="7DEA2CA9" w:rsidR="0003369E" w:rsidRPr="00187047" w:rsidRDefault="0003369E" w:rsidP="0003369E">
      <w:pPr>
        <w:pStyle w:val="NoSpacing"/>
        <w:rPr>
          <w:rFonts w:asciiTheme="majorHAnsi" w:hAnsiTheme="majorHAnsi" w:cstheme="majorHAnsi"/>
          <w:szCs w:val="24"/>
          <w:lang w:bidi="ar-SA"/>
        </w:rPr>
      </w:pPr>
      <w:r>
        <w:rPr>
          <w:rFonts w:asciiTheme="majorHAnsi" w:hAnsiTheme="majorHAnsi" w:cstheme="majorHAnsi"/>
          <w:szCs w:val="24"/>
        </w:rPr>
        <w:t>____</w:t>
      </w:r>
      <w:r w:rsidR="00187047" w:rsidRPr="00187047">
        <w:rPr>
          <w:rFonts w:asciiTheme="majorHAnsi" w:hAnsiTheme="majorHAnsi" w:cstheme="majorHAnsi"/>
          <w:szCs w:val="24"/>
        </w:rPr>
        <w:t>_ “</w:t>
      </w:r>
      <w:r w:rsidRPr="00187047">
        <w:rPr>
          <w:rFonts w:asciiTheme="majorHAnsi" w:hAnsiTheme="majorHAnsi" w:cstheme="majorHAnsi"/>
          <w:bCs/>
          <w:szCs w:val="24"/>
        </w:rPr>
        <w:t>Things as They Are.”</w:t>
      </w:r>
      <w:r w:rsidRPr="00187047">
        <w:rPr>
          <w:rFonts w:asciiTheme="majorHAnsi" w:hAnsiTheme="majorHAnsi" w:cstheme="majorHAnsi"/>
          <w:szCs w:val="24"/>
        </w:rPr>
        <w:t xml:space="preserve"> </w:t>
      </w:r>
      <w:r w:rsidRPr="00187047">
        <w:rPr>
          <w:rFonts w:asciiTheme="majorHAnsi" w:hAnsiTheme="majorHAnsi" w:cstheme="majorHAnsi"/>
          <w:bCs/>
          <w:i/>
          <w:iCs/>
          <w:szCs w:val="24"/>
        </w:rPr>
        <w:t>Cherokee Advocate</w:t>
      </w:r>
      <w:r w:rsidR="00187047" w:rsidRPr="00187047">
        <w:rPr>
          <w:rFonts w:asciiTheme="majorHAnsi" w:hAnsiTheme="majorHAnsi" w:cstheme="majorHAnsi"/>
          <w:szCs w:val="24"/>
        </w:rPr>
        <w:t xml:space="preserve">. January 9, 1885, n.p. </w:t>
      </w:r>
      <w:r w:rsidRPr="00187047">
        <w:rPr>
          <w:rFonts w:asciiTheme="majorHAnsi" w:hAnsiTheme="majorHAnsi" w:cstheme="majorHAnsi"/>
          <w:i/>
          <w:iCs/>
          <w:szCs w:val="24"/>
          <w:lang w:bidi="ar-SA"/>
        </w:rPr>
        <w:t>19th Century</w:t>
      </w:r>
      <w:r w:rsidR="00187047" w:rsidRPr="00187047">
        <w:rPr>
          <w:rFonts w:asciiTheme="majorHAnsi" w:hAnsiTheme="majorHAnsi" w:cstheme="majorHAnsi"/>
          <w:i/>
          <w:iCs/>
          <w:szCs w:val="24"/>
          <w:lang w:bidi="ar-SA"/>
        </w:rPr>
        <w:tab/>
      </w:r>
      <w:r w:rsidRPr="00187047">
        <w:rPr>
          <w:rFonts w:asciiTheme="majorHAnsi" w:hAnsiTheme="majorHAnsi" w:cstheme="majorHAnsi"/>
          <w:i/>
          <w:iCs/>
          <w:szCs w:val="24"/>
          <w:lang w:bidi="ar-SA"/>
        </w:rPr>
        <w:t>U.S. Newspapers</w:t>
      </w:r>
      <w:r w:rsidRPr="00187047">
        <w:rPr>
          <w:rFonts w:asciiTheme="majorHAnsi" w:hAnsiTheme="majorHAnsi" w:cstheme="majorHAnsi"/>
          <w:szCs w:val="24"/>
          <w:lang w:bidi="ar-SA"/>
        </w:rPr>
        <w:t xml:space="preserve">. </w:t>
      </w:r>
      <w:hyperlink r:id="rId84" w:history="1">
        <w:r w:rsidR="00187047" w:rsidRPr="00187047">
          <w:rPr>
            <w:rStyle w:val="Hyperlink"/>
            <w:rFonts w:asciiTheme="majorHAnsi" w:hAnsiTheme="majorHAnsi" w:cstheme="majorHAnsi"/>
            <w:color w:val="auto"/>
            <w:szCs w:val="24"/>
            <w:u w:val="none"/>
            <w:lang w:bidi="ar-SA"/>
          </w:rPr>
          <w:t>http://find.galegroup.com</w:t>
        </w:r>
      </w:hyperlink>
      <w:r w:rsidR="00187047" w:rsidRPr="00187047">
        <w:rPr>
          <w:rFonts w:asciiTheme="majorHAnsi" w:hAnsiTheme="majorHAnsi" w:cstheme="majorHAnsi"/>
          <w:szCs w:val="24"/>
          <w:lang w:bidi="ar-SA"/>
        </w:rPr>
        <w:t xml:space="preserve"> (</w:t>
      </w:r>
      <w:r w:rsidR="00187047" w:rsidRPr="00187047">
        <w:rPr>
          <w:rFonts w:asciiTheme="majorHAnsi" w:hAnsiTheme="majorHAnsi" w:cstheme="majorHAnsi"/>
          <w:szCs w:val="24"/>
        </w:rPr>
        <w:t>accessed August 16, 2016.</w:t>
      </w:r>
      <w:r w:rsidR="00187047" w:rsidRPr="00187047">
        <w:rPr>
          <w:rFonts w:asciiTheme="majorHAnsi" w:hAnsiTheme="majorHAnsi" w:cstheme="majorHAnsi"/>
          <w:szCs w:val="24"/>
          <w:lang w:bidi="ar-SA"/>
        </w:rPr>
        <w:t>)</w:t>
      </w:r>
    </w:p>
    <w:p w14:paraId="173A7B87" w14:textId="77777777" w:rsidR="0003369E" w:rsidRPr="00187047" w:rsidRDefault="0003369E" w:rsidP="00C45B0A">
      <w:pPr>
        <w:pStyle w:val="NoSpacing"/>
        <w:rPr>
          <w:rFonts w:ascii="Times New Roman" w:hAnsi="Times New Roman"/>
          <w:szCs w:val="24"/>
        </w:rPr>
      </w:pPr>
    </w:p>
    <w:p w14:paraId="26B6A2CF" w14:textId="3832900A" w:rsidR="00C45B0A" w:rsidRPr="00E7312B" w:rsidRDefault="00C45B0A" w:rsidP="00C45B0A">
      <w:pPr>
        <w:spacing w:line="240" w:lineRule="auto"/>
      </w:pPr>
      <w:r w:rsidRPr="00E7312B">
        <w:t xml:space="preserve">Dunn, Dorothy. </w:t>
      </w:r>
      <w:r w:rsidRPr="00E7312B">
        <w:rPr>
          <w:i/>
        </w:rPr>
        <w:t>American Indian Painting of the Southwest and Plains Area</w:t>
      </w:r>
      <w:r w:rsidRPr="00E7312B">
        <w:t>.</w:t>
      </w:r>
      <w:r>
        <w:tab/>
      </w:r>
      <w:r>
        <w:tab/>
      </w:r>
      <w:r w:rsidRPr="00E7312B">
        <w:t>Albuquerque, NM:</w:t>
      </w:r>
      <w:r>
        <w:t xml:space="preserve"> </w:t>
      </w:r>
      <w:r w:rsidRPr="00E7312B">
        <w:t>University of New Mexico Press, 1968.</w:t>
      </w:r>
    </w:p>
    <w:p w14:paraId="6B957A0D" w14:textId="77777777" w:rsidR="00C45B0A" w:rsidRDefault="00C45B0A" w:rsidP="00C45B0A">
      <w:pPr>
        <w:pStyle w:val="NoSpacing"/>
        <w:rPr>
          <w:rFonts w:ascii="Times New Roman" w:hAnsi="Times New Roman"/>
          <w:szCs w:val="24"/>
        </w:rPr>
      </w:pPr>
    </w:p>
    <w:p w14:paraId="011D2D86" w14:textId="6DF32A5F" w:rsidR="00186DCC" w:rsidRPr="00DA1E36" w:rsidRDefault="00C45B0A" w:rsidP="00C45B0A">
      <w:pPr>
        <w:pStyle w:val="NoSpacing"/>
        <w:rPr>
          <w:rFonts w:ascii="Times New Roman" w:hAnsi="Times New Roman"/>
          <w:szCs w:val="24"/>
        </w:rPr>
      </w:pPr>
      <w:r w:rsidRPr="00E7312B">
        <w:rPr>
          <w:rFonts w:ascii="Times New Roman" w:hAnsi="Times New Roman"/>
          <w:szCs w:val="24"/>
        </w:rPr>
        <w:t xml:space="preserve">Eldredge, Charles, </w:t>
      </w:r>
      <w:r w:rsidR="00845A39">
        <w:rPr>
          <w:rFonts w:ascii="Times New Roman" w:hAnsi="Times New Roman"/>
          <w:szCs w:val="24"/>
        </w:rPr>
        <w:t xml:space="preserve">Julie </w:t>
      </w:r>
      <w:r w:rsidRPr="00E7312B">
        <w:rPr>
          <w:rFonts w:ascii="Times New Roman" w:hAnsi="Times New Roman"/>
          <w:szCs w:val="24"/>
        </w:rPr>
        <w:t xml:space="preserve">Schimmel, and </w:t>
      </w:r>
      <w:r w:rsidR="00845A39">
        <w:rPr>
          <w:rFonts w:ascii="Times New Roman" w:hAnsi="Times New Roman"/>
          <w:szCs w:val="24"/>
        </w:rPr>
        <w:t xml:space="preserve">William </w:t>
      </w:r>
      <w:r w:rsidRPr="00E7312B">
        <w:rPr>
          <w:rFonts w:ascii="Times New Roman" w:hAnsi="Times New Roman"/>
          <w:szCs w:val="24"/>
        </w:rPr>
        <w:t>Truettner</w:t>
      </w:r>
      <w:r w:rsidR="00845A39">
        <w:rPr>
          <w:rFonts w:ascii="Times New Roman" w:hAnsi="Times New Roman"/>
          <w:szCs w:val="24"/>
        </w:rPr>
        <w:t xml:space="preserve">. </w:t>
      </w:r>
      <w:r w:rsidR="00AD7D67">
        <w:rPr>
          <w:rFonts w:ascii="Times New Roman" w:hAnsi="Times New Roman"/>
          <w:i/>
          <w:szCs w:val="24"/>
        </w:rPr>
        <w:t>Art i</w:t>
      </w:r>
      <w:r w:rsidR="00186DCC" w:rsidRPr="00DA1E36">
        <w:rPr>
          <w:rFonts w:ascii="Times New Roman" w:hAnsi="Times New Roman"/>
          <w:i/>
          <w:szCs w:val="24"/>
        </w:rPr>
        <w:t>n New Mexico, 190</w:t>
      </w:r>
      <w:r>
        <w:rPr>
          <w:rFonts w:ascii="Times New Roman" w:hAnsi="Times New Roman"/>
          <w:i/>
          <w:szCs w:val="24"/>
        </w:rPr>
        <w:t>0-</w:t>
      </w:r>
      <w:r>
        <w:rPr>
          <w:rFonts w:ascii="Times New Roman" w:hAnsi="Times New Roman"/>
          <w:i/>
          <w:szCs w:val="24"/>
        </w:rPr>
        <w:tab/>
      </w:r>
      <w:r w:rsidR="00845A39">
        <w:rPr>
          <w:rFonts w:ascii="Times New Roman" w:hAnsi="Times New Roman"/>
          <w:i/>
          <w:szCs w:val="24"/>
        </w:rPr>
        <w:t>1945:</w:t>
      </w:r>
      <w:r w:rsidR="00845A39" w:rsidRPr="00DA1E36">
        <w:rPr>
          <w:rFonts w:ascii="Times New Roman" w:hAnsi="Times New Roman"/>
          <w:i/>
          <w:szCs w:val="24"/>
        </w:rPr>
        <w:t xml:space="preserve"> Paths</w:t>
      </w:r>
      <w:r w:rsidR="00AD7D67">
        <w:rPr>
          <w:rFonts w:ascii="Times New Roman" w:hAnsi="Times New Roman"/>
          <w:i/>
          <w:szCs w:val="24"/>
        </w:rPr>
        <w:t xml:space="preserve"> t</w:t>
      </w:r>
      <w:r w:rsidR="00186DCC" w:rsidRPr="00DA1E36">
        <w:rPr>
          <w:rFonts w:ascii="Times New Roman" w:hAnsi="Times New Roman"/>
          <w:i/>
          <w:szCs w:val="24"/>
        </w:rPr>
        <w:t>o Taos and Santa Fe</w:t>
      </w:r>
      <w:r w:rsidR="00186DCC" w:rsidRPr="00DA1E36">
        <w:rPr>
          <w:rFonts w:ascii="Times New Roman" w:hAnsi="Times New Roman"/>
          <w:szCs w:val="24"/>
        </w:rPr>
        <w:t>. Santa</w:t>
      </w:r>
      <w:r w:rsidR="00845A39">
        <w:rPr>
          <w:rFonts w:ascii="Times New Roman" w:hAnsi="Times New Roman"/>
          <w:szCs w:val="24"/>
        </w:rPr>
        <w:t xml:space="preserve"> </w:t>
      </w:r>
      <w:r w:rsidR="00186DCC" w:rsidRPr="00DA1E36">
        <w:rPr>
          <w:rFonts w:ascii="Times New Roman" w:hAnsi="Times New Roman"/>
          <w:szCs w:val="24"/>
        </w:rPr>
        <w:t>Fe: Santa Fe</w:t>
      </w:r>
      <w:r w:rsidR="005F0895">
        <w:rPr>
          <w:rFonts w:ascii="Times New Roman" w:hAnsi="Times New Roman"/>
          <w:szCs w:val="24"/>
        </w:rPr>
        <w:t xml:space="preserve"> </w:t>
      </w:r>
      <w:r w:rsidR="00181CE1">
        <w:rPr>
          <w:rFonts w:ascii="Times New Roman" w:hAnsi="Times New Roman"/>
          <w:szCs w:val="24"/>
        </w:rPr>
        <w:t>Museum of Fine Arts,</w:t>
      </w:r>
      <w:r>
        <w:rPr>
          <w:rFonts w:ascii="Times New Roman" w:hAnsi="Times New Roman"/>
          <w:szCs w:val="24"/>
        </w:rPr>
        <w:tab/>
      </w:r>
      <w:r w:rsidR="00181CE1">
        <w:rPr>
          <w:rFonts w:ascii="Times New Roman" w:hAnsi="Times New Roman"/>
          <w:szCs w:val="24"/>
        </w:rPr>
        <w:t>1986.</w:t>
      </w:r>
    </w:p>
    <w:p w14:paraId="5768244D" w14:textId="6F526920" w:rsidR="00186DCC" w:rsidRDefault="00186DCC" w:rsidP="00186DCC">
      <w:pPr>
        <w:pStyle w:val="NoSpacing"/>
        <w:rPr>
          <w:rFonts w:ascii="Times New Roman" w:hAnsi="Times New Roman"/>
          <w:szCs w:val="24"/>
        </w:rPr>
      </w:pPr>
    </w:p>
    <w:p w14:paraId="514587C6" w14:textId="36745569" w:rsidR="00186DCC" w:rsidRDefault="00845A39" w:rsidP="00186DCC">
      <w:pPr>
        <w:pStyle w:val="NoSpacing"/>
        <w:rPr>
          <w:rFonts w:ascii="Times New Roman" w:hAnsi="Times New Roman"/>
          <w:szCs w:val="24"/>
        </w:rPr>
      </w:pPr>
      <w:r>
        <w:rPr>
          <w:rFonts w:ascii="Times New Roman" w:hAnsi="Times New Roman"/>
          <w:szCs w:val="24"/>
        </w:rPr>
        <w:t>_____</w:t>
      </w:r>
      <w:r w:rsidR="00186DCC" w:rsidRPr="00DA1E36">
        <w:rPr>
          <w:rFonts w:ascii="Times New Roman" w:hAnsi="Times New Roman"/>
          <w:szCs w:val="24"/>
        </w:rPr>
        <w:t xml:space="preserve">. “Ernest Blumenschein’s </w:t>
      </w:r>
      <w:r w:rsidR="00186DCC" w:rsidRPr="00DA1E36">
        <w:rPr>
          <w:rFonts w:ascii="Times New Roman" w:hAnsi="Times New Roman"/>
          <w:i/>
          <w:szCs w:val="24"/>
        </w:rPr>
        <w:t>The Peacemaker</w:t>
      </w:r>
      <w:r w:rsidR="00186DCC" w:rsidRPr="00DA1E36">
        <w:rPr>
          <w:rFonts w:ascii="Times New Roman" w:hAnsi="Times New Roman"/>
          <w:szCs w:val="24"/>
        </w:rPr>
        <w:t>: Native Americans,</w:t>
      </w:r>
      <w:r>
        <w:rPr>
          <w:rFonts w:ascii="Times New Roman" w:hAnsi="Times New Roman"/>
          <w:szCs w:val="24"/>
        </w:rPr>
        <w:t xml:space="preserve"> </w:t>
      </w:r>
      <w:r w:rsidR="00186DCC" w:rsidRPr="00DA1E36">
        <w:rPr>
          <w:rFonts w:ascii="Times New Roman" w:hAnsi="Times New Roman"/>
          <w:szCs w:val="24"/>
        </w:rPr>
        <w:t>Greeks, and</w:t>
      </w:r>
      <w:r>
        <w:rPr>
          <w:rFonts w:ascii="Times New Roman" w:hAnsi="Times New Roman"/>
          <w:szCs w:val="24"/>
        </w:rPr>
        <w:tab/>
      </w:r>
      <w:r>
        <w:rPr>
          <w:rFonts w:ascii="Times New Roman" w:hAnsi="Times New Roman"/>
          <w:szCs w:val="24"/>
        </w:rPr>
        <w:tab/>
      </w:r>
      <w:r w:rsidR="00186DCC" w:rsidRPr="00DA1E36">
        <w:rPr>
          <w:rFonts w:ascii="Times New Roman" w:hAnsi="Times New Roman"/>
          <w:szCs w:val="24"/>
        </w:rPr>
        <w:t>Jurisprudence</w:t>
      </w:r>
      <w:r w:rsidR="005F0895">
        <w:rPr>
          <w:rFonts w:ascii="Times New Roman" w:hAnsi="Times New Roman"/>
          <w:szCs w:val="24"/>
        </w:rPr>
        <w:t xml:space="preserve"> </w:t>
      </w:r>
      <w:r w:rsidR="00186DCC" w:rsidRPr="00DA1E36">
        <w:rPr>
          <w:rFonts w:ascii="Times New Roman" w:hAnsi="Times New Roman"/>
          <w:szCs w:val="24"/>
        </w:rPr>
        <w:t xml:space="preserve">circa 1913.” </w:t>
      </w:r>
      <w:r w:rsidR="00186DCC" w:rsidRPr="00DA1E36">
        <w:rPr>
          <w:rFonts w:ascii="Times New Roman" w:hAnsi="Times New Roman"/>
          <w:i/>
          <w:szCs w:val="24"/>
        </w:rPr>
        <w:t xml:space="preserve">American Art </w:t>
      </w:r>
      <w:r w:rsidR="00186DCC" w:rsidRPr="00DA1E36">
        <w:rPr>
          <w:rFonts w:ascii="Times New Roman" w:hAnsi="Times New Roman"/>
          <w:szCs w:val="24"/>
        </w:rPr>
        <w:t>15</w:t>
      </w:r>
      <w:r w:rsidR="005F0895">
        <w:rPr>
          <w:rFonts w:ascii="Times New Roman" w:hAnsi="Times New Roman"/>
          <w:szCs w:val="24"/>
        </w:rPr>
        <w:t>, no. 1</w:t>
      </w:r>
      <w:r w:rsidR="00186DCC" w:rsidRPr="00DA1E36">
        <w:rPr>
          <w:rFonts w:ascii="Times New Roman" w:hAnsi="Times New Roman"/>
          <w:szCs w:val="24"/>
        </w:rPr>
        <w:t xml:space="preserve"> (Spring 2001):</w:t>
      </w:r>
      <w:r w:rsidR="005F0895">
        <w:rPr>
          <w:rFonts w:ascii="Times New Roman" w:hAnsi="Times New Roman"/>
          <w:szCs w:val="24"/>
        </w:rPr>
        <w:tab/>
      </w:r>
      <w:r w:rsidR="00186DCC" w:rsidRPr="00DA1E36">
        <w:rPr>
          <w:rFonts w:ascii="Times New Roman" w:hAnsi="Times New Roman"/>
          <w:szCs w:val="24"/>
        </w:rPr>
        <w:t>35-51.</w:t>
      </w:r>
    </w:p>
    <w:p w14:paraId="074310A2" w14:textId="72814EA9" w:rsidR="008D7929" w:rsidRDefault="008D7929" w:rsidP="00186DCC">
      <w:pPr>
        <w:pStyle w:val="NoSpacing"/>
        <w:rPr>
          <w:rFonts w:ascii="Times New Roman" w:hAnsi="Times New Roman"/>
          <w:szCs w:val="24"/>
        </w:rPr>
      </w:pPr>
    </w:p>
    <w:p w14:paraId="7BED84B3" w14:textId="4EC45C2D" w:rsidR="00FE6EB2" w:rsidRDefault="00FE6EB2" w:rsidP="00186DCC">
      <w:pPr>
        <w:pStyle w:val="NoSpacing"/>
      </w:pPr>
      <w:r w:rsidRPr="00F7783D">
        <w:t xml:space="preserve">Emerson, Nathanial B. </w:t>
      </w:r>
      <w:r w:rsidRPr="00F7783D">
        <w:rPr>
          <w:i/>
        </w:rPr>
        <w:t>Pele and Hiiaka, A Myth from Hawai’i</w:t>
      </w:r>
      <w:r w:rsidR="00187047">
        <w:t xml:space="preserve">. </w:t>
      </w:r>
      <w:r w:rsidR="00845A39">
        <w:t>Hilo</w:t>
      </w:r>
      <w:r w:rsidRPr="00F7783D">
        <w:t>: Edith</w:t>
      </w:r>
      <w:r w:rsidR="00DB1BBD">
        <w:tab/>
        <w:t xml:space="preserve"> </w:t>
      </w:r>
      <w:r w:rsidR="00187047">
        <w:t>Kanaka’</w:t>
      </w:r>
      <w:r w:rsidRPr="00F7783D">
        <w:t>ole</w:t>
      </w:r>
      <w:r w:rsidR="00DB1BBD">
        <w:tab/>
      </w:r>
      <w:r w:rsidRPr="00F7783D">
        <w:t>Foundation, 1993</w:t>
      </w:r>
      <w:r>
        <w:t>.</w:t>
      </w:r>
    </w:p>
    <w:p w14:paraId="1FB0E3CB" w14:textId="77777777" w:rsidR="00FE6EB2" w:rsidRDefault="00FE6EB2" w:rsidP="00186DCC">
      <w:pPr>
        <w:pStyle w:val="NoSpacing"/>
        <w:rPr>
          <w:rFonts w:ascii="Times New Roman" w:hAnsi="Times New Roman"/>
          <w:szCs w:val="24"/>
        </w:rPr>
      </w:pPr>
    </w:p>
    <w:p w14:paraId="2552161D" w14:textId="4707CD8A" w:rsidR="00186DCC" w:rsidRPr="00DA1E36" w:rsidRDefault="00186DCC" w:rsidP="00186DCC">
      <w:pPr>
        <w:pStyle w:val="NoSpacing"/>
        <w:rPr>
          <w:rFonts w:ascii="Times New Roman" w:hAnsi="Times New Roman"/>
          <w:szCs w:val="24"/>
        </w:rPr>
      </w:pPr>
      <w:r w:rsidRPr="00DA1E36">
        <w:rPr>
          <w:rFonts w:ascii="Times New Roman" w:hAnsi="Times New Roman"/>
          <w:szCs w:val="24"/>
        </w:rPr>
        <w:t>Ewing, Robert Nichols.</w:t>
      </w:r>
      <w:r w:rsidRPr="00DA1E36">
        <w:rPr>
          <w:rStyle w:val="matchterm0"/>
          <w:rFonts w:ascii="Times New Roman" w:hAnsi="Times New Roman"/>
          <w:bCs/>
        </w:rPr>
        <w:t xml:space="preserve"> </w:t>
      </w:r>
      <w:r w:rsidRPr="005F0895">
        <w:rPr>
          <w:rStyle w:val="matchterm0"/>
          <w:rFonts w:ascii="Times New Roman" w:hAnsi="Times New Roman"/>
          <w:bCs/>
          <w:i/>
        </w:rPr>
        <w:t>Jules Tavernier</w:t>
      </w:r>
      <w:r w:rsidRPr="005F0895">
        <w:rPr>
          <w:rFonts w:ascii="Times New Roman" w:hAnsi="Times New Roman"/>
          <w:bCs/>
          <w:i/>
          <w:szCs w:val="24"/>
        </w:rPr>
        <w:t xml:space="preserve"> </w:t>
      </w:r>
      <w:r w:rsidRPr="00DA1E36">
        <w:rPr>
          <w:rFonts w:ascii="Times New Roman" w:hAnsi="Times New Roman"/>
          <w:bCs/>
          <w:i/>
          <w:szCs w:val="24"/>
        </w:rPr>
        <w:t>(1844-1889): Painter and Illustrator</w:t>
      </w:r>
      <w:r w:rsidRPr="00DA1E36">
        <w:rPr>
          <w:rFonts w:ascii="Times New Roman" w:hAnsi="Times New Roman"/>
          <w:bCs/>
          <w:szCs w:val="24"/>
        </w:rPr>
        <w:t xml:space="preserve">. </w:t>
      </w:r>
      <w:r w:rsidR="00DB1BBD">
        <w:rPr>
          <w:rFonts w:ascii="Times New Roman" w:hAnsi="Times New Roman"/>
          <w:bCs/>
          <w:szCs w:val="24"/>
        </w:rPr>
        <w:t>PhD</w:t>
      </w:r>
      <w:r w:rsidR="00DB1BBD">
        <w:rPr>
          <w:rFonts w:ascii="Times New Roman" w:hAnsi="Times New Roman"/>
          <w:bCs/>
          <w:szCs w:val="24"/>
        </w:rPr>
        <w:tab/>
      </w:r>
      <w:r w:rsidR="00845A39">
        <w:rPr>
          <w:rFonts w:ascii="Times New Roman" w:hAnsi="Times New Roman"/>
          <w:bCs/>
          <w:szCs w:val="24"/>
        </w:rPr>
        <w:t xml:space="preserve">diss., </w:t>
      </w:r>
      <w:r w:rsidRPr="00DA1E36">
        <w:rPr>
          <w:rFonts w:ascii="Times New Roman" w:hAnsi="Times New Roman"/>
          <w:szCs w:val="24"/>
        </w:rPr>
        <w:t>University of California, Los Angeles, 1978.</w:t>
      </w:r>
    </w:p>
    <w:p w14:paraId="59271732" w14:textId="77777777" w:rsidR="00186DCC" w:rsidRPr="00DA1E36" w:rsidRDefault="00186DCC" w:rsidP="00186DCC">
      <w:pPr>
        <w:pStyle w:val="NoSpacing"/>
        <w:rPr>
          <w:rFonts w:ascii="Times New Roman" w:hAnsi="Times New Roman"/>
          <w:szCs w:val="24"/>
        </w:rPr>
      </w:pPr>
    </w:p>
    <w:p w14:paraId="4BB1D000" w14:textId="49D32108" w:rsidR="00186DCC" w:rsidRPr="00DA1E36" w:rsidRDefault="00186DCC" w:rsidP="00186DCC">
      <w:pPr>
        <w:pStyle w:val="NoSpacing"/>
        <w:rPr>
          <w:rFonts w:ascii="Times New Roman" w:hAnsi="Times New Roman"/>
          <w:szCs w:val="24"/>
        </w:rPr>
      </w:pPr>
      <w:r w:rsidRPr="00DA1E36">
        <w:rPr>
          <w:rFonts w:ascii="Times New Roman" w:hAnsi="Times New Roman"/>
          <w:i/>
          <w:iCs/>
          <w:szCs w:val="24"/>
        </w:rPr>
        <w:t>Exhibition of Recent Paintings by Walter Ufer</w:t>
      </w:r>
      <w:r w:rsidRPr="00DA1E36">
        <w:rPr>
          <w:rFonts w:ascii="Times New Roman" w:hAnsi="Times New Roman"/>
          <w:iCs/>
          <w:szCs w:val="24"/>
        </w:rPr>
        <w:t xml:space="preserve">. </w:t>
      </w:r>
      <w:r w:rsidRPr="00DA1E36">
        <w:rPr>
          <w:rFonts w:ascii="Times New Roman" w:hAnsi="Times New Roman"/>
          <w:szCs w:val="24"/>
        </w:rPr>
        <w:t>N</w:t>
      </w:r>
      <w:r w:rsidR="00DB1BBD">
        <w:rPr>
          <w:rFonts w:ascii="Times New Roman" w:hAnsi="Times New Roman"/>
          <w:szCs w:val="24"/>
        </w:rPr>
        <w:t>ew York: Macbeth Gallery, 1928.</w:t>
      </w:r>
    </w:p>
    <w:p w14:paraId="7F856CFC" w14:textId="180FD129" w:rsidR="00186DCC" w:rsidRDefault="00186DCC" w:rsidP="00186DCC">
      <w:pPr>
        <w:pStyle w:val="NoSpacing"/>
        <w:rPr>
          <w:rFonts w:ascii="Times New Roman" w:hAnsi="Times New Roman"/>
          <w:szCs w:val="24"/>
        </w:rPr>
      </w:pPr>
    </w:p>
    <w:p w14:paraId="0A409E01" w14:textId="0303ED15" w:rsidR="00E77E65" w:rsidRDefault="00E77E65" w:rsidP="00186DCC">
      <w:pPr>
        <w:pStyle w:val="NoSpacing"/>
        <w:rPr>
          <w:rFonts w:ascii="Times New Roman" w:hAnsi="Times New Roman"/>
          <w:szCs w:val="24"/>
        </w:rPr>
      </w:pPr>
      <w:r w:rsidRPr="006A42FC">
        <w:rPr>
          <w:rFonts w:ascii="Times New Roman" w:hAnsi="Times New Roman"/>
          <w:szCs w:val="24"/>
        </w:rPr>
        <w:t>Fenn, Forrest</w:t>
      </w:r>
      <w:r>
        <w:rPr>
          <w:szCs w:val="24"/>
        </w:rPr>
        <w:t>.</w:t>
      </w:r>
      <w:r w:rsidRPr="006A42FC">
        <w:rPr>
          <w:rFonts w:ascii="Times New Roman" w:hAnsi="Times New Roman"/>
          <w:szCs w:val="24"/>
        </w:rPr>
        <w:t xml:space="preserve"> </w:t>
      </w:r>
      <w:r>
        <w:rPr>
          <w:i/>
          <w:szCs w:val="24"/>
        </w:rPr>
        <w:t>Teepee Smoke: A New Look i</w:t>
      </w:r>
      <w:r w:rsidRPr="006A42FC">
        <w:rPr>
          <w:rFonts w:ascii="Times New Roman" w:hAnsi="Times New Roman"/>
          <w:i/>
          <w:szCs w:val="24"/>
        </w:rPr>
        <w:t>nto the Life and Work of Joseph Henry</w:t>
      </w:r>
      <w:r>
        <w:rPr>
          <w:rFonts w:ascii="Times New Roman" w:hAnsi="Times New Roman"/>
          <w:i/>
          <w:szCs w:val="24"/>
        </w:rPr>
        <w:tab/>
      </w:r>
      <w:r w:rsidRPr="006A42FC">
        <w:rPr>
          <w:rFonts w:ascii="Times New Roman" w:hAnsi="Times New Roman"/>
          <w:i/>
          <w:szCs w:val="24"/>
        </w:rPr>
        <w:t>Sharp</w:t>
      </w:r>
      <w:r w:rsidR="00483077">
        <w:rPr>
          <w:rFonts w:ascii="Times New Roman" w:hAnsi="Times New Roman"/>
          <w:szCs w:val="24"/>
        </w:rPr>
        <w:t>. Santa Fe</w:t>
      </w:r>
      <w:r w:rsidRPr="006A42FC">
        <w:rPr>
          <w:rFonts w:ascii="Times New Roman" w:hAnsi="Times New Roman"/>
          <w:szCs w:val="24"/>
        </w:rPr>
        <w:t>: One Horse Land and Cattle Company, 2009.</w:t>
      </w:r>
    </w:p>
    <w:p w14:paraId="2B9DD26C" w14:textId="77777777" w:rsidR="00E77E65" w:rsidRDefault="00E77E65" w:rsidP="00186DCC">
      <w:pPr>
        <w:pStyle w:val="NoSpacing"/>
        <w:rPr>
          <w:rFonts w:ascii="Times New Roman" w:hAnsi="Times New Roman"/>
          <w:szCs w:val="24"/>
        </w:rPr>
      </w:pPr>
    </w:p>
    <w:p w14:paraId="69326D50" w14:textId="5C5348E8"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Field, Isobel. </w:t>
      </w:r>
      <w:r w:rsidRPr="00DA1E36">
        <w:rPr>
          <w:rFonts w:ascii="Times New Roman" w:hAnsi="Times New Roman"/>
          <w:i/>
          <w:szCs w:val="24"/>
        </w:rPr>
        <w:t>This Life I’ve Loved</w:t>
      </w:r>
      <w:r w:rsidRPr="00DA1E36">
        <w:rPr>
          <w:rFonts w:ascii="Times New Roman" w:hAnsi="Times New Roman"/>
          <w:szCs w:val="24"/>
        </w:rPr>
        <w:t xml:space="preserve">. New York: </w:t>
      </w:r>
      <w:r w:rsidR="00181CE1">
        <w:rPr>
          <w:rFonts w:ascii="Times New Roman" w:hAnsi="Times New Roman"/>
          <w:szCs w:val="24"/>
        </w:rPr>
        <w:t>Longmans, Green and Co</w:t>
      </w:r>
      <w:r w:rsidR="00187047">
        <w:rPr>
          <w:rFonts w:ascii="Times New Roman" w:hAnsi="Times New Roman"/>
          <w:szCs w:val="24"/>
        </w:rPr>
        <w:t xml:space="preserve">mpany, </w:t>
      </w:r>
      <w:r w:rsidR="00181CE1">
        <w:rPr>
          <w:rFonts w:ascii="Times New Roman" w:hAnsi="Times New Roman"/>
          <w:szCs w:val="24"/>
        </w:rPr>
        <w:t>1941.</w:t>
      </w:r>
    </w:p>
    <w:p w14:paraId="480A5401" w14:textId="77777777" w:rsidR="00C37A50" w:rsidRDefault="00C37A50" w:rsidP="00186DCC">
      <w:pPr>
        <w:pStyle w:val="NoSpacing"/>
        <w:rPr>
          <w:rFonts w:asciiTheme="majorHAnsi" w:hAnsiTheme="majorHAnsi" w:cstheme="majorHAnsi"/>
          <w:szCs w:val="24"/>
          <w:lang w:bidi="ar-SA"/>
        </w:rPr>
      </w:pPr>
    </w:p>
    <w:p w14:paraId="62D6B1EB" w14:textId="67B93A9C" w:rsidR="007C4DDF" w:rsidRPr="008B24CB" w:rsidRDefault="007C4DDF" w:rsidP="00186DCC">
      <w:pPr>
        <w:pStyle w:val="NoSpacing"/>
        <w:rPr>
          <w:rFonts w:ascii="Times New Roman" w:hAnsi="Times New Roman"/>
          <w:szCs w:val="24"/>
        </w:rPr>
      </w:pPr>
      <w:r w:rsidRPr="007C4DDF">
        <w:rPr>
          <w:rFonts w:asciiTheme="majorHAnsi" w:hAnsiTheme="majorHAnsi" w:cstheme="majorHAnsi"/>
          <w:szCs w:val="24"/>
          <w:lang w:bidi="ar-SA"/>
        </w:rPr>
        <w:t>Foster</w:t>
      </w:r>
      <w:r>
        <w:rPr>
          <w:rFonts w:asciiTheme="majorHAnsi" w:hAnsiTheme="majorHAnsi" w:cstheme="majorHAnsi"/>
          <w:szCs w:val="24"/>
          <w:lang w:bidi="ar-SA"/>
        </w:rPr>
        <w:t xml:space="preserve">, </w:t>
      </w:r>
      <w:r w:rsidRPr="007C4DDF">
        <w:rPr>
          <w:rFonts w:asciiTheme="majorHAnsi" w:hAnsiTheme="majorHAnsi" w:cstheme="majorHAnsi"/>
          <w:szCs w:val="24"/>
          <w:lang w:bidi="ar-SA"/>
        </w:rPr>
        <w:t>George E. "Zig-Zag Journey Indian Territory." </w:t>
      </w:r>
      <w:r w:rsidRPr="007C4DDF">
        <w:rPr>
          <w:rFonts w:asciiTheme="majorHAnsi" w:hAnsiTheme="majorHAnsi" w:cstheme="majorHAnsi"/>
          <w:i/>
          <w:iCs/>
          <w:szCs w:val="24"/>
          <w:lang w:bidi="ar-SA"/>
        </w:rPr>
        <w:t>Frank Leslie's Illustrated</w:t>
      </w:r>
      <w:r>
        <w:rPr>
          <w:rFonts w:asciiTheme="majorHAnsi" w:hAnsiTheme="majorHAnsi" w:cstheme="majorHAnsi"/>
          <w:i/>
          <w:iCs/>
          <w:szCs w:val="24"/>
          <w:lang w:bidi="ar-SA"/>
        </w:rPr>
        <w:tab/>
      </w:r>
      <w:r>
        <w:rPr>
          <w:rFonts w:asciiTheme="majorHAnsi" w:hAnsiTheme="majorHAnsi" w:cstheme="majorHAnsi"/>
          <w:i/>
          <w:iCs/>
          <w:szCs w:val="24"/>
          <w:lang w:bidi="ar-SA"/>
        </w:rPr>
        <w:tab/>
      </w:r>
      <w:r w:rsidRPr="007C4DDF">
        <w:rPr>
          <w:rFonts w:asciiTheme="majorHAnsi" w:hAnsiTheme="majorHAnsi" w:cstheme="majorHAnsi"/>
          <w:i/>
          <w:iCs/>
          <w:szCs w:val="24"/>
          <w:lang w:bidi="ar-SA"/>
        </w:rPr>
        <w:t>Newspaper</w:t>
      </w:r>
      <w:r w:rsidR="00AD7D67">
        <w:rPr>
          <w:rFonts w:asciiTheme="majorHAnsi" w:hAnsiTheme="majorHAnsi" w:cstheme="majorHAnsi"/>
          <w:szCs w:val="24"/>
          <w:lang w:bidi="ar-SA"/>
        </w:rPr>
        <w:t xml:space="preserve"> </w:t>
      </w:r>
      <w:r w:rsidR="00483077">
        <w:rPr>
          <w:rFonts w:asciiTheme="majorHAnsi" w:hAnsiTheme="majorHAnsi" w:cstheme="majorHAnsi"/>
          <w:szCs w:val="24"/>
          <w:lang w:bidi="ar-SA"/>
        </w:rPr>
        <w:t>(</w:t>
      </w:r>
      <w:r w:rsidRPr="007C4DDF">
        <w:rPr>
          <w:rFonts w:asciiTheme="majorHAnsi" w:hAnsiTheme="majorHAnsi" w:cstheme="majorHAnsi"/>
          <w:szCs w:val="24"/>
          <w:lang w:bidi="ar-SA"/>
        </w:rPr>
        <w:t>New York</w:t>
      </w:r>
      <w:r w:rsidR="00483077">
        <w:rPr>
          <w:rFonts w:asciiTheme="majorHAnsi" w:hAnsiTheme="majorHAnsi" w:cstheme="majorHAnsi"/>
          <w:szCs w:val="24"/>
          <w:lang w:bidi="ar-SA"/>
        </w:rPr>
        <w:t>).</w:t>
      </w:r>
      <w:r w:rsidRPr="007C4DDF">
        <w:rPr>
          <w:rFonts w:asciiTheme="majorHAnsi" w:hAnsiTheme="majorHAnsi" w:cstheme="majorHAnsi"/>
          <w:szCs w:val="24"/>
          <w:lang w:bidi="ar-SA"/>
        </w:rPr>
        <w:t xml:space="preserve"> Aug</w:t>
      </w:r>
      <w:r w:rsidR="00483077">
        <w:rPr>
          <w:rFonts w:asciiTheme="majorHAnsi" w:hAnsiTheme="majorHAnsi" w:cstheme="majorHAnsi"/>
          <w:szCs w:val="24"/>
          <w:lang w:bidi="ar-SA"/>
        </w:rPr>
        <w:t xml:space="preserve">ust 11, </w:t>
      </w:r>
      <w:r w:rsidRPr="007C4DDF">
        <w:rPr>
          <w:rFonts w:asciiTheme="majorHAnsi" w:hAnsiTheme="majorHAnsi" w:cstheme="majorHAnsi"/>
          <w:szCs w:val="24"/>
          <w:lang w:bidi="ar-SA"/>
        </w:rPr>
        <w:t>1888: 417+.</w:t>
      </w:r>
      <w:r w:rsidRPr="008B24CB">
        <w:rPr>
          <w:rFonts w:asciiTheme="majorHAnsi" w:hAnsiTheme="majorHAnsi" w:cstheme="majorHAnsi"/>
          <w:szCs w:val="24"/>
          <w:lang w:bidi="ar-SA"/>
        </w:rPr>
        <w:t> </w:t>
      </w:r>
      <w:r w:rsidR="00483077">
        <w:rPr>
          <w:rFonts w:asciiTheme="majorHAnsi" w:hAnsiTheme="majorHAnsi" w:cstheme="majorHAnsi"/>
          <w:lang w:bidi="ar-SA"/>
        </w:rPr>
        <w:t>Accessed</w:t>
      </w:r>
      <w:r w:rsidRPr="008B24CB">
        <w:rPr>
          <w:rFonts w:asciiTheme="majorHAnsi" w:hAnsiTheme="majorHAnsi" w:cstheme="majorHAnsi"/>
          <w:lang w:bidi="ar-SA"/>
        </w:rPr>
        <w:t xml:space="preserve"> September</w:t>
      </w:r>
      <w:r w:rsidR="00483077">
        <w:rPr>
          <w:rFonts w:asciiTheme="majorHAnsi" w:hAnsiTheme="majorHAnsi" w:cstheme="majorHAnsi"/>
          <w:lang w:bidi="ar-SA"/>
        </w:rPr>
        <w:t xml:space="preserve"> </w:t>
      </w:r>
      <w:r w:rsidRPr="008B24CB">
        <w:rPr>
          <w:rFonts w:asciiTheme="majorHAnsi" w:hAnsiTheme="majorHAnsi" w:cstheme="majorHAnsi"/>
          <w:lang w:bidi="ar-SA"/>
        </w:rPr>
        <w:t>28, 2016.</w:t>
      </w:r>
      <w:r w:rsidR="00483077">
        <w:rPr>
          <w:rFonts w:asciiTheme="majorHAnsi" w:hAnsiTheme="majorHAnsi" w:cstheme="majorHAnsi"/>
          <w:lang w:bidi="ar-SA"/>
        </w:rPr>
        <w:tab/>
      </w:r>
      <w:r w:rsidRPr="007C4DDF">
        <w:rPr>
          <w:rFonts w:asciiTheme="majorHAnsi" w:hAnsiTheme="majorHAnsi" w:cstheme="majorHAnsi"/>
          <w:i/>
          <w:iCs/>
          <w:szCs w:val="24"/>
          <w:lang w:bidi="ar-SA"/>
        </w:rPr>
        <w:t>19th Century U.S. Newspapers</w:t>
      </w:r>
      <w:r w:rsidRPr="008B24CB">
        <w:rPr>
          <w:rFonts w:asciiTheme="majorHAnsi" w:hAnsiTheme="majorHAnsi" w:cstheme="majorHAnsi"/>
          <w:lang w:bidi="ar-SA"/>
        </w:rPr>
        <w:t xml:space="preserve">. </w:t>
      </w:r>
      <w:hyperlink r:id="rId85" w:history="1">
        <w:r w:rsidR="00483077" w:rsidRPr="00483077">
          <w:rPr>
            <w:rStyle w:val="Hyperlink"/>
            <w:rFonts w:asciiTheme="majorHAnsi" w:hAnsiTheme="majorHAnsi" w:cstheme="majorHAnsi"/>
            <w:color w:val="auto"/>
            <w:szCs w:val="24"/>
            <w:u w:val="none"/>
            <w:lang w:bidi="ar-SA"/>
          </w:rPr>
          <w:t>http://find.galegroup.com.</w:t>
        </w:r>
      </w:hyperlink>
    </w:p>
    <w:p w14:paraId="1F555E43" w14:textId="77777777" w:rsidR="00483077" w:rsidRDefault="00483077" w:rsidP="00186DCC">
      <w:pPr>
        <w:pStyle w:val="NoSpacing"/>
        <w:rPr>
          <w:rFonts w:ascii="Times New Roman" w:hAnsi="Times New Roman"/>
          <w:szCs w:val="24"/>
        </w:rPr>
      </w:pPr>
    </w:p>
    <w:p w14:paraId="799B0D46" w14:textId="171F1AD7" w:rsidR="008711D5" w:rsidRDefault="008711D5" w:rsidP="00186DCC">
      <w:pPr>
        <w:pStyle w:val="NoSpacing"/>
        <w:rPr>
          <w:rFonts w:ascii="Times New Roman" w:hAnsi="Times New Roman"/>
          <w:szCs w:val="24"/>
        </w:rPr>
      </w:pPr>
      <w:r w:rsidRPr="004817B9">
        <w:rPr>
          <w:rFonts w:ascii="Times New Roman" w:hAnsi="Times New Roman"/>
          <w:szCs w:val="24"/>
        </w:rPr>
        <w:t>Fifield, James Clark</w:t>
      </w:r>
      <w:r>
        <w:rPr>
          <w:rFonts w:ascii="Times New Roman" w:hAnsi="Times New Roman"/>
          <w:szCs w:val="24"/>
        </w:rPr>
        <w:t>,</w:t>
      </w:r>
      <w:r w:rsidRPr="004817B9">
        <w:rPr>
          <w:rFonts w:ascii="Times New Roman" w:hAnsi="Times New Roman"/>
          <w:szCs w:val="24"/>
        </w:rPr>
        <w:t xml:space="preserve"> ed. </w:t>
      </w:r>
      <w:r w:rsidRPr="008711D5">
        <w:rPr>
          <w:rFonts w:ascii="Times New Roman" w:hAnsi="Times New Roman"/>
          <w:i/>
          <w:szCs w:val="24"/>
        </w:rPr>
        <w:t>American Bar: A Biographical Directory of Contemporary</w:t>
      </w:r>
      <w:r>
        <w:rPr>
          <w:rFonts w:ascii="Times New Roman" w:hAnsi="Times New Roman"/>
          <w:i/>
          <w:szCs w:val="24"/>
        </w:rPr>
        <w:tab/>
      </w:r>
      <w:r w:rsidRPr="008711D5">
        <w:rPr>
          <w:rFonts w:ascii="Times New Roman" w:hAnsi="Times New Roman"/>
          <w:i/>
          <w:szCs w:val="24"/>
        </w:rPr>
        <w:t>Lawyers of the United I States and Canada</w:t>
      </w:r>
      <w:r>
        <w:rPr>
          <w:rFonts w:ascii="Times New Roman" w:hAnsi="Times New Roman"/>
          <w:szCs w:val="24"/>
        </w:rPr>
        <w:t xml:space="preserve">. </w:t>
      </w:r>
      <w:r w:rsidRPr="004817B9">
        <w:rPr>
          <w:rFonts w:ascii="Times New Roman" w:hAnsi="Times New Roman"/>
          <w:szCs w:val="24"/>
        </w:rPr>
        <w:t>Minneapolis and New York: The</w:t>
      </w:r>
      <w:r>
        <w:rPr>
          <w:rFonts w:ascii="Times New Roman" w:hAnsi="Times New Roman"/>
          <w:szCs w:val="24"/>
        </w:rPr>
        <w:tab/>
      </w:r>
      <w:r w:rsidRPr="004817B9">
        <w:rPr>
          <w:rFonts w:ascii="Times New Roman" w:hAnsi="Times New Roman"/>
          <w:szCs w:val="24"/>
        </w:rPr>
        <w:t xml:space="preserve">James </w:t>
      </w:r>
      <w:r>
        <w:rPr>
          <w:rFonts w:ascii="Times New Roman" w:hAnsi="Times New Roman"/>
          <w:szCs w:val="24"/>
        </w:rPr>
        <w:t>C. Fifield Company, 1922.</w:t>
      </w:r>
    </w:p>
    <w:p w14:paraId="7B90B0FC" w14:textId="1C467AA3" w:rsidR="008711D5" w:rsidRDefault="008711D5" w:rsidP="00186DCC">
      <w:pPr>
        <w:pStyle w:val="NoSpacing"/>
        <w:rPr>
          <w:rFonts w:ascii="Times New Roman" w:hAnsi="Times New Roman"/>
          <w:szCs w:val="24"/>
        </w:rPr>
      </w:pPr>
    </w:p>
    <w:p w14:paraId="0DAF84A7" w14:textId="77777777" w:rsidR="00C45B0A" w:rsidRDefault="00C45B0A" w:rsidP="00186DCC">
      <w:pPr>
        <w:pStyle w:val="NoSpacing"/>
        <w:rPr>
          <w:rFonts w:ascii="Times New Roman" w:hAnsi="Times New Roman"/>
          <w:szCs w:val="24"/>
        </w:rPr>
      </w:pPr>
      <w:r w:rsidRPr="00DA1E36">
        <w:rPr>
          <w:rFonts w:ascii="Times New Roman" w:hAnsi="Times New Roman"/>
          <w:szCs w:val="24"/>
        </w:rPr>
        <w:t xml:space="preserve">Foucault, Michel. </w:t>
      </w:r>
      <w:r w:rsidRPr="00DA1E36">
        <w:rPr>
          <w:rFonts w:ascii="Times New Roman" w:hAnsi="Times New Roman"/>
          <w:bCs/>
          <w:i/>
          <w:iCs/>
          <w:szCs w:val="24"/>
        </w:rPr>
        <w:t>Discipline and Punish: The Birth of the Prison</w:t>
      </w:r>
      <w:r w:rsidRPr="00DA1E36">
        <w:rPr>
          <w:rFonts w:ascii="Times New Roman" w:hAnsi="Times New Roman"/>
          <w:bCs/>
          <w:iCs/>
          <w:szCs w:val="24"/>
        </w:rPr>
        <w:t xml:space="preserve">. New York: </w:t>
      </w:r>
      <w:r w:rsidRPr="00DA1E36">
        <w:rPr>
          <w:rFonts w:ascii="Times New Roman" w:hAnsi="Times New Roman"/>
          <w:szCs w:val="24"/>
        </w:rPr>
        <w:t>Vintage</w:t>
      </w:r>
      <w:r>
        <w:rPr>
          <w:rFonts w:ascii="Times New Roman" w:hAnsi="Times New Roman"/>
          <w:szCs w:val="24"/>
        </w:rPr>
        <w:tab/>
      </w:r>
      <w:r w:rsidRPr="00DA1E36">
        <w:rPr>
          <w:rFonts w:ascii="Times New Roman" w:hAnsi="Times New Roman"/>
          <w:szCs w:val="24"/>
        </w:rPr>
        <w:t>Books, 1995.</w:t>
      </w:r>
    </w:p>
    <w:p w14:paraId="377E922B" w14:textId="77777777" w:rsidR="00C45B0A" w:rsidRDefault="00C45B0A" w:rsidP="00186DCC">
      <w:pPr>
        <w:pStyle w:val="NoSpacing"/>
        <w:rPr>
          <w:rFonts w:ascii="Times New Roman" w:hAnsi="Times New Roman"/>
          <w:szCs w:val="24"/>
        </w:rPr>
      </w:pPr>
    </w:p>
    <w:p w14:paraId="269D93D1" w14:textId="218647D6"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Forbes, David W. </w:t>
      </w:r>
      <w:r w:rsidRPr="00DA1E36">
        <w:rPr>
          <w:rFonts w:ascii="Times New Roman" w:hAnsi="Times New Roman"/>
          <w:i/>
          <w:szCs w:val="24"/>
        </w:rPr>
        <w:t>Encounters with Paradise: Views of Hawaii and its People, 1778</w:t>
      </w:r>
      <w:r w:rsidR="00BB159E">
        <w:rPr>
          <w:rFonts w:ascii="Times New Roman" w:hAnsi="Times New Roman"/>
          <w:i/>
          <w:szCs w:val="24"/>
        </w:rPr>
        <w:tab/>
      </w:r>
      <w:r w:rsidRPr="00DA1E36">
        <w:rPr>
          <w:rFonts w:ascii="Times New Roman" w:hAnsi="Times New Roman"/>
          <w:i/>
          <w:szCs w:val="24"/>
        </w:rPr>
        <w:t>-1941</w:t>
      </w:r>
      <w:r w:rsidRPr="00DA1E36">
        <w:rPr>
          <w:rFonts w:ascii="Times New Roman" w:hAnsi="Times New Roman"/>
          <w:szCs w:val="24"/>
        </w:rPr>
        <w:t>. Honolulu:</w:t>
      </w:r>
      <w:r w:rsidR="00BB159E">
        <w:rPr>
          <w:rFonts w:ascii="Times New Roman" w:hAnsi="Times New Roman"/>
          <w:szCs w:val="24"/>
        </w:rPr>
        <w:t xml:space="preserve"> </w:t>
      </w:r>
      <w:r w:rsidR="00181CE1">
        <w:rPr>
          <w:rFonts w:ascii="Times New Roman" w:hAnsi="Times New Roman"/>
          <w:szCs w:val="24"/>
        </w:rPr>
        <w:t>Honolulu Academy of Arts, 1992.</w:t>
      </w:r>
    </w:p>
    <w:p w14:paraId="063C7027" w14:textId="77777777" w:rsidR="00186DCC" w:rsidRPr="00DA1E36" w:rsidRDefault="00186DCC" w:rsidP="00186DCC">
      <w:pPr>
        <w:pStyle w:val="NoSpacing"/>
        <w:rPr>
          <w:rFonts w:ascii="Times New Roman" w:hAnsi="Times New Roman"/>
          <w:szCs w:val="24"/>
        </w:rPr>
      </w:pPr>
    </w:p>
    <w:p w14:paraId="57A7369F" w14:textId="1C4301F5"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Fried, Michael. </w:t>
      </w:r>
      <w:r w:rsidRPr="00DA1E36">
        <w:rPr>
          <w:rFonts w:ascii="Times New Roman" w:hAnsi="Times New Roman"/>
          <w:i/>
          <w:szCs w:val="24"/>
        </w:rPr>
        <w:t>Courbet’s Realism</w:t>
      </w:r>
      <w:r w:rsidRPr="00DA1E36">
        <w:rPr>
          <w:rFonts w:ascii="Times New Roman" w:hAnsi="Times New Roman"/>
          <w:szCs w:val="24"/>
        </w:rPr>
        <w:t>. Chicago and London: University of Chicago Press,</w:t>
      </w:r>
      <w:r w:rsidR="00BB159E">
        <w:rPr>
          <w:rFonts w:ascii="Times New Roman" w:hAnsi="Times New Roman"/>
          <w:szCs w:val="24"/>
        </w:rPr>
        <w:tab/>
      </w:r>
      <w:r w:rsidR="00181CE1">
        <w:rPr>
          <w:rFonts w:ascii="Times New Roman" w:hAnsi="Times New Roman"/>
          <w:szCs w:val="24"/>
        </w:rPr>
        <w:t>1990.</w:t>
      </w:r>
    </w:p>
    <w:p w14:paraId="44E76347" w14:textId="55B1AF0C" w:rsidR="00186DCC" w:rsidRDefault="00186DCC" w:rsidP="00186DCC">
      <w:pPr>
        <w:pStyle w:val="NoSpacing"/>
        <w:rPr>
          <w:rFonts w:ascii="Times New Roman" w:hAnsi="Times New Roman"/>
          <w:szCs w:val="24"/>
        </w:rPr>
      </w:pPr>
    </w:p>
    <w:p w14:paraId="1C954CC2" w14:textId="19F515D7" w:rsidR="00C45B0A" w:rsidRDefault="00C45B0A" w:rsidP="00186DCC">
      <w:pPr>
        <w:pStyle w:val="NoSpacing"/>
      </w:pPr>
      <w:r w:rsidRPr="00E7312B">
        <w:t xml:space="preserve">Frost, Richard. “The Romantic Inflation of Pueblo Culture.” </w:t>
      </w:r>
      <w:r w:rsidRPr="00E7312B">
        <w:rPr>
          <w:i/>
        </w:rPr>
        <w:t>American West</w:t>
      </w:r>
      <w:r w:rsidRPr="00E7312B">
        <w:t xml:space="preserve"> 17 (Jan.</w:t>
      </w:r>
      <w:r>
        <w:t>-</w:t>
      </w:r>
      <w:r>
        <w:tab/>
      </w:r>
      <w:r w:rsidRPr="00E7312B">
        <w:t>Feb</w:t>
      </w:r>
      <w:r w:rsidR="00187047">
        <w:t xml:space="preserve">ruary </w:t>
      </w:r>
      <w:r w:rsidRPr="00E7312B">
        <w:t>1980): 5-9;</w:t>
      </w:r>
      <w:r>
        <w:t xml:space="preserve"> </w:t>
      </w:r>
      <w:r w:rsidRPr="00E7312B">
        <w:t>56-60.</w:t>
      </w:r>
    </w:p>
    <w:p w14:paraId="732BFE94" w14:textId="77777777" w:rsidR="00C45B0A" w:rsidRPr="00DA1E36" w:rsidRDefault="00C45B0A" w:rsidP="00186DCC">
      <w:pPr>
        <w:pStyle w:val="NoSpacing"/>
        <w:rPr>
          <w:rFonts w:ascii="Times New Roman" w:hAnsi="Times New Roman"/>
          <w:szCs w:val="24"/>
        </w:rPr>
      </w:pPr>
    </w:p>
    <w:p w14:paraId="7BE305C1" w14:textId="0BE972E0"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Furneaux, Charles. </w:t>
      </w:r>
      <w:r w:rsidR="00483077">
        <w:rPr>
          <w:rFonts w:ascii="Times New Roman" w:hAnsi="Times New Roman"/>
          <w:bCs/>
          <w:i/>
          <w:szCs w:val="24"/>
        </w:rPr>
        <w:t>Narrative of the Lava F</w:t>
      </w:r>
      <w:r w:rsidRPr="00DA1E36">
        <w:rPr>
          <w:rFonts w:ascii="Times New Roman" w:hAnsi="Times New Roman"/>
          <w:bCs/>
          <w:i/>
          <w:szCs w:val="24"/>
        </w:rPr>
        <w:t>low of 1880-1</w:t>
      </w:r>
      <w:r w:rsidRPr="00DA1E36">
        <w:rPr>
          <w:rFonts w:ascii="Times New Roman" w:hAnsi="Times New Roman"/>
          <w:bCs/>
          <w:szCs w:val="24"/>
        </w:rPr>
        <w:t>. Manuscript, Hawaiian</w:t>
      </w:r>
      <w:r w:rsidR="00BB159E">
        <w:rPr>
          <w:rFonts w:ascii="Times New Roman" w:hAnsi="Times New Roman"/>
          <w:bCs/>
          <w:szCs w:val="24"/>
        </w:rPr>
        <w:tab/>
      </w:r>
      <w:r w:rsidRPr="00DA1E36">
        <w:rPr>
          <w:rFonts w:ascii="Times New Roman" w:hAnsi="Times New Roman"/>
          <w:bCs/>
          <w:szCs w:val="24"/>
        </w:rPr>
        <w:t>Historical Society</w:t>
      </w:r>
      <w:r w:rsidR="00BB159E">
        <w:rPr>
          <w:rFonts w:ascii="Times New Roman" w:hAnsi="Times New Roman"/>
          <w:bCs/>
          <w:szCs w:val="24"/>
        </w:rPr>
        <w:t xml:space="preserve"> </w:t>
      </w:r>
      <w:r w:rsidRPr="00DA1E36">
        <w:rPr>
          <w:rFonts w:ascii="Times New Roman" w:hAnsi="Times New Roman"/>
          <w:bCs/>
          <w:szCs w:val="24"/>
        </w:rPr>
        <w:t>Library, Honolulu, HI.</w:t>
      </w:r>
    </w:p>
    <w:p w14:paraId="4F60B5E6" w14:textId="77777777" w:rsidR="00186DCC" w:rsidRPr="00DA1E36" w:rsidRDefault="00186DCC" w:rsidP="00186DCC">
      <w:pPr>
        <w:pStyle w:val="NoSpacing"/>
        <w:rPr>
          <w:rFonts w:ascii="Times New Roman" w:hAnsi="Times New Roman"/>
          <w:szCs w:val="24"/>
        </w:rPr>
      </w:pPr>
    </w:p>
    <w:p w14:paraId="4C2F0AE7" w14:textId="0316A517" w:rsidR="00186DCC" w:rsidRPr="00BB159E" w:rsidRDefault="00BB159E" w:rsidP="00186DCC">
      <w:pPr>
        <w:pStyle w:val="NoSpacing"/>
        <w:rPr>
          <w:rFonts w:ascii="Times New Roman" w:hAnsi="Times New Roman"/>
          <w:szCs w:val="24"/>
          <w:shd w:val="clear" w:color="auto" w:fill="FFFFFF"/>
        </w:rPr>
      </w:pPr>
      <w:r>
        <w:rPr>
          <w:rFonts w:ascii="Times New Roman" w:hAnsi="Times New Roman"/>
          <w:szCs w:val="24"/>
        </w:rPr>
        <w:t>Garrison, Tim.</w:t>
      </w:r>
      <w:r w:rsidR="00186DCC" w:rsidRPr="00DA1E36">
        <w:rPr>
          <w:rFonts w:ascii="Times New Roman" w:hAnsi="Times New Roman"/>
          <w:szCs w:val="24"/>
        </w:rPr>
        <w:t xml:space="preserve"> “</w:t>
      </w:r>
      <w:r w:rsidR="00186DCC" w:rsidRPr="00DA1E36">
        <w:rPr>
          <w:rFonts w:ascii="Times New Roman" w:hAnsi="Times New Roman"/>
          <w:szCs w:val="24"/>
          <w:shd w:val="clear" w:color="auto" w:fill="FFFFFF"/>
        </w:rPr>
        <w:t>Pan-Nationalism as a Crisis Management Strategy: John Ross and the</w:t>
      </w:r>
      <w:r>
        <w:rPr>
          <w:rFonts w:ascii="Times New Roman" w:hAnsi="Times New Roman"/>
          <w:szCs w:val="24"/>
          <w:shd w:val="clear" w:color="auto" w:fill="FFFFFF"/>
        </w:rPr>
        <w:tab/>
        <w:t>Tahlequah Conference of 1843.” I</w:t>
      </w:r>
      <w:r w:rsidR="00186DCC" w:rsidRPr="00DA1E36">
        <w:rPr>
          <w:rFonts w:ascii="Times New Roman" w:hAnsi="Times New Roman"/>
          <w:szCs w:val="24"/>
          <w:shd w:val="clear" w:color="auto" w:fill="FFFFFF"/>
        </w:rPr>
        <w:t xml:space="preserve">n </w:t>
      </w:r>
      <w:r w:rsidR="00187047" w:rsidRPr="00DA1E36">
        <w:rPr>
          <w:rFonts w:ascii="Times New Roman" w:hAnsi="Times New Roman"/>
          <w:szCs w:val="24"/>
          <w:shd w:val="clear" w:color="auto" w:fill="FFFFFF"/>
        </w:rPr>
        <w:t>Lisa Ford, Tim Rowse,</w:t>
      </w:r>
      <w:r w:rsidR="00187047">
        <w:rPr>
          <w:rFonts w:ascii="Times New Roman" w:hAnsi="Times New Roman"/>
          <w:szCs w:val="24"/>
          <w:shd w:val="clear" w:color="auto" w:fill="FFFFFF"/>
        </w:rPr>
        <w:t xml:space="preserve"> and</w:t>
      </w:r>
      <w:r w:rsidR="00187047" w:rsidRPr="00DA1E36">
        <w:rPr>
          <w:rFonts w:ascii="Times New Roman" w:hAnsi="Times New Roman"/>
          <w:szCs w:val="24"/>
          <w:shd w:val="clear" w:color="auto" w:fill="FFFFFF"/>
        </w:rPr>
        <w:t xml:space="preserve"> Anna Yeatman</w:t>
      </w:r>
      <w:r w:rsidR="00187047">
        <w:rPr>
          <w:rFonts w:ascii="Times New Roman" w:hAnsi="Times New Roman"/>
          <w:szCs w:val="24"/>
          <w:shd w:val="clear" w:color="auto" w:fill="FFFFFF"/>
        </w:rPr>
        <w:t>,</w:t>
      </w:r>
      <w:r w:rsidR="00187047">
        <w:rPr>
          <w:rFonts w:ascii="Times New Roman" w:hAnsi="Times New Roman"/>
          <w:szCs w:val="24"/>
          <w:shd w:val="clear" w:color="auto" w:fill="FFFFFF"/>
        </w:rPr>
        <w:tab/>
        <w:t>eds.</w:t>
      </w:r>
      <w:r w:rsidR="00187047" w:rsidRPr="00DA1E36">
        <w:rPr>
          <w:rFonts w:ascii="Times New Roman" w:hAnsi="Times New Roman"/>
          <w:i/>
          <w:szCs w:val="24"/>
          <w:shd w:val="clear" w:color="auto" w:fill="FFFFFF"/>
        </w:rPr>
        <w:t xml:space="preserve"> </w:t>
      </w:r>
      <w:r w:rsidRPr="00DA1E36">
        <w:rPr>
          <w:rFonts w:ascii="Times New Roman" w:hAnsi="Times New Roman"/>
          <w:i/>
          <w:szCs w:val="24"/>
          <w:shd w:val="clear" w:color="auto" w:fill="FFFFFF"/>
        </w:rPr>
        <w:t xml:space="preserve">Between </w:t>
      </w:r>
      <w:r>
        <w:rPr>
          <w:rFonts w:ascii="Times New Roman" w:hAnsi="Times New Roman"/>
          <w:i/>
          <w:szCs w:val="24"/>
        </w:rPr>
        <w:t xml:space="preserve">Indigenous and </w:t>
      </w:r>
      <w:r w:rsidRPr="00DA1E36">
        <w:rPr>
          <w:rFonts w:ascii="Times New Roman" w:hAnsi="Times New Roman"/>
          <w:i/>
          <w:szCs w:val="24"/>
        </w:rPr>
        <w:t>Settler</w:t>
      </w:r>
      <w:r w:rsidR="00187047">
        <w:rPr>
          <w:rFonts w:ascii="Times New Roman" w:hAnsi="Times New Roman"/>
          <w:i/>
          <w:szCs w:val="24"/>
        </w:rPr>
        <w:t xml:space="preserve"> </w:t>
      </w:r>
      <w:r w:rsidRPr="00DA1E36">
        <w:rPr>
          <w:rFonts w:ascii="Times New Roman" w:hAnsi="Times New Roman"/>
          <w:i/>
          <w:szCs w:val="24"/>
        </w:rPr>
        <w:t>Governance</w:t>
      </w:r>
      <w:r w:rsidR="00187047">
        <w:rPr>
          <w:rFonts w:ascii="Times New Roman" w:hAnsi="Times New Roman"/>
          <w:szCs w:val="24"/>
        </w:rPr>
        <w:t>,</w:t>
      </w:r>
      <w:r>
        <w:rPr>
          <w:rFonts w:ascii="Times New Roman" w:hAnsi="Times New Roman"/>
          <w:szCs w:val="24"/>
          <w:shd w:val="clear" w:color="auto" w:fill="FFFFFF"/>
        </w:rPr>
        <w:t xml:space="preserve"> </w:t>
      </w:r>
      <w:r w:rsidRPr="00DA1E36">
        <w:rPr>
          <w:rFonts w:ascii="Times New Roman" w:hAnsi="Times New Roman"/>
          <w:szCs w:val="24"/>
        </w:rPr>
        <w:t>48-59.</w:t>
      </w:r>
      <w:r w:rsidR="00187047">
        <w:rPr>
          <w:rFonts w:ascii="Times New Roman" w:hAnsi="Times New Roman"/>
          <w:szCs w:val="24"/>
        </w:rPr>
        <w:t xml:space="preserve"> </w:t>
      </w:r>
      <w:r w:rsidR="00186DCC" w:rsidRPr="00DA1E36">
        <w:rPr>
          <w:rFonts w:ascii="Times New Roman" w:hAnsi="Times New Roman"/>
          <w:szCs w:val="24"/>
        </w:rPr>
        <w:t>London</w:t>
      </w:r>
      <w:r>
        <w:rPr>
          <w:rFonts w:ascii="Times New Roman" w:hAnsi="Times New Roman"/>
          <w:szCs w:val="24"/>
        </w:rPr>
        <w:t>:</w:t>
      </w:r>
      <w:r w:rsidR="00186DCC" w:rsidRPr="00DA1E36">
        <w:rPr>
          <w:rFonts w:ascii="Times New Roman" w:hAnsi="Times New Roman"/>
          <w:szCs w:val="24"/>
        </w:rPr>
        <w:t xml:space="preserve"> Routlege,</w:t>
      </w:r>
      <w:r w:rsidR="00187047">
        <w:rPr>
          <w:rFonts w:ascii="Times New Roman" w:hAnsi="Times New Roman"/>
          <w:szCs w:val="24"/>
        </w:rPr>
        <w:tab/>
      </w:r>
      <w:r w:rsidR="00186DCC" w:rsidRPr="00DA1E36">
        <w:rPr>
          <w:rFonts w:ascii="Times New Roman" w:hAnsi="Times New Roman"/>
          <w:szCs w:val="24"/>
        </w:rPr>
        <w:t>2012</w:t>
      </w:r>
      <w:r>
        <w:rPr>
          <w:rFonts w:ascii="Times New Roman" w:hAnsi="Times New Roman"/>
          <w:szCs w:val="24"/>
        </w:rPr>
        <w:t>.</w:t>
      </w:r>
    </w:p>
    <w:p w14:paraId="43C20B4C" w14:textId="68C11483" w:rsidR="00186DCC" w:rsidRDefault="00186DCC" w:rsidP="00186DCC">
      <w:pPr>
        <w:pStyle w:val="NoSpacing"/>
        <w:rPr>
          <w:rFonts w:ascii="Times New Roman" w:hAnsi="Times New Roman"/>
          <w:szCs w:val="24"/>
        </w:rPr>
      </w:pPr>
    </w:p>
    <w:p w14:paraId="523CC8B8" w14:textId="070D3601" w:rsidR="009C0CC6" w:rsidRDefault="009C0CC6" w:rsidP="00483077">
      <w:pPr>
        <w:shd w:val="clear" w:color="auto" w:fill="FFFFFF"/>
        <w:spacing w:line="240" w:lineRule="auto"/>
        <w:rPr>
          <w:rFonts w:asciiTheme="majorHAnsi" w:hAnsiTheme="majorHAnsi" w:cstheme="majorHAnsi"/>
          <w:lang w:bidi="ar-SA"/>
        </w:rPr>
      </w:pPr>
      <w:r w:rsidRPr="00A61D9E">
        <w:rPr>
          <w:rFonts w:asciiTheme="majorHAnsi" w:hAnsiTheme="majorHAnsi" w:cstheme="majorHAnsi"/>
          <w:lang w:bidi="ar-SA"/>
        </w:rPr>
        <w:t>Gilliland, T. S. "Oklahoma Land Question</w:t>
      </w:r>
      <w:r w:rsidRPr="008D7929">
        <w:rPr>
          <w:rFonts w:asciiTheme="majorHAnsi" w:hAnsiTheme="majorHAnsi" w:cstheme="majorHAnsi"/>
          <w:lang w:bidi="ar-SA"/>
        </w:rPr>
        <w:t>." </w:t>
      </w:r>
      <w:r w:rsidRPr="008D7929">
        <w:rPr>
          <w:rFonts w:asciiTheme="majorHAnsi" w:hAnsiTheme="majorHAnsi" w:cstheme="majorHAnsi"/>
          <w:i/>
          <w:iCs/>
          <w:lang w:bidi="ar-SA"/>
        </w:rPr>
        <w:t>Cherokee Advocate</w:t>
      </w:r>
      <w:r w:rsidRPr="008D7929">
        <w:rPr>
          <w:rFonts w:asciiTheme="majorHAnsi" w:hAnsiTheme="majorHAnsi" w:cstheme="majorHAnsi"/>
          <w:lang w:bidi="ar-SA"/>
        </w:rPr>
        <w:t>, February 20, 1885:</w:t>
      </w:r>
      <w:r w:rsidR="007C4DDF" w:rsidRPr="008D7929">
        <w:rPr>
          <w:rFonts w:asciiTheme="majorHAnsi" w:hAnsiTheme="majorHAnsi" w:cstheme="majorHAnsi"/>
          <w:lang w:bidi="ar-SA"/>
        </w:rPr>
        <w:tab/>
      </w:r>
      <w:r w:rsidR="00803CC1">
        <w:rPr>
          <w:rFonts w:asciiTheme="majorHAnsi" w:hAnsiTheme="majorHAnsi" w:cstheme="majorHAnsi"/>
          <w:lang w:bidi="ar-SA"/>
        </w:rPr>
        <w:t xml:space="preserve">n.p. </w:t>
      </w:r>
      <w:r w:rsidRPr="008D7929">
        <w:rPr>
          <w:rFonts w:asciiTheme="majorHAnsi" w:hAnsiTheme="majorHAnsi" w:cstheme="majorHAnsi"/>
          <w:i/>
          <w:iCs/>
          <w:lang w:bidi="ar-SA"/>
        </w:rPr>
        <w:t>19th Century U.S. Newspapers</w:t>
      </w:r>
      <w:r w:rsidRPr="008D7929">
        <w:rPr>
          <w:rFonts w:asciiTheme="majorHAnsi" w:hAnsiTheme="majorHAnsi" w:cstheme="majorHAnsi"/>
          <w:lang w:bidi="ar-SA"/>
        </w:rPr>
        <w:t>. Accessed September 28, 2016.</w:t>
      </w:r>
    </w:p>
    <w:p w14:paraId="3EE783B2" w14:textId="77777777" w:rsidR="00AD7D67" w:rsidRDefault="00AD7D67" w:rsidP="00483077">
      <w:pPr>
        <w:shd w:val="clear" w:color="auto" w:fill="FFFFFF"/>
        <w:spacing w:line="240" w:lineRule="auto"/>
        <w:rPr>
          <w:rFonts w:ascii="Times New Roman" w:hAnsi="Times New Roman"/>
        </w:rPr>
      </w:pPr>
    </w:p>
    <w:p w14:paraId="0638321D" w14:textId="7AE70A5F" w:rsidR="00186DCC" w:rsidRPr="003D6433" w:rsidRDefault="00186DCC" w:rsidP="00186DCC">
      <w:pPr>
        <w:pStyle w:val="NoSpacing"/>
        <w:rPr>
          <w:rFonts w:asciiTheme="majorHAnsi" w:hAnsiTheme="majorHAnsi" w:cstheme="majorHAnsi"/>
          <w:szCs w:val="24"/>
        </w:rPr>
      </w:pPr>
      <w:r w:rsidRPr="00DA1E36">
        <w:rPr>
          <w:rFonts w:ascii="Times New Roman" w:hAnsi="Times New Roman"/>
          <w:szCs w:val="24"/>
        </w:rPr>
        <w:t>Glischinski, Steve</w:t>
      </w:r>
      <w:r w:rsidRPr="003D6433">
        <w:rPr>
          <w:rFonts w:asciiTheme="majorHAnsi" w:hAnsiTheme="majorHAnsi" w:cstheme="majorHAnsi"/>
          <w:szCs w:val="24"/>
        </w:rPr>
        <w:t xml:space="preserve">. </w:t>
      </w:r>
      <w:r w:rsidRPr="003D6433">
        <w:rPr>
          <w:rFonts w:asciiTheme="majorHAnsi" w:hAnsiTheme="majorHAnsi" w:cstheme="majorHAnsi"/>
          <w:i/>
          <w:szCs w:val="24"/>
        </w:rPr>
        <w:t>Santa Fe Railroad</w:t>
      </w:r>
      <w:r w:rsidRPr="003D6433">
        <w:rPr>
          <w:rFonts w:asciiTheme="majorHAnsi" w:hAnsiTheme="majorHAnsi" w:cstheme="majorHAnsi"/>
          <w:szCs w:val="24"/>
        </w:rPr>
        <w:t>. Osceola, WI: M</w:t>
      </w:r>
      <w:r w:rsidR="00181CE1" w:rsidRPr="003D6433">
        <w:rPr>
          <w:rFonts w:asciiTheme="majorHAnsi" w:hAnsiTheme="majorHAnsi" w:cstheme="majorHAnsi"/>
          <w:szCs w:val="24"/>
        </w:rPr>
        <w:t>otor Books International, 1997.</w:t>
      </w:r>
    </w:p>
    <w:p w14:paraId="46834F28" w14:textId="77777777" w:rsidR="00C45B0A" w:rsidRDefault="00C45B0A" w:rsidP="00A464EF">
      <w:pPr>
        <w:pStyle w:val="NoSpacing"/>
        <w:rPr>
          <w:rFonts w:asciiTheme="majorHAnsi" w:hAnsiTheme="majorHAnsi" w:cstheme="majorHAnsi"/>
        </w:rPr>
      </w:pPr>
    </w:p>
    <w:p w14:paraId="6A422CCA" w14:textId="5F74ABD9" w:rsidR="00A464EF" w:rsidRPr="003D6433" w:rsidRDefault="00A464EF" w:rsidP="00A464EF">
      <w:pPr>
        <w:pStyle w:val="NoSpacing"/>
        <w:rPr>
          <w:rFonts w:asciiTheme="majorHAnsi" w:hAnsiTheme="majorHAnsi" w:cstheme="majorHAnsi"/>
          <w:szCs w:val="24"/>
        </w:rPr>
      </w:pPr>
      <w:r w:rsidRPr="003D6433">
        <w:rPr>
          <w:rFonts w:asciiTheme="majorHAnsi" w:hAnsiTheme="majorHAnsi" w:cstheme="majorHAnsi"/>
        </w:rPr>
        <w:t xml:space="preserve">Goetzmann, William H. and William N. </w:t>
      </w:r>
      <w:r w:rsidRPr="003D6433">
        <w:rPr>
          <w:rFonts w:asciiTheme="majorHAnsi" w:hAnsiTheme="majorHAnsi" w:cstheme="majorHAnsi"/>
          <w:i/>
        </w:rPr>
        <w:t>The</w:t>
      </w:r>
      <w:r w:rsidRPr="003D6433">
        <w:rPr>
          <w:rFonts w:asciiTheme="majorHAnsi" w:hAnsiTheme="majorHAnsi" w:cstheme="majorHAnsi"/>
        </w:rPr>
        <w:t xml:space="preserve"> </w:t>
      </w:r>
      <w:r w:rsidRPr="003D6433">
        <w:rPr>
          <w:rFonts w:asciiTheme="majorHAnsi" w:hAnsiTheme="majorHAnsi" w:cstheme="majorHAnsi"/>
          <w:i/>
          <w:iCs/>
        </w:rPr>
        <w:t>West of the Imagination</w:t>
      </w:r>
      <w:r w:rsidRPr="003D6433">
        <w:rPr>
          <w:rFonts w:asciiTheme="majorHAnsi" w:hAnsiTheme="majorHAnsi" w:cstheme="majorHAnsi"/>
          <w:iCs/>
        </w:rPr>
        <w:t>.</w:t>
      </w:r>
      <w:r w:rsidRPr="003D6433">
        <w:rPr>
          <w:rFonts w:asciiTheme="majorHAnsi" w:hAnsiTheme="majorHAnsi" w:cstheme="majorHAnsi"/>
          <w:i/>
          <w:iCs/>
        </w:rPr>
        <w:t xml:space="preserve"> </w:t>
      </w:r>
      <w:r w:rsidRPr="003D6433">
        <w:rPr>
          <w:rFonts w:asciiTheme="majorHAnsi" w:hAnsiTheme="majorHAnsi" w:cstheme="majorHAnsi"/>
          <w:iCs/>
        </w:rPr>
        <w:t>2</w:t>
      </w:r>
      <w:r w:rsidRPr="003D6433">
        <w:rPr>
          <w:rFonts w:asciiTheme="majorHAnsi" w:hAnsiTheme="majorHAnsi" w:cstheme="majorHAnsi"/>
          <w:iCs/>
          <w:vertAlign w:val="superscript"/>
        </w:rPr>
        <w:t>nd</w:t>
      </w:r>
      <w:r w:rsidR="00ED1D6C">
        <w:rPr>
          <w:rFonts w:asciiTheme="majorHAnsi" w:hAnsiTheme="majorHAnsi" w:cstheme="majorHAnsi"/>
          <w:iCs/>
        </w:rPr>
        <w:t xml:space="preserve"> Ed</w:t>
      </w:r>
      <w:r w:rsidRPr="003D6433">
        <w:rPr>
          <w:rFonts w:asciiTheme="majorHAnsi" w:hAnsiTheme="majorHAnsi" w:cstheme="majorHAnsi"/>
          <w:iCs/>
        </w:rPr>
        <w:t>.</w:t>
      </w:r>
      <w:r w:rsidR="00803CC1">
        <w:rPr>
          <w:rFonts w:asciiTheme="majorHAnsi" w:hAnsiTheme="majorHAnsi" w:cstheme="majorHAnsi"/>
          <w:iCs/>
        </w:rPr>
        <w:t xml:space="preserve"> </w:t>
      </w:r>
      <w:r w:rsidRPr="003D6433">
        <w:rPr>
          <w:rFonts w:asciiTheme="majorHAnsi" w:hAnsiTheme="majorHAnsi" w:cstheme="majorHAnsi"/>
        </w:rPr>
        <w:t>Norman:</w:t>
      </w:r>
      <w:r w:rsidR="00803CC1">
        <w:rPr>
          <w:rFonts w:asciiTheme="majorHAnsi" w:hAnsiTheme="majorHAnsi" w:cstheme="majorHAnsi"/>
        </w:rPr>
        <w:tab/>
      </w:r>
      <w:r w:rsidRPr="003D6433">
        <w:rPr>
          <w:rFonts w:asciiTheme="majorHAnsi" w:hAnsiTheme="majorHAnsi" w:cstheme="majorHAnsi"/>
        </w:rPr>
        <w:t>University of Oklahoma Press, 2009.</w:t>
      </w:r>
    </w:p>
    <w:p w14:paraId="431A1F2E" w14:textId="77777777" w:rsidR="00A464EF" w:rsidRPr="003D6433" w:rsidRDefault="00A464EF" w:rsidP="00186DCC">
      <w:pPr>
        <w:pStyle w:val="NoSpacing"/>
        <w:rPr>
          <w:rFonts w:asciiTheme="majorHAnsi" w:hAnsiTheme="majorHAnsi" w:cstheme="majorHAnsi"/>
          <w:szCs w:val="24"/>
        </w:rPr>
      </w:pPr>
    </w:p>
    <w:p w14:paraId="2374D542" w14:textId="2B979868" w:rsidR="00186DCC" w:rsidRPr="00DA1E36" w:rsidRDefault="00186DCC" w:rsidP="00186DCC">
      <w:pPr>
        <w:pStyle w:val="NoSpacing"/>
        <w:rPr>
          <w:rFonts w:ascii="Times New Roman" w:hAnsi="Times New Roman"/>
          <w:szCs w:val="24"/>
        </w:rPr>
      </w:pPr>
      <w:r w:rsidRPr="003D6433">
        <w:rPr>
          <w:rFonts w:asciiTheme="majorHAnsi" w:hAnsiTheme="majorHAnsi" w:cstheme="majorHAnsi"/>
          <w:szCs w:val="24"/>
        </w:rPr>
        <w:t xml:space="preserve">Graburn, Nelson </w:t>
      </w:r>
      <w:r w:rsidRPr="00DA1E36">
        <w:rPr>
          <w:rFonts w:ascii="Times New Roman" w:hAnsi="Times New Roman"/>
          <w:szCs w:val="24"/>
        </w:rPr>
        <w:t xml:space="preserve">H. H., ed. </w:t>
      </w:r>
      <w:r w:rsidRPr="00DA1E36">
        <w:rPr>
          <w:rFonts w:ascii="Times New Roman" w:hAnsi="Times New Roman"/>
          <w:i/>
          <w:szCs w:val="24"/>
        </w:rPr>
        <w:t>Ethnic and Tourist Arts: Cultural Expressions for the</w:t>
      </w:r>
      <w:r w:rsidR="00BB159E">
        <w:rPr>
          <w:rFonts w:ascii="Times New Roman" w:hAnsi="Times New Roman"/>
          <w:i/>
          <w:szCs w:val="24"/>
        </w:rPr>
        <w:tab/>
      </w:r>
      <w:r w:rsidRPr="00DA1E36">
        <w:rPr>
          <w:rFonts w:ascii="Times New Roman" w:hAnsi="Times New Roman"/>
          <w:i/>
          <w:szCs w:val="24"/>
        </w:rPr>
        <w:t>Fourth World</w:t>
      </w:r>
      <w:r w:rsidR="00BB159E">
        <w:rPr>
          <w:rFonts w:ascii="Times New Roman" w:hAnsi="Times New Roman"/>
          <w:szCs w:val="24"/>
        </w:rPr>
        <w:t xml:space="preserve">. </w:t>
      </w:r>
      <w:r w:rsidRPr="00DA1E36">
        <w:rPr>
          <w:rFonts w:ascii="Times New Roman" w:hAnsi="Times New Roman"/>
          <w:szCs w:val="24"/>
        </w:rPr>
        <w:t>Berkeley: University of California Press, 1979.</w:t>
      </w:r>
    </w:p>
    <w:p w14:paraId="542605DD" w14:textId="77777777" w:rsidR="00186DCC" w:rsidRPr="00DA1E36" w:rsidRDefault="00186DCC" w:rsidP="00186DCC">
      <w:pPr>
        <w:pStyle w:val="NoSpacing"/>
        <w:rPr>
          <w:rFonts w:ascii="Times New Roman" w:hAnsi="Times New Roman"/>
          <w:szCs w:val="24"/>
        </w:rPr>
      </w:pPr>
    </w:p>
    <w:p w14:paraId="51BBD4AA" w14:textId="014320BA"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Gramsci, Antonio. </w:t>
      </w:r>
      <w:r w:rsidRPr="00DA1E36">
        <w:rPr>
          <w:rFonts w:ascii="Times New Roman" w:hAnsi="Times New Roman"/>
          <w:i/>
          <w:szCs w:val="24"/>
        </w:rPr>
        <w:t>Selections from the Prison Notebooks of Antonio Gramsci</w:t>
      </w:r>
      <w:r w:rsidRPr="00DA1E36">
        <w:rPr>
          <w:rFonts w:ascii="Times New Roman" w:hAnsi="Times New Roman"/>
          <w:szCs w:val="24"/>
        </w:rPr>
        <w:t xml:space="preserve">. </w:t>
      </w:r>
      <w:r w:rsidR="00187047" w:rsidRPr="00DA1E36">
        <w:rPr>
          <w:rFonts w:ascii="Times New Roman" w:hAnsi="Times New Roman"/>
          <w:szCs w:val="24"/>
        </w:rPr>
        <w:t>Edited</w:t>
      </w:r>
      <w:r w:rsidR="00187047">
        <w:rPr>
          <w:rFonts w:ascii="Times New Roman" w:hAnsi="Times New Roman"/>
          <w:szCs w:val="24"/>
        </w:rPr>
        <w:tab/>
      </w:r>
      <w:r w:rsidR="00187047" w:rsidRPr="00DA1E36">
        <w:rPr>
          <w:rFonts w:ascii="Times New Roman" w:hAnsi="Times New Roman"/>
          <w:szCs w:val="24"/>
        </w:rPr>
        <w:t>and translated by</w:t>
      </w:r>
      <w:r w:rsidR="00187047">
        <w:rPr>
          <w:rFonts w:ascii="Times New Roman" w:hAnsi="Times New Roman"/>
          <w:szCs w:val="24"/>
        </w:rPr>
        <w:t xml:space="preserve"> </w:t>
      </w:r>
      <w:r w:rsidR="00187047" w:rsidRPr="00DA1E36">
        <w:rPr>
          <w:rFonts w:ascii="Times New Roman" w:hAnsi="Times New Roman"/>
          <w:szCs w:val="24"/>
        </w:rPr>
        <w:t>Quinton Hoare</w:t>
      </w:r>
      <w:r w:rsidR="00187047">
        <w:rPr>
          <w:rFonts w:ascii="Times New Roman" w:hAnsi="Times New Roman"/>
          <w:szCs w:val="24"/>
        </w:rPr>
        <w:t xml:space="preserve"> </w:t>
      </w:r>
      <w:r w:rsidR="00187047" w:rsidRPr="00DA1E36">
        <w:rPr>
          <w:rFonts w:ascii="Times New Roman" w:hAnsi="Times New Roman"/>
          <w:szCs w:val="24"/>
        </w:rPr>
        <w:t>and Geoffrey Nowell Smith.</w:t>
      </w:r>
      <w:r w:rsidR="00187047">
        <w:rPr>
          <w:rFonts w:ascii="Times New Roman" w:hAnsi="Times New Roman"/>
          <w:szCs w:val="24"/>
        </w:rPr>
        <w:t xml:space="preserve"> </w:t>
      </w:r>
      <w:r w:rsidRPr="00DA1E36">
        <w:rPr>
          <w:rFonts w:ascii="Times New Roman" w:hAnsi="Times New Roman"/>
          <w:szCs w:val="24"/>
        </w:rPr>
        <w:t>New</w:t>
      </w:r>
      <w:r w:rsidR="00ED1D6C">
        <w:rPr>
          <w:rFonts w:ascii="Times New Roman" w:hAnsi="Times New Roman"/>
          <w:szCs w:val="24"/>
        </w:rPr>
        <w:tab/>
      </w:r>
      <w:r w:rsidRPr="00DA1E36">
        <w:rPr>
          <w:rFonts w:ascii="Times New Roman" w:hAnsi="Times New Roman"/>
          <w:szCs w:val="24"/>
        </w:rPr>
        <w:t>York:</w:t>
      </w:r>
      <w:r w:rsidR="00187047">
        <w:rPr>
          <w:rFonts w:ascii="Times New Roman" w:hAnsi="Times New Roman"/>
          <w:szCs w:val="24"/>
        </w:rPr>
        <w:tab/>
      </w:r>
      <w:r w:rsidRPr="00DA1E36">
        <w:rPr>
          <w:rFonts w:ascii="Times New Roman" w:hAnsi="Times New Roman"/>
          <w:szCs w:val="24"/>
        </w:rPr>
        <w:t>International Publishers, 1971.</w:t>
      </w:r>
    </w:p>
    <w:p w14:paraId="2DDA4E62" w14:textId="77777777" w:rsidR="00186DCC" w:rsidRPr="00DA1E36" w:rsidRDefault="00186DCC" w:rsidP="00186DCC">
      <w:pPr>
        <w:pStyle w:val="NoSpacing"/>
        <w:rPr>
          <w:rFonts w:ascii="Times New Roman" w:hAnsi="Times New Roman"/>
          <w:szCs w:val="24"/>
        </w:rPr>
      </w:pPr>
    </w:p>
    <w:p w14:paraId="2AFDCA2A" w14:textId="77777777" w:rsidR="00186DCC" w:rsidRPr="00DA1E36" w:rsidRDefault="00186DCC" w:rsidP="00186DCC">
      <w:pPr>
        <w:pStyle w:val="NoSpacing"/>
        <w:rPr>
          <w:rFonts w:ascii="Times New Roman" w:hAnsi="Times New Roman"/>
          <w:szCs w:val="24"/>
        </w:rPr>
      </w:pPr>
      <w:r w:rsidRPr="00DA1E36">
        <w:rPr>
          <w:rFonts w:ascii="Times New Roman" w:hAnsi="Times New Roman"/>
          <w:szCs w:val="24"/>
        </w:rPr>
        <w:t>Greeson, Jennifer Rae. “Expropriating ‘The Great South’ and Exporting ‘Local Color’:</w:t>
      </w:r>
      <w:r w:rsidR="00BB159E">
        <w:rPr>
          <w:rFonts w:ascii="Times New Roman" w:hAnsi="Times New Roman"/>
          <w:szCs w:val="24"/>
        </w:rPr>
        <w:tab/>
      </w:r>
      <w:r w:rsidRPr="00DA1E36">
        <w:rPr>
          <w:rFonts w:ascii="Times New Roman" w:hAnsi="Times New Roman"/>
          <w:szCs w:val="24"/>
        </w:rPr>
        <w:t>Global and</w:t>
      </w:r>
      <w:r w:rsidR="00BB159E">
        <w:rPr>
          <w:rFonts w:ascii="Times New Roman" w:hAnsi="Times New Roman"/>
          <w:szCs w:val="24"/>
        </w:rPr>
        <w:t xml:space="preserve"> </w:t>
      </w:r>
      <w:r w:rsidRPr="00DA1E36">
        <w:rPr>
          <w:rFonts w:ascii="Times New Roman" w:hAnsi="Times New Roman"/>
          <w:szCs w:val="24"/>
        </w:rPr>
        <w:t>Hemispheric Imaginaries of the First Reconstruction.”</w:t>
      </w:r>
      <w:r w:rsidRPr="00DA1E36">
        <w:rPr>
          <w:rFonts w:ascii="Times New Roman" w:hAnsi="Times New Roman"/>
          <w:i/>
          <w:iCs/>
          <w:szCs w:val="24"/>
        </w:rPr>
        <w:t xml:space="preserve"> </w:t>
      </w:r>
      <w:r w:rsidRPr="00DA1E36">
        <w:rPr>
          <w:rStyle w:val="medium-font"/>
          <w:rFonts w:ascii="Times New Roman" w:hAnsi="Times New Roman"/>
          <w:i/>
          <w:szCs w:val="24"/>
        </w:rPr>
        <w:t>American</w:t>
      </w:r>
      <w:r w:rsidR="00BB159E">
        <w:rPr>
          <w:rStyle w:val="medium-font"/>
          <w:rFonts w:ascii="Times New Roman" w:hAnsi="Times New Roman"/>
          <w:i/>
          <w:szCs w:val="24"/>
        </w:rPr>
        <w:tab/>
      </w:r>
      <w:r w:rsidRPr="00DA1E36">
        <w:rPr>
          <w:rStyle w:val="medium-font"/>
          <w:rFonts w:ascii="Times New Roman" w:hAnsi="Times New Roman"/>
          <w:i/>
          <w:szCs w:val="24"/>
        </w:rPr>
        <w:t>Literary History</w:t>
      </w:r>
      <w:r w:rsidR="00BB159E">
        <w:rPr>
          <w:rStyle w:val="medium-font"/>
          <w:rFonts w:ascii="Times New Roman" w:hAnsi="Times New Roman"/>
          <w:szCs w:val="24"/>
        </w:rPr>
        <w:t xml:space="preserve"> 18, no. </w:t>
      </w:r>
      <w:r w:rsidRPr="00DA1E36">
        <w:rPr>
          <w:rStyle w:val="medium-font"/>
          <w:rFonts w:ascii="Times New Roman" w:hAnsi="Times New Roman"/>
          <w:szCs w:val="24"/>
        </w:rPr>
        <w:t>3 (Fall</w:t>
      </w:r>
      <w:r w:rsidR="00BB159E">
        <w:rPr>
          <w:rStyle w:val="medium-font"/>
          <w:rFonts w:ascii="Times New Roman" w:hAnsi="Times New Roman"/>
          <w:szCs w:val="24"/>
        </w:rPr>
        <w:t xml:space="preserve"> </w:t>
      </w:r>
      <w:r w:rsidRPr="00DA1E36">
        <w:rPr>
          <w:rStyle w:val="medium-font"/>
          <w:rFonts w:ascii="Times New Roman" w:hAnsi="Times New Roman"/>
          <w:szCs w:val="24"/>
        </w:rPr>
        <w:t>2006): 496-520.</w:t>
      </w:r>
    </w:p>
    <w:p w14:paraId="65416873" w14:textId="77777777" w:rsidR="00186DCC" w:rsidRPr="00DA1E36" w:rsidRDefault="00186DCC" w:rsidP="00186DCC">
      <w:pPr>
        <w:pStyle w:val="NoSpacing"/>
        <w:rPr>
          <w:rFonts w:ascii="Times New Roman" w:hAnsi="Times New Roman"/>
          <w:szCs w:val="24"/>
        </w:rPr>
      </w:pPr>
    </w:p>
    <w:p w14:paraId="1950F0A7" w14:textId="35D8B661" w:rsidR="00186DCC" w:rsidRPr="00DA1E36" w:rsidRDefault="00ED1D6C" w:rsidP="00186DCC">
      <w:pPr>
        <w:pStyle w:val="NoSpacing"/>
        <w:rPr>
          <w:rFonts w:ascii="Times New Roman" w:hAnsi="Times New Roman"/>
          <w:szCs w:val="24"/>
        </w:rPr>
      </w:pPr>
      <w:r>
        <w:rPr>
          <w:rFonts w:ascii="Times New Roman" w:hAnsi="Times New Roman"/>
          <w:szCs w:val="24"/>
        </w:rPr>
        <w:t>_____</w:t>
      </w:r>
      <w:r w:rsidR="00186DCC" w:rsidRPr="00DA1E36">
        <w:rPr>
          <w:rFonts w:ascii="Times New Roman" w:hAnsi="Times New Roman"/>
          <w:szCs w:val="24"/>
        </w:rPr>
        <w:t>. “The Figure of the South and the Nationalizing Imperatives of</w:t>
      </w:r>
      <w:r>
        <w:rPr>
          <w:rFonts w:ascii="Times New Roman" w:hAnsi="Times New Roman"/>
          <w:szCs w:val="24"/>
        </w:rPr>
        <w:t xml:space="preserve"> </w:t>
      </w:r>
      <w:r w:rsidR="00186DCC" w:rsidRPr="00DA1E36">
        <w:rPr>
          <w:rFonts w:ascii="Times New Roman" w:hAnsi="Times New Roman"/>
          <w:szCs w:val="24"/>
        </w:rPr>
        <w:t>Early United</w:t>
      </w:r>
      <w:r>
        <w:rPr>
          <w:rFonts w:ascii="Times New Roman" w:hAnsi="Times New Roman"/>
          <w:szCs w:val="24"/>
        </w:rPr>
        <w:tab/>
      </w:r>
      <w:r w:rsidR="00186DCC" w:rsidRPr="00DA1E36">
        <w:rPr>
          <w:rFonts w:ascii="Times New Roman" w:hAnsi="Times New Roman"/>
          <w:szCs w:val="24"/>
        </w:rPr>
        <w:t xml:space="preserve">States Literature.” </w:t>
      </w:r>
      <w:r w:rsidR="00186DCC" w:rsidRPr="00DA1E36">
        <w:rPr>
          <w:rFonts w:ascii="Times New Roman" w:hAnsi="Times New Roman"/>
          <w:i/>
          <w:szCs w:val="24"/>
        </w:rPr>
        <w:t>The Yale Journal of Criticism</w:t>
      </w:r>
      <w:r w:rsidR="00186DCC" w:rsidRPr="00DA1E36">
        <w:rPr>
          <w:rFonts w:ascii="Times New Roman" w:hAnsi="Times New Roman"/>
          <w:szCs w:val="24"/>
        </w:rPr>
        <w:t xml:space="preserve"> 12</w:t>
      </w:r>
      <w:r w:rsidR="0036552C">
        <w:rPr>
          <w:rFonts w:ascii="Times New Roman" w:hAnsi="Times New Roman"/>
          <w:szCs w:val="24"/>
        </w:rPr>
        <w:t>, no</w:t>
      </w:r>
      <w:r w:rsidR="00186DCC" w:rsidRPr="00DA1E36">
        <w:rPr>
          <w:rFonts w:ascii="Times New Roman" w:hAnsi="Times New Roman"/>
          <w:szCs w:val="24"/>
        </w:rPr>
        <w:t>.</w:t>
      </w:r>
      <w:r>
        <w:rPr>
          <w:rFonts w:ascii="Times New Roman" w:hAnsi="Times New Roman"/>
          <w:szCs w:val="24"/>
        </w:rPr>
        <w:t xml:space="preserve"> </w:t>
      </w:r>
      <w:r w:rsidR="00186DCC" w:rsidRPr="00DA1E36">
        <w:rPr>
          <w:rFonts w:ascii="Times New Roman" w:hAnsi="Times New Roman"/>
          <w:szCs w:val="24"/>
        </w:rPr>
        <w:t>2 (1999):</w:t>
      </w:r>
      <w:r>
        <w:rPr>
          <w:rFonts w:ascii="Times New Roman" w:hAnsi="Times New Roman"/>
          <w:szCs w:val="24"/>
        </w:rPr>
        <w:t xml:space="preserve"> </w:t>
      </w:r>
      <w:r w:rsidR="00186DCC" w:rsidRPr="00DA1E36">
        <w:rPr>
          <w:rFonts w:ascii="Times New Roman" w:hAnsi="Times New Roman"/>
          <w:szCs w:val="24"/>
        </w:rPr>
        <w:t>209-248.</w:t>
      </w:r>
    </w:p>
    <w:p w14:paraId="512CE739" w14:textId="77777777" w:rsidR="00186DCC" w:rsidRPr="00DA1E36" w:rsidRDefault="00186DCC" w:rsidP="00186DCC">
      <w:pPr>
        <w:pStyle w:val="NoSpacing"/>
        <w:rPr>
          <w:rFonts w:ascii="Times New Roman" w:hAnsi="Times New Roman"/>
          <w:szCs w:val="24"/>
        </w:rPr>
      </w:pPr>
    </w:p>
    <w:p w14:paraId="42AF4428" w14:textId="58A83FB8" w:rsidR="00186DCC" w:rsidRDefault="00186DCC" w:rsidP="00186DCC">
      <w:pPr>
        <w:pStyle w:val="NoSpacing"/>
        <w:rPr>
          <w:rFonts w:ascii="Times New Roman" w:hAnsi="Times New Roman"/>
          <w:szCs w:val="24"/>
        </w:rPr>
      </w:pPr>
      <w:r w:rsidRPr="00DA1E36">
        <w:rPr>
          <w:rFonts w:ascii="Times New Roman" w:hAnsi="Times New Roman"/>
          <w:szCs w:val="24"/>
        </w:rPr>
        <w:t xml:space="preserve">Gregory, Derek. “Imaginative Geographies.” </w:t>
      </w:r>
      <w:r w:rsidRPr="00DA1E36">
        <w:rPr>
          <w:rFonts w:ascii="Times New Roman" w:hAnsi="Times New Roman"/>
          <w:i/>
          <w:szCs w:val="24"/>
        </w:rPr>
        <w:t>Progress in Human Geography</w:t>
      </w:r>
      <w:r w:rsidRPr="00DA1E36">
        <w:rPr>
          <w:rFonts w:ascii="Times New Roman" w:hAnsi="Times New Roman"/>
          <w:szCs w:val="24"/>
        </w:rPr>
        <w:t xml:space="preserve"> 19</w:t>
      </w:r>
      <w:r w:rsidR="0036552C">
        <w:rPr>
          <w:rFonts w:ascii="Times New Roman" w:hAnsi="Times New Roman"/>
          <w:szCs w:val="24"/>
        </w:rPr>
        <w:t>, no.</w:t>
      </w:r>
      <w:r w:rsidRPr="00DA1E36">
        <w:rPr>
          <w:rFonts w:ascii="Times New Roman" w:hAnsi="Times New Roman"/>
          <w:szCs w:val="24"/>
        </w:rPr>
        <w:t xml:space="preserve"> 4</w:t>
      </w:r>
      <w:r w:rsidR="0036552C">
        <w:rPr>
          <w:rFonts w:ascii="Times New Roman" w:hAnsi="Times New Roman"/>
          <w:szCs w:val="24"/>
        </w:rPr>
        <w:tab/>
      </w:r>
      <w:r w:rsidR="00181CE1">
        <w:rPr>
          <w:rFonts w:ascii="Times New Roman" w:hAnsi="Times New Roman"/>
          <w:szCs w:val="24"/>
        </w:rPr>
        <w:t>(1995): 447-485.</w:t>
      </w:r>
    </w:p>
    <w:p w14:paraId="1F985AD0" w14:textId="77777777" w:rsidR="004F51BA" w:rsidRPr="00DA1E36" w:rsidRDefault="004F51BA" w:rsidP="00186DCC">
      <w:pPr>
        <w:pStyle w:val="NoSpacing"/>
        <w:rPr>
          <w:rFonts w:ascii="Times New Roman" w:hAnsi="Times New Roman"/>
          <w:szCs w:val="24"/>
        </w:rPr>
      </w:pPr>
    </w:p>
    <w:p w14:paraId="58D69330" w14:textId="4C165F49" w:rsidR="00186DCC" w:rsidRPr="00DA1E36" w:rsidRDefault="004F51BA" w:rsidP="00186DCC">
      <w:pPr>
        <w:pStyle w:val="NoSpacing"/>
        <w:rPr>
          <w:rFonts w:ascii="Times New Roman" w:hAnsi="Times New Roman"/>
          <w:szCs w:val="24"/>
        </w:rPr>
      </w:pPr>
      <w:r w:rsidRPr="004817B9">
        <w:rPr>
          <w:rFonts w:ascii="Times New Roman" w:hAnsi="Times New Roman"/>
          <w:szCs w:val="24"/>
        </w:rPr>
        <w:t xml:space="preserve">Greene, Candice S. </w:t>
      </w:r>
      <w:r w:rsidRPr="000F72B1">
        <w:rPr>
          <w:rFonts w:ascii="Times New Roman" w:hAnsi="Times New Roman"/>
          <w:i/>
          <w:szCs w:val="24"/>
        </w:rPr>
        <w:t>Silver Horn: Master Illustrator of the Kiowas</w:t>
      </w:r>
      <w:r w:rsidRPr="004817B9">
        <w:rPr>
          <w:rFonts w:ascii="Times New Roman" w:hAnsi="Times New Roman"/>
          <w:szCs w:val="24"/>
        </w:rPr>
        <w:t>. Norman, OK:</w:t>
      </w:r>
      <w:r>
        <w:rPr>
          <w:rFonts w:ascii="Times New Roman" w:hAnsi="Times New Roman"/>
          <w:szCs w:val="24"/>
        </w:rPr>
        <w:tab/>
      </w:r>
      <w:r w:rsidRPr="004817B9">
        <w:rPr>
          <w:rFonts w:ascii="Times New Roman" w:hAnsi="Times New Roman"/>
          <w:szCs w:val="24"/>
        </w:rPr>
        <w:t>University of Oklahoma Press,</w:t>
      </w:r>
      <w:r>
        <w:rPr>
          <w:rFonts w:ascii="Times New Roman" w:hAnsi="Times New Roman"/>
          <w:szCs w:val="24"/>
        </w:rPr>
        <w:t xml:space="preserve"> 2001.</w:t>
      </w:r>
    </w:p>
    <w:p w14:paraId="1DD462C8" w14:textId="77777777" w:rsidR="004F51BA" w:rsidRDefault="004F51BA" w:rsidP="005B1FDC">
      <w:pPr>
        <w:pStyle w:val="EndnoteText"/>
        <w:rPr>
          <w:rFonts w:ascii="Times New Roman" w:hAnsi="Times New Roman" w:cs="Times New Roman"/>
          <w:sz w:val="24"/>
          <w:szCs w:val="24"/>
        </w:rPr>
      </w:pPr>
    </w:p>
    <w:p w14:paraId="0275B3E9" w14:textId="2D0F21E1" w:rsidR="00186DCC" w:rsidRPr="00DA1E36" w:rsidRDefault="00186DCC" w:rsidP="00186DCC">
      <w:pPr>
        <w:pStyle w:val="NoSpacing"/>
        <w:rPr>
          <w:rFonts w:ascii="Times New Roman" w:hAnsi="Times New Roman"/>
          <w:szCs w:val="24"/>
        </w:rPr>
      </w:pPr>
      <w:r w:rsidRPr="00ED1D6C">
        <w:rPr>
          <w:rFonts w:ascii="Times New Roman" w:hAnsi="Times New Roman"/>
          <w:szCs w:val="24"/>
        </w:rPr>
        <w:t xml:space="preserve">Hechter, Michael. </w:t>
      </w:r>
      <w:r w:rsidRPr="00ED1D6C">
        <w:rPr>
          <w:rFonts w:ascii="Times New Roman" w:hAnsi="Times New Roman"/>
          <w:i/>
          <w:szCs w:val="24"/>
        </w:rPr>
        <w:t xml:space="preserve">Internal Colonialism: The </w:t>
      </w:r>
      <w:r w:rsidRPr="00DA1E36">
        <w:rPr>
          <w:rFonts w:ascii="Times New Roman" w:hAnsi="Times New Roman"/>
          <w:i/>
          <w:szCs w:val="24"/>
        </w:rPr>
        <w:t>Celtic Fringe in British National</w:t>
      </w:r>
      <w:r w:rsidR="0036552C">
        <w:rPr>
          <w:rFonts w:ascii="Times New Roman" w:hAnsi="Times New Roman"/>
          <w:i/>
          <w:szCs w:val="24"/>
        </w:rPr>
        <w:tab/>
      </w:r>
      <w:r w:rsidRPr="00DA1E36">
        <w:rPr>
          <w:rFonts w:ascii="Times New Roman" w:hAnsi="Times New Roman"/>
          <w:i/>
          <w:szCs w:val="24"/>
        </w:rPr>
        <w:t>Development, 1536-1966</w:t>
      </w:r>
      <w:r w:rsidRPr="00DA1E36">
        <w:rPr>
          <w:rFonts w:ascii="Times New Roman" w:hAnsi="Times New Roman"/>
          <w:szCs w:val="24"/>
        </w:rPr>
        <w:t>.</w:t>
      </w:r>
      <w:r w:rsidR="0036552C">
        <w:rPr>
          <w:rFonts w:ascii="Times New Roman" w:hAnsi="Times New Roman"/>
          <w:szCs w:val="24"/>
        </w:rPr>
        <w:t xml:space="preserve"> </w:t>
      </w:r>
      <w:r w:rsidRPr="00DA1E36">
        <w:rPr>
          <w:rFonts w:ascii="Times New Roman" w:hAnsi="Times New Roman"/>
          <w:szCs w:val="24"/>
        </w:rPr>
        <w:t>Berkley: University of California</w:t>
      </w:r>
      <w:r w:rsidR="0036552C">
        <w:rPr>
          <w:rFonts w:ascii="Times New Roman" w:hAnsi="Times New Roman"/>
          <w:szCs w:val="24"/>
        </w:rPr>
        <w:tab/>
      </w:r>
      <w:r w:rsidRPr="00DA1E36">
        <w:rPr>
          <w:rFonts w:ascii="Times New Roman" w:hAnsi="Times New Roman"/>
          <w:szCs w:val="24"/>
        </w:rPr>
        <w:t>Press, 1975.</w:t>
      </w:r>
    </w:p>
    <w:p w14:paraId="7883AFD5" w14:textId="77777777" w:rsidR="00186DCC" w:rsidRPr="00DA1E36" w:rsidRDefault="00186DCC" w:rsidP="00C45B0A">
      <w:pPr>
        <w:pStyle w:val="NoSpacing"/>
        <w:rPr>
          <w:rFonts w:ascii="Times New Roman" w:hAnsi="Times New Roman"/>
          <w:szCs w:val="24"/>
        </w:rPr>
      </w:pPr>
    </w:p>
    <w:p w14:paraId="6EFD7571" w14:textId="0DC31497" w:rsidR="00186DCC" w:rsidRPr="00DA1E36" w:rsidRDefault="00186DCC" w:rsidP="00C45B0A">
      <w:pPr>
        <w:pStyle w:val="NoSpacing"/>
        <w:rPr>
          <w:rFonts w:ascii="Times New Roman" w:hAnsi="Times New Roman"/>
          <w:szCs w:val="24"/>
        </w:rPr>
      </w:pPr>
      <w:r w:rsidRPr="00DA1E36">
        <w:rPr>
          <w:rFonts w:ascii="Times New Roman" w:hAnsi="Times New Roman"/>
          <w:szCs w:val="24"/>
        </w:rPr>
        <w:t>Hage, Ghassan. “The Spatial Imaginary of National Practices: Dwelling Domesticating</w:t>
      </w:r>
      <w:r w:rsidR="00803CC1">
        <w:rPr>
          <w:rFonts w:ascii="Times New Roman" w:hAnsi="Times New Roman"/>
          <w:szCs w:val="24"/>
        </w:rPr>
        <w:t xml:space="preserve"> </w:t>
      </w:r>
      <w:r w:rsidRPr="00DA1E36">
        <w:rPr>
          <w:rFonts w:ascii="Times New Roman" w:hAnsi="Times New Roman"/>
          <w:szCs w:val="24"/>
        </w:rPr>
        <w:t>/</w:t>
      </w:r>
      <w:r w:rsidR="00803CC1">
        <w:rPr>
          <w:rFonts w:ascii="Times New Roman" w:hAnsi="Times New Roman"/>
          <w:szCs w:val="24"/>
        </w:rPr>
        <w:tab/>
      </w:r>
      <w:r w:rsidRPr="00DA1E36">
        <w:rPr>
          <w:rFonts w:ascii="Times New Roman" w:hAnsi="Times New Roman"/>
          <w:szCs w:val="24"/>
        </w:rPr>
        <w:t xml:space="preserve">Being –Exterminating.” </w:t>
      </w:r>
      <w:r w:rsidRPr="00DA1E36">
        <w:rPr>
          <w:rFonts w:ascii="Times New Roman" w:hAnsi="Times New Roman"/>
          <w:i/>
          <w:szCs w:val="24"/>
        </w:rPr>
        <w:t>Environment and Planning D: Society</w:t>
      </w:r>
      <w:r w:rsidR="00803CC1">
        <w:rPr>
          <w:rFonts w:ascii="Times New Roman" w:hAnsi="Times New Roman"/>
          <w:i/>
          <w:szCs w:val="24"/>
        </w:rPr>
        <w:t xml:space="preserve"> </w:t>
      </w:r>
      <w:r w:rsidRPr="00DA1E36">
        <w:rPr>
          <w:rFonts w:ascii="Times New Roman" w:hAnsi="Times New Roman"/>
          <w:i/>
          <w:szCs w:val="24"/>
        </w:rPr>
        <w:t>and Space</w:t>
      </w:r>
      <w:r w:rsidR="00181CE1">
        <w:rPr>
          <w:rFonts w:ascii="Times New Roman" w:hAnsi="Times New Roman"/>
          <w:szCs w:val="24"/>
        </w:rPr>
        <w:t xml:space="preserve"> 14</w:t>
      </w:r>
      <w:r w:rsidR="00803CC1">
        <w:rPr>
          <w:rFonts w:ascii="Times New Roman" w:hAnsi="Times New Roman"/>
          <w:szCs w:val="24"/>
        </w:rPr>
        <w:tab/>
      </w:r>
      <w:r w:rsidR="00181CE1">
        <w:rPr>
          <w:rFonts w:ascii="Times New Roman" w:hAnsi="Times New Roman"/>
          <w:szCs w:val="24"/>
        </w:rPr>
        <w:t>(1996): 463-485.</w:t>
      </w:r>
    </w:p>
    <w:p w14:paraId="0C8F5296" w14:textId="77777777" w:rsidR="00186DCC" w:rsidRPr="00DA1E36" w:rsidRDefault="00186DCC" w:rsidP="00C45B0A">
      <w:pPr>
        <w:pStyle w:val="NoSpacing"/>
        <w:rPr>
          <w:rFonts w:ascii="Times New Roman" w:hAnsi="Times New Roman"/>
          <w:szCs w:val="24"/>
        </w:rPr>
      </w:pPr>
    </w:p>
    <w:p w14:paraId="715FF292" w14:textId="5D623B2C" w:rsidR="00186DCC" w:rsidRPr="00DA1E36" w:rsidRDefault="00186DCC" w:rsidP="00C45B0A">
      <w:pPr>
        <w:pStyle w:val="NoSpacing"/>
        <w:rPr>
          <w:rFonts w:ascii="Times New Roman" w:hAnsi="Times New Roman"/>
          <w:szCs w:val="24"/>
        </w:rPr>
      </w:pPr>
      <w:r w:rsidRPr="00DA1E36">
        <w:rPr>
          <w:rFonts w:ascii="Times New Roman" w:hAnsi="Times New Roman"/>
          <w:szCs w:val="24"/>
        </w:rPr>
        <w:t xml:space="preserve">Haltman, Kenneth. </w:t>
      </w:r>
      <w:r w:rsidRPr="00DA1E36">
        <w:rPr>
          <w:rFonts w:ascii="Times New Roman" w:hAnsi="Times New Roman"/>
          <w:i/>
          <w:szCs w:val="24"/>
        </w:rPr>
        <w:t>Looking Close and Seeing Far: Samuel Seymour, Titian Ramsay</w:t>
      </w:r>
      <w:r w:rsidR="0036552C">
        <w:rPr>
          <w:rFonts w:ascii="Times New Roman" w:hAnsi="Times New Roman"/>
          <w:i/>
          <w:szCs w:val="24"/>
        </w:rPr>
        <w:tab/>
      </w:r>
      <w:r w:rsidRPr="00DA1E36">
        <w:rPr>
          <w:rFonts w:ascii="Times New Roman" w:hAnsi="Times New Roman"/>
          <w:i/>
          <w:szCs w:val="24"/>
        </w:rPr>
        <w:t>Peale, and the Art</w:t>
      </w:r>
      <w:r w:rsidR="0036552C">
        <w:rPr>
          <w:rFonts w:ascii="Times New Roman" w:hAnsi="Times New Roman"/>
          <w:i/>
          <w:szCs w:val="24"/>
        </w:rPr>
        <w:t xml:space="preserve"> </w:t>
      </w:r>
      <w:r w:rsidRPr="00DA1E36">
        <w:rPr>
          <w:rFonts w:ascii="Times New Roman" w:hAnsi="Times New Roman"/>
          <w:i/>
          <w:szCs w:val="24"/>
        </w:rPr>
        <w:t>of the Long Expedition, 1818-1823</w:t>
      </w:r>
      <w:r w:rsidRPr="00DA1E36">
        <w:rPr>
          <w:rFonts w:ascii="Times New Roman" w:hAnsi="Times New Roman"/>
          <w:szCs w:val="24"/>
        </w:rPr>
        <w:t>. University Park, PA:</w:t>
      </w:r>
      <w:r w:rsidR="0036552C">
        <w:rPr>
          <w:rFonts w:ascii="Times New Roman" w:hAnsi="Times New Roman"/>
          <w:szCs w:val="24"/>
        </w:rPr>
        <w:tab/>
      </w:r>
      <w:r w:rsidRPr="00DA1E36">
        <w:rPr>
          <w:rFonts w:ascii="Times New Roman" w:hAnsi="Times New Roman"/>
          <w:szCs w:val="24"/>
        </w:rPr>
        <w:t>Pennsylvani</w:t>
      </w:r>
      <w:r w:rsidR="00181CE1">
        <w:rPr>
          <w:rFonts w:ascii="Times New Roman" w:hAnsi="Times New Roman"/>
          <w:szCs w:val="24"/>
        </w:rPr>
        <w:t>a State University Press,</w:t>
      </w:r>
      <w:r w:rsidR="00181CE1">
        <w:rPr>
          <w:rFonts w:ascii="Times New Roman" w:hAnsi="Times New Roman"/>
          <w:szCs w:val="24"/>
        </w:rPr>
        <w:tab/>
        <w:t>2008.</w:t>
      </w:r>
    </w:p>
    <w:p w14:paraId="08E9C015" w14:textId="5944196C" w:rsidR="00186DCC" w:rsidRDefault="00186DCC" w:rsidP="00C45B0A">
      <w:pPr>
        <w:pStyle w:val="NoSpacing"/>
        <w:rPr>
          <w:rFonts w:ascii="Times New Roman" w:hAnsi="Times New Roman"/>
          <w:szCs w:val="24"/>
        </w:rPr>
      </w:pPr>
    </w:p>
    <w:p w14:paraId="55335778" w14:textId="77777777" w:rsidR="00C45B0A" w:rsidRPr="00E7312B" w:rsidRDefault="00C45B0A" w:rsidP="00C45B0A">
      <w:pPr>
        <w:spacing w:line="240" w:lineRule="auto"/>
      </w:pPr>
      <w:r w:rsidRPr="00E7312B">
        <w:t xml:space="preserve">Hartley, Marsden. “Aesthetic Sincerity.” </w:t>
      </w:r>
      <w:r w:rsidRPr="00E7312B">
        <w:rPr>
          <w:i/>
        </w:rPr>
        <w:t>El Palacio</w:t>
      </w:r>
      <w:r w:rsidRPr="00E7312B">
        <w:t xml:space="preserve"> 5 (December 9, 1918): 332-333.</w:t>
      </w:r>
    </w:p>
    <w:p w14:paraId="2DAF85DD" w14:textId="77777777" w:rsidR="00C45B0A" w:rsidRPr="00E7312B" w:rsidRDefault="00C45B0A" w:rsidP="00C45B0A">
      <w:pPr>
        <w:spacing w:line="240" w:lineRule="auto"/>
      </w:pPr>
    </w:p>
    <w:p w14:paraId="41AF3F02" w14:textId="6498C872" w:rsidR="00C45B0A" w:rsidRPr="00E7312B" w:rsidRDefault="00187047" w:rsidP="00C45B0A">
      <w:pPr>
        <w:spacing w:line="240" w:lineRule="auto"/>
      </w:pPr>
      <w:r>
        <w:t>_____. “America a</w:t>
      </w:r>
      <w:r w:rsidR="00C45B0A" w:rsidRPr="00E7312B">
        <w:t xml:space="preserve">s Landscape.” </w:t>
      </w:r>
      <w:r w:rsidR="00C45B0A" w:rsidRPr="00E7312B">
        <w:rPr>
          <w:i/>
        </w:rPr>
        <w:t>El Palacio</w:t>
      </w:r>
      <w:r w:rsidR="00C45B0A" w:rsidRPr="00E7312B">
        <w:t xml:space="preserve"> 5 (December 21, 1918): 340-42.</w:t>
      </w:r>
    </w:p>
    <w:p w14:paraId="7B1113C1" w14:textId="77777777" w:rsidR="00C45B0A" w:rsidRPr="00E7312B" w:rsidRDefault="00C45B0A" w:rsidP="00C45B0A">
      <w:pPr>
        <w:spacing w:line="240" w:lineRule="auto"/>
      </w:pPr>
    </w:p>
    <w:p w14:paraId="592FBFC2" w14:textId="48ECA5F9" w:rsidR="00C45B0A" w:rsidRPr="00E7312B" w:rsidRDefault="00C45B0A" w:rsidP="00C45B0A">
      <w:pPr>
        <w:spacing w:line="240" w:lineRule="auto"/>
      </w:pPr>
      <w:r w:rsidRPr="00E7312B">
        <w:t xml:space="preserve">_____. “Red Man Ceremonials: An American Plea for American Esthetics.” </w:t>
      </w:r>
      <w:r w:rsidRPr="00E7312B">
        <w:rPr>
          <w:i/>
        </w:rPr>
        <w:t>Art and</w:t>
      </w:r>
      <w:r>
        <w:rPr>
          <w:i/>
        </w:rPr>
        <w:tab/>
      </w:r>
      <w:r w:rsidRPr="00E7312B">
        <w:rPr>
          <w:i/>
        </w:rPr>
        <w:t xml:space="preserve">Archaeology </w:t>
      </w:r>
      <w:r w:rsidRPr="00E7312B">
        <w:t>9</w:t>
      </w:r>
      <w:r>
        <w:t xml:space="preserve"> </w:t>
      </w:r>
      <w:r w:rsidRPr="00E7312B">
        <w:t>(January 1920): 7-14.</w:t>
      </w:r>
      <w:r w:rsidRPr="00E7312B">
        <w:rPr>
          <w:i/>
        </w:rPr>
        <w:t xml:space="preserve"> </w:t>
      </w:r>
      <w:r w:rsidRPr="00E7312B">
        <w:t xml:space="preserve"> </w:t>
      </w:r>
    </w:p>
    <w:p w14:paraId="17DC5E01" w14:textId="77777777" w:rsidR="00C45B0A" w:rsidRPr="00E7312B" w:rsidRDefault="00C45B0A" w:rsidP="00C45B0A">
      <w:pPr>
        <w:spacing w:line="240" w:lineRule="auto"/>
      </w:pPr>
    </w:p>
    <w:p w14:paraId="7C0F0EBF" w14:textId="48765DE0" w:rsidR="00C45B0A" w:rsidRDefault="00C45B0A" w:rsidP="00C45B0A">
      <w:pPr>
        <w:spacing w:line="240" w:lineRule="auto"/>
      </w:pPr>
      <w:r w:rsidRPr="00E7312B">
        <w:t xml:space="preserve">_____. “The Scientific Esthetic of the Redman.” </w:t>
      </w:r>
      <w:r w:rsidRPr="00E7312B">
        <w:rPr>
          <w:i/>
        </w:rPr>
        <w:t xml:space="preserve">Art and Archaeology </w:t>
      </w:r>
      <w:r w:rsidRPr="00E7312B">
        <w:t>13 (March 1922):</w:t>
      </w:r>
      <w:r>
        <w:tab/>
      </w:r>
      <w:r w:rsidRPr="00E7312B">
        <w:t xml:space="preserve">113-119. </w:t>
      </w:r>
    </w:p>
    <w:p w14:paraId="294E6C5D" w14:textId="77777777" w:rsidR="00C45B0A" w:rsidRDefault="00C45B0A" w:rsidP="00C45B0A">
      <w:pPr>
        <w:spacing w:line="240" w:lineRule="auto"/>
      </w:pPr>
    </w:p>
    <w:p w14:paraId="7B7717F6" w14:textId="21FE9B09" w:rsidR="00C45B0A" w:rsidRPr="00E7312B" w:rsidRDefault="00C45B0A" w:rsidP="00C45B0A">
      <w:pPr>
        <w:spacing w:line="240" w:lineRule="auto"/>
      </w:pPr>
      <w:r w:rsidRPr="00E7312B">
        <w:t xml:space="preserve">_____. “Tribal Esthetics.” </w:t>
      </w:r>
      <w:r w:rsidRPr="00E7312B">
        <w:rPr>
          <w:i/>
        </w:rPr>
        <w:t>The Dial</w:t>
      </w:r>
      <w:r w:rsidRPr="00E7312B">
        <w:t xml:space="preserve"> 65 (November 1918): 399-401.</w:t>
      </w:r>
    </w:p>
    <w:p w14:paraId="5DB15C00" w14:textId="77777777" w:rsidR="00C45B0A" w:rsidRDefault="00C45B0A" w:rsidP="00C45B0A">
      <w:pPr>
        <w:pStyle w:val="NoSpacing"/>
        <w:rPr>
          <w:rFonts w:ascii="Times New Roman" w:hAnsi="Times New Roman"/>
          <w:szCs w:val="24"/>
        </w:rPr>
      </w:pPr>
    </w:p>
    <w:p w14:paraId="0A7A8E9E" w14:textId="0653F381" w:rsidR="00186DCC" w:rsidRPr="00DA1E36" w:rsidRDefault="00186DCC" w:rsidP="00C45B0A">
      <w:pPr>
        <w:pStyle w:val="NoSpacing"/>
        <w:rPr>
          <w:rFonts w:ascii="Times New Roman" w:hAnsi="Times New Roman"/>
          <w:szCs w:val="24"/>
        </w:rPr>
      </w:pPr>
      <w:r w:rsidRPr="00DA1E36">
        <w:rPr>
          <w:rFonts w:ascii="Times New Roman" w:hAnsi="Times New Roman"/>
          <w:szCs w:val="24"/>
        </w:rPr>
        <w:t xml:space="preserve">Hassrick, Peter, and Elizabeth Cunningham. </w:t>
      </w:r>
      <w:r w:rsidRPr="00DA1E36">
        <w:rPr>
          <w:rFonts w:ascii="Times New Roman" w:hAnsi="Times New Roman"/>
          <w:i/>
          <w:szCs w:val="24"/>
        </w:rPr>
        <w:t>In Contemporary Rhythm: The Art of</w:t>
      </w:r>
      <w:r w:rsidR="0036552C">
        <w:rPr>
          <w:rFonts w:ascii="Times New Roman" w:hAnsi="Times New Roman"/>
          <w:i/>
          <w:szCs w:val="24"/>
        </w:rPr>
        <w:tab/>
      </w:r>
      <w:r w:rsidR="0036552C">
        <w:rPr>
          <w:rFonts w:ascii="Times New Roman" w:hAnsi="Times New Roman"/>
          <w:i/>
          <w:szCs w:val="24"/>
        </w:rPr>
        <w:tab/>
      </w:r>
      <w:r w:rsidRPr="00DA1E36">
        <w:rPr>
          <w:rFonts w:ascii="Times New Roman" w:hAnsi="Times New Roman"/>
          <w:i/>
          <w:szCs w:val="24"/>
        </w:rPr>
        <w:t>Ernest L.</w:t>
      </w:r>
      <w:r w:rsidR="0036552C">
        <w:rPr>
          <w:rFonts w:ascii="Times New Roman" w:hAnsi="Times New Roman"/>
          <w:i/>
          <w:szCs w:val="24"/>
        </w:rPr>
        <w:t xml:space="preserve"> </w:t>
      </w:r>
      <w:r w:rsidRPr="00DA1E36">
        <w:rPr>
          <w:rFonts w:ascii="Times New Roman" w:hAnsi="Times New Roman"/>
          <w:i/>
          <w:szCs w:val="24"/>
        </w:rPr>
        <w:t>Blumenschein</w:t>
      </w:r>
      <w:r w:rsidRPr="00DA1E36">
        <w:rPr>
          <w:rFonts w:ascii="Times New Roman" w:hAnsi="Times New Roman"/>
          <w:szCs w:val="24"/>
        </w:rPr>
        <w:t>.</w:t>
      </w:r>
      <w:r w:rsidR="0036552C">
        <w:rPr>
          <w:rFonts w:ascii="Times New Roman" w:hAnsi="Times New Roman"/>
          <w:szCs w:val="24"/>
        </w:rPr>
        <w:t xml:space="preserve"> </w:t>
      </w:r>
      <w:r w:rsidRPr="00DA1E36">
        <w:rPr>
          <w:rFonts w:ascii="Times New Roman" w:hAnsi="Times New Roman"/>
          <w:szCs w:val="24"/>
        </w:rPr>
        <w:t>Norman: Univ</w:t>
      </w:r>
      <w:r w:rsidR="00181CE1">
        <w:rPr>
          <w:rFonts w:ascii="Times New Roman" w:hAnsi="Times New Roman"/>
          <w:szCs w:val="24"/>
        </w:rPr>
        <w:t>ersity of Oklahoma Press, 2008.</w:t>
      </w:r>
    </w:p>
    <w:p w14:paraId="1ABE0497" w14:textId="0AD86E81" w:rsidR="00186DCC" w:rsidRDefault="00186DCC" w:rsidP="00C45B0A">
      <w:pPr>
        <w:pStyle w:val="NoSpacing"/>
        <w:rPr>
          <w:rFonts w:ascii="Times New Roman" w:hAnsi="Times New Roman"/>
          <w:szCs w:val="24"/>
        </w:rPr>
      </w:pPr>
    </w:p>
    <w:p w14:paraId="4734EF69" w14:textId="5EAB4930" w:rsidR="00440FB3" w:rsidRPr="00355F33" w:rsidRDefault="00A464EF" w:rsidP="005A39DA">
      <w:pPr>
        <w:pStyle w:val="NoSpacing"/>
        <w:rPr>
          <w:rFonts w:ascii="Times New Roman" w:hAnsi="Times New Roman"/>
          <w:szCs w:val="24"/>
        </w:rPr>
      </w:pPr>
      <w:r w:rsidRPr="00413A2F">
        <w:rPr>
          <w:color w:val="000000"/>
          <w:szCs w:val="24"/>
          <w:lang w:bidi="ar-SA"/>
        </w:rPr>
        <w:t xml:space="preserve"> </w:t>
      </w:r>
      <w:r w:rsidR="00440FB3" w:rsidRPr="00413A2F">
        <w:rPr>
          <w:color w:val="000000"/>
          <w:szCs w:val="24"/>
          <w:lang w:bidi="ar-SA"/>
        </w:rPr>
        <w:t>“Hawai’i’s</w:t>
      </w:r>
      <w:r w:rsidR="00440FB3" w:rsidRPr="00413A2F">
        <w:rPr>
          <w:szCs w:val="24"/>
        </w:rPr>
        <w:t xml:space="preserve"> Wonder – Jules Tavern</w:t>
      </w:r>
      <w:r w:rsidR="00413A2F">
        <w:rPr>
          <w:szCs w:val="24"/>
        </w:rPr>
        <w:t>ier’s Great Panorama of Kilauea.</w:t>
      </w:r>
      <w:r w:rsidR="00440FB3" w:rsidRPr="00413A2F">
        <w:rPr>
          <w:szCs w:val="24"/>
        </w:rPr>
        <w:t xml:space="preserve">” </w:t>
      </w:r>
      <w:r w:rsidR="00440FB3" w:rsidRPr="00413A2F">
        <w:rPr>
          <w:i/>
          <w:szCs w:val="24"/>
        </w:rPr>
        <w:t>Pacific</w:t>
      </w:r>
      <w:r w:rsidR="00440FB3" w:rsidRPr="00413A2F">
        <w:rPr>
          <w:i/>
          <w:szCs w:val="24"/>
        </w:rPr>
        <w:tab/>
        <w:t>Commercial Advertiser</w:t>
      </w:r>
      <w:r w:rsidR="00ED1D6C">
        <w:rPr>
          <w:i/>
          <w:szCs w:val="24"/>
        </w:rPr>
        <w:t xml:space="preserve"> </w:t>
      </w:r>
      <w:r w:rsidR="00ED1D6C">
        <w:rPr>
          <w:szCs w:val="24"/>
        </w:rPr>
        <w:t xml:space="preserve">(Honolulu). </w:t>
      </w:r>
      <w:r w:rsidR="00440FB3" w:rsidRPr="00413A2F">
        <w:rPr>
          <w:szCs w:val="24"/>
        </w:rPr>
        <w:t>June 21</w:t>
      </w:r>
      <w:r w:rsidR="00440FB3" w:rsidRPr="00355F33">
        <w:rPr>
          <w:szCs w:val="24"/>
        </w:rPr>
        <w:t xml:space="preserve">, 1889. </w:t>
      </w:r>
      <w:hyperlink w:history="1">
        <w:r w:rsidR="00355F33" w:rsidRPr="00355F33">
          <w:rPr>
            <w:rStyle w:val="Hyperlink"/>
            <w:color w:val="auto"/>
            <w:szCs w:val="24"/>
            <w:u w:val="none"/>
          </w:rPr>
          <w:t>http://chroniclingamerica.</w:t>
        </w:r>
        <w:r w:rsidR="00355F33" w:rsidRPr="00355F33">
          <w:rPr>
            <w:rStyle w:val="Hyperlink"/>
            <w:color w:val="auto"/>
            <w:szCs w:val="24"/>
            <w:u w:val="none"/>
          </w:rPr>
          <w:tab/>
          <w:t>loc.gov/lccn/sn85047084/1889-06-21/ed-1/</w:t>
        </w:r>
      </w:hyperlink>
      <w:r w:rsidR="00355F33" w:rsidRPr="00355F33">
        <w:rPr>
          <w:szCs w:val="24"/>
        </w:rPr>
        <w:t xml:space="preserve"> (Accessed September 27,</w:t>
      </w:r>
      <w:r w:rsidR="00355F33" w:rsidRPr="00355F33">
        <w:rPr>
          <w:szCs w:val="24"/>
        </w:rPr>
        <w:tab/>
        <w:t>2016).</w:t>
      </w:r>
    </w:p>
    <w:p w14:paraId="471100F4" w14:textId="77777777" w:rsidR="00C37A50" w:rsidRDefault="00C37A50" w:rsidP="005A39DA">
      <w:pPr>
        <w:spacing w:line="240" w:lineRule="auto"/>
      </w:pPr>
    </w:p>
    <w:p w14:paraId="3A54CDEF" w14:textId="618B436D" w:rsidR="005A39DA" w:rsidRDefault="005A39DA" w:rsidP="005A39DA">
      <w:pPr>
        <w:spacing w:line="240" w:lineRule="auto"/>
      </w:pPr>
      <w:r w:rsidRPr="00E7312B">
        <w:t>Henderson, Alice Corbin. “A Boy Painter Among the Pueblo Indians and Unspoiled</w:t>
      </w:r>
      <w:r>
        <w:tab/>
      </w:r>
      <w:r w:rsidRPr="00E7312B">
        <w:t>Native Work.”</w:t>
      </w:r>
      <w:r>
        <w:t xml:space="preserve"> </w:t>
      </w:r>
      <w:r w:rsidRPr="00E7312B">
        <w:rPr>
          <w:i/>
        </w:rPr>
        <w:t>New York Times Magazine</w:t>
      </w:r>
      <w:r w:rsidR="00F1077D">
        <w:t xml:space="preserve"> </w:t>
      </w:r>
      <w:r w:rsidR="00355F33">
        <w:t>(</w:t>
      </w:r>
      <w:r w:rsidRPr="00E7312B">
        <w:t>September 6, 1925</w:t>
      </w:r>
      <w:r w:rsidR="00355F33">
        <w:t>):</w:t>
      </w:r>
      <w:r w:rsidRPr="00E7312B">
        <w:t xml:space="preserve"> 18-19.</w:t>
      </w:r>
    </w:p>
    <w:p w14:paraId="159A83CB" w14:textId="77777777" w:rsidR="005A39DA" w:rsidRPr="00E7312B" w:rsidRDefault="005A39DA" w:rsidP="005A39DA">
      <w:pPr>
        <w:spacing w:line="240" w:lineRule="auto"/>
      </w:pPr>
    </w:p>
    <w:p w14:paraId="626D1414" w14:textId="4ACA9D20" w:rsidR="005A39DA" w:rsidRPr="00E7312B" w:rsidRDefault="005A39DA" w:rsidP="005A39DA">
      <w:pPr>
        <w:spacing w:line="240" w:lineRule="auto"/>
      </w:pPr>
      <w:r w:rsidRPr="00E7312B">
        <w:t xml:space="preserve">_____. “Crescencio Martinez –Artist.” </w:t>
      </w:r>
      <w:r w:rsidRPr="00E7312B">
        <w:rPr>
          <w:i/>
        </w:rPr>
        <w:t>El Palacio</w:t>
      </w:r>
      <w:r w:rsidR="00803CC1">
        <w:t xml:space="preserve"> 5 (August 3, 1918): 67-69.</w:t>
      </w:r>
    </w:p>
    <w:p w14:paraId="0DA81D55" w14:textId="77777777" w:rsidR="005A39DA" w:rsidRPr="00E7312B" w:rsidRDefault="005A39DA" w:rsidP="005A39DA">
      <w:pPr>
        <w:spacing w:line="240" w:lineRule="auto"/>
      </w:pPr>
    </w:p>
    <w:p w14:paraId="057A0619" w14:textId="302ED497" w:rsidR="005A39DA" w:rsidRPr="00E7312B" w:rsidRDefault="005A39DA" w:rsidP="005A39DA">
      <w:pPr>
        <w:spacing w:line="240" w:lineRule="auto"/>
      </w:pPr>
      <w:r w:rsidRPr="00E7312B">
        <w:t xml:space="preserve">_____. “Native American Artists.” </w:t>
      </w:r>
      <w:r w:rsidRPr="00E7312B">
        <w:rPr>
          <w:i/>
        </w:rPr>
        <w:t>Art and Archaeology</w:t>
      </w:r>
      <w:r w:rsidR="00803CC1">
        <w:t xml:space="preserve"> 13 (March 1922): 103-112.</w:t>
      </w:r>
    </w:p>
    <w:p w14:paraId="5A36B107" w14:textId="77777777" w:rsidR="005A39DA" w:rsidRDefault="005A39DA" w:rsidP="005A39DA">
      <w:pPr>
        <w:pStyle w:val="NoSpacing"/>
        <w:rPr>
          <w:rFonts w:ascii="Times New Roman" w:hAnsi="Times New Roman"/>
          <w:szCs w:val="24"/>
        </w:rPr>
      </w:pPr>
    </w:p>
    <w:p w14:paraId="73C4B80F" w14:textId="54EB39A1" w:rsidR="00361043" w:rsidRPr="00361043" w:rsidRDefault="00361043" w:rsidP="005A39DA">
      <w:pPr>
        <w:pStyle w:val="NoSpacing"/>
      </w:pPr>
      <w:r>
        <w:rPr>
          <w:rFonts w:ascii="Times New Roman" w:hAnsi="Times New Roman"/>
          <w:szCs w:val="24"/>
        </w:rPr>
        <w:t xml:space="preserve">Hewett, Edgar. “Native American Artists.” </w:t>
      </w:r>
      <w:r>
        <w:rPr>
          <w:rFonts w:ascii="Times New Roman" w:hAnsi="Times New Roman"/>
          <w:i/>
          <w:szCs w:val="24"/>
        </w:rPr>
        <w:t>Art and Archaeology</w:t>
      </w:r>
      <w:r>
        <w:rPr>
          <w:rFonts w:ascii="Times New Roman" w:hAnsi="Times New Roman"/>
          <w:szCs w:val="24"/>
        </w:rPr>
        <w:t xml:space="preserve"> 13, no. 3 (March</w:t>
      </w:r>
      <w:r>
        <w:rPr>
          <w:rFonts w:ascii="Times New Roman" w:hAnsi="Times New Roman"/>
          <w:szCs w:val="24"/>
        </w:rPr>
        <w:tab/>
      </w:r>
      <w:r>
        <w:rPr>
          <w:rFonts w:ascii="Times New Roman" w:hAnsi="Times New Roman"/>
          <w:szCs w:val="24"/>
        </w:rPr>
        <w:tab/>
        <w:t>1922): 103-112.</w:t>
      </w:r>
    </w:p>
    <w:p w14:paraId="332BF1E5" w14:textId="77777777" w:rsidR="00361043" w:rsidRDefault="00361043" w:rsidP="005A39DA">
      <w:pPr>
        <w:pStyle w:val="NoSpacing"/>
        <w:rPr>
          <w:rFonts w:ascii="Times New Roman" w:hAnsi="Times New Roman"/>
          <w:szCs w:val="24"/>
        </w:rPr>
      </w:pPr>
    </w:p>
    <w:p w14:paraId="5869E499" w14:textId="48411DDC" w:rsidR="00A1496F" w:rsidRDefault="00A1496F" w:rsidP="005A39DA">
      <w:pPr>
        <w:pStyle w:val="NoSpacing"/>
        <w:rPr>
          <w:rFonts w:ascii="Times New Roman" w:hAnsi="Times New Roman"/>
          <w:szCs w:val="24"/>
        </w:rPr>
      </w:pPr>
      <w:r w:rsidRPr="006A42FC">
        <w:rPr>
          <w:rFonts w:ascii="Times New Roman" w:hAnsi="Times New Roman"/>
          <w:szCs w:val="24"/>
        </w:rPr>
        <w:t>Hogue, Alexandre</w:t>
      </w:r>
      <w:r>
        <w:rPr>
          <w:szCs w:val="24"/>
        </w:rPr>
        <w:t>.</w:t>
      </w:r>
      <w:r w:rsidRPr="006A42FC">
        <w:rPr>
          <w:rFonts w:ascii="Times New Roman" w:hAnsi="Times New Roman"/>
          <w:szCs w:val="24"/>
        </w:rPr>
        <w:t xml:space="preserve"> “Pueblo Tribes Aesthetic Giants, Indian Art Reveals,” </w:t>
      </w:r>
      <w:r w:rsidRPr="006A42FC">
        <w:rPr>
          <w:rFonts w:ascii="Times New Roman" w:hAnsi="Times New Roman"/>
          <w:i/>
          <w:szCs w:val="24"/>
        </w:rPr>
        <w:t>El Palacio</w:t>
      </w:r>
      <w:r>
        <w:rPr>
          <w:rFonts w:ascii="Times New Roman" w:hAnsi="Times New Roman"/>
          <w:i/>
          <w:szCs w:val="24"/>
        </w:rPr>
        <w:tab/>
      </w:r>
      <w:r w:rsidRPr="006A42FC">
        <w:rPr>
          <w:rFonts w:ascii="Times New Roman" w:hAnsi="Times New Roman"/>
          <w:szCs w:val="24"/>
        </w:rPr>
        <w:t>24</w:t>
      </w:r>
      <w:r>
        <w:rPr>
          <w:rFonts w:ascii="Times New Roman" w:hAnsi="Times New Roman"/>
          <w:szCs w:val="24"/>
        </w:rPr>
        <w:t xml:space="preserve">, no. </w:t>
      </w:r>
      <w:r w:rsidRPr="006A42FC">
        <w:rPr>
          <w:rFonts w:ascii="Times New Roman" w:hAnsi="Times New Roman"/>
          <w:szCs w:val="24"/>
        </w:rPr>
        <w:t xml:space="preserve">12 </w:t>
      </w:r>
      <w:r>
        <w:rPr>
          <w:rFonts w:ascii="Times New Roman" w:hAnsi="Times New Roman"/>
          <w:szCs w:val="24"/>
        </w:rPr>
        <w:t>(</w:t>
      </w:r>
      <w:r w:rsidRPr="006A42FC">
        <w:rPr>
          <w:rFonts w:ascii="Times New Roman" w:hAnsi="Times New Roman"/>
          <w:szCs w:val="24"/>
        </w:rPr>
        <w:t>1928</w:t>
      </w:r>
      <w:r>
        <w:rPr>
          <w:rFonts w:ascii="Times New Roman" w:hAnsi="Times New Roman"/>
          <w:szCs w:val="24"/>
        </w:rPr>
        <w:t>)</w:t>
      </w:r>
      <w:r w:rsidR="00355F33">
        <w:rPr>
          <w:rFonts w:ascii="Times New Roman" w:hAnsi="Times New Roman"/>
          <w:szCs w:val="24"/>
        </w:rPr>
        <w:t>: 214-218</w:t>
      </w:r>
      <w:r w:rsidRPr="006A42FC">
        <w:rPr>
          <w:rFonts w:ascii="Times New Roman" w:hAnsi="Times New Roman"/>
          <w:szCs w:val="24"/>
        </w:rPr>
        <w:t xml:space="preserve">. </w:t>
      </w:r>
    </w:p>
    <w:p w14:paraId="61A7B57B" w14:textId="77777777" w:rsidR="00A1496F" w:rsidRDefault="00A1496F" w:rsidP="00186DCC">
      <w:pPr>
        <w:pStyle w:val="NoSpacing"/>
        <w:rPr>
          <w:rFonts w:ascii="Times New Roman" w:hAnsi="Times New Roman"/>
          <w:szCs w:val="24"/>
        </w:rPr>
      </w:pPr>
    </w:p>
    <w:p w14:paraId="692F435C" w14:textId="45655A48" w:rsidR="00FC202C" w:rsidRDefault="00FC202C" w:rsidP="00186DCC">
      <w:pPr>
        <w:pStyle w:val="NoSpacing"/>
        <w:rPr>
          <w:rFonts w:ascii="Times New Roman" w:hAnsi="Times New Roman"/>
          <w:szCs w:val="24"/>
        </w:rPr>
      </w:pPr>
      <w:r w:rsidRPr="006A42FC">
        <w:rPr>
          <w:rFonts w:ascii="Times New Roman" w:hAnsi="Times New Roman"/>
          <w:szCs w:val="24"/>
        </w:rPr>
        <w:t>Hoving,</w:t>
      </w:r>
      <w:r>
        <w:rPr>
          <w:rFonts w:ascii="Times New Roman" w:hAnsi="Times New Roman"/>
          <w:szCs w:val="24"/>
        </w:rPr>
        <w:t xml:space="preserve"> </w:t>
      </w:r>
      <w:r w:rsidRPr="006A42FC">
        <w:rPr>
          <w:rFonts w:ascii="Times New Roman" w:hAnsi="Times New Roman"/>
          <w:szCs w:val="24"/>
        </w:rPr>
        <w:t>Thomas</w:t>
      </w:r>
      <w:r>
        <w:rPr>
          <w:rFonts w:ascii="Times New Roman" w:hAnsi="Times New Roman"/>
          <w:szCs w:val="24"/>
        </w:rPr>
        <w:t>.</w:t>
      </w:r>
      <w:r w:rsidRPr="006A42FC">
        <w:rPr>
          <w:rFonts w:ascii="Times New Roman" w:hAnsi="Times New Roman"/>
          <w:szCs w:val="24"/>
        </w:rPr>
        <w:t xml:space="preserve"> </w:t>
      </w:r>
      <w:r w:rsidRPr="006A42FC">
        <w:rPr>
          <w:rFonts w:ascii="Times New Roman" w:hAnsi="Times New Roman"/>
          <w:i/>
          <w:szCs w:val="24"/>
        </w:rPr>
        <w:t>The Art of Dan Namingha</w:t>
      </w:r>
      <w:r>
        <w:rPr>
          <w:rFonts w:ascii="Times New Roman" w:hAnsi="Times New Roman"/>
          <w:szCs w:val="24"/>
        </w:rPr>
        <w:t>.</w:t>
      </w:r>
      <w:r w:rsidRPr="006A42FC">
        <w:rPr>
          <w:rFonts w:ascii="Times New Roman" w:hAnsi="Times New Roman"/>
          <w:szCs w:val="24"/>
        </w:rPr>
        <w:t xml:space="preserve"> New York: Harry N. Abrams, 2000.</w:t>
      </w:r>
    </w:p>
    <w:p w14:paraId="5B659708" w14:textId="77777777" w:rsidR="00FC202C" w:rsidRDefault="00FC202C" w:rsidP="00186DCC">
      <w:pPr>
        <w:pStyle w:val="NoSpacing"/>
        <w:rPr>
          <w:rFonts w:ascii="Times New Roman" w:hAnsi="Times New Roman"/>
          <w:szCs w:val="24"/>
        </w:rPr>
      </w:pPr>
    </w:p>
    <w:p w14:paraId="06C2C962" w14:textId="62CE75F1" w:rsidR="00186DCC" w:rsidRPr="00DA1E36" w:rsidRDefault="00186DCC" w:rsidP="00186DCC">
      <w:pPr>
        <w:pStyle w:val="NoSpacing"/>
        <w:rPr>
          <w:rFonts w:ascii="Times New Roman" w:hAnsi="Times New Roman"/>
          <w:szCs w:val="24"/>
        </w:rPr>
      </w:pPr>
      <w:r w:rsidRPr="00DA1E36">
        <w:rPr>
          <w:rFonts w:ascii="Times New Roman" w:hAnsi="Times New Roman"/>
          <w:szCs w:val="24"/>
        </w:rPr>
        <w:t>Howard,</w:t>
      </w:r>
      <w:r w:rsidRPr="00DA1E36">
        <w:rPr>
          <w:rFonts w:ascii="Times New Roman" w:hAnsi="Times New Roman"/>
          <w:i/>
          <w:szCs w:val="24"/>
        </w:rPr>
        <w:t xml:space="preserve"> </w:t>
      </w:r>
      <w:r w:rsidRPr="00DA1E36">
        <w:rPr>
          <w:rFonts w:ascii="Times New Roman" w:hAnsi="Times New Roman"/>
          <w:szCs w:val="24"/>
        </w:rPr>
        <w:t>William Willard</w:t>
      </w:r>
      <w:r w:rsidRPr="00DA1E36">
        <w:rPr>
          <w:rFonts w:ascii="Times New Roman" w:hAnsi="Times New Roman"/>
          <w:i/>
          <w:szCs w:val="24"/>
        </w:rPr>
        <w:t>.</w:t>
      </w:r>
      <w:r w:rsidRPr="00DA1E36">
        <w:rPr>
          <w:rFonts w:ascii="Times New Roman" w:hAnsi="Times New Roman"/>
          <w:szCs w:val="24"/>
        </w:rPr>
        <w:t xml:space="preserve"> “The Rush to Oklahoma,” </w:t>
      </w:r>
      <w:r w:rsidRPr="00DA1E36">
        <w:rPr>
          <w:rFonts w:ascii="Times New Roman" w:hAnsi="Times New Roman"/>
          <w:i/>
          <w:szCs w:val="24"/>
        </w:rPr>
        <w:t>Harper's Weekly</w:t>
      </w:r>
      <w:r w:rsidRPr="00DA1E36">
        <w:rPr>
          <w:rFonts w:ascii="Times New Roman" w:hAnsi="Times New Roman"/>
          <w:szCs w:val="24"/>
        </w:rPr>
        <w:t xml:space="preserve"> 33 (May 18,</w:t>
      </w:r>
      <w:r w:rsidR="0036552C">
        <w:rPr>
          <w:rFonts w:ascii="Times New Roman" w:hAnsi="Times New Roman"/>
          <w:szCs w:val="24"/>
        </w:rPr>
        <w:tab/>
      </w:r>
      <w:r w:rsidRPr="00DA1E36">
        <w:rPr>
          <w:rFonts w:ascii="Times New Roman" w:hAnsi="Times New Roman"/>
          <w:szCs w:val="24"/>
        </w:rPr>
        <w:t>1889): 391-94.</w:t>
      </w:r>
    </w:p>
    <w:p w14:paraId="79B474BD" w14:textId="77777777" w:rsidR="00186DCC" w:rsidRPr="00DA1E36" w:rsidRDefault="00186DCC" w:rsidP="00186DCC">
      <w:pPr>
        <w:pStyle w:val="NoSpacing"/>
        <w:rPr>
          <w:rFonts w:ascii="Times New Roman" w:hAnsi="Times New Roman"/>
          <w:szCs w:val="24"/>
        </w:rPr>
      </w:pPr>
    </w:p>
    <w:p w14:paraId="1AEF6316" w14:textId="3DE0936F" w:rsidR="00186DCC" w:rsidRPr="00DA1E36" w:rsidRDefault="00186DCC" w:rsidP="0036552C">
      <w:pPr>
        <w:pStyle w:val="NoSpacing"/>
        <w:rPr>
          <w:rFonts w:ascii="Times New Roman" w:hAnsi="Times New Roman"/>
          <w:szCs w:val="24"/>
        </w:rPr>
      </w:pPr>
      <w:r w:rsidRPr="00DA1E36">
        <w:rPr>
          <w:rFonts w:ascii="Times New Roman" w:hAnsi="Times New Roman"/>
          <w:szCs w:val="24"/>
        </w:rPr>
        <w:t xml:space="preserve">Hsu, Hsuan. “Literature and Regional Production.” </w:t>
      </w:r>
      <w:r w:rsidRPr="00DA1E36">
        <w:rPr>
          <w:rStyle w:val="medium-font"/>
          <w:rFonts w:ascii="Times New Roman" w:hAnsi="Times New Roman"/>
          <w:i/>
          <w:szCs w:val="24"/>
        </w:rPr>
        <w:t>American Literary History</w:t>
      </w:r>
      <w:r w:rsidR="00F1077D">
        <w:rPr>
          <w:rStyle w:val="medium-font"/>
          <w:rFonts w:ascii="Times New Roman" w:hAnsi="Times New Roman"/>
          <w:szCs w:val="24"/>
        </w:rPr>
        <w:t xml:space="preserve"> 17, no. </w:t>
      </w:r>
      <w:r w:rsidRPr="00DA1E36">
        <w:rPr>
          <w:rStyle w:val="medium-font"/>
          <w:rFonts w:ascii="Times New Roman" w:hAnsi="Times New Roman"/>
          <w:szCs w:val="24"/>
        </w:rPr>
        <w:t>1</w:t>
      </w:r>
      <w:r w:rsidR="0036552C">
        <w:rPr>
          <w:rStyle w:val="medium-font"/>
          <w:rFonts w:ascii="Times New Roman" w:hAnsi="Times New Roman"/>
          <w:szCs w:val="24"/>
        </w:rPr>
        <w:tab/>
        <w:t xml:space="preserve">(Spring 2005): </w:t>
      </w:r>
      <w:r w:rsidRPr="00DA1E36">
        <w:rPr>
          <w:rStyle w:val="medium-font"/>
          <w:rFonts w:ascii="Times New Roman" w:hAnsi="Times New Roman"/>
          <w:szCs w:val="24"/>
        </w:rPr>
        <w:t>36-69.</w:t>
      </w:r>
    </w:p>
    <w:p w14:paraId="6CB8F02C" w14:textId="77777777" w:rsidR="00186DCC" w:rsidRPr="00DA1E36" w:rsidRDefault="00186DCC" w:rsidP="00186DCC">
      <w:pPr>
        <w:pStyle w:val="NoSpacing"/>
        <w:rPr>
          <w:rFonts w:ascii="Times New Roman" w:hAnsi="Times New Roman"/>
          <w:szCs w:val="24"/>
        </w:rPr>
      </w:pPr>
    </w:p>
    <w:p w14:paraId="0DE2B622" w14:textId="0EEEFDE4"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Hughes, Edan Milton. </w:t>
      </w:r>
      <w:r w:rsidRPr="00DA1E36">
        <w:rPr>
          <w:rFonts w:ascii="Times New Roman" w:hAnsi="Times New Roman"/>
          <w:i/>
          <w:iCs/>
          <w:szCs w:val="24"/>
        </w:rPr>
        <w:t>Artists in California, 1786-1940, L-Z</w:t>
      </w:r>
      <w:r w:rsidR="00F1077D">
        <w:rPr>
          <w:rFonts w:ascii="Times New Roman" w:hAnsi="Times New Roman"/>
          <w:szCs w:val="24"/>
        </w:rPr>
        <w:t>. Sacramento</w:t>
      </w:r>
      <w:r w:rsidRPr="00DA1E36">
        <w:rPr>
          <w:rFonts w:ascii="Times New Roman" w:hAnsi="Times New Roman"/>
          <w:szCs w:val="24"/>
        </w:rPr>
        <w:t>: Crocker</w:t>
      </w:r>
      <w:r w:rsidR="0036552C">
        <w:rPr>
          <w:rFonts w:ascii="Times New Roman" w:hAnsi="Times New Roman"/>
          <w:szCs w:val="24"/>
        </w:rPr>
        <w:tab/>
      </w:r>
      <w:r w:rsidR="0096107D">
        <w:rPr>
          <w:rFonts w:ascii="Times New Roman" w:hAnsi="Times New Roman"/>
          <w:szCs w:val="24"/>
        </w:rPr>
        <w:t>Art</w:t>
      </w:r>
      <w:r w:rsidR="00F1077D">
        <w:rPr>
          <w:rFonts w:ascii="Times New Roman" w:hAnsi="Times New Roman"/>
          <w:szCs w:val="24"/>
        </w:rPr>
        <w:tab/>
      </w:r>
      <w:r w:rsidR="0096107D">
        <w:rPr>
          <w:rFonts w:ascii="Times New Roman" w:hAnsi="Times New Roman"/>
          <w:szCs w:val="24"/>
        </w:rPr>
        <w:t>Museum, 2002.</w:t>
      </w:r>
    </w:p>
    <w:p w14:paraId="4D71EA6D" w14:textId="77777777" w:rsidR="00186DCC" w:rsidRPr="00DA1E36" w:rsidRDefault="00186DCC" w:rsidP="00186DCC">
      <w:pPr>
        <w:pStyle w:val="NoSpacing"/>
        <w:rPr>
          <w:rFonts w:ascii="Times New Roman" w:hAnsi="Times New Roman"/>
          <w:szCs w:val="24"/>
        </w:rPr>
      </w:pPr>
    </w:p>
    <w:p w14:paraId="263B3AA8" w14:textId="4A17B1FE" w:rsidR="00186DCC" w:rsidRPr="00355F33" w:rsidRDefault="00186DCC" w:rsidP="00186DCC">
      <w:pPr>
        <w:pStyle w:val="NoSpacing"/>
        <w:rPr>
          <w:rFonts w:ascii="Times New Roman" w:hAnsi="Times New Roman"/>
          <w:szCs w:val="24"/>
        </w:rPr>
      </w:pPr>
      <w:r w:rsidRPr="00DA1E36">
        <w:rPr>
          <w:rStyle w:val="titleauthoretc"/>
          <w:rFonts w:ascii="Times New Roman" w:hAnsi="Times New Roman"/>
          <w:szCs w:val="24"/>
        </w:rPr>
        <w:t>Ikemoto</w:t>
      </w:r>
      <w:r w:rsidRPr="00DA1E36">
        <w:rPr>
          <w:rFonts w:ascii="Times New Roman" w:hAnsi="Times New Roman"/>
          <w:szCs w:val="24"/>
        </w:rPr>
        <w:t>, We</w:t>
      </w:r>
      <w:r w:rsidRPr="00355F33">
        <w:rPr>
          <w:rFonts w:ascii="Times New Roman" w:hAnsi="Times New Roman"/>
          <w:szCs w:val="24"/>
        </w:rPr>
        <w:t xml:space="preserve">ndy </w:t>
      </w:r>
      <w:r w:rsidRPr="00355F33">
        <w:rPr>
          <w:rStyle w:val="titleauthoretc"/>
          <w:rFonts w:ascii="Times New Roman" w:hAnsi="Times New Roman"/>
          <w:szCs w:val="24"/>
        </w:rPr>
        <w:t>Nalani Emiko.</w:t>
      </w:r>
      <w:r w:rsidRPr="00355F33">
        <w:rPr>
          <w:rFonts w:ascii="Times New Roman" w:hAnsi="Times New Roman"/>
          <w:szCs w:val="24"/>
        </w:rPr>
        <w:t xml:space="preserve"> </w:t>
      </w:r>
      <w:r w:rsidRPr="00355F33">
        <w:rPr>
          <w:rFonts w:ascii="Times New Roman" w:hAnsi="Times New Roman"/>
          <w:i/>
          <w:szCs w:val="24"/>
        </w:rPr>
        <w:t>The Space Between: Paired Paintings in Antebellum</w:t>
      </w:r>
      <w:r w:rsidR="0036552C" w:rsidRPr="00355F33">
        <w:rPr>
          <w:rFonts w:ascii="Times New Roman" w:hAnsi="Times New Roman"/>
          <w:i/>
          <w:szCs w:val="24"/>
        </w:rPr>
        <w:tab/>
      </w:r>
      <w:r w:rsidRPr="00355F33">
        <w:rPr>
          <w:rFonts w:ascii="Times New Roman" w:hAnsi="Times New Roman"/>
          <w:i/>
          <w:szCs w:val="24"/>
        </w:rPr>
        <w:t>America</w:t>
      </w:r>
      <w:r w:rsidRPr="00355F33">
        <w:rPr>
          <w:rFonts w:ascii="Times New Roman" w:hAnsi="Times New Roman"/>
          <w:szCs w:val="24"/>
        </w:rPr>
        <w:t xml:space="preserve">. </w:t>
      </w:r>
      <w:r w:rsidR="00F1077D" w:rsidRPr="00355F33">
        <w:rPr>
          <w:rFonts w:ascii="Times New Roman" w:hAnsi="Times New Roman"/>
          <w:szCs w:val="24"/>
        </w:rPr>
        <w:t xml:space="preserve">PhD diss., </w:t>
      </w:r>
      <w:r w:rsidRPr="00355F33">
        <w:rPr>
          <w:rFonts w:ascii="Times New Roman" w:hAnsi="Times New Roman"/>
          <w:szCs w:val="24"/>
        </w:rPr>
        <w:t>Harvard University, 2009.</w:t>
      </w:r>
    </w:p>
    <w:p w14:paraId="4945F774" w14:textId="77777777" w:rsidR="00186DCC" w:rsidRPr="00355F33" w:rsidRDefault="00186DCC" w:rsidP="00186DCC">
      <w:pPr>
        <w:pStyle w:val="NoSpacing"/>
        <w:rPr>
          <w:rFonts w:ascii="Times New Roman" w:hAnsi="Times New Roman"/>
          <w:szCs w:val="24"/>
        </w:rPr>
      </w:pPr>
    </w:p>
    <w:p w14:paraId="295F8094" w14:textId="0CB54A21" w:rsidR="00355F33" w:rsidRPr="00355F33" w:rsidRDefault="00355F33" w:rsidP="00355F33">
      <w:pPr>
        <w:pStyle w:val="FootnoteText"/>
        <w:rPr>
          <w:sz w:val="24"/>
          <w:szCs w:val="24"/>
        </w:rPr>
      </w:pPr>
      <w:r w:rsidRPr="00355F33">
        <w:rPr>
          <w:sz w:val="24"/>
          <w:szCs w:val="24"/>
        </w:rPr>
        <w:t xml:space="preserve">Imada, Adria L. </w:t>
      </w:r>
      <w:r w:rsidRPr="00355F33">
        <w:rPr>
          <w:i/>
          <w:sz w:val="24"/>
          <w:szCs w:val="24"/>
        </w:rPr>
        <w:t>Aloha America: Hula Circuits Through the U.S. Empire</w:t>
      </w:r>
      <w:r w:rsidRPr="00355F33">
        <w:rPr>
          <w:sz w:val="24"/>
          <w:szCs w:val="24"/>
        </w:rPr>
        <w:t>. Durham and</w:t>
      </w:r>
      <w:r>
        <w:rPr>
          <w:sz w:val="24"/>
          <w:szCs w:val="24"/>
        </w:rPr>
        <w:tab/>
      </w:r>
      <w:r w:rsidRPr="00355F33">
        <w:rPr>
          <w:sz w:val="24"/>
          <w:szCs w:val="24"/>
        </w:rPr>
        <w:t>London:</w:t>
      </w:r>
      <w:r>
        <w:rPr>
          <w:sz w:val="24"/>
          <w:szCs w:val="24"/>
        </w:rPr>
        <w:t xml:space="preserve"> </w:t>
      </w:r>
      <w:r w:rsidRPr="00355F33">
        <w:rPr>
          <w:sz w:val="24"/>
          <w:szCs w:val="24"/>
        </w:rPr>
        <w:t>Duke University Press, 2012.</w:t>
      </w:r>
    </w:p>
    <w:p w14:paraId="7171FA51" w14:textId="77777777" w:rsidR="00355F33" w:rsidRPr="00355F33" w:rsidRDefault="00355F33" w:rsidP="00355F33">
      <w:pPr>
        <w:pStyle w:val="NoSpacing"/>
        <w:rPr>
          <w:rFonts w:ascii="Times New Roman" w:hAnsi="Times New Roman"/>
          <w:szCs w:val="24"/>
        </w:rPr>
      </w:pPr>
    </w:p>
    <w:p w14:paraId="1C32EE5E" w14:textId="2C1C9795" w:rsidR="00186DCC" w:rsidRPr="00D54A9A" w:rsidRDefault="00355F33" w:rsidP="00186DCC">
      <w:pPr>
        <w:pStyle w:val="NoSpacing"/>
        <w:rPr>
          <w:rFonts w:ascii="Times New Roman" w:hAnsi="Times New Roman"/>
          <w:szCs w:val="24"/>
        </w:rPr>
      </w:pPr>
      <w:r>
        <w:rPr>
          <w:rFonts w:ascii="Times New Roman" w:hAnsi="Times New Roman"/>
          <w:szCs w:val="24"/>
        </w:rPr>
        <w:t>_____</w:t>
      </w:r>
      <w:r w:rsidR="00186DCC" w:rsidRPr="00D54A9A">
        <w:rPr>
          <w:rFonts w:ascii="Times New Roman" w:hAnsi="Times New Roman"/>
          <w:szCs w:val="24"/>
        </w:rPr>
        <w:t xml:space="preserve">. “Transnational Hula as Colonial Culture.” </w:t>
      </w:r>
      <w:r w:rsidR="00186DCC" w:rsidRPr="00D54A9A">
        <w:rPr>
          <w:rFonts w:ascii="Times New Roman" w:hAnsi="Times New Roman"/>
          <w:i/>
          <w:szCs w:val="24"/>
        </w:rPr>
        <w:t>The Journal of Pacific</w:t>
      </w:r>
      <w:r>
        <w:rPr>
          <w:rFonts w:ascii="Times New Roman" w:hAnsi="Times New Roman"/>
          <w:i/>
          <w:szCs w:val="24"/>
        </w:rPr>
        <w:t xml:space="preserve"> </w:t>
      </w:r>
      <w:r w:rsidR="00186DCC" w:rsidRPr="00D54A9A">
        <w:rPr>
          <w:rFonts w:ascii="Times New Roman" w:hAnsi="Times New Roman"/>
          <w:i/>
          <w:szCs w:val="24"/>
        </w:rPr>
        <w:t>History</w:t>
      </w:r>
      <w:r w:rsidR="00F1077D">
        <w:rPr>
          <w:rFonts w:ascii="Times New Roman" w:hAnsi="Times New Roman"/>
          <w:szCs w:val="24"/>
        </w:rPr>
        <w:t xml:space="preserve"> 46, no.</w:t>
      </w:r>
      <w:r>
        <w:rPr>
          <w:rFonts w:ascii="Times New Roman" w:hAnsi="Times New Roman"/>
          <w:szCs w:val="24"/>
        </w:rPr>
        <w:tab/>
      </w:r>
      <w:r w:rsidR="00186DCC" w:rsidRPr="00D54A9A">
        <w:rPr>
          <w:rFonts w:ascii="Times New Roman" w:hAnsi="Times New Roman"/>
          <w:szCs w:val="24"/>
        </w:rPr>
        <w:t>2</w:t>
      </w:r>
      <w:r w:rsidR="0036552C" w:rsidRPr="00D54A9A">
        <w:rPr>
          <w:rFonts w:ascii="Times New Roman" w:hAnsi="Times New Roman"/>
          <w:szCs w:val="24"/>
        </w:rPr>
        <w:t xml:space="preserve"> </w:t>
      </w:r>
      <w:r w:rsidR="00186DCC" w:rsidRPr="00D54A9A">
        <w:rPr>
          <w:rFonts w:ascii="Times New Roman" w:hAnsi="Times New Roman"/>
          <w:szCs w:val="24"/>
        </w:rPr>
        <w:t>(September 2011): 149-176.</w:t>
      </w:r>
    </w:p>
    <w:p w14:paraId="538ED82D" w14:textId="77777777" w:rsidR="009044C1" w:rsidRPr="00D54A9A" w:rsidRDefault="009044C1" w:rsidP="00D54A9A">
      <w:pPr>
        <w:pStyle w:val="FootnoteText"/>
        <w:ind w:left="180" w:hanging="180"/>
        <w:rPr>
          <w:sz w:val="24"/>
          <w:szCs w:val="24"/>
        </w:rPr>
      </w:pPr>
    </w:p>
    <w:p w14:paraId="6A2206E2" w14:textId="39ADAD60" w:rsidR="00FC202C" w:rsidRDefault="00FC202C" w:rsidP="00186DCC">
      <w:pPr>
        <w:pStyle w:val="NoSpacing"/>
        <w:rPr>
          <w:rFonts w:ascii="Times New Roman" w:hAnsi="Times New Roman"/>
          <w:szCs w:val="24"/>
        </w:rPr>
      </w:pPr>
      <w:r w:rsidRPr="006A42FC">
        <w:rPr>
          <w:rFonts w:ascii="Times New Roman" w:hAnsi="Times New Roman"/>
          <w:szCs w:val="24"/>
        </w:rPr>
        <w:t>Isaac, Gwyneira</w:t>
      </w:r>
      <w:r>
        <w:rPr>
          <w:szCs w:val="24"/>
        </w:rPr>
        <w:t>.</w:t>
      </w:r>
      <w:r w:rsidRPr="006A42FC">
        <w:rPr>
          <w:rFonts w:ascii="Times New Roman" w:hAnsi="Times New Roman"/>
          <w:szCs w:val="24"/>
        </w:rPr>
        <w:t xml:space="preserve"> </w:t>
      </w:r>
      <w:r w:rsidRPr="006A42FC">
        <w:rPr>
          <w:rFonts w:ascii="Times New Roman" w:hAnsi="Times New Roman"/>
          <w:i/>
          <w:szCs w:val="24"/>
        </w:rPr>
        <w:t>Mediating Knowledges: Origins of a Zuni Tribal Museum</w:t>
      </w:r>
      <w:r>
        <w:rPr>
          <w:rFonts w:ascii="Times New Roman" w:hAnsi="Times New Roman"/>
          <w:szCs w:val="24"/>
        </w:rPr>
        <w:t xml:space="preserve">. </w:t>
      </w:r>
      <w:r w:rsidRPr="006A42FC">
        <w:rPr>
          <w:rFonts w:ascii="Times New Roman" w:hAnsi="Times New Roman"/>
          <w:szCs w:val="24"/>
        </w:rPr>
        <w:t>Tucson,</w:t>
      </w:r>
      <w:r>
        <w:rPr>
          <w:rFonts w:ascii="Times New Roman" w:hAnsi="Times New Roman"/>
          <w:szCs w:val="24"/>
        </w:rPr>
        <w:tab/>
      </w:r>
      <w:r w:rsidRPr="006A42FC">
        <w:rPr>
          <w:rFonts w:ascii="Times New Roman" w:hAnsi="Times New Roman"/>
          <w:szCs w:val="24"/>
        </w:rPr>
        <w:t>AZ</w:t>
      </w:r>
      <w:r>
        <w:rPr>
          <w:rFonts w:ascii="Times New Roman" w:hAnsi="Times New Roman"/>
          <w:szCs w:val="24"/>
        </w:rPr>
        <w:t>:</w:t>
      </w:r>
      <w:r w:rsidRPr="006A42FC">
        <w:rPr>
          <w:rFonts w:ascii="Times New Roman" w:hAnsi="Times New Roman"/>
          <w:szCs w:val="24"/>
        </w:rPr>
        <w:t xml:space="preserve"> </w:t>
      </w:r>
      <w:r>
        <w:rPr>
          <w:rFonts w:ascii="Times New Roman" w:hAnsi="Times New Roman"/>
          <w:szCs w:val="24"/>
        </w:rPr>
        <w:t xml:space="preserve">University of Arizona Press, </w:t>
      </w:r>
      <w:r w:rsidRPr="006A42FC">
        <w:rPr>
          <w:rFonts w:ascii="Times New Roman" w:hAnsi="Times New Roman"/>
          <w:szCs w:val="24"/>
        </w:rPr>
        <w:t>2007</w:t>
      </w:r>
      <w:r w:rsidR="00803CC1">
        <w:rPr>
          <w:rFonts w:ascii="Times New Roman" w:hAnsi="Times New Roman"/>
          <w:szCs w:val="24"/>
        </w:rPr>
        <w:t>.</w:t>
      </w:r>
    </w:p>
    <w:p w14:paraId="1E21C15D" w14:textId="77777777" w:rsidR="00FC202C" w:rsidRDefault="00FC202C" w:rsidP="00186DCC">
      <w:pPr>
        <w:pStyle w:val="NoSpacing"/>
        <w:rPr>
          <w:rFonts w:ascii="Times New Roman" w:hAnsi="Times New Roman"/>
          <w:szCs w:val="24"/>
        </w:rPr>
      </w:pPr>
    </w:p>
    <w:p w14:paraId="3CD33586" w14:textId="52B34DB5" w:rsidR="00186DCC" w:rsidRPr="00DA1E36" w:rsidRDefault="00186DCC" w:rsidP="00186DCC">
      <w:pPr>
        <w:pStyle w:val="NoSpacing"/>
        <w:rPr>
          <w:rFonts w:ascii="Times New Roman" w:hAnsi="Times New Roman"/>
          <w:szCs w:val="24"/>
        </w:rPr>
      </w:pPr>
      <w:r w:rsidRPr="00D54A9A">
        <w:rPr>
          <w:rFonts w:ascii="Times New Roman" w:hAnsi="Times New Roman"/>
          <w:szCs w:val="24"/>
        </w:rPr>
        <w:t>Jackson, A</w:t>
      </w:r>
      <w:r w:rsidRPr="00DA1E36">
        <w:rPr>
          <w:rFonts w:ascii="Times New Roman" w:hAnsi="Times New Roman"/>
          <w:szCs w:val="24"/>
        </w:rPr>
        <w:t>.P., and Elrick C. Cole</w:t>
      </w:r>
      <w:r w:rsidR="00F1077D">
        <w:rPr>
          <w:rFonts w:ascii="Times New Roman" w:hAnsi="Times New Roman"/>
          <w:szCs w:val="24"/>
        </w:rPr>
        <w:t xml:space="preserve">. </w:t>
      </w:r>
      <w:r w:rsidRPr="00DA1E36">
        <w:rPr>
          <w:rFonts w:ascii="Times New Roman" w:hAnsi="Times New Roman"/>
          <w:i/>
          <w:szCs w:val="24"/>
        </w:rPr>
        <w:t>Oklahoma! Politically and Topographically</w:t>
      </w:r>
      <w:r w:rsidR="0036552C">
        <w:rPr>
          <w:rFonts w:ascii="Times New Roman" w:hAnsi="Times New Roman"/>
          <w:i/>
          <w:szCs w:val="24"/>
        </w:rPr>
        <w:tab/>
      </w:r>
      <w:r w:rsidRPr="00DA1E36">
        <w:rPr>
          <w:rFonts w:ascii="Times New Roman" w:hAnsi="Times New Roman"/>
          <w:i/>
          <w:szCs w:val="24"/>
        </w:rPr>
        <w:t>Described: History and</w:t>
      </w:r>
      <w:r w:rsidR="0036552C">
        <w:rPr>
          <w:rFonts w:ascii="Times New Roman" w:hAnsi="Times New Roman"/>
          <w:i/>
          <w:szCs w:val="24"/>
        </w:rPr>
        <w:t xml:space="preserve"> </w:t>
      </w:r>
      <w:r w:rsidRPr="00DA1E36">
        <w:rPr>
          <w:rFonts w:ascii="Times New Roman" w:hAnsi="Times New Roman"/>
          <w:i/>
          <w:szCs w:val="24"/>
        </w:rPr>
        <w:t>Guide to the Indian Territory: Biographical Sketches of</w:t>
      </w:r>
      <w:r w:rsidR="0036552C">
        <w:rPr>
          <w:rFonts w:ascii="Times New Roman" w:hAnsi="Times New Roman"/>
          <w:i/>
          <w:szCs w:val="24"/>
        </w:rPr>
        <w:tab/>
      </w:r>
      <w:r w:rsidRPr="00DA1E36">
        <w:rPr>
          <w:rFonts w:ascii="Times New Roman" w:hAnsi="Times New Roman"/>
          <w:i/>
          <w:szCs w:val="24"/>
        </w:rPr>
        <w:t>Capt. David L. Payne, W.L. Couch, WM.H. Osborn, and Others.</w:t>
      </w:r>
      <w:r w:rsidR="0036552C">
        <w:rPr>
          <w:rFonts w:ascii="Times New Roman" w:hAnsi="Times New Roman"/>
          <w:i/>
          <w:szCs w:val="24"/>
        </w:rPr>
        <w:t xml:space="preserve"> </w:t>
      </w:r>
      <w:r w:rsidR="00355F33">
        <w:rPr>
          <w:rFonts w:ascii="Times New Roman" w:hAnsi="Times New Roman"/>
          <w:szCs w:val="24"/>
        </w:rPr>
        <w:t>Kansas City</w:t>
      </w:r>
      <w:r w:rsidRPr="00DA1E36">
        <w:rPr>
          <w:rFonts w:ascii="Times New Roman" w:hAnsi="Times New Roman"/>
          <w:szCs w:val="24"/>
        </w:rPr>
        <w:t>:</w:t>
      </w:r>
      <w:r w:rsidR="00355F33">
        <w:rPr>
          <w:rFonts w:ascii="Times New Roman" w:hAnsi="Times New Roman"/>
          <w:szCs w:val="24"/>
        </w:rPr>
        <w:tab/>
      </w:r>
      <w:r w:rsidRPr="00DA1E36">
        <w:rPr>
          <w:rFonts w:ascii="Times New Roman" w:hAnsi="Times New Roman"/>
          <w:szCs w:val="24"/>
        </w:rPr>
        <w:t>Ramsey, Millett and Hudson, 1885.</w:t>
      </w:r>
    </w:p>
    <w:p w14:paraId="0DB91F30" w14:textId="77777777" w:rsidR="00186DCC" w:rsidRPr="00DA1E36" w:rsidRDefault="00186DCC" w:rsidP="00186DCC">
      <w:pPr>
        <w:pStyle w:val="NoSpacing"/>
        <w:rPr>
          <w:rFonts w:ascii="Times New Roman" w:hAnsi="Times New Roman"/>
          <w:szCs w:val="24"/>
        </w:rPr>
      </w:pPr>
    </w:p>
    <w:p w14:paraId="11EE2F2F" w14:textId="17EE9B19"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Jackson, Frances. </w:t>
      </w:r>
      <w:r w:rsidRPr="00DA1E36">
        <w:rPr>
          <w:rFonts w:ascii="Times New Roman" w:hAnsi="Times New Roman"/>
          <w:i/>
          <w:szCs w:val="24"/>
        </w:rPr>
        <w:t>National Parks in Hawaii: 50 years, 1916-1966; A Short History of</w:t>
      </w:r>
      <w:r w:rsidR="0036552C">
        <w:rPr>
          <w:rFonts w:ascii="Times New Roman" w:hAnsi="Times New Roman"/>
          <w:i/>
          <w:szCs w:val="24"/>
        </w:rPr>
        <w:tab/>
      </w:r>
      <w:r w:rsidRPr="00DA1E36">
        <w:rPr>
          <w:rFonts w:ascii="Times New Roman" w:hAnsi="Times New Roman"/>
          <w:i/>
          <w:szCs w:val="24"/>
        </w:rPr>
        <w:t>Hawaii Volcanoes</w:t>
      </w:r>
      <w:r w:rsidR="0036552C">
        <w:rPr>
          <w:rFonts w:ascii="Times New Roman" w:hAnsi="Times New Roman"/>
          <w:i/>
          <w:szCs w:val="24"/>
        </w:rPr>
        <w:t xml:space="preserve"> </w:t>
      </w:r>
      <w:r w:rsidRPr="00DA1E36">
        <w:rPr>
          <w:rFonts w:ascii="Times New Roman" w:hAnsi="Times New Roman"/>
          <w:i/>
          <w:szCs w:val="24"/>
        </w:rPr>
        <w:t>National Park</w:t>
      </w:r>
      <w:r w:rsidRPr="00DA1E36">
        <w:rPr>
          <w:rFonts w:ascii="Times New Roman" w:hAnsi="Times New Roman"/>
          <w:szCs w:val="24"/>
        </w:rPr>
        <w:t xml:space="preserve">, </w:t>
      </w:r>
      <w:r w:rsidRPr="00DA1E36">
        <w:rPr>
          <w:rFonts w:ascii="Times New Roman" w:hAnsi="Times New Roman"/>
          <w:i/>
          <w:szCs w:val="24"/>
        </w:rPr>
        <w:t>Haleakala National Park</w:t>
      </w:r>
      <w:r w:rsidRPr="00DA1E36">
        <w:rPr>
          <w:rFonts w:ascii="Times New Roman" w:hAnsi="Times New Roman"/>
          <w:szCs w:val="24"/>
        </w:rPr>
        <w:t>. Honolulu: Hawaii</w:t>
      </w:r>
      <w:r w:rsidR="0036552C">
        <w:rPr>
          <w:rFonts w:ascii="Times New Roman" w:hAnsi="Times New Roman"/>
          <w:szCs w:val="24"/>
        </w:rPr>
        <w:tab/>
      </w:r>
      <w:r w:rsidRPr="00DA1E36">
        <w:rPr>
          <w:rFonts w:ascii="Times New Roman" w:hAnsi="Times New Roman"/>
          <w:szCs w:val="24"/>
        </w:rPr>
        <w:t>Natural History Association, 1966.</w:t>
      </w:r>
    </w:p>
    <w:p w14:paraId="7994E122" w14:textId="6B86F6D6" w:rsidR="00186DCC" w:rsidRDefault="00186DCC" w:rsidP="00186DCC">
      <w:pPr>
        <w:pStyle w:val="NoSpacing"/>
        <w:rPr>
          <w:rFonts w:ascii="Times New Roman" w:hAnsi="Times New Roman"/>
          <w:szCs w:val="24"/>
        </w:rPr>
      </w:pPr>
    </w:p>
    <w:p w14:paraId="33B871F8" w14:textId="5811C527" w:rsidR="000A5E09" w:rsidRDefault="000A5E09" w:rsidP="00186DCC">
      <w:pPr>
        <w:pStyle w:val="NoSpacing"/>
        <w:rPr>
          <w:rFonts w:ascii="Times New Roman" w:hAnsi="Times New Roman"/>
          <w:szCs w:val="24"/>
        </w:rPr>
      </w:pPr>
      <w:r w:rsidRPr="004817B9">
        <w:rPr>
          <w:rFonts w:ascii="Times New Roman" w:hAnsi="Times New Roman"/>
          <w:color w:val="000000"/>
          <w:szCs w:val="24"/>
          <w:shd w:val="clear" w:color="auto" w:fill="FFFFFF"/>
        </w:rPr>
        <w:t xml:space="preserve">James, Edwin, </w:t>
      </w:r>
      <w:r w:rsidR="00355F33" w:rsidRPr="004817B9">
        <w:rPr>
          <w:rFonts w:ascii="Times New Roman" w:hAnsi="Times New Roman"/>
          <w:color w:val="000000"/>
          <w:szCs w:val="24"/>
          <w:shd w:val="clear" w:color="auto" w:fill="FFFFFF"/>
        </w:rPr>
        <w:t>Stephen H</w:t>
      </w:r>
      <w:r w:rsidR="00355F33">
        <w:rPr>
          <w:rFonts w:ascii="Times New Roman" w:hAnsi="Times New Roman"/>
          <w:color w:val="000000"/>
          <w:szCs w:val="24"/>
          <w:shd w:val="clear" w:color="auto" w:fill="FFFFFF"/>
        </w:rPr>
        <w:t>.</w:t>
      </w:r>
      <w:r w:rsidR="00355F33" w:rsidRPr="004817B9">
        <w:rPr>
          <w:rFonts w:ascii="Times New Roman" w:hAnsi="Times New Roman"/>
          <w:color w:val="000000"/>
          <w:szCs w:val="24"/>
          <w:shd w:val="clear" w:color="auto" w:fill="FFFFFF"/>
        </w:rPr>
        <w:t xml:space="preserve"> </w:t>
      </w:r>
      <w:r w:rsidRPr="004817B9">
        <w:rPr>
          <w:rFonts w:ascii="Times New Roman" w:hAnsi="Times New Roman"/>
          <w:color w:val="000000"/>
          <w:szCs w:val="24"/>
          <w:shd w:val="clear" w:color="auto" w:fill="FFFFFF"/>
        </w:rPr>
        <w:t xml:space="preserve">Long, </w:t>
      </w:r>
      <w:r w:rsidR="00355F33">
        <w:rPr>
          <w:rFonts w:ascii="Times New Roman" w:hAnsi="Times New Roman"/>
          <w:color w:val="000000"/>
          <w:szCs w:val="24"/>
          <w:shd w:val="clear" w:color="auto" w:fill="FFFFFF"/>
        </w:rPr>
        <w:t xml:space="preserve">and Thomas </w:t>
      </w:r>
      <w:r w:rsidRPr="004817B9">
        <w:rPr>
          <w:rFonts w:ascii="Times New Roman" w:hAnsi="Times New Roman"/>
          <w:color w:val="000000"/>
          <w:szCs w:val="24"/>
          <w:shd w:val="clear" w:color="auto" w:fill="FFFFFF"/>
        </w:rPr>
        <w:t xml:space="preserve">Say. </w:t>
      </w:r>
      <w:r w:rsidRPr="00EA4A9B">
        <w:rPr>
          <w:rFonts w:ascii="Times New Roman" w:hAnsi="Times New Roman"/>
          <w:i/>
          <w:color w:val="000000"/>
          <w:szCs w:val="24"/>
          <w:shd w:val="clear" w:color="auto" w:fill="FFFFFF"/>
        </w:rPr>
        <w:t>Account of an</w:t>
      </w:r>
      <w:r w:rsidR="00355F33">
        <w:rPr>
          <w:rFonts w:ascii="Times New Roman" w:hAnsi="Times New Roman"/>
          <w:i/>
          <w:color w:val="000000"/>
          <w:szCs w:val="24"/>
          <w:shd w:val="clear" w:color="auto" w:fill="FFFFFF"/>
        </w:rPr>
        <w:t xml:space="preserve"> </w:t>
      </w:r>
      <w:r w:rsidRPr="00EA4A9B">
        <w:rPr>
          <w:rFonts w:ascii="Times New Roman" w:hAnsi="Times New Roman"/>
          <w:i/>
          <w:color w:val="000000"/>
          <w:szCs w:val="24"/>
          <w:shd w:val="clear" w:color="auto" w:fill="FFFFFF"/>
        </w:rPr>
        <w:t>Expedition from</w:t>
      </w:r>
      <w:r w:rsidR="00355F33">
        <w:rPr>
          <w:rFonts w:ascii="Times New Roman" w:hAnsi="Times New Roman"/>
          <w:i/>
          <w:color w:val="000000"/>
          <w:szCs w:val="24"/>
          <w:shd w:val="clear" w:color="auto" w:fill="FFFFFF"/>
        </w:rPr>
        <w:tab/>
      </w:r>
      <w:r w:rsidR="00355F33">
        <w:rPr>
          <w:rFonts w:ascii="Times New Roman" w:hAnsi="Times New Roman"/>
          <w:i/>
          <w:color w:val="000000"/>
          <w:szCs w:val="24"/>
          <w:shd w:val="clear" w:color="auto" w:fill="FFFFFF"/>
        </w:rPr>
        <w:tab/>
      </w:r>
      <w:r w:rsidRPr="00EA4A9B">
        <w:rPr>
          <w:rFonts w:ascii="Times New Roman" w:hAnsi="Times New Roman"/>
          <w:i/>
          <w:color w:val="000000"/>
          <w:szCs w:val="24"/>
          <w:shd w:val="clear" w:color="auto" w:fill="FFFFFF"/>
        </w:rPr>
        <w:t>Pittsburgh to the Rocky Mountains, Performed in the Years</w:t>
      </w:r>
      <w:r>
        <w:rPr>
          <w:rFonts w:ascii="Times New Roman" w:hAnsi="Times New Roman"/>
          <w:i/>
          <w:color w:val="000000"/>
          <w:szCs w:val="24"/>
          <w:shd w:val="clear" w:color="auto" w:fill="FFFFFF"/>
        </w:rPr>
        <w:tab/>
      </w:r>
      <w:r w:rsidRPr="00EA4A9B">
        <w:rPr>
          <w:rFonts w:ascii="Times New Roman" w:hAnsi="Times New Roman"/>
          <w:i/>
          <w:color w:val="000000"/>
          <w:szCs w:val="24"/>
          <w:shd w:val="clear" w:color="auto" w:fill="FFFFFF"/>
        </w:rPr>
        <w:t>1819, 1820</w:t>
      </w:r>
      <w:r w:rsidRPr="004817B9">
        <w:rPr>
          <w:rFonts w:ascii="Times New Roman" w:hAnsi="Times New Roman"/>
          <w:color w:val="000000"/>
          <w:szCs w:val="24"/>
          <w:shd w:val="clear" w:color="auto" w:fill="FFFFFF"/>
        </w:rPr>
        <w:t>. London:</w:t>
      </w:r>
      <w:r w:rsidR="00355F33">
        <w:rPr>
          <w:rFonts w:ascii="Times New Roman" w:hAnsi="Times New Roman"/>
          <w:color w:val="000000"/>
          <w:szCs w:val="24"/>
          <w:shd w:val="clear" w:color="auto" w:fill="FFFFFF"/>
        </w:rPr>
        <w:tab/>
      </w:r>
      <w:r w:rsidRPr="004817B9">
        <w:rPr>
          <w:rFonts w:ascii="Times New Roman" w:hAnsi="Times New Roman"/>
          <w:szCs w:val="24"/>
        </w:rPr>
        <w:t>Longman, Hurst, Rees, Orme, and Brown,</w:t>
      </w:r>
      <w:r w:rsidRPr="004817B9">
        <w:rPr>
          <w:rFonts w:ascii="Times New Roman" w:hAnsi="Times New Roman"/>
          <w:color w:val="000000"/>
          <w:szCs w:val="24"/>
          <w:shd w:val="clear" w:color="auto" w:fill="FFFFFF"/>
        </w:rPr>
        <w:t>1823</w:t>
      </w:r>
      <w:r w:rsidR="00F1077D">
        <w:rPr>
          <w:rFonts w:ascii="Times New Roman" w:hAnsi="Times New Roman"/>
          <w:color w:val="000000"/>
          <w:szCs w:val="24"/>
          <w:shd w:val="clear" w:color="auto" w:fill="FFFFFF"/>
        </w:rPr>
        <w:t>. V</w:t>
      </w:r>
      <w:r w:rsidRPr="004817B9">
        <w:rPr>
          <w:rFonts w:ascii="Times New Roman" w:hAnsi="Times New Roman"/>
          <w:color w:val="000000"/>
          <w:szCs w:val="24"/>
          <w:shd w:val="clear" w:color="auto" w:fill="FFFFFF"/>
        </w:rPr>
        <w:t xml:space="preserve">ol. </w:t>
      </w:r>
      <w:r>
        <w:rPr>
          <w:rFonts w:ascii="Times New Roman" w:hAnsi="Times New Roman"/>
          <w:color w:val="000000"/>
          <w:szCs w:val="24"/>
          <w:shd w:val="clear" w:color="auto" w:fill="FFFFFF"/>
        </w:rPr>
        <w:t>I</w:t>
      </w:r>
      <w:r w:rsidRPr="004817B9">
        <w:rPr>
          <w:rFonts w:ascii="Times New Roman" w:hAnsi="Times New Roman"/>
          <w:color w:val="000000"/>
          <w:szCs w:val="24"/>
          <w:shd w:val="clear" w:color="auto" w:fill="FFFFFF"/>
        </w:rPr>
        <w:t>II</w:t>
      </w:r>
      <w:r w:rsidR="00355F33">
        <w:rPr>
          <w:rFonts w:ascii="Times New Roman" w:hAnsi="Times New Roman"/>
          <w:color w:val="000000"/>
          <w:szCs w:val="24"/>
          <w:shd w:val="clear" w:color="auto" w:fill="FFFFFF"/>
        </w:rPr>
        <w:t xml:space="preserve">. </w:t>
      </w:r>
      <w:r w:rsidR="00355F33" w:rsidRPr="00355F33">
        <w:rPr>
          <w:rFonts w:ascii="Times New Roman" w:hAnsi="Times New Roman"/>
          <w:szCs w:val="24"/>
        </w:rPr>
        <w:t>https://books.google.</w:t>
      </w:r>
      <w:r w:rsidR="00355F33" w:rsidRPr="00355F33">
        <w:rPr>
          <w:rFonts w:ascii="Times New Roman" w:hAnsi="Times New Roman"/>
          <w:szCs w:val="24"/>
        </w:rPr>
        <w:tab/>
        <w:t xml:space="preserve"> </w:t>
      </w:r>
      <w:r w:rsidR="00355F33">
        <w:rPr>
          <w:rFonts w:ascii="Times New Roman" w:hAnsi="Times New Roman"/>
          <w:szCs w:val="24"/>
        </w:rPr>
        <w:t>(a</w:t>
      </w:r>
      <w:r w:rsidRPr="004817B9">
        <w:rPr>
          <w:rFonts w:ascii="Times New Roman" w:hAnsi="Times New Roman"/>
          <w:szCs w:val="24"/>
        </w:rPr>
        <w:t>ccessed July 20, 2016</w:t>
      </w:r>
      <w:r w:rsidR="00355F33">
        <w:rPr>
          <w:rFonts w:ascii="Times New Roman" w:hAnsi="Times New Roman"/>
          <w:szCs w:val="24"/>
        </w:rPr>
        <w:t>)</w:t>
      </w:r>
      <w:r w:rsidRPr="004817B9">
        <w:rPr>
          <w:rFonts w:ascii="Times New Roman" w:hAnsi="Times New Roman"/>
          <w:szCs w:val="24"/>
        </w:rPr>
        <w:t>.</w:t>
      </w:r>
      <w:r w:rsidR="009044C1">
        <w:rPr>
          <w:rFonts w:ascii="Times New Roman" w:hAnsi="Times New Roman"/>
          <w:szCs w:val="24"/>
        </w:rPr>
        <w:t xml:space="preserve"> </w:t>
      </w:r>
    </w:p>
    <w:p w14:paraId="55DA6555" w14:textId="61C61768" w:rsidR="000A5E09" w:rsidRPr="009044C1" w:rsidRDefault="000A5E09" w:rsidP="00186DCC">
      <w:pPr>
        <w:pStyle w:val="NoSpacing"/>
        <w:rPr>
          <w:rFonts w:ascii="Times New Roman" w:hAnsi="Times New Roman"/>
          <w:szCs w:val="24"/>
        </w:rPr>
      </w:pPr>
    </w:p>
    <w:p w14:paraId="077CD065" w14:textId="48A2BE02" w:rsidR="009044C1" w:rsidRPr="00355F33" w:rsidRDefault="00355F33" w:rsidP="00186DCC">
      <w:pPr>
        <w:pStyle w:val="NoSpacing"/>
        <w:rPr>
          <w:rStyle w:val="Hyperlink"/>
          <w:rFonts w:ascii="Times New Roman" w:hAnsi="Times New Roman"/>
          <w:color w:val="auto"/>
          <w:u w:val="none"/>
        </w:rPr>
      </w:pPr>
      <w:r w:rsidRPr="00355F33">
        <w:rPr>
          <w:rFonts w:ascii="Times New Roman" w:hAnsi="Times New Roman"/>
          <w:szCs w:val="24"/>
        </w:rPr>
        <w:t>“</w:t>
      </w:r>
      <w:r w:rsidR="009044C1" w:rsidRPr="00355F33">
        <w:rPr>
          <w:rFonts w:ascii="Times New Roman" w:hAnsi="Times New Roman"/>
          <w:szCs w:val="24"/>
        </w:rPr>
        <w:t>James Wells Champney Papers.</w:t>
      </w:r>
      <w:r w:rsidRPr="00355F33">
        <w:rPr>
          <w:rFonts w:ascii="Times New Roman" w:hAnsi="Times New Roman"/>
          <w:szCs w:val="24"/>
        </w:rPr>
        <w:t>”</w:t>
      </w:r>
      <w:r w:rsidR="009044C1" w:rsidRPr="00355F33">
        <w:rPr>
          <w:rFonts w:ascii="Times New Roman" w:hAnsi="Times New Roman"/>
          <w:szCs w:val="24"/>
        </w:rPr>
        <w:t xml:space="preserve"> Henry N. Flynt Library, Deerfield, MA</w:t>
      </w:r>
      <w:r w:rsidR="00F1077D" w:rsidRPr="00355F33">
        <w:rPr>
          <w:rFonts w:ascii="Times New Roman" w:hAnsi="Times New Roman"/>
          <w:szCs w:val="24"/>
        </w:rPr>
        <w:t>.</w:t>
      </w:r>
      <w:r w:rsidRPr="00355F33">
        <w:rPr>
          <w:rFonts w:ascii="Times New Roman" w:hAnsi="Times New Roman"/>
          <w:szCs w:val="24"/>
        </w:rPr>
        <w:tab/>
      </w:r>
      <w:r w:rsidRPr="00355F33">
        <w:rPr>
          <w:rFonts w:ascii="Times New Roman" w:hAnsi="Times New Roman"/>
          <w:szCs w:val="24"/>
        </w:rPr>
        <w:tab/>
      </w:r>
      <w:hyperlink r:id="rId86" w:history="1">
        <w:r w:rsidRPr="00355F33">
          <w:rPr>
            <w:rStyle w:val="Hyperlink"/>
            <w:rFonts w:ascii="Times New Roman" w:hAnsi="Times New Roman"/>
            <w:color w:val="auto"/>
            <w:szCs w:val="24"/>
            <w:u w:val="none"/>
          </w:rPr>
          <w:t>http://library.</w:t>
        </w:r>
      </w:hyperlink>
      <w:hyperlink w:history="1">
        <w:r w:rsidRPr="00355F33">
          <w:rPr>
            <w:rStyle w:val="Hyperlink"/>
            <w:rFonts w:ascii="Times New Roman" w:hAnsi="Times New Roman"/>
            <w:color w:val="auto"/>
            <w:u w:val="none"/>
          </w:rPr>
          <w:t>historic-deerfield.org</w:t>
        </w:r>
      </w:hyperlink>
      <w:r w:rsidRPr="00355F33">
        <w:rPr>
          <w:rStyle w:val="Hyperlink"/>
          <w:rFonts w:ascii="Times New Roman" w:hAnsi="Times New Roman"/>
          <w:color w:val="auto"/>
          <w:u w:val="none"/>
        </w:rPr>
        <w:t xml:space="preserve"> (a</w:t>
      </w:r>
      <w:r w:rsidR="00F1077D" w:rsidRPr="00355F33">
        <w:rPr>
          <w:rFonts w:ascii="Times New Roman" w:hAnsi="Times New Roman"/>
          <w:szCs w:val="24"/>
        </w:rPr>
        <w:t>ccessed June</w:t>
      </w:r>
      <w:r w:rsidRPr="00355F33">
        <w:rPr>
          <w:rFonts w:ascii="Times New Roman" w:hAnsi="Times New Roman"/>
          <w:szCs w:val="24"/>
        </w:rPr>
        <w:t xml:space="preserve"> </w:t>
      </w:r>
      <w:r w:rsidR="00F1077D" w:rsidRPr="00355F33">
        <w:rPr>
          <w:rFonts w:ascii="Times New Roman" w:hAnsi="Times New Roman"/>
          <w:szCs w:val="24"/>
        </w:rPr>
        <w:t>4, 2014</w:t>
      </w:r>
      <w:r w:rsidRPr="00355F33">
        <w:rPr>
          <w:rFonts w:ascii="Times New Roman" w:hAnsi="Times New Roman"/>
          <w:szCs w:val="24"/>
        </w:rPr>
        <w:t>)</w:t>
      </w:r>
      <w:r w:rsidR="00F1077D" w:rsidRPr="00355F33">
        <w:rPr>
          <w:rFonts w:ascii="Times New Roman" w:hAnsi="Times New Roman"/>
          <w:szCs w:val="24"/>
        </w:rPr>
        <w:t xml:space="preserve">. </w:t>
      </w:r>
    </w:p>
    <w:p w14:paraId="3818FCB0" w14:textId="77777777" w:rsidR="009044C1" w:rsidRPr="00DA1E36" w:rsidRDefault="009044C1" w:rsidP="00186DCC">
      <w:pPr>
        <w:pStyle w:val="NoSpacing"/>
        <w:rPr>
          <w:rFonts w:ascii="Times New Roman" w:hAnsi="Times New Roman"/>
          <w:szCs w:val="24"/>
        </w:rPr>
      </w:pPr>
    </w:p>
    <w:p w14:paraId="5F8DC4FE" w14:textId="77777777" w:rsidR="00186DCC" w:rsidRPr="00A002CA" w:rsidRDefault="00186DCC" w:rsidP="00186DCC">
      <w:pPr>
        <w:pStyle w:val="NoSpacing"/>
        <w:rPr>
          <w:rFonts w:asciiTheme="majorHAnsi" w:hAnsiTheme="majorHAnsi" w:cstheme="majorHAnsi"/>
          <w:szCs w:val="24"/>
        </w:rPr>
      </w:pPr>
      <w:r w:rsidRPr="00DA1E36">
        <w:rPr>
          <w:rFonts w:ascii="Times New Roman" w:hAnsi="Times New Roman"/>
          <w:szCs w:val="24"/>
        </w:rPr>
        <w:t>Jansson, David R. “Internal Orientalism in America: W.J. Cash’s ‘The Mind of the</w:t>
      </w:r>
      <w:r w:rsidR="0036552C" w:rsidRPr="00A002CA">
        <w:rPr>
          <w:rFonts w:asciiTheme="majorHAnsi" w:hAnsiTheme="majorHAnsi" w:cstheme="majorHAnsi"/>
          <w:szCs w:val="24"/>
        </w:rPr>
        <w:tab/>
      </w:r>
      <w:r w:rsidRPr="00A002CA">
        <w:rPr>
          <w:rFonts w:asciiTheme="majorHAnsi" w:hAnsiTheme="majorHAnsi" w:cstheme="majorHAnsi"/>
          <w:szCs w:val="24"/>
        </w:rPr>
        <w:t>South’ and the</w:t>
      </w:r>
      <w:r w:rsidR="0036552C" w:rsidRPr="00A002CA">
        <w:rPr>
          <w:rFonts w:asciiTheme="majorHAnsi" w:hAnsiTheme="majorHAnsi" w:cstheme="majorHAnsi"/>
          <w:szCs w:val="24"/>
        </w:rPr>
        <w:t xml:space="preserve"> </w:t>
      </w:r>
      <w:r w:rsidRPr="00A002CA">
        <w:rPr>
          <w:rFonts w:asciiTheme="majorHAnsi" w:hAnsiTheme="majorHAnsi" w:cstheme="majorHAnsi"/>
          <w:szCs w:val="24"/>
        </w:rPr>
        <w:t>Spatial</w:t>
      </w:r>
      <w:r w:rsidRPr="00A002CA">
        <w:rPr>
          <w:rFonts w:asciiTheme="majorHAnsi" w:hAnsiTheme="majorHAnsi" w:cstheme="majorHAnsi"/>
          <w:szCs w:val="24"/>
        </w:rPr>
        <w:tab/>
        <w:t xml:space="preserve">Construction of American National Identity.” </w:t>
      </w:r>
      <w:r w:rsidRPr="00A002CA">
        <w:rPr>
          <w:rFonts w:asciiTheme="majorHAnsi" w:hAnsiTheme="majorHAnsi" w:cstheme="majorHAnsi"/>
          <w:i/>
          <w:szCs w:val="24"/>
        </w:rPr>
        <w:t>Political</w:t>
      </w:r>
      <w:r w:rsidR="0036552C" w:rsidRPr="00A002CA">
        <w:rPr>
          <w:rFonts w:asciiTheme="majorHAnsi" w:hAnsiTheme="majorHAnsi" w:cstheme="majorHAnsi"/>
          <w:i/>
          <w:szCs w:val="24"/>
        </w:rPr>
        <w:tab/>
      </w:r>
      <w:r w:rsidRPr="00A002CA">
        <w:rPr>
          <w:rFonts w:asciiTheme="majorHAnsi" w:hAnsiTheme="majorHAnsi" w:cstheme="majorHAnsi"/>
          <w:i/>
          <w:szCs w:val="24"/>
        </w:rPr>
        <w:t xml:space="preserve">Geography </w:t>
      </w:r>
      <w:r w:rsidRPr="00A002CA">
        <w:rPr>
          <w:rFonts w:asciiTheme="majorHAnsi" w:hAnsiTheme="majorHAnsi" w:cstheme="majorHAnsi"/>
          <w:szCs w:val="24"/>
        </w:rPr>
        <w:t>22 (2003): 293–316.</w:t>
      </w:r>
    </w:p>
    <w:p w14:paraId="5CCB36FD" w14:textId="3EA98D97" w:rsidR="00186DCC" w:rsidRPr="00A002CA" w:rsidRDefault="00186DCC" w:rsidP="00186DCC">
      <w:pPr>
        <w:pStyle w:val="NoSpacing"/>
        <w:rPr>
          <w:rFonts w:asciiTheme="majorHAnsi" w:hAnsiTheme="majorHAnsi" w:cstheme="majorHAnsi"/>
          <w:szCs w:val="24"/>
        </w:rPr>
      </w:pPr>
    </w:p>
    <w:p w14:paraId="7B096544" w14:textId="08E76701" w:rsidR="00186DCC" w:rsidRPr="00DA1E36" w:rsidRDefault="00186DCC" w:rsidP="00186DCC">
      <w:pPr>
        <w:pStyle w:val="NoSpacing"/>
        <w:rPr>
          <w:rFonts w:ascii="Times New Roman" w:hAnsi="Times New Roman"/>
          <w:szCs w:val="24"/>
        </w:rPr>
      </w:pPr>
      <w:r w:rsidRPr="00A002CA">
        <w:rPr>
          <w:rFonts w:asciiTheme="majorHAnsi" w:hAnsiTheme="majorHAnsi" w:cstheme="majorHAnsi"/>
          <w:bCs/>
          <w:szCs w:val="24"/>
        </w:rPr>
        <w:t xml:space="preserve">Judd, </w:t>
      </w:r>
      <w:r w:rsidRPr="00A002CA">
        <w:rPr>
          <w:rFonts w:asciiTheme="majorHAnsi" w:hAnsiTheme="majorHAnsi" w:cstheme="majorHAnsi"/>
          <w:szCs w:val="24"/>
        </w:rPr>
        <w:t xml:space="preserve">Laura Fish, and Dale Lowell </w:t>
      </w:r>
      <w:r w:rsidRPr="00A002CA">
        <w:rPr>
          <w:rFonts w:asciiTheme="majorHAnsi" w:hAnsiTheme="majorHAnsi" w:cstheme="majorHAnsi"/>
          <w:bCs/>
          <w:szCs w:val="24"/>
        </w:rPr>
        <w:t>Morgan</w:t>
      </w:r>
      <w:r w:rsidRPr="00A002CA">
        <w:rPr>
          <w:rFonts w:asciiTheme="majorHAnsi" w:hAnsiTheme="majorHAnsi" w:cstheme="majorHAnsi"/>
          <w:szCs w:val="24"/>
        </w:rPr>
        <w:t xml:space="preserve">. </w:t>
      </w:r>
      <w:r w:rsidRPr="00A002CA">
        <w:rPr>
          <w:rFonts w:asciiTheme="majorHAnsi" w:hAnsiTheme="majorHAnsi" w:cstheme="majorHAnsi"/>
          <w:bCs/>
          <w:i/>
          <w:szCs w:val="24"/>
        </w:rPr>
        <w:t>Honolulu:</w:t>
      </w:r>
      <w:r w:rsidRPr="00A002CA">
        <w:rPr>
          <w:rFonts w:asciiTheme="majorHAnsi" w:hAnsiTheme="majorHAnsi" w:cstheme="majorHAnsi"/>
          <w:i/>
          <w:szCs w:val="24"/>
        </w:rPr>
        <w:t xml:space="preserve"> S</w:t>
      </w:r>
      <w:r w:rsidRPr="00A002CA">
        <w:rPr>
          <w:rFonts w:asciiTheme="majorHAnsi" w:hAnsiTheme="majorHAnsi" w:cstheme="majorHAnsi"/>
          <w:bCs/>
          <w:i/>
          <w:szCs w:val="24"/>
        </w:rPr>
        <w:t>ketches of Life in the Hawaiian</w:t>
      </w:r>
      <w:r w:rsidR="0036552C">
        <w:rPr>
          <w:rFonts w:ascii="Times New Roman" w:hAnsi="Times New Roman"/>
          <w:bCs/>
          <w:i/>
          <w:szCs w:val="24"/>
        </w:rPr>
        <w:tab/>
      </w:r>
      <w:r w:rsidRPr="00DA1E36">
        <w:rPr>
          <w:rFonts w:ascii="Times New Roman" w:hAnsi="Times New Roman"/>
          <w:bCs/>
          <w:i/>
          <w:szCs w:val="24"/>
        </w:rPr>
        <w:t>Islands from</w:t>
      </w:r>
      <w:r w:rsidR="0036552C">
        <w:rPr>
          <w:rFonts w:ascii="Times New Roman" w:hAnsi="Times New Roman"/>
          <w:bCs/>
          <w:i/>
          <w:szCs w:val="24"/>
        </w:rPr>
        <w:t xml:space="preserve"> </w:t>
      </w:r>
      <w:r w:rsidRPr="00DA1E36">
        <w:rPr>
          <w:rFonts w:ascii="Times New Roman" w:hAnsi="Times New Roman"/>
          <w:bCs/>
          <w:i/>
          <w:szCs w:val="24"/>
        </w:rPr>
        <w:t>1828 to 1861</w:t>
      </w:r>
      <w:r w:rsidRPr="00DA1E36">
        <w:rPr>
          <w:rFonts w:ascii="Times New Roman" w:hAnsi="Times New Roman"/>
          <w:bCs/>
          <w:szCs w:val="24"/>
        </w:rPr>
        <w:t>.</w:t>
      </w:r>
      <w:r w:rsidR="0036552C">
        <w:rPr>
          <w:rFonts w:ascii="Times New Roman" w:hAnsi="Times New Roman"/>
          <w:bCs/>
          <w:szCs w:val="24"/>
        </w:rPr>
        <w:t xml:space="preserve"> </w:t>
      </w:r>
      <w:r w:rsidRPr="00DA1E36">
        <w:rPr>
          <w:rFonts w:ascii="Times New Roman" w:hAnsi="Times New Roman"/>
          <w:szCs w:val="24"/>
        </w:rPr>
        <w:t>Chicago, IL: Lakes</w:t>
      </w:r>
      <w:r w:rsidR="0096107D">
        <w:rPr>
          <w:rFonts w:ascii="Times New Roman" w:hAnsi="Times New Roman"/>
          <w:szCs w:val="24"/>
        </w:rPr>
        <w:t>ide Press, 1966.</w:t>
      </w:r>
    </w:p>
    <w:p w14:paraId="327EEE58" w14:textId="77F39541" w:rsidR="00186DCC" w:rsidRPr="009665BD" w:rsidRDefault="00186DCC" w:rsidP="00186DCC">
      <w:pPr>
        <w:pStyle w:val="NoSpacing"/>
        <w:rPr>
          <w:rFonts w:asciiTheme="majorHAnsi" w:hAnsiTheme="majorHAnsi" w:cstheme="majorHAnsi"/>
          <w:szCs w:val="24"/>
        </w:rPr>
      </w:pPr>
    </w:p>
    <w:p w14:paraId="6A4CBA33" w14:textId="751D54D5" w:rsidR="009665BD" w:rsidRPr="009665BD" w:rsidRDefault="009665BD" w:rsidP="009665BD">
      <w:pPr>
        <w:pStyle w:val="EndnoteText"/>
        <w:rPr>
          <w:rFonts w:asciiTheme="majorHAnsi" w:hAnsiTheme="majorHAnsi" w:cstheme="majorHAnsi"/>
          <w:sz w:val="24"/>
          <w:szCs w:val="24"/>
        </w:rPr>
      </w:pPr>
      <w:r w:rsidRPr="009665BD">
        <w:rPr>
          <w:rFonts w:asciiTheme="majorHAnsi" w:hAnsiTheme="majorHAnsi" w:cstheme="majorHAnsi"/>
          <w:sz w:val="24"/>
          <w:szCs w:val="24"/>
        </w:rPr>
        <w:t xml:space="preserve">“Jules Tavernier,” </w:t>
      </w:r>
      <w:r w:rsidRPr="009665BD">
        <w:rPr>
          <w:rFonts w:asciiTheme="majorHAnsi" w:hAnsiTheme="majorHAnsi" w:cstheme="majorHAnsi"/>
          <w:i/>
          <w:sz w:val="24"/>
          <w:szCs w:val="24"/>
        </w:rPr>
        <w:t>Pacific Commercial Advisor</w:t>
      </w:r>
      <w:r w:rsidRPr="009665BD">
        <w:rPr>
          <w:rFonts w:asciiTheme="majorHAnsi" w:hAnsiTheme="majorHAnsi" w:cstheme="majorHAnsi"/>
          <w:sz w:val="24"/>
          <w:szCs w:val="24"/>
        </w:rPr>
        <w:t>, Nov. 11, 1884. Accessed September 27,</w:t>
      </w:r>
      <w:r>
        <w:rPr>
          <w:rFonts w:asciiTheme="majorHAnsi" w:hAnsiTheme="majorHAnsi" w:cstheme="majorHAnsi"/>
          <w:sz w:val="24"/>
          <w:szCs w:val="24"/>
        </w:rPr>
        <w:tab/>
      </w:r>
      <w:r w:rsidRPr="009665BD">
        <w:rPr>
          <w:rFonts w:asciiTheme="majorHAnsi" w:hAnsiTheme="majorHAnsi" w:cstheme="majorHAnsi"/>
          <w:sz w:val="24"/>
          <w:szCs w:val="24"/>
        </w:rPr>
        <w:t>2016.</w:t>
      </w:r>
      <w:r>
        <w:rPr>
          <w:rFonts w:asciiTheme="majorHAnsi" w:hAnsiTheme="majorHAnsi" w:cstheme="majorHAnsi"/>
          <w:sz w:val="24"/>
          <w:szCs w:val="24"/>
        </w:rPr>
        <w:t xml:space="preserve"> </w:t>
      </w:r>
      <w:r w:rsidRPr="009665BD">
        <w:rPr>
          <w:rFonts w:asciiTheme="majorHAnsi" w:hAnsiTheme="majorHAnsi" w:cstheme="majorHAnsi"/>
          <w:sz w:val="24"/>
          <w:szCs w:val="24"/>
        </w:rPr>
        <w:t>http://chroniclingamerica.loc.gov/lccn/sn85047084/1889-06-21/ed-1/.</w:t>
      </w:r>
    </w:p>
    <w:p w14:paraId="56B1E0EA" w14:textId="77777777" w:rsidR="009665BD" w:rsidRPr="009665BD" w:rsidRDefault="009665BD" w:rsidP="00186DCC">
      <w:pPr>
        <w:pStyle w:val="NoSpacing"/>
        <w:rPr>
          <w:rFonts w:asciiTheme="majorHAnsi" w:hAnsiTheme="majorHAnsi" w:cstheme="majorHAnsi"/>
          <w:szCs w:val="24"/>
        </w:rPr>
      </w:pPr>
    </w:p>
    <w:p w14:paraId="39140BA1" w14:textId="5E07BCED" w:rsidR="004F51BA" w:rsidRDefault="004F51BA" w:rsidP="00186DCC">
      <w:pPr>
        <w:pStyle w:val="NoSpacing"/>
        <w:rPr>
          <w:rFonts w:ascii="Times New Roman" w:hAnsi="Times New Roman"/>
          <w:szCs w:val="24"/>
        </w:rPr>
      </w:pPr>
      <w:r w:rsidRPr="004817B9">
        <w:rPr>
          <w:rFonts w:ascii="Times New Roman" w:hAnsi="Times New Roman"/>
          <w:szCs w:val="24"/>
        </w:rPr>
        <w:t>Justice, Daniel Heath</w:t>
      </w:r>
      <w:r>
        <w:rPr>
          <w:rFonts w:ascii="Times New Roman" w:hAnsi="Times New Roman"/>
          <w:szCs w:val="24"/>
        </w:rPr>
        <w:t>.</w:t>
      </w:r>
      <w:r w:rsidRPr="004817B9">
        <w:rPr>
          <w:rFonts w:ascii="Times New Roman" w:hAnsi="Times New Roman"/>
          <w:szCs w:val="24"/>
        </w:rPr>
        <w:t xml:space="preserve"> </w:t>
      </w:r>
      <w:r w:rsidRPr="00ED0730">
        <w:rPr>
          <w:rFonts w:ascii="Times New Roman" w:hAnsi="Times New Roman"/>
          <w:i/>
          <w:szCs w:val="24"/>
        </w:rPr>
        <w:t>Our Fire Survives the Storm: A Cherokee Literary History</w:t>
      </w:r>
      <w:r>
        <w:rPr>
          <w:rFonts w:ascii="Times New Roman" w:hAnsi="Times New Roman"/>
          <w:szCs w:val="24"/>
        </w:rPr>
        <w:t>.</w:t>
      </w:r>
      <w:r>
        <w:rPr>
          <w:rFonts w:ascii="Times New Roman" w:hAnsi="Times New Roman"/>
          <w:szCs w:val="24"/>
        </w:rPr>
        <w:tab/>
        <w:t>Minneapolis:</w:t>
      </w:r>
      <w:r w:rsidRPr="004817B9">
        <w:rPr>
          <w:rFonts w:ascii="Times New Roman" w:hAnsi="Times New Roman"/>
          <w:szCs w:val="24"/>
        </w:rPr>
        <w:t xml:space="preserve"> University of Minnesota</w:t>
      </w:r>
      <w:r>
        <w:rPr>
          <w:rFonts w:ascii="Times New Roman" w:hAnsi="Times New Roman"/>
          <w:szCs w:val="24"/>
        </w:rPr>
        <w:t xml:space="preserve"> Press, 2006.</w:t>
      </w:r>
    </w:p>
    <w:p w14:paraId="763F8BD9" w14:textId="353CD89C" w:rsidR="004F51BA" w:rsidRDefault="004F51BA" w:rsidP="00186DCC">
      <w:pPr>
        <w:pStyle w:val="NoSpacing"/>
        <w:rPr>
          <w:rFonts w:ascii="Times New Roman" w:hAnsi="Times New Roman"/>
          <w:szCs w:val="24"/>
        </w:rPr>
      </w:pPr>
    </w:p>
    <w:p w14:paraId="7A4EAE29" w14:textId="083D2123" w:rsidR="00361043" w:rsidRPr="00361043" w:rsidRDefault="00361043" w:rsidP="00186DCC">
      <w:pPr>
        <w:pStyle w:val="NoSpacing"/>
        <w:rPr>
          <w:rFonts w:ascii="Times New Roman" w:hAnsi="Times New Roman"/>
          <w:szCs w:val="24"/>
        </w:rPr>
      </w:pPr>
      <w:r>
        <w:rPr>
          <w:rFonts w:ascii="Times New Roman" w:hAnsi="Times New Roman"/>
          <w:szCs w:val="24"/>
        </w:rPr>
        <w:t xml:space="preserve">Kaeppler, Adrienne. “Rembrandt Peale’s Hawaiian Ethnographic Still Life.” </w:t>
      </w:r>
      <w:r>
        <w:rPr>
          <w:rFonts w:ascii="Times New Roman" w:hAnsi="Times New Roman"/>
          <w:i/>
          <w:szCs w:val="24"/>
        </w:rPr>
        <w:t>The</w:t>
      </w:r>
      <w:r>
        <w:rPr>
          <w:rFonts w:ascii="Times New Roman" w:hAnsi="Times New Roman"/>
          <w:i/>
          <w:szCs w:val="24"/>
        </w:rPr>
        <w:tab/>
        <w:t>Hawaiian Journal of History</w:t>
      </w:r>
      <w:r>
        <w:rPr>
          <w:rFonts w:ascii="Times New Roman" w:hAnsi="Times New Roman"/>
          <w:szCs w:val="24"/>
        </w:rPr>
        <w:t xml:space="preserve"> 27 (1993): 227-238.</w:t>
      </w:r>
    </w:p>
    <w:p w14:paraId="3FC59F96" w14:textId="77777777" w:rsidR="00361043" w:rsidRPr="00DA1E36" w:rsidRDefault="00361043" w:rsidP="00186DCC">
      <w:pPr>
        <w:pStyle w:val="NoSpacing"/>
        <w:rPr>
          <w:rFonts w:ascii="Times New Roman" w:hAnsi="Times New Roman"/>
          <w:szCs w:val="24"/>
        </w:rPr>
      </w:pPr>
    </w:p>
    <w:p w14:paraId="4A8A7D8F" w14:textId="717535D9"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Kaplan, Amy. </w:t>
      </w:r>
      <w:r w:rsidRPr="00DA1E36">
        <w:rPr>
          <w:rFonts w:ascii="Times New Roman" w:hAnsi="Times New Roman"/>
          <w:i/>
          <w:szCs w:val="24"/>
        </w:rPr>
        <w:t>The Anarchy of Empire in the Making of US Culture</w:t>
      </w:r>
      <w:r w:rsidRPr="00DA1E36">
        <w:rPr>
          <w:rFonts w:ascii="Times New Roman" w:hAnsi="Times New Roman"/>
          <w:szCs w:val="24"/>
        </w:rPr>
        <w:t>. Cambridge:</w:t>
      </w:r>
      <w:r w:rsidR="0036552C">
        <w:rPr>
          <w:rFonts w:ascii="Times New Roman" w:hAnsi="Times New Roman"/>
          <w:szCs w:val="24"/>
        </w:rPr>
        <w:tab/>
      </w:r>
      <w:r w:rsidRPr="00DA1E36">
        <w:rPr>
          <w:rFonts w:ascii="Times New Roman" w:hAnsi="Times New Roman"/>
          <w:szCs w:val="24"/>
        </w:rPr>
        <w:t>Harvard University</w:t>
      </w:r>
      <w:r w:rsidR="0036552C">
        <w:rPr>
          <w:rFonts w:ascii="Times New Roman" w:hAnsi="Times New Roman"/>
          <w:szCs w:val="24"/>
        </w:rPr>
        <w:t xml:space="preserve"> </w:t>
      </w:r>
      <w:r w:rsidR="0096107D">
        <w:rPr>
          <w:rFonts w:ascii="Times New Roman" w:hAnsi="Times New Roman"/>
          <w:szCs w:val="24"/>
        </w:rPr>
        <w:t>Press, 2002.</w:t>
      </w:r>
    </w:p>
    <w:p w14:paraId="3DFFBDC0" w14:textId="77777777" w:rsidR="00186DCC" w:rsidRPr="00DA1E36" w:rsidRDefault="00186DCC" w:rsidP="00186DCC">
      <w:pPr>
        <w:pStyle w:val="NoSpacing"/>
        <w:rPr>
          <w:rFonts w:ascii="Times New Roman" w:hAnsi="Times New Roman"/>
          <w:szCs w:val="24"/>
        </w:rPr>
      </w:pPr>
    </w:p>
    <w:p w14:paraId="171F50AF" w14:textId="6AB69E74" w:rsidR="00186DCC" w:rsidRPr="00DA1E36" w:rsidRDefault="00186DCC" w:rsidP="00186DCC">
      <w:pPr>
        <w:pStyle w:val="NoSpacing"/>
        <w:rPr>
          <w:rFonts w:ascii="Times New Roman" w:hAnsi="Times New Roman"/>
          <w:szCs w:val="24"/>
        </w:rPr>
      </w:pPr>
      <w:r w:rsidRPr="00DA1E36">
        <w:rPr>
          <w:rFonts w:ascii="Times New Roman" w:hAnsi="Times New Roman"/>
          <w:szCs w:val="24"/>
        </w:rPr>
        <w:t>Kasay, Jennifer Fish. “Agents of Imperialism: Missionaries and Merchants in Earl</w:t>
      </w:r>
      <w:r w:rsidR="0036552C">
        <w:rPr>
          <w:rFonts w:ascii="Times New Roman" w:hAnsi="Times New Roman"/>
          <w:szCs w:val="24"/>
        </w:rPr>
        <w:t>y-</w:t>
      </w:r>
      <w:r w:rsidR="0036552C">
        <w:rPr>
          <w:rFonts w:ascii="Times New Roman" w:hAnsi="Times New Roman"/>
          <w:szCs w:val="24"/>
        </w:rPr>
        <w:tab/>
      </w:r>
      <w:r w:rsidRPr="00DA1E36">
        <w:rPr>
          <w:rFonts w:ascii="Times New Roman" w:hAnsi="Times New Roman"/>
          <w:szCs w:val="24"/>
        </w:rPr>
        <w:t>Nineteenth-Century</w:t>
      </w:r>
      <w:r w:rsidR="0036552C">
        <w:rPr>
          <w:rFonts w:ascii="Times New Roman" w:hAnsi="Times New Roman"/>
          <w:szCs w:val="24"/>
        </w:rPr>
        <w:t xml:space="preserve"> </w:t>
      </w:r>
      <w:r w:rsidRPr="00DA1E36">
        <w:rPr>
          <w:rFonts w:ascii="Times New Roman" w:hAnsi="Times New Roman"/>
          <w:szCs w:val="24"/>
        </w:rPr>
        <w:t xml:space="preserve">Hawaii.” </w:t>
      </w:r>
      <w:r w:rsidRPr="00DA1E36">
        <w:rPr>
          <w:rFonts w:ascii="Times New Roman" w:hAnsi="Times New Roman"/>
          <w:i/>
          <w:szCs w:val="24"/>
        </w:rPr>
        <w:t>The New England Quarterly</w:t>
      </w:r>
      <w:r w:rsidR="00F1077D">
        <w:rPr>
          <w:rFonts w:ascii="Times New Roman" w:hAnsi="Times New Roman"/>
          <w:szCs w:val="24"/>
        </w:rPr>
        <w:t xml:space="preserve"> 80, no. </w:t>
      </w:r>
      <w:r w:rsidRPr="00DA1E36">
        <w:rPr>
          <w:rFonts w:ascii="Times New Roman" w:hAnsi="Times New Roman"/>
          <w:szCs w:val="24"/>
        </w:rPr>
        <w:t>2 (June</w:t>
      </w:r>
      <w:r w:rsidR="00F1077D">
        <w:rPr>
          <w:rFonts w:ascii="Times New Roman" w:hAnsi="Times New Roman"/>
          <w:szCs w:val="24"/>
        </w:rPr>
        <w:tab/>
      </w:r>
      <w:r w:rsidR="00F1077D">
        <w:rPr>
          <w:rFonts w:ascii="Times New Roman" w:hAnsi="Times New Roman"/>
          <w:szCs w:val="24"/>
        </w:rPr>
        <w:tab/>
      </w:r>
      <w:r w:rsidRPr="00DA1E36">
        <w:rPr>
          <w:rFonts w:ascii="Times New Roman" w:hAnsi="Times New Roman"/>
          <w:szCs w:val="24"/>
        </w:rPr>
        <w:t>2007):</w:t>
      </w:r>
      <w:r w:rsidR="00F1077D">
        <w:rPr>
          <w:rFonts w:ascii="Times New Roman" w:hAnsi="Times New Roman"/>
          <w:szCs w:val="24"/>
        </w:rPr>
        <w:t xml:space="preserve"> </w:t>
      </w:r>
      <w:r w:rsidRPr="00DA1E36">
        <w:rPr>
          <w:rFonts w:ascii="Times New Roman" w:hAnsi="Times New Roman"/>
          <w:szCs w:val="24"/>
        </w:rPr>
        <w:t>280-298.</w:t>
      </w:r>
    </w:p>
    <w:p w14:paraId="27670C90" w14:textId="77777777" w:rsidR="00186DCC" w:rsidRPr="00DA1E36" w:rsidRDefault="00186DCC" w:rsidP="00186DCC">
      <w:pPr>
        <w:pStyle w:val="NoSpacing"/>
        <w:rPr>
          <w:rFonts w:ascii="Times New Roman" w:hAnsi="Times New Roman"/>
          <w:szCs w:val="24"/>
        </w:rPr>
      </w:pPr>
    </w:p>
    <w:p w14:paraId="678532EB" w14:textId="737B1A7E" w:rsidR="00187047" w:rsidRDefault="00187047" w:rsidP="00186DCC">
      <w:pPr>
        <w:pStyle w:val="NoSpacing"/>
        <w:rPr>
          <w:rFonts w:ascii="Times New Roman" w:hAnsi="Times New Roman"/>
          <w:color w:val="000000" w:themeColor="text1"/>
          <w:szCs w:val="24"/>
        </w:rPr>
      </w:pPr>
      <w:r w:rsidRPr="00DA1E36">
        <w:rPr>
          <w:rFonts w:ascii="Times New Roman" w:hAnsi="Times New Roman"/>
          <w:szCs w:val="24"/>
        </w:rPr>
        <w:t>KHON 2 TV</w:t>
      </w:r>
      <w:r>
        <w:rPr>
          <w:rFonts w:ascii="Times New Roman" w:hAnsi="Times New Roman"/>
          <w:szCs w:val="24"/>
        </w:rPr>
        <w:t xml:space="preserve">. </w:t>
      </w:r>
      <w:r w:rsidRPr="00DA1E36">
        <w:rPr>
          <w:rFonts w:ascii="Times New Roman" w:hAnsi="Times New Roman"/>
          <w:szCs w:val="24"/>
        </w:rPr>
        <w:t>“Group Starts Continuous Protest of Telescope on Manua Kea,”</w:t>
      </w:r>
      <w:r>
        <w:rPr>
          <w:rFonts w:ascii="Times New Roman" w:hAnsi="Times New Roman"/>
          <w:szCs w:val="24"/>
        </w:rPr>
        <w:t xml:space="preserve"> http://</w:t>
      </w:r>
      <w:r>
        <w:rPr>
          <w:rFonts w:ascii="Times New Roman" w:hAnsi="Times New Roman"/>
          <w:szCs w:val="24"/>
        </w:rPr>
        <w:tab/>
      </w:r>
      <w:hyperlink r:id="rId87" w:history="1">
        <w:r>
          <w:rPr>
            <w:rStyle w:val="Hyperlink"/>
            <w:rFonts w:asciiTheme="majorHAnsi" w:hAnsiTheme="majorHAnsi" w:cstheme="majorHAnsi"/>
            <w:color w:val="auto"/>
            <w:szCs w:val="24"/>
            <w:u w:val="none"/>
          </w:rPr>
          <w:t>khon2.com/2015/03/26/groups-start</w:t>
        </w:r>
        <w:r w:rsidRPr="00ED1D6C">
          <w:rPr>
            <w:rStyle w:val="Hyperlink"/>
            <w:rFonts w:asciiTheme="majorHAnsi" w:hAnsiTheme="majorHAnsi" w:cstheme="majorHAnsi"/>
            <w:color w:val="auto"/>
            <w:szCs w:val="24"/>
            <w:u w:val="none"/>
          </w:rPr>
          <w:t>-continuous-protest-of-telescope-on-mauna</w:t>
        </w:r>
        <w:r>
          <w:rPr>
            <w:rStyle w:val="Hyperlink"/>
            <w:rFonts w:asciiTheme="majorHAnsi" w:hAnsiTheme="majorHAnsi" w:cstheme="majorHAnsi"/>
            <w:color w:val="auto"/>
            <w:szCs w:val="24"/>
            <w:u w:val="none"/>
          </w:rPr>
          <w:t>-</w:t>
        </w:r>
        <w:r>
          <w:rPr>
            <w:rStyle w:val="Hyperlink"/>
            <w:rFonts w:asciiTheme="majorHAnsi" w:hAnsiTheme="majorHAnsi" w:cstheme="majorHAnsi"/>
            <w:color w:val="auto"/>
            <w:szCs w:val="24"/>
            <w:u w:val="none"/>
          </w:rPr>
          <w:tab/>
        </w:r>
        <w:r w:rsidRPr="00ED1D6C">
          <w:rPr>
            <w:rStyle w:val="Hyperlink"/>
            <w:rFonts w:asciiTheme="majorHAnsi" w:hAnsiTheme="majorHAnsi" w:cstheme="majorHAnsi"/>
            <w:color w:val="auto"/>
            <w:szCs w:val="24"/>
            <w:u w:val="none"/>
          </w:rPr>
          <w:t>kea/</w:t>
        </w:r>
      </w:hyperlink>
      <w:r>
        <w:rPr>
          <w:rStyle w:val="Hyperlink"/>
          <w:rFonts w:asciiTheme="majorHAnsi" w:hAnsiTheme="majorHAnsi" w:cstheme="majorHAnsi"/>
          <w:color w:val="auto"/>
          <w:szCs w:val="24"/>
          <w:u w:val="none"/>
        </w:rPr>
        <w:t xml:space="preserve"> (a</w:t>
      </w:r>
      <w:r w:rsidRPr="005B1FDC">
        <w:rPr>
          <w:rFonts w:ascii="Times New Roman" w:hAnsi="Times New Roman"/>
          <w:color w:val="000000" w:themeColor="text1"/>
          <w:szCs w:val="24"/>
        </w:rPr>
        <w:t>ccessed May 10, 2015</w:t>
      </w:r>
      <w:r>
        <w:rPr>
          <w:rFonts w:ascii="Times New Roman" w:hAnsi="Times New Roman"/>
          <w:color w:val="000000" w:themeColor="text1"/>
          <w:szCs w:val="24"/>
        </w:rPr>
        <w:t>)</w:t>
      </w:r>
      <w:r w:rsidRPr="005B1FDC">
        <w:rPr>
          <w:rFonts w:ascii="Times New Roman" w:hAnsi="Times New Roman"/>
          <w:color w:val="000000" w:themeColor="text1"/>
          <w:szCs w:val="24"/>
        </w:rPr>
        <w:t>.</w:t>
      </w:r>
    </w:p>
    <w:p w14:paraId="54B43EFF" w14:textId="77777777" w:rsidR="00187047" w:rsidRPr="00F1077D" w:rsidRDefault="00187047" w:rsidP="00186DCC">
      <w:pPr>
        <w:pStyle w:val="NoSpacing"/>
        <w:rPr>
          <w:rFonts w:ascii="Times New Roman" w:hAnsi="Times New Roman"/>
          <w:szCs w:val="24"/>
        </w:rPr>
      </w:pPr>
    </w:p>
    <w:p w14:paraId="694E2ED3" w14:textId="0B69ED8B" w:rsidR="00186DCC" w:rsidRPr="00EA5655" w:rsidRDefault="00186DCC" w:rsidP="00A002CA">
      <w:pPr>
        <w:pStyle w:val="EndnoteText"/>
        <w:rPr>
          <w:rFonts w:ascii="Times New Roman" w:hAnsi="Times New Roman" w:cs="Times New Roman"/>
          <w:sz w:val="24"/>
          <w:szCs w:val="24"/>
        </w:rPr>
      </w:pPr>
      <w:r w:rsidRPr="00F1077D">
        <w:rPr>
          <w:rFonts w:ascii="Times New Roman" w:hAnsi="Times New Roman" w:cs="Times New Roman"/>
          <w:sz w:val="24"/>
          <w:szCs w:val="24"/>
        </w:rPr>
        <w:t>Kilauea Visitor Center</w:t>
      </w:r>
      <w:r w:rsidR="00F1077D" w:rsidRPr="00F1077D">
        <w:rPr>
          <w:rFonts w:ascii="Times New Roman" w:hAnsi="Times New Roman" w:cs="Times New Roman"/>
          <w:sz w:val="24"/>
          <w:szCs w:val="24"/>
        </w:rPr>
        <w:t>. “Plan Your Visit.</w:t>
      </w:r>
      <w:r w:rsidR="00F1077D" w:rsidRPr="00EA5655">
        <w:rPr>
          <w:rFonts w:ascii="Times New Roman" w:hAnsi="Times New Roman" w:cs="Times New Roman"/>
          <w:sz w:val="24"/>
          <w:szCs w:val="24"/>
        </w:rPr>
        <w:t xml:space="preserve">” </w:t>
      </w:r>
      <w:hyperlink r:id="rId88" w:history="1">
        <w:r w:rsidR="00EA5655" w:rsidRPr="00EA5655">
          <w:rPr>
            <w:rStyle w:val="Hyperlink"/>
            <w:rFonts w:ascii="Times New Roman" w:hAnsi="Times New Roman" w:cs="Times New Roman"/>
            <w:color w:val="auto"/>
            <w:sz w:val="24"/>
            <w:szCs w:val="24"/>
            <w:u w:val="none"/>
          </w:rPr>
          <w:t>http://www.nps.gov/havo/planyourvisit/</w:t>
        </w:r>
        <w:r w:rsidR="00EA5655" w:rsidRPr="00EA5655">
          <w:rPr>
            <w:rStyle w:val="Hyperlink"/>
            <w:rFonts w:ascii="Times New Roman" w:hAnsi="Times New Roman" w:cs="Times New Roman"/>
            <w:color w:val="auto"/>
            <w:sz w:val="24"/>
            <w:szCs w:val="24"/>
            <w:u w:val="none"/>
          </w:rPr>
          <w:tab/>
        </w:r>
        <w:r w:rsidR="00EA5655" w:rsidRPr="00EA5655">
          <w:rPr>
            <w:rStyle w:val="Hyperlink"/>
            <w:rFonts w:ascii="Times New Roman" w:hAnsi="Times New Roman" w:cs="Times New Roman"/>
            <w:color w:val="auto"/>
            <w:sz w:val="24"/>
            <w:szCs w:val="24"/>
            <w:u w:val="none"/>
          </w:rPr>
          <w:tab/>
          <w:t>kvc.htm</w:t>
        </w:r>
      </w:hyperlink>
      <w:r w:rsidR="00EA5655" w:rsidRPr="00EA5655">
        <w:rPr>
          <w:rFonts w:ascii="Times New Roman" w:hAnsi="Times New Roman" w:cs="Times New Roman"/>
          <w:sz w:val="24"/>
          <w:szCs w:val="24"/>
        </w:rPr>
        <w:t xml:space="preserve"> (accessed July 11, 2011).</w:t>
      </w:r>
    </w:p>
    <w:p w14:paraId="776746B1" w14:textId="75BD6A00" w:rsidR="00186DCC" w:rsidRPr="00EA5655" w:rsidRDefault="00186DCC" w:rsidP="00186DCC">
      <w:pPr>
        <w:pStyle w:val="EndnoteText"/>
        <w:rPr>
          <w:rFonts w:ascii="Times New Roman" w:hAnsi="Times New Roman" w:cs="Times New Roman"/>
          <w:sz w:val="24"/>
          <w:szCs w:val="24"/>
        </w:rPr>
      </w:pPr>
    </w:p>
    <w:p w14:paraId="500FDFAC" w14:textId="6B7A26D6" w:rsidR="00186DCC" w:rsidRDefault="00186DCC" w:rsidP="00186DCC">
      <w:pPr>
        <w:pStyle w:val="NoSpacing"/>
        <w:rPr>
          <w:rFonts w:ascii="Times New Roman" w:hAnsi="Times New Roman"/>
          <w:szCs w:val="24"/>
        </w:rPr>
      </w:pPr>
      <w:r w:rsidRPr="00F1077D">
        <w:rPr>
          <w:rFonts w:ascii="Times New Roman" w:hAnsi="Times New Roman"/>
          <w:szCs w:val="24"/>
        </w:rPr>
        <w:t xml:space="preserve">Kilpatrick, Jacquelyn. </w:t>
      </w:r>
      <w:r w:rsidRPr="00F1077D">
        <w:rPr>
          <w:rFonts w:ascii="Times New Roman" w:hAnsi="Times New Roman"/>
          <w:i/>
          <w:szCs w:val="24"/>
        </w:rPr>
        <w:t>Cell</w:t>
      </w:r>
      <w:r w:rsidRPr="00DA1E36">
        <w:rPr>
          <w:rFonts w:ascii="Times New Roman" w:hAnsi="Times New Roman"/>
          <w:i/>
          <w:szCs w:val="24"/>
        </w:rPr>
        <w:t>uloid Indians: Native Americans and Film</w:t>
      </w:r>
      <w:r w:rsidRPr="00DA1E36">
        <w:rPr>
          <w:rFonts w:ascii="Times New Roman" w:hAnsi="Times New Roman"/>
          <w:szCs w:val="24"/>
        </w:rPr>
        <w:t>. Lincoln, NE:</w:t>
      </w:r>
      <w:r w:rsidR="00143433">
        <w:rPr>
          <w:rFonts w:ascii="Times New Roman" w:hAnsi="Times New Roman"/>
          <w:szCs w:val="24"/>
        </w:rPr>
        <w:tab/>
      </w:r>
      <w:r w:rsidRPr="00DA1E36">
        <w:rPr>
          <w:rFonts w:ascii="Times New Roman" w:hAnsi="Times New Roman"/>
          <w:szCs w:val="24"/>
        </w:rPr>
        <w:t>Un</w:t>
      </w:r>
      <w:r w:rsidR="00143433">
        <w:rPr>
          <w:rFonts w:ascii="Times New Roman" w:hAnsi="Times New Roman"/>
          <w:szCs w:val="24"/>
        </w:rPr>
        <w:t xml:space="preserve">iversity of </w:t>
      </w:r>
      <w:r w:rsidRPr="00DA1E36">
        <w:rPr>
          <w:rFonts w:ascii="Times New Roman" w:hAnsi="Times New Roman"/>
          <w:szCs w:val="24"/>
        </w:rPr>
        <w:t>Nebraska Press, 1999.</w:t>
      </w:r>
    </w:p>
    <w:p w14:paraId="4830C86B" w14:textId="77777777" w:rsidR="00F2059B" w:rsidRPr="00DA1E36" w:rsidRDefault="00F2059B" w:rsidP="00186DCC">
      <w:pPr>
        <w:pStyle w:val="NoSpacing"/>
        <w:rPr>
          <w:rFonts w:ascii="Times New Roman" w:hAnsi="Times New Roman"/>
          <w:szCs w:val="24"/>
        </w:rPr>
      </w:pPr>
    </w:p>
    <w:p w14:paraId="2C2E13D4" w14:textId="712ACB8F" w:rsidR="00F2059B" w:rsidRDefault="00F2059B" w:rsidP="00F2059B">
      <w:pPr>
        <w:pStyle w:val="EndnoteText"/>
        <w:rPr>
          <w:rFonts w:ascii="Times New Roman" w:eastAsia="Times New Roman" w:hAnsi="Times New Roman" w:cs="Times New Roman"/>
          <w:color w:val="252525"/>
          <w:sz w:val="24"/>
          <w:szCs w:val="24"/>
        </w:rPr>
      </w:pPr>
      <w:r>
        <w:rPr>
          <w:rFonts w:ascii="Times New Roman" w:eastAsia="Times New Roman" w:hAnsi="Times New Roman" w:cs="Times New Roman"/>
          <w:color w:val="252525"/>
          <w:sz w:val="24"/>
          <w:szCs w:val="24"/>
        </w:rPr>
        <w:t>Kinietz, William Vernon.</w:t>
      </w:r>
      <w:r w:rsidRPr="004817B9">
        <w:rPr>
          <w:rFonts w:ascii="Times New Roman" w:eastAsia="Times New Roman" w:hAnsi="Times New Roman" w:cs="Times New Roman"/>
          <w:color w:val="252525"/>
          <w:sz w:val="24"/>
          <w:szCs w:val="24"/>
        </w:rPr>
        <w:t> </w:t>
      </w:r>
      <w:r w:rsidRPr="00F2059B">
        <w:rPr>
          <w:rFonts w:ascii="Times New Roman" w:eastAsia="Times New Roman" w:hAnsi="Times New Roman" w:cs="Times New Roman"/>
          <w:i/>
          <w:iCs/>
          <w:color w:val="252525"/>
          <w:sz w:val="24"/>
          <w:szCs w:val="24"/>
        </w:rPr>
        <w:t>John Mix Stanley and his Indian Paintings</w:t>
      </w:r>
      <w:r>
        <w:rPr>
          <w:rFonts w:ascii="Times New Roman" w:eastAsia="Times New Roman" w:hAnsi="Times New Roman" w:cs="Times New Roman"/>
          <w:iCs/>
          <w:color w:val="252525"/>
          <w:sz w:val="24"/>
          <w:szCs w:val="24"/>
        </w:rPr>
        <w:t xml:space="preserve">. </w:t>
      </w:r>
      <w:r w:rsidRPr="004817B9">
        <w:rPr>
          <w:rFonts w:ascii="Times New Roman" w:eastAsia="Times New Roman" w:hAnsi="Times New Roman" w:cs="Times New Roman"/>
          <w:color w:val="252525"/>
          <w:sz w:val="24"/>
          <w:szCs w:val="24"/>
        </w:rPr>
        <w:t>Ann Arbor:</w:t>
      </w:r>
      <w:r>
        <w:rPr>
          <w:rFonts w:ascii="Times New Roman" w:eastAsia="Times New Roman" w:hAnsi="Times New Roman" w:cs="Times New Roman"/>
          <w:color w:val="252525"/>
          <w:sz w:val="24"/>
          <w:szCs w:val="24"/>
        </w:rPr>
        <w:tab/>
      </w:r>
      <w:r>
        <w:rPr>
          <w:rFonts w:ascii="Times New Roman" w:eastAsia="Times New Roman" w:hAnsi="Times New Roman" w:cs="Times New Roman"/>
          <w:color w:val="252525"/>
          <w:sz w:val="24"/>
          <w:szCs w:val="24"/>
        </w:rPr>
        <w:tab/>
      </w:r>
      <w:r w:rsidRPr="004817B9">
        <w:rPr>
          <w:rFonts w:ascii="Times New Roman" w:eastAsia="Times New Roman" w:hAnsi="Times New Roman" w:cs="Times New Roman"/>
          <w:color w:val="252525"/>
          <w:sz w:val="24"/>
          <w:szCs w:val="24"/>
        </w:rPr>
        <w:t>University of Michigan Press</w:t>
      </w:r>
      <w:r>
        <w:rPr>
          <w:rFonts w:ascii="Times New Roman" w:eastAsia="Times New Roman" w:hAnsi="Times New Roman" w:cs="Times New Roman"/>
          <w:color w:val="252525"/>
          <w:sz w:val="24"/>
          <w:szCs w:val="24"/>
        </w:rPr>
        <w:t>, 1942.</w:t>
      </w:r>
    </w:p>
    <w:p w14:paraId="501B53D6" w14:textId="77777777" w:rsidR="00C37A50" w:rsidRDefault="00C37A50" w:rsidP="00186DCC">
      <w:pPr>
        <w:pStyle w:val="NoSpacing"/>
        <w:rPr>
          <w:rFonts w:ascii="Times New Roman" w:hAnsi="Times New Roman"/>
          <w:szCs w:val="24"/>
        </w:rPr>
      </w:pPr>
    </w:p>
    <w:p w14:paraId="2AA9A56D" w14:textId="5CC2D424"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King, Edward. </w:t>
      </w:r>
      <w:r w:rsidRPr="00DA1E36">
        <w:rPr>
          <w:rFonts w:ascii="Times New Roman" w:hAnsi="Times New Roman"/>
          <w:i/>
          <w:szCs w:val="24"/>
        </w:rPr>
        <w:t>The Great South: A Record of Journeys in Louisiana, Texas, the Indian</w:t>
      </w:r>
      <w:r w:rsidR="00143433">
        <w:rPr>
          <w:rFonts w:ascii="Times New Roman" w:hAnsi="Times New Roman"/>
          <w:i/>
          <w:szCs w:val="24"/>
        </w:rPr>
        <w:tab/>
      </w:r>
      <w:r w:rsidRPr="00DA1E36">
        <w:rPr>
          <w:rFonts w:ascii="Times New Roman" w:hAnsi="Times New Roman"/>
          <w:i/>
          <w:szCs w:val="24"/>
        </w:rPr>
        <w:t>Territory,</w:t>
      </w:r>
      <w:r w:rsidR="00143433">
        <w:rPr>
          <w:rFonts w:ascii="Times New Roman" w:hAnsi="Times New Roman"/>
          <w:i/>
          <w:szCs w:val="24"/>
        </w:rPr>
        <w:t xml:space="preserve"> </w:t>
      </w:r>
      <w:r w:rsidRPr="00DA1E36">
        <w:rPr>
          <w:rFonts w:ascii="Times New Roman" w:hAnsi="Times New Roman"/>
          <w:i/>
          <w:szCs w:val="24"/>
        </w:rPr>
        <w:t>Missouri, Arkansas, Mississip</w:t>
      </w:r>
      <w:r w:rsidR="00143433">
        <w:rPr>
          <w:rFonts w:ascii="Times New Roman" w:hAnsi="Times New Roman"/>
          <w:i/>
          <w:szCs w:val="24"/>
        </w:rPr>
        <w:t xml:space="preserve">pi, Alabama, Georgia, Florida, </w:t>
      </w:r>
      <w:r w:rsidRPr="00DA1E36">
        <w:rPr>
          <w:rFonts w:ascii="Times New Roman" w:hAnsi="Times New Roman"/>
          <w:i/>
          <w:szCs w:val="24"/>
        </w:rPr>
        <w:t>South</w:t>
      </w:r>
      <w:r w:rsidR="00143433">
        <w:rPr>
          <w:rFonts w:ascii="Times New Roman" w:hAnsi="Times New Roman"/>
          <w:i/>
          <w:szCs w:val="24"/>
        </w:rPr>
        <w:tab/>
      </w:r>
      <w:r w:rsidRPr="00DA1E36">
        <w:rPr>
          <w:rFonts w:ascii="Times New Roman" w:hAnsi="Times New Roman"/>
          <w:i/>
          <w:szCs w:val="24"/>
        </w:rPr>
        <w:t>Carolina, North Carolina,</w:t>
      </w:r>
      <w:r w:rsidR="00143433">
        <w:rPr>
          <w:rFonts w:ascii="Times New Roman" w:hAnsi="Times New Roman"/>
          <w:i/>
          <w:szCs w:val="24"/>
        </w:rPr>
        <w:t xml:space="preserve"> </w:t>
      </w:r>
      <w:r w:rsidRPr="00DA1E36">
        <w:rPr>
          <w:rFonts w:ascii="Times New Roman" w:hAnsi="Times New Roman"/>
          <w:i/>
          <w:szCs w:val="24"/>
        </w:rPr>
        <w:t>Kentucky, Tennessee, Virginia, West</w:t>
      </w:r>
      <w:r w:rsidR="00143433">
        <w:rPr>
          <w:rFonts w:ascii="Times New Roman" w:hAnsi="Times New Roman"/>
          <w:i/>
          <w:szCs w:val="24"/>
        </w:rPr>
        <w:t xml:space="preserve"> </w:t>
      </w:r>
      <w:r w:rsidRPr="00DA1E36">
        <w:rPr>
          <w:rFonts w:ascii="Times New Roman" w:hAnsi="Times New Roman"/>
          <w:i/>
          <w:szCs w:val="24"/>
        </w:rPr>
        <w:t>Virginia, and</w:t>
      </w:r>
      <w:r w:rsidR="00143433">
        <w:rPr>
          <w:rFonts w:ascii="Times New Roman" w:hAnsi="Times New Roman"/>
          <w:i/>
          <w:szCs w:val="24"/>
        </w:rPr>
        <w:tab/>
      </w:r>
      <w:r w:rsidRPr="00DA1E36">
        <w:rPr>
          <w:rFonts w:ascii="Times New Roman" w:hAnsi="Times New Roman"/>
          <w:i/>
          <w:szCs w:val="24"/>
        </w:rPr>
        <w:t>Maryland</w:t>
      </w:r>
      <w:r w:rsidRPr="00DA1E36">
        <w:rPr>
          <w:rFonts w:ascii="Times New Roman" w:hAnsi="Times New Roman"/>
          <w:szCs w:val="24"/>
        </w:rPr>
        <w:t>. Har</w:t>
      </w:r>
      <w:r w:rsidR="00EA5655">
        <w:rPr>
          <w:rFonts w:ascii="Times New Roman" w:hAnsi="Times New Roman"/>
          <w:szCs w:val="24"/>
        </w:rPr>
        <w:t>tford</w:t>
      </w:r>
      <w:r w:rsidR="00143433">
        <w:rPr>
          <w:rFonts w:ascii="Times New Roman" w:hAnsi="Times New Roman"/>
          <w:szCs w:val="24"/>
        </w:rPr>
        <w:t xml:space="preserve">: American Publishing </w:t>
      </w:r>
      <w:r w:rsidRPr="00DA1E36">
        <w:rPr>
          <w:rFonts w:ascii="Times New Roman" w:hAnsi="Times New Roman"/>
          <w:szCs w:val="24"/>
        </w:rPr>
        <w:t>Co., 1875.</w:t>
      </w:r>
    </w:p>
    <w:p w14:paraId="493C1BA4" w14:textId="782CF30D" w:rsidR="00186DCC" w:rsidRDefault="00186DCC" w:rsidP="00186DCC">
      <w:pPr>
        <w:pStyle w:val="NoSpacing"/>
        <w:rPr>
          <w:rFonts w:ascii="Times New Roman" w:hAnsi="Times New Roman"/>
          <w:szCs w:val="24"/>
        </w:rPr>
      </w:pPr>
    </w:p>
    <w:p w14:paraId="6F753D4B" w14:textId="110A403C" w:rsidR="0003369E" w:rsidRDefault="0003369E" w:rsidP="00186DCC">
      <w:pPr>
        <w:pStyle w:val="NoSpacing"/>
        <w:rPr>
          <w:rFonts w:ascii="Times New Roman" w:hAnsi="Times New Roman"/>
          <w:szCs w:val="24"/>
        </w:rPr>
      </w:pPr>
      <w:r>
        <w:rPr>
          <w:rFonts w:asciiTheme="majorHAnsi" w:hAnsiTheme="majorHAnsi" w:cstheme="majorHAnsi"/>
          <w:szCs w:val="24"/>
        </w:rPr>
        <w:t xml:space="preserve">King, Edward. </w:t>
      </w:r>
      <w:r w:rsidRPr="00A464EF">
        <w:rPr>
          <w:rFonts w:asciiTheme="majorHAnsi" w:hAnsiTheme="majorHAnsi" w:cstheme="majorHAnsi"/>
          <w:i/>
          <w:szCs w:val="24"/>
        </w:rPr>
        <w:t>The Great South</w:t>
      </w:r>
      <w:r>
        <w:rPr>
          <w:rFonts w:asciiTheme="majorHAnsi" w:hAnsiTheme="majorHAnsi" w:cstheme="majorHAnsi"/>
          <w:szCs w:val="24"/>
        </w:rPr>
        <w:t xml:space="preserve">, edited by </w:t>
      </w:r>
      <w:r w:rsidRPr="00A464EF">
        <w:rPr>
          <w:rFonts w:asciiTheme="majorHAnsi" w:hAnsiTheme="majorHAnsi" w:cstheme="majorHAnsi"/>
          <w:szCs w:val="24"/>
        </w:rPr>
        <w:t>W. Magruder Drake and</w:t>
      </w:r>
      <w:r>
        <w:rPr>
          <w:rFonts w:asciiTheme="majorHAnsi" w:hAnsiTheme="majorHAnsi" w:cstheme="majorHAnsi"/>
          <w:szCs w:val="24"/>
        </w:rPr>
        <w:tab/>
      </w:r>
      <w:r w:rsidRPr="00A464EF">
        <w:rPr>
          <w:rFonts w:asciiTheme="majorHAnsi" w:hAnsiTheme="majorHAnsi" w:cstheme="majorHAnsi"/>
          <w:szCs w:val="24"/>
        </w:rPr>
        <w:t>Robert R.</w:t>
      </w:r>
      <w:r>
        <w:rPr>
          <w:rFonts w:asciiTheme="majorHAnsi" w:hAnsiTheme="majorHAnsi" w:cstheme="majorHAnsi"/>
          <w:szCs w:val="24"/>
        </w:rPr>
        <w:t xml:space="preserve"> </w:t>
      </w:r>
      <w:r w:rsidRPr="00A464EF">
        <w:rPr>
          <w:rFonts w:asciiTheme="majorHAnsi" w:hAnsiTheme="majorHAnsi" w:cstheme="majorHAnsi"/>
          <w:szCs w:val="24"/>
        </w:rPr>
        <w:t>Jones.</w:t>
      </w:r>
      <w:r>
        <w:rPr>
          <w:rFonts w:asciiTheme="majorHAnsi" w:hAnsiTheme="majorHAnsi" w:cstheme="majorHAnsi"/>
          <w:szCs w:val="24"/>
        </w:rPr>
        <w:tab/>
      </w:r>
      <w:r w:rsidRPr="00A464EF">
        <w:rPr>
          <w:rFonts w:asciiTheme="majorHAnsi" w:hAnsiTheme="majorHAnsi" w:cstheme="majorHAnsi"/>
          <w:szCs w:val="24"/>
        </w:rPr>
        <w:t>Baton</w:t>
      </w:r>
      <w:r>
        <w:rPr>
          <w:rFonts w:asciiTheme="majorHAnsi" w:hAnsiTheme="majorHAnsi" w:cstheme="majorHAnsi"/>
          <w:szCs w:val="24"/>
        </w:rPr>
        <w:t xml:space="preserve"> </w:t>
      </w:r>
      <w:r w:rsidRPr="00DA1E36">
        <w:rPr>
          <w:rFonts w:ascii="Times New Roman" w:hAnsi="Times New Roman"/>
          <w:szCs w:val="24"/>
        </w:rPr>
        <w:t>Rouge:</w:t>
      </w:r>
      <w:r>
        <w:rPr>
          <w:rFonts w:ascii="Times New Roman" w:hAnsi="Times New Roman"/>
          <w:szCs w:val="24"/>
        </w:rPr>
        <w:t xml:space="preserve"> </w:t>
      </w:r>
      <w:r w:rsidRPr="00DA1E36">
        <w:rPr>
          <w:rFonts w:ascii="Times New Roman" w:hAnsi="Times New Roman"/>
          <w:szCs w:val="24"/>
        </w:rPr>
        <w:t>Louisiana State Press, 1972.</w:t>
      </w:r>
    </w:p>
    <w:p w14:paraId="21FD42A3" w14:textId="4DC3F6BB" w:rsidR="00186DCC" w:rsidRPr="00DA1E36" w:rsidRDefault="00186DCC" w:rsidP="005A39DA">
      <w:pPr>
        <w:pStyle w:val="NoSpacing"/>
        <w:rPr>
          <w:rFonts w:ascii="Times New Roman" w:hAnsi="Times New Roman"/>
          <w:szCs w:val="24"/>
        </w:rPr>
      </w:pPr>
      <w:r w:rsidRPr="00DA1E36">
        <w:rPr>
          <w:rFonts w:ascii="Times New Roman" w:hAnsi="Times New Roman"/>
          <w:szCs w:val="24"/>
        </w:rPr>
        <w:t xml:space="preserve">Kirshenblatt-Gimblett, Barbara. </w:t>
      </w:r>
      <w:r w:rsidRPr="00DA1E36">
        <w:rPr>
          <w:rFonts w:ascii="Times New Roman" w:hAnsi="Times New Roman"/>
          <w:i/>
          <w:szCs w:val="24"/>
        </w:rPr>
        <w:t>Destination Culture: Tourism, Museums, and Heritage</w:t>
      </w:r>
      <w:r w:rsidR="00F1077D">
        <w:rPr>
          <w:rFonts w:ascii="Times New Roman" w:hAnsi="Times New Roman"/>
          <w:szCs w:val="24"/>
        </w:rPr>
        <w:t>.</w:t>
      </w:r>
      <w:r w:rsidRPr="00DA1E36">
        <w:rPr>
          <w:rFonts w:ascii="Times New Roman" w:hAnsi="Times New Roman"/>
          <w:szCs w:val="24"/>
        </w:rPr>
        <w:t xml:space="preserve"> </w:t>
      </w:r>
      <w:r w:rsidR="00143433">
        <w:rPr>
          <w:rFonts w:ascii="Times New Roman" w:hAnsi="Times New Roman"/>
          <w:szCs w:val="24"/>
        </w:rPr>
        <w:tab/>
      </w:r>
      <w:r w:rsidRPr="00DA1E36">
        <w:rPr>
          <w:rFonts w:ascii="Times New Roman" w:hAnsi="Times New Roman"/>
          <w:szCs w:val="24"/>
        </w:rPr>
        <w:t>Berkley, CA:</w:t>
      </w:r>
      <w:r w:rsidR="00143433">
        <w:rPr>
          <w:rFonts w:ascii="Times New Roman" w:hAnsi="Times New Roman"/>
          <w:szCs w:val="24"/>
        </w:rPr>
        <w:t xml:space="preserve"> U</w:t>
      </w:r>
      <w:r w:rsidRPr="00DA1E36">
        <w:rPr>
          <w:rFonts w:ascii="Times New Roman" w:hAnsi="Times New Roman"/>
          <w:szCs w:val="24"/>
        </w:rPr>
        <w:t>niversity of California Press, 1998.</w:t>
      </w:r>
    </w:p>
    <w:p w14:paraId="0BF23BD0" w14:textId="77777777" w:rsidR="00186DCC" w:rsidRPr="00DA1E36" w:rsidRDefault="00186DCC" w:rsidP="005A39DA">
      <w:pPr>
        <w:pStyle w:val="NoSpacing"/>
        <w:rPr>
          <w:rFonts w:ascii="Times New Roman" w:hAnsi="Times New Roman"/>
          <w:szCs w:val="24"/>
        </w:rPr>
      </w:pPr>
    </w:p>
    <w:p w14:paraId="05AA01C5" w14:textId="6EC0C79A" w:rsidR="005A39DA" w:rsidRPr="00E7312B" w:rsidRDefault="005A39DA" w:rsidP="005A39DA">
      <w:pPr>
        <w:spacing w:line="240" w:lineRule="auto"/>
        <w:rPr>
          <w:b/>
        </w:rPr>
      </w:pPr>
      <w:r w:rsidRPr="00E7312B">
        <w:t xml:space="preserve">Kraft, James, and Helen Farr Sloan. </w:t>
      </w:r>
      <w:r w:rsidRPr="00E7312B">
        <w:rPr>
          <w:i/>
        </w:rPr>
        <w:t>John Sloan in Santa Fe</w:t>
      </w:r>
      <w:r w:rsidRPr="00E7312B">
        <w:t>. Washington, DC:</w:t>
      </w:r>
      <w:r>
        <w:tab/>
      </w:r>
      <w:r w:rsidRPr="00E7312B">
        <w:t>Smithsonian Institution,</w:t>
      </w:r>
      <w:r>
        <w:t xml:space="preserve"> </w:t>
      </w:r>
      <w:r w:rsidRPr="00E7312B">
        <w:t xml:space="preserve">1981. </w:t>
      </w:r>
    </w:p>
    <w:p w14:paraId="3DE1061D" w14:textId="77777777" w:rsidR="005A39DA" w:rsidRDefault="005A39DA" w:rsidP="005A39DA">
      <w:pPr>
        <w:pStyle w:val="NoSpacing"/>
        <w:rPr>
          <w:rFonts w:ascii="Times New Roman" w:hAnsi="Times New Roman"/>
          <w:szCs w:val="24"/>
        </w:rPr>
      </w:pPr>
    </w:p>
    <w:p w14:paraId="66ED50CF" w14:textId="24D5EC90" w:rsidR="00186DCC" w:rsidRDefault="00186DCC" w:rsidP="005A39DA">
      <w:pPr>
        <w:pStyle w:val="NoSpacing"/>
        <w:rPr>
          <w:rFonts w:ascii="Times New Roman" w:hAnsi="Times New Roman"/>
          <w:szCs w:val="24"/>
        </w:rPr>
      </w:pPr>
      <w:r w:rsidRPr="00DA1E36">
        <w:rPr>
          <w:rFonts w:ascii="Times New Roman" w:hAnsi="Times New Roman"/>
          <w:szCs w:val="24"/>
        </w:rPr>
        <w:t xml:space="preserve">Ladd, Barbara. </w:t>
      </w:r>
      <w:r w:rsidRPr="00DA1E36">
        <w:rPr>
          <w:rFonts w:ascii="Times New Roman" w:hAnsi="Times New Roman"/>
          <w:i/>
          <w:szCs w:val="24"/>
        </w:rPr>
        <w:t>Nationalism and the Color Line in George W. Cable, Mark Twain, and</w:t>
      </w:r>
      <w:r w:rsidR="00143433">
        <w:rPr>
          <w:rFonts w:ascii="Times New Roman" w:hAnsi="Times New Roman"/>
          <w:i/>
          <w:szCs w:val="24"/>
        </w:rPr>
        <w:tab/>
      </w:r>
      <w:r w:rsidRPr="00DA1E36">
        <w:rPr>
          <w:rFonts w:ascii="Times New Roman" w:hAnsi="Times New Roman"/>
          <w:i/>
          <w:szCs w:val="24"/>
        </w:rPr>
        <w:t>William</w:t>
      </w:r>
      <w:r w:rsidR="00143433">
        <w:rPr>
          <w:rFonts w:ascii="Times New Roman" w:hAnsi="Times New Roman"/>
          <w:i/>
          <w:szCs w:val="24"/>
        </w:rPr>
        <w:t xml:space="preserve"> </w:t>
      </w:r>
      <w:r w:rsidRPr="00DA1E36">
        <w:rPr>
          <w:rFonts w:ascii="Times New Roman" w:hAnsi="Times New Roman"/>
          <w:i/>
          <w:szCs w:val="24"/>
        </w:rPr>
        <w:t>Faulkner</w:t>
      </w:r>
      <w:r w:rsidRPr="00DA1E36">
        <w:rPr>
          <w:rFonts w:ascii="Times New Roman" w:hAnsi="Times New Roman"/>
          <w:szCs w:val="24"/>
        </w:rPr>
        <w:t>. Baton Rouge: Louisiana State University Press, 1996.</w:t>
      </w:r>
    </w:p>
    <w:p w14:paraId="4A288036" w14:textId="2950FBC4" w:rsidR="0096107D" w:rsidRDefault="0096107D" w:rsidP="005A39DA">
      <w:pPr>
        <w:pStyle w:val="NoSpacing"/>
        <w:rPr>
          <w:rFonts w:ascii="Times New Roman" w:hAnsi="Times New Roman"/>
          <w:szCs w:val="24"/>
        </w:rPr>
      </w:pPr>
    </w:p>
    <w:p w14:paraId="3A1ADAC4" w14:textId="45F9473E" w:rsidR="005A39DA" w:rsidRPr="00E7312B" w:rsidRDefault="005A39DA" w:rsidP="005A39DA">
      <w:pPr>
        <w:spacing w:line="240" w:lineRule="auto"/>
      </w:pPr>
      <w:r>
        <w:t>L</w:t>
      </w:r>
      <w:r w:rsidRPr="00E7312B">
        <w:t xml:space="preserve">awrence, D.H. “America, Listen to Your Own.” </w:t>
      </w:r>
      <w:r w:rsidRPr="00E7312B">
        <w:rPr>
          <w:i/>
        </w:rPr>
        <w:t xml:space="preserve">New Republic </w:t>
      </w:r>
      <w:r w:rsidRPr="00E7312B">
        <w:t>25 (December 15</w:t>
      </w:r>
      <w:r w:rsidR="00F1077D">
        <w:tab/>
      </w:r>
      <w:r w:rsidRPr="00E7312B">
        <w:t>1920): 69.</w:t>
      </w:r>
    </w:p>
    <w:p w14:paraId="33475F5B" w14:textId="77777777" w:rsidR="005A39DA" w:rsidRPr="00E7312B" w:rsidRDefault="005A39DA" w:rsidP="005A39DA">
      <w:pPr>
        <w:spacing w:line="240" w:lineRule="auto"/>
      </w:pPr>
    </w:p>
    <w:p w14:paraId="542201D8" w14:textId="0A7FC62B" w:rsidR="005A39DA" w:rsidRPr="00E7312B" w:rsidRDefault="005A39DA" w:rsidP="005A39DA">
      <w:pPr>
        <w:spacing w:line="240" w:lineRule="auto"/>
      </w:pPr>
      <w:r w:rsidRPr="00E7312B">
        <w:t xml:space="preserve">_____. “Just Back from the Snake Dance –Tired Out.” </w:t>
      </w:r>
      <w:r w:rsidRPr="00E7312B">
        <w:rPr>
          <w:i/>
        </w:rPr>
        <w:t>Laughing Horse</w:t>
      </w:r>
      <w:r w:rsidRPr="00E7312B">
        <w:t xml:space="preserve"> no. 11</w:t>
      </w:r>
      <w:r w:rsidR="00EE722C">
        <w:tab/>
      </w:r>
      <w:r w:rsidRPr="00E7312B">
        <w:t>(September 1924): n.p.</w:t>
      </w:r>
    </w:p>
    <w:p w14:paraId="0378ED7E" w14:textId="77777777" w:rsidR="005A39DA" w:rsidRDefault="005A39DA" w:rsidP="005A39DA">
      <w:pPr>
        <w:pStyle w:val="NoSpacing"/>
        <w:rPr>
          <w:rFonts w:ascii="Times New Roman" w:hAnsi="Times New Roman"/>
          <w:szCs w:val="24"/>
        </w:rPr>
      </w:pPr>
    </w:p>
    <w:p w14:paraId="698A0744" w14:textId="77777777" w:rsidR="0063781D" w:rsidRDefault="0063781D" w:rsidP="0063781D">
      <w:pPr>
        <w:pStyle w:val="NoSpacing"/>
        <w:rPr>
          <w:rFonts w:ascii="Times New Roman" w:hAnsi="Times New Roman"/>
          <w:szCs w:val="24"/>
        </w:rPr>
      </w:pPr>
      <w:r>
        <w:rPr>
          <w:rFonts w:asciiTheme="majorHAnsi" w:hAnsiTheme="majorHAnsi" w:cstheme="majorHAnsi"/>
        </w:rPr>
        <w:t xml:space="preserve">Lawrence, Ernest R. </w:t>
      </w:r>
      <w:r w:rsidRPr="0063781D">
        <w:rPr>
          <w:rFonts w:asciiTheme="majorHAnsi" w:hAnsiTheme="majorHAnsi" w:cstheme="majorHAnsi"/>
          <w:i/>
        </w:rPr>
        <w:t>Alone with the Past: The Life and Photographic Art of Roland W</w:t>
      </w:r>
      <w:r w:rsidRPr="0063781D">
        <w:rPr>
          <w:rFonts w:asciiTheme="majorHAnsi" w:hAnsiTheme="majorHAnsi" w:cstheme="majorHAnsi"/>
          <w:i/>
          <w:szCs w:val="24"/>
        </w:rPr>
        <w:t>.</w:t>
      </w:r>
      <w:r>
        <w:rPr>
          <w:rFonts w:asciiTheme="majorHAnsi" w:hAnsiTheme="majorHAnsi" w:cstheme="majorHAnsi"/>
          <w:i/>
          <w:szCs w:val="24"/>
        </w:rPr>
        <w:tab/>
      </w:r>
      <w:r w:rsidRPr="0063781D">
        <w:rPr>
          <w:rFonts w:asciiTheme="majorHAnsi" w:hAnsiTheme="majorHAnsi" w:cstheme="majorHAnsi"/>
          <w:i/>
        </w:rPr>
        <w:t>Reed</w:t>
      </w:r>
      <w:r>
        <w:rPr>
          <w:rFonts w:asciiTheme="majorHAnsi" w:hAnsiTheme="majorHAnsi" w:cstheme="majorHAnsi"/>
        </w:rPr>
        <w:t>. Afton, MN: Afton Historical Society Press, 2012.</w:t>
      </w:r>
    </w:p>
    <w:p w14:paraId="316F2B55" w14:textId="77777777" w:rsidR="0063781D" w:rsidRDefault="0063781D" w:rsidP="005A39DA">
      <w:pPr>
        <w:pStyle w:val="NoSpacing"/>
        <w:rPr>
          <w:rFonts w:ascii="Times New Roman" w:hAnsi="Times New Roman"/>
          <w:szCs w:val="24"/>
        </w:rPr>
      </w:pPr>
    </w:p>
    <w:p w14:paraId="39420285" w14:textId="1BF8C375" w:rsidR="00186DCC" w:rsidRPr="00DA1E36" w:rsidRDefault="00186DCC" w:rsidP="005A39DA">
      <w:pPr>
        <w:pStyle w:val="NoSpacing"/>
        <w:rPr>
          <w:rFonts w:ascii="Times New Roman" w:hAnsi="Times New Roman"/>
          <w:szCs w:val="24"/>
        </w:rPr>
      </w:pPr>
      <w:r w:rsidRPr="00DA1E36">
        <w:rPr>
          <w:rFonts w:ascii="Times New Roman" w:hAnsi="Times New Roman"/>
          <w:szCs w:val="24"/>
        </w:rPr>
        <w:t xml:space="preserve">Leavitt, Virginia. </w:t>
      </w:r>
      <w:r w:rsidRPr="00DA1E36">
        <w:rPr>
          <w:rFonts w:ascii="Times New Roman" w:hAnsi="Times New Roman"/>
          <w:i/>
          <w:szCs w:val="24"/>
        </w:rPr>
        <w:t>Eanger Irving Couse: Image Maker for America</w:t>
      </w:r>
      <w:r w:rsidRPr="00DA1E36">
        <w:rPr>
          <w:rFonts w:ascii="Times New Roman" w:hAnsi="Times New Roman"/>
          <w:szCs w:val="24"/>
        </w:rPr>
        <w:t>. Albuquerque:</w:t>
      </w:r>
      <w:r w:rsidR="00143433">
        <w:rPr>
          <w:rFonts w:ascii="Times New Roman" w:hAnsi="Times New Roman"/>
          <w:szCs w:val="24"/>
        </w:rPr>
        <w:tab/>
      </w:r>
      <w:r w:rsidRPr="00DA1E36">
        <w:rPr>
          <w:rFonts w:ascii="Times New Roman" w:hAnsi="Times New Roman"/>
          <w:szCs w:val="24"/>
        </w:rPr>
        <w:t>Albuquerque</w:t>
      </w:r>
      <w:r w:rsidR="00143433">
        <w:rPr>
          <w:rFonts w:ascii="Times New Roman" w:hAnsi="Times New Roman"/>
          <w:szCs w:val="24"/>
        </w:rPr>
        <w:t xml:space="preserve"> </w:t>
      </w:r>
      <w:r w:rsidR="0096107D">
        <w:rPr>
          <w:rFonts w:ascii="Times New Roman" w:hAnsi="Times New Roman"/>
          <w:szCs w:val="24"/>
        </w:rPr>
        <w:t>Museum, 1991.</w:t>
      </w:r>
    </w:p>
    <w:p w14:paraId="346782AE" w14:textId="33C1CF72" w:rsidR="00186DCC" w:rsidRDefault="00186DCC" w:rsidP="005A39DA">
      <w:pPr>
        <w:pStyle w:val="NoSpacing"/>
        <w:rPr>
          <w:rFonts w:ascii="Times New Roman" w:hAnsi="Times New Roman"/>
          <w:szCs w:val="24"/>
        </w:rPr>
      </w:pPr>
    </w:p>
    <w:p w14:paraId="537BEACA" w14:textId="492E66C9" w:rsidR="005A39DA" w:rsidRPr="00E7312B" w:rsidRDefault="005A39DA" w:rsidP="005A39DA">
      <w:pPr>
        <w:spacing w:line="240" w:lineRule="auto"/>
      </w:pPr>
      <w:r w:rsidRPr="00E7312B">
        <w:t xml:space="preserve">Leeds, Valerie. </w:t>
      </w:r>
      <w:r w:rsidRPr="00E7312B">
        <w:rPr>
          <w:i/>
        </w:rPr>
        <w:t>Robert Henri in Santa Fe: His Work and His Influence</w:t>
      </w:r>
      <w:r w:rsidRPr="00E7312B">
        <w:t>. Santa Fe:</w:t>
      </w:r>
      <w:r>
        <w:tab/>
      </w:r>
      <w:r w:rsidRPr="00E7312B">
        <w:t>Gerald Peters</w:t>
      </w:r>
      <w:r>
        <w:t xml:space="preserve"> </w:t>
      </w:r>
      <w:r w:rsidRPr="00E7312B">
        <w:t>Gallery, 1998.</w:t>
      </w:r>
    </w:p>
    <w:p w14:paraId="2D4021F4" w14:textId="77777777" w:rsidR="005A39DA" w:rsidRPr="00DA1E36" w:rsidRDefault="005A39DA" w:rsidP="005A39DA">
      <w:pPr>
        <w:pStyle w:val="NoSpacing"/>
        <w:rPr>
          <w:rFonts w:ascii="Times New Roman" w:hAnsi="Times New Roman"/>
          <w:szCs w:val="24"/>
        </w:rPr>
      </w:pPr>
    </w:p>
    <w:p w14:paraId="020D294D" w14:textId="05448616" w:rsidR="00186DCC" w:rsidRPr="00DA1E36" w:rsidRDefault="00186DCC" w:rsidP="005A39DA">
      <w:pPr>
        <w:pStyle w:val="NoSpacing"/>
        <w:rPr>
          <w:rFonts w:ascii="Times New Roman" w:hAnsi="Times New Roman"/>
          <w:szCs w:val="24"/>
        </w:rPr>
      </w:pPr>
      <w:r w:rsidRPr="00DA1E36">
        <w:rPr>
          <w:rFonts w:ascii="Times New Roman" w:hAnsi="Times New Roman"/>
          <w:szCs w:val="24"/>
        </w:rPr>
        <w:t>Lekisch, Barbara.</w:t>
      </w:r>
      <w:r w:rsidRPr="00DA1E36">
        <w:rPr>
          <w:rFonts w:ascii="Times New Roman" w:hAnsi="Times New Roman"/>
          <w:i/>
          <w:szCs w:val="24"/>
        </w:rPr>
        <w:t xml:space="preserve"> Embracing Scenes About Lakes Tahoe and Donner: Painters,</w:t>
      </w:r>
      <w:r w:rsidR="00143433">
        <w:rPr>
          <w:rFonts w:ascii="Times New Roman" w:hAnsi="Times New Roman"/>
          <w:i/>
          <w:szCs w:val="24"/>
        </w:rPr>
        <w:tab/>
        <w:t>Illustrators, and Sketch-</w:t>
      </w:r>
      <w:r w:rsidRPr="00DA1E36">
        <w:rPr>
          <w:rFonts w:ascii="Times New Roman" w:hAnsi="Times New Roman"/>
          <w:i/>
          <w:szCs w:val="24"/>
        </w:rPr>
        <w:t>Artists, 1855-1915</w:t>
      </w:r>
      <w:r w:rsidRPr="00DA1E36">
        <w:rPr>
          <w:rFonts w:ascii="Times New Roman" w:hAnsi="Times New Roman"/>
          <w:szCs w:val="24"/>
        </w:rPr>
        <w:t>. Lafayette: Great West Books,</w:t>
      </w:r>
      <w:r w:rsidR="00143433">
        <w:rPr>
          <w:rFonts w:ascii="Times New Roman" w:hAnsi="Times New Roman"/>
          <w:szCs w:val="24"/>
        </w:rPr>
        <w:tab/>
      </w:r>
      <w:r w:rsidRPr="00DA1E36">
        <w:rPr>
          <w:rFonts w:ascii="Times New Roman" w:hAnsi="Times New Roman"/>
          <w:szCs w:val="24"/>
        </w:rPr>
        <w:t xml:space="preserve">2003. </w:t>
      </w:r>
    </w:p>
    <w:p w14:paraId="4DF62B84" w14:textId="7F2E8E7B" w:rsidR="00186DCC" w:rsidRDefault="00186DCC" w:rsidP="00186DCC">
      <w:pPr>
        <w:pStyle w:val="NoSpacing"/>
        <w:rPr>
          <w:rFonts w:ascii="Times New Roman" w:hAnsi="Times New Roman"/>
          <w:szCs w:val="24"/>
        </w:rPr>
      </w:pPr>
    </w:p>
    <w:p w14:paraId="74C0E9B3" w14:textId="422B34FD" w:rsidR="008D7929" w:rsidRPr="006A42FC" w:rsidRDefault="008D7929" w:rsidP="008D7929">
      <w:pPr>
        <w:pStyle w:val="NoSpacing"/>
        <w:rPr>
          <w:rFonts w:ascii="Times New Roman" w:hAnsi="Times New Roman"/>
        </w:rPr>
      </w:pPr>
      <w:r w:rsidRPr="006A42FC">
        <w:rPr>
          <w:rFonts w:ascii="Times New Roman" w:hAnsi="Times New Roman"/>
          <w:szCs w:val="24"/>
        </w:rPr>
        <w:t xml:space="preserve">Lewis, Lloyd D. </w:t>
      </w:r>
      <w:r>
        <w:rPr>
          <w:rFonts w:ascii="Times New Roman" w:hAnsi="Times New Roman"/>
          <w:szCs w:val="24"/>
        </w:rPr>
        <w:t xml:space="preserve">“Untitled,” </w:t>
      </w:r>
      <w:r w:rsidRPr="006A42FC">
        <w:rPr>
          <w:rFonts w:ascii="Times New Roman" w:hAnsi="Times New Roman"/>
          <w:i/>
          <w:szCs w:val="24"/>
        </w:rPr>
        <w:t>Chicago Herald</w:t>
      </w:r>
      <w:r w:rsidR="00F1077D">
        <w:rPr>
          <w:rFonts w:ascii="Times New Roman" w:hAnsi="Times New Roman"/>
          <w:szCs w:val="24"/>
        </w:rPr>
        <w:t xml:space="preserve">. </w:t>
      </w:r>
      <w:r w:rsidRPr="006A42FC">
        <w:rPr>
          <w:rFonts w:ascii="Times New Roman" w:hAnsi="Times New Roman"/>
          <w:szCs w:val="24"/>
        </w:rPr>
        <w:t>February 3, 1917.</w:t>
      </w:r>
    </w:p>
    <w:p w14:paraId="381CF108" w14:textId="77777777" w:rsidR="008D7929" w:rsidRDefault="008D7929" w:rsidP="00186DCC">
      <w:pPr>
        <w:pStyle w:val="NoSpacing"/>
        <w:rPr>
          <w:rFonts w:ascii="Times New Roman" w:hAnsi="Times New Roman"/>
          <w:szCs w:val="24"/>
        </w:rPr>
      </w:pPr>
    </w:p>
    <w:p w14:paraId="6261CF8B" w14:textId="3007171F" w:rsidR="001535E5" w:rsidRPr="006A42FC" w:rsidRDefault="001535E5" w:rsidP="001535E5">
      <w:pPr>
        <w:pStyle w:val="FootnoteText"/>
        <w:rPr>
          <w:rFonts w:cs="Times New Roman"/>
          <w:sz w:val="24"/>
          <w:szCs w:val="24"/>
        </w:rPr>
      </w:pPr>
      <w:r w:rsidRPr="006A42FC">
        <w:rPr>
          <w:rFonts w:cs="Times New Roman"/>
          <w:sz w:val="24"/>
          <w:szCs w:val="24"/>
        </w:rPr>
        <w:t xml:space="preserve">Lindstrom, </w:t>
      </w:r>
      <w:r w:rsidR="0077767E" w:rsidRPr="006A42FC">
        <w:rPr>
          <w:rFonts w:cs="Times New Roman"/>
          <w:sz w:val="24"/>
          <w:szCs w:val="24"/>
        </w:rPr>
        <w:t>Richard</w:t>
      </w:r>
      <w:r w:rsidR="0077767E">
        <w:rPr>
          <w:rFonts w:cs="Times New Roman"/>
          <w:sz w:val="24"/>
          <w:szCs w:val="24"/>
        </w:rPr>
        <w:t>.</w:t>
      </w:r>
      <w:r w:rsidR="0077767E" w:rsidRPr="006A42FC">
        <w:rPr>
          <w:rFonts w:cs="Times New Roman"/>
          <w:sz w:val="24"/>
          <w:szCs w:val="24"/>
        </w:rPr>
        <w:t xml:space="preserve"> </w:t>
      </w:r>
      <w:r w:rsidR="0077767E">
        <w:rPr>
          <w:rFonts w:cs="Times New Roman"/>
          <w:sz w:val="24"/>
          <w:szCs w:val="24"/>
        </w:rPr>
        <w:t>“</w:t>
      </w:r>
      <w:r w:rsidRPr="006A42FC">
        <w:rPr>
          <w:rFonts w:cs="Times New Roman"/>
          <w:sz w:val="24"/>
          <w:szCs w:val="24"/>
        </w:rPr>
        <w:t>‘Not from the Land Side, but from the Flag Side’: Native</w:t>
      </w:r>
      <w:r w:rsidR="0077767E">
        <w:rPr>
          <w:rFonts w:cs="Times New Roman"/>
          <w:sz w:val="24"/>
          <w:szCs w:val="24"/>
        </w:rPr>
        <w:tab/>
      </w:r>
      <w:r w:rsidRPr="006A42FC">
        <w:rPr>
          <w:rFonts w:cs="Times New Roman"/>
          <w:sz w:val="24"/>
          <w:szCs w:val="24"/>
        </w:rPr>
        <w:t xml:space="preserve">American Responses to the Wanamaker Expedition of 1913.” </w:t>
      </w:r>
      <w:r w:rsidRPr="006A42FC">
        <w:rPr>
          <w:rFonts w:cs="Times New Roman"/>
          <w:i/>
          <w:sz w:val="24"/>
          <w:szCs w:val="24"/>
        </w:rPr>
        <w:t>Journal of Social</w:t>
      </w:r>
      <w:r w:rsidR="0077767E">
        <w:rPr>
          <w:rFonts w:cs="Times New Roman"/>
          <w:i/>
          <w:sz w:val="24"/>
          <w:szCs w:val="24"/>
        </w:rPr>
        <w:tab/>
      </w:r>
      <w:r w:rsidRPr="006A42FC">
        <w:rPr>
          <w:rFonts w:cs="Times New Roman"/>
          <w:i/>
          <w:sz w:val="24"/>
          <w:szCs w:val="24"/>
        </w:rPr>
        <w:t>History</w:t>
      </w:r>
      <w:r w:rsidR="00F1077D">
        <w:rPr>
          <w:rFonts w:cs="Times New Roman"/>
          <w:sz w:val="24"/>
          <w:szCs w:val="24"/>
        </w:rPr>
        <w:t xml:space="preserve">. 30, no. </w:t>
      </w:r>
      <w:r w:rsidRPr="006A42FC">
        <w:rPr>
          <w:rFonts w:cs="Times New Roman"/>
          <w:sz w:val="24"/>
          <w:szCs w:val="24"/>
        </w:rPr>
        <w:t>1 (1996)</w:t>
      </w:r>
      <w:r w:rsidR="00F1077D">
        <w:rPr>
          <w:rFonts w:cs="Times New Roman"/>
          <w:sz w:val="24"/>
          <w:szCs w:val="24"/>
        </w:rPr>
        <w:t>:</w:t>
      </w:r>
      <w:r w:rsidRPr="006A42FC">
        <w:rPr>
          <w:rFonts w:cs="Times New Roman"/>
          <w:sz w:val="24"/>
          <w:szCs w:val="24"/>
        </w:rPr>
        <w:t xml:space="preserve"> 209-227. </w:t>
      </w:r>
    </w:p>
    <w:p w14:paraId="199FCD36" w14:textId="77777777" w:rsidR="001535E5" w:rsidRPr="00DA1E36" w:rsidRDefault="001535E5" w:rsidP="005A39DA">
      <w:pPr>
        <w:pStyle w:val="NoSpacing"/>
        <w:rPr>
          <w:rFonts w:ascii="Times New Roman" w:hAnsi="Times New Roman"/>
          <w:szCs w:val="24"/>
        </w:rPr>
      </w:pPr>
    </w:p>
    <w:p w14:paraId="08FE93B8" w14:textId="3678B4C4" w:rsidR="009665BD" w:rsidRPr="00FE6EB2" w:rsidRDefault="009665BD" w:rsidP="005A39DA">
      <w:pPr>
        <w:pStyle w:val="NoSpacing"/>
        <w:rPr>
          <w:rFonts w:ascii="Times New Roman" w:hAnsi="Times New Roman"/>
          <w:szCs w:val="24"/>
        </w:rPr>
      </w:pPr>
      <w:r w:rsidRPr="001D27C6">
        <w:rPr>
          <w:rFonts w:ascii="Times New Roman" w:hAnsi="Times New Roman"/>
          <w:szCs w:val="24"/>
        </w:rPr>
        <w:t xml:space="preserve">“Local News” </w:t>
      </w:r>
      <w:r w:rsidRPr="00FE6EB2">
        <w:rPr>
          <w:rFonts w:ascii="Times New Roman" w:hAnsi="Times New Roman"/>
          <w:i/>
          <w:szCs w:val="24"/>
        </w:rPr>
        <w:t>The Daily Honolulu Press</w:t>
      </w:r>
      <w:r w:rsidRPr="00FE6EB2">
        <w:rPr>
          <w:rFonts w:ascii="Times New Roman" w:hAnsi="Times New Roman"/>
          <w:szCs w:val="24"/>
        </w:rPr>
        <w:t xml:space="preserve">, September 22, 1885. </w:t>
      </w:r>
      <w:r w:rsidR="00F244FB" w:rsidRPr="00413A2F">
        <w:rPr>
          <w:szCs w:val="24"/>
        </w:rPr>
        <w:t>Accessed September 27,</w:t>
      </w:r>
      <w:r w:rsidR="00F244FB">
        <w:rPr>
          <w:szCs w:val="24"/>
        </w:rPr>
        <w:tab/>
      </w:r>
      <w:r w:rsidR="00F244FB" w:rsidRPr="00413A2F">
        <w:rPr>
          <w:szCs w:val="24"/>
        </w:rPr>
        <w:t>2016.</w:t>
      </w:r>
      <w:r w:rsidR="00F244FB">
        <w:rPr>
          <w:szCs w:val="24"/>
        </w:rPr>
        <w:t xml:space="preserve"> </w:t>
      </w:r>
      <w:r w:rsidR="00F244FB" w:rsidRPr="00413A2F">
        <w:rPr>
          <w:szCs w:val="24"/>
        </w:rPr>
        <w:t>http://chroniclingamerica.loc.gov/lccn/sn85047084/1889-06-21/ed-1/.</w:t>
      </w:r>
    </w:p>
    <w:p w14:paraId="6FE1FD93" w14:textId="77777777" w:rsidR="005A39DA" w:rsidRDefault="005A39DA" w:rsidP="005A39DA">
      <w:pPr>
        <w:pStyle w:val="NoSpacing"/>
        <w:rPr>
          <w:rFonts w:ascii="Times New Roman" w:hAnsi="Times New Roman"/>
          <w:szCs w:val="24"/>
        </w:rPr>
      </w:pPr>
    </w:p>
    <w:p w14:paraId="0D5C4137" w14:textId="1B207435" w:rsidR="00EA5655" w:rsidRPr="00E7312B" w:rsidRDefault="00EA5655" w:rsidP="00EA5655">
      <w:pPr>
        <w:spacing w:line="240" w:lineRule="auto"/>
      </w:pPr>
      <w:r w:rsidRPr="00E7312B">
        <w:t xml:space="preserve">Luhan, Mabel Dodge. “Awa Tsireh.” </w:t>
      </w:r>
      <w:r w:rsidRPr="00E7312B">
        <w:rPr>
          <w:i/>
        </w:rPr>
        <w:t>The Arts</w:t>
      </w:r>
      <w:r w:rsidRPr="00E7312B">
        <w:t xml:space="preserve"> 11 (June 1927): 298-300.</w:t>
      </w:r>
    </w:p>
    <w:p w14:paraId="376CE55E" w14:textId="77777777" w:rsidR="00EA5655" w:rsidRDefault="00EA5655" w:rsidP="005A39DA">
      <w:pPr>
        <w:spacing w:line="240" w:lineRule="auto"/>
      </w:pPr>
    </w:p>
    <w:p w14:paraId="192A91E2" w14:textId="01BC9AB6" w:rsidR="005A39DA" w:rsidRPr="00E7312B" w:rsidRDefault="00EA5655" w:rsidP="005A39DA">
      <w:pPr>
        <w:spacing w:line="240" w:lineRule="auto"/>
      </w:pPr>
      <w:r>
        <w:t>_____.</w:t>
      </w:r>
      <w:r w:rsidR="005A39DA" w:rsidRPr="00E7312B">
        <w:t xml:space="preserve"> “A Bridge Between Cultures.” </w:t>
      </w:r>
      <w:r w:rsidR="005A39DA" w:rsidRPr="00E7312B">
        <w:rPr>
          <w:i/>
        </w:rPr>
        <w:t>Theater Arts Monthly</w:t>
      </w:r>
      <w:r w:rsidR="005A39DA" w:rsidRPr="00E7312B">
        <w:t xml:space="preserve"> 9 (May</w:t>
      </w:r>
      <w:r>
        <w:t xml:space="preserve"> </w:t>
      </w:r>
      <w:r w:rsidR="005A39DA" w:rsidRPr="00E7312B">
        <w:t>1925): 297-301.</w:t>
      </w:r>
    </w:p>
    <w:p w14:paraId="112B52A9" w14:textId="77777777" w:rsidR="005A39DA" w:rsidRPr="00E7312B" w:rsidRDefault="005A39DA" w:rsidP="005A39DA">
      <w:pPr>
        <w:spacing w:line="240" w:lineRule="auto"/>
      </w:pPr>
    </w:p>
    <w:p w14:paraId="6CC90AD4" w14:textId="3695CF45" w:rsidR="005A39DA" w:rsidRPr="00E7312B" w:rsidRDefault="005A39DA" w:rsidP="005A39DA">
      <w:pPr>
        <w:spacing w:line="240" w:lineRule="auto"/>
        <w:rPr>
          <w:b/>
        </w:rPr>
      </w:pPr>
      <w:r>
        <w:t>_____</w:t>
      </w:r>
      <w:r w:rsidRPr="00E7312B">
        <w:t xml:space="preserve">. </w:t>
      </w:r>
      <w:r w:rsidRPr="00E7312B">
        <w:rPr>
          <w:i/>
        </w:rPr>
        <w:t>Edge of Taos Desert – An Escape to Reality</w:t>
      </w:r>
      <w:r w:rsidRPr="00E7312B">
        <w:t>. New York: Harcourt, Brace &amp; Co.,</w:t>
      </w:r>
      <w:r w:rsidRPr="00E7312B">
        <w:tab/>
        <w:t xml:space="preserve">1937. </w:t>
      </w:r>
    </w:p>
    <w:p w14:paraId="430D4A3B" w14:textId="77777777" w:rsidR="005A39DA" w:rsidRDefault="005A39DA" w:rsidP="005A39DA">
      <w:pPr>
        <w:pStyle w:val="NoSpacing"/>
        <w:rPr>
          <w:rFonts w:ascii="Times New Roman" w:hAnsi="Times New Roman"/>
          <w:szCs w:val="24"/>
        </w:rPr>
      </w:pPr>
    </w:p>
    <w:p w14:paraId="023320C2" w14:textId="67B099C0"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Lukavic, John. </w:t>
      </w:r>
      <w:r w:rsidRPr="00DA1E36">
        <w:rPr>
          <w:rFonts w:ascii="Times New Roman" w:hAnsi="Times New Roman"/>
          <w:i/>
          <w:szCs w:val="24"/>
        </w:rPr>
        <w:t>Southern Cheyenne Orthodoxy; A Study in Materiality</w:t>
      </w:r>
      <w:r w:rsidRPr="00DA1E36">
        <w:rPr>
          <w:rFonts w:ascii="Times New Roman" w:hAnsi="Times New Roman"/>
          <w:szCs w:val="24"/>
        </w:rPr>
        <w:t xml:space="preserve">. </w:t>
      </w:r>
      <w:r w:rsidR="00F1077D">
        <w:rPr>
          <w:rFonts w:ascii="Times New Roman" w:hAnsi="Times New Roman"/>
          <w:szCs w:val="24"/>
        </w:rPr>
        <w:t>PhD diss.,</w:t>
      </w:r>
      <w:r w:rsidR="00F1077D">
        <w:rPr>
          <w:rFonts w:ascii="Times New Roman" w:hAnsi="Times New Roman"/>
          <w:szCs w:val="24"/>
        </w:rPr>
        <w:tab/>
      </w:r>
      <w:r w:rsidRPr="00DA1E36">
        <w:rPr>
          <w:rFonts w:ascii="Times New Roman" w:hAnsi="Times New Roman"/>
          <w:szCs w:val="24"/>
        </w:rPr>
        <w:t>University</w:t>
      </w:r>
      <w:r w:rsidR="00143433">
        <w:rPr>
          <w:rFonts w:ascii="Times New Roman" w:hAnsi="Times New Roman"/>
          <w:szCs w:val="24"/>
        </w:rPr>
        <w:t xml:space="preserve"> </w:t>
      </w:r>
      <w:r w:rsidRPr="00DA1E36">
        <w:rPr>
          <w:rFonts w:ascii="Times New Roman" w:hAnsi="Times New Roman"/>
          <w:szCs w:val="24"/>
        </w:rPr>
        <w:t>of Oklahoma, 2012.</w:t>
      </w:r>
    </w:p>
    <w:p w14:paraId="7E7C5B89" w14:textId="77777777" w:rsidR="00186DCC" w:rsidRPr="00DA1E36" w:rsidRDefault="00186DCC" w:rsidP="00186DCC">
      <w:pPr>
        <w:pStyle w:val="NoSpacing"/>
        <w:rPr>
          <w:rFonts w:ascii="Times New Roman" w:hAnsi="Times New Roman"/>
          <w:szCs w:val="24"/>
        </w:rPr>
      </w:pPr>
    </w:p>
    <w:p w14:paraId="03D0854C" w14:textId="03337186"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Lunquiens, H.M. “Jules Tavernier,” </w:t>
      </w:r>
      <w:r w:rsidRPr="00DA1E36">
        <w:rPr>
          <w:rFonts w:ascii="Times New Roman" w:hAnsi="Times New Roman"/>
          <w:i/>
          <w:szCs w:val="24"/>
        </w:rPr>
        <w:t>Honolulu Academy of Arts Annual Bulletin</w:t>
      </w:r>
      <w:r w:rsidRPr="00DA1E36">
        <w:rPr>
          <w:rFonts w:ascii="Times New Roman" w:hAnsi="Times New Roman"/>
          <w:szCs w:val="24"/>
        </w:rPr>
        <w:t xml:space="preserve"> 2</w:t>
      </w:r>
      <w:r w:rsidR="00143433">
        <w:rPr>
          <w:rFonts w:ascii="Times New Roman" w:hAnsi="Times New Roman"/>
          <w:szCs w:val="24"/>
        </w:rPr>
        <w:tab/>
      </w:r>
      <w:r w:rsidRPr="00DA1E36">
        <w:rPr>
          <w:rFonts w:ascii="Times New Roman" w:hAnsi="Times New Roman"/>
          <w:szCs w:val="24"/>
        </w:rPr>
        <w:t>(1940): 29.</w:t>
      </w:r>
    </w:p>
    <w:p w14:paraId="719655A6" w14:textId="21848989" w:rsidR="00186DCC" w:rsidRDefault="00186DCC" w:rsidP="00186DCC">
      <w:pPr>
        <w:pStyle w:val="EndnoteText"/>
        <w:rPr>
          <w:rFonts w:ascii="Times New Roman" w:hAnsi="Times New Roman" w:cs="Times New Roman"/>
          <w:sz w:val="24"/>
          <w:szCs w:val="24"/>
        </w:rPr>
      </w:pPr>
    </w:p>
    <w:p w14:paraId="749D06C3" w14:textId="6C5C8DD4" w:rsidR="000373B3" w:rsidRDefault="000373B3" w:rsidP="00186DCC">
      <w:pPr>
        <w:pStyle w:val="EndnoteText"/>
        <w:rPr>
          <w:rFonts w:ascii="Times New Roman" w:hAnsi="Times New Roman" w:cs="Times New Roman"/>
          <w:sz w:val="24"/>
          <w:szCs w:val="24"/>
        </w:rPr>
      </w:pPr>
      <w:r>
        <w:rPr>
          <w:rFonts w:ascii="Times New Roman" w:hAnsi="Times New Roman" w:cs="Times New Roman"/>
          <w:sz w:val="24"/>
          <w:szCs w:val="24"/>
        </w:rPr>
        <w:t xml:space="preserve">Lyman, Christopher M. </w:t>
      </w:r>
      <w:r w:rsidRPr="009D7A07">
        <w:rPr>
          <w:rFonts w:ascii="Times New Roman" w:hAnsi="Times New Roman" w:cs="Times New Roman"/>
          <w:i/>
          <w:sz w:val="24"/>
          <w:szCs w:val="24"/>
        </w:rPr>
        <w:t>Vanishing Race and other</w:t>
      </w:r>
      <w:r w:rsidR="009D7A07">
        <w:rPr>
          <w:rFonts w:ascii="Times New Roman" w:hAnsi="Times New Roman" w:cs="Times New Roman"/>
          <w:i/>
          <w:sz w:val="24"/>
          <w:szCs w:val="24"/>
        </w:rPr>
        <w:t xml:space="preserve"> </w:t>
      </w:r>
      <w:r w:rsidRPr="009D7A07">
        <w:rPr>
          <w:rFonts w:ascii="Times New Roman" w:hAnsi="Times New Roman" w:cs="Times New Roman"/>
          <w:i/>
          <w:sz w:val="24"/>
          <w:szCs w:val="24"/>
        </w:rPr>
        <w:t>Illusions: Photographs of Indians by</w:t>
      </w:r>
      <w:r w:rsidR="009D7A07">
        <w:rPr>
          <w:rFonts w:ascii="Times New Roman" w:hAnsi="Times New Roman" w:cs="Times New Roman"/>
          <w:i/>
          <w:sz w:val="24"/>
          <w:szCs w:val="24"/>
        </w:rPr>
        <w:tab/>
      </w:r>
      <w:r w:rsidRPr="009D7A07">
        <w:rPr>
          <w:rFonts w:ascii="Times New Roman" w:hAnsi="Times New Roman" w:cs="Times New Roman"/>
          <w:i/>
          <w:sz w:val="24"/>
          <w:szCs w:val="24"/>
        </w:rPr>
        <w:t>Edward S. Curtis</w:t>
      </w:r>
      <w:r>
        <w:rPr>
          <w:rFonts w:ascii="Times New Roman" w:hAnsi="Times New Roman" w:cs="Times New Roman"/>
          <w:sz w:val="24"/>
          <w:szCs w:val="24"/>
        </w:rPr>
        <w:t xml:space="preserve">. </w:t>
      </w:r>
      <w:r w:rsidR="009D7A07">
        <w:rPr>
          <w:rFonts w:ascii="Times New Roman" w:hAnsi="Times New Roman" w:cs="Times New Roman"/>
          <w:sz w:val="24"/>
          <w:szCs w:val="24"/>
        </w:rPr>
        <w:t xml:space="preserve">Washington, DC: </w:t>
      </w:r>
      <w:r>
        <w:rPr>
          <w:rFonts w:ascii="Times New Roman" w:hAnsi="Times New Roman" w:cs="Times New Roman"/>
          <w:sz w:val="24"/>
          <w:szCs w:val="24"/>
        </w:rPr>
        <w:t>Smith</w:t>
      </w:r>
      <w:r w:rsidR="00803CC1">
        <w:rPr>
          <w:rFonts w:ascii="Times New Roman" w:hAnsi="Times New Roman" w:cs="Times New Roman"/>
          <w:sz w:val="24"/>
          <w:szCs w:val="24"/>
        </w:rPr>
        <w:t>sonian Institution Press, 1982.</w:t>
      </w:r>
    </w:p>
    <w:p w14:paraId="09BD3622" w14:textId="77777777" w:rsidR="000373B3" w:rsidRPr="00DA1E36" w:rsidRDefault="000373B3" w:rsidP="00186DCC">
      <w:pPr>
        <w:pStyle w:val="EndnoteText"/>
        <w:rPr>
          <w:rFonts w:ascii="Times New Roman" w:hAnsi="Times New Roman" w:cs="Times New Roman"/>
          <w:sz w:val="24"/>
          <w:szCs w:val="24"/>
        </w:rPr>
      </w:pPr>
    </w:p>
    <w:p w14:paraId="2F60C57B" w14:textId="56DF536F" w:rsidR="00186DCC" w:rsidRPr="00DA1E36" w:rsidRDefault="00186DCC" w:rsidP="00186DCC">
      <w:pPr>
        <w:pStyle w:val="EndnoteText"/>
        <w:rPr>
          <w:rFonts w:ascii="Times New Roman" w:hAnsi="Times New Roman" w:cs="Times New Roman"/>
          <w:sz w:val="24"/>
          <w:szCs w:val="24"/>
        </w:rPr>
      </w:pPr>
      <w:r w:rsidRPr="00DA1E36">
        <w:rPr>
          <w:rFonts w:ascii="Times New Roman" w:hAnsi="Times New Roman" w:cs="Times New Roman"/>
          <w:sz w:val="24"/>
          <w:szCs w:val="24"/>
        </w:rPr>
        <w:t xml:space="preserve">MacCannell, Dean. </w:t>
      </w:r>
      <w:r w:rsidRPr="00DA1E36">
        <w:rPr>
          <w:rFonts w:ascii="Times New Roman" w:hAnsi="Times New Roman" w:cs="Times New Roman"/>
          <w:i/>
          <w:sz w:val="24"/>
          <w:szCs w:val="24"/>
        </w:rPr>
        <w:t>The Tourist: A New Theory of the Leisure Class</w:t>
      </w:r>
      <w:r w:rsidRPr="00DA1E36">
        <w:rPr>
          <w:rFonts w:ascii="Times New Roman" w:hAnsi="Times New Roman" w:cs="Times New Roman"/>
          <w:sz w:val="24"/>
          <w:szCs w:val="24"/>
        </w:rPr>
        <w:t>. Berkley:</w:t>
      </w:r>
      <w:r w:rsidR="00143433">
        <w:rPr>
          <w:rFonts w:ascii="Times New Roman" w:hAnsi="Times New Roman" w:cs="Times New Roman"/>
          <w:sz w:val="24"/>
          <w:szCs w:val="24"/>
        </w:rPr>
        <w:tab/>
      </w:r>
      <w:r w:rsidRPr="00DA1E36">
        <w:rPr>
          <w:rFonts w:ascii="Times New Roman" w:hAnsi="Times New Roman" w:cs="Times New Roman"/>
          <w:sz w:val="24"/>
          <w:szCs w:val="24"/>
        </w:rPr>
        <w:t>University of California</w:t>
      </w:r>
      <w:r w:rsidR="00143433">
        <w:rPr>
          <w:rFonts w:ascii="Times New Roman" w:hAnsi="Times New Roman" w:cs="Times New Roman"/>
          <w:sz w:val="24"/>
          <w:szCs w:val="24"/>
        </w:rPr>
        <w:t xml:space="preserve"> </w:t>
      </w:r>
      <w:r w:rsidR="00803CC1">
        <w:rPr>
          <w:rFonts w:ascii="Times New Roman" w:hAnsi="Times New Roman" w:cs="Times New Roman"/>
          <w:sz w:val="24"/>
          <w:szCs w:val="24"/>
        </w:rPr>
        <w:t>Press, 1999.</w:t>
      </w:r>
    </w:p>
    <w:p w14:paraId="2E84C30C" w14:textId="77777777" w:rsidR="00186DCC" w:rsidRPr="00DA1E36" w:rsidRDefault="00186DCC" w:rsidP="00186DCC">
      <w:pPr>
        <w:pStyle w:val="NoSpacing"/>
        <w:rPr>
          <w:rFonts w:ascii="Times New Roman" w:hAnsi="Times New Roman"/>
          <w:szCs w:val="24"/>
        </w:rPr>
      </w:pPr>
    </w:p>
    <w:p w14:paraId="363B6226" w14:textId="77777777"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MacDonald, Gordon A., and Douglass H. Hubbard, </w:t>
      </w:r>
      <w:r w:rsidRPr="00DA1E36">
        <w:rPr>
          <w:rFonts w:ascii="Times New Roman" w:hAnsi="Times New Roman"/>
          <w:i/>
          <w:szCs w:val="24"/>
        </w:rPr>
        <w:t xml:space="preserve">Volcanoes of the National Park in </w:t>
      </w:r>
      <w:r w:rsidR="00143433">
        <w:rPr>
          <w:rFonts w:ascii="Times New Roman" w:hAnsi="Times New Roman"/>
          <w:i/>
          <w:szCs w:val="24"/>
        </w:rPr>
        <w:tab/>
      </w:r>
      <w:r w:rsidRPr="00DA1E36">
        <w:rPr>
          <w:rFonts w:ascii="Times New Roman" w:hAnsi="Times New Roman"/>
          <w:i/>
          <w:szCs w:val="24"/>
        </w:rPr>
        <w:t>Hawaii</w:t>
      </w:r>
      <w:r w:rsidRPr="00DA1E36">
        <w:rPr>
          <w:rFonts w:ascii="Times New Roman" w:hAnsi="Times New Roman"/>
          <w:szCs w:val="24"/>
        </w:rPr>
        <w:t>, 5</w:t>
      </w:r>
      <w:r w:rsidR="00143433">
        <w:rPr>
          <w:rFonts w:ascii="Times New Roman" w:hAnsi="Times New Roman"/>
          <w:szCs w:val="24"/>
          <w:vertAlign w:val="superscript"/>
        </w:rPr>
        <w:t xml:space="preserve">th </w:t>
      </w:r>
      <w:r w:rsidRPr="00DA1E36">
        <w:rPr>
          <w:rFonts w:ascii="Times New Roman" w:hAnsi="Times New Roman"/>
          <w:szCs w:val="24"/>
        </w:rPr>
        <w:t>edition, Honolulu: Hawaii Natural History Association, 1970.</w:t>
      </w:r>
    </w:p>
    <w:p w14:paraId="1F312DE3" w14:textId="77777777" w:rsidR="00186DCC" w:rsidRPr="00DA1E36" w:rsidRDefault="00186DCC" w:rsidP="00186DCC">
      <w:pPr>
        <w:pStyle w:val="NoSpacing"/>
        <w:rPr>
          <w:rFonts w:ascii="Times New Roman" w:hAnsi="Times New Roman"/>
          <w:szCs w:val="24"/>
        </w:rPr>
      </w:pPr>
    </w:p>
    <w:p w14:paraId="3CBA2E63" w14:textId="77777777"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Maier, Steven. </w:t>
      </w:r>
      <w:r w:rsidRPr="00DA1E36">
        <w:rPr>
          <w:rFonts w:ascii="Times New Roman" w:hAnsi="Times New Roman"/>
          <w:i/>
          <w:szCs w:val="24"/>
        </w:rPr>
        <w:t>Jules Tavernier: Hawai’i’s First Real Painter</w:t>
      </w:r>
      <w:r w:rsidRPr="00DA1E36">
        <w:rPr>
          <w:rFonts w:ascii="Times New Roman" w:hAnsi="Times New Roman"/>
          <w:szCs w:val="24"/>
        </w:rPr>
        <w:t xml:space="preserve">. </w:t>
      </w:r>
      <w:r w:rsidRPr="00DA1E36">
        <w:rPr>
          <w:rFonts w:ascii="Times New Roman" w:hAnsi="Times New Roman"/>
          <w:i/>
          <w:szCs w:val="24"/>
        </w:rPr>
        <w:t>Honolulu</w:t>
      </w:r>
      <w:r w:rsidRPr="00DA1E36">
        <w:rPr>
          <w:rFonts w:ascii="Times New Roman" w:hAnsi="Times New Roman"/>
          <w:szCs w:val="24"/>
        </w:rPr>
        <w:t xml:space="preserve"> 31 (1996): 80-</w:t>
      </w:r>
      <w:r w:rsidR="00143433">
        <w:rPr>
          <w:rFonts w:ascii="Times New Roman" w:hAnsi="Times New Roman"/>
          <w:szCs w:val="24"/>
        </w:rPr>
        <w:tab/>
      </w:r>
      <w:r w:rsidRPr="00DA1E36">
        <w:rPr>
          <w:rFonts w:ascii="Times New Roman" w:hAnsi="Times New Roman"/>
          <w:szCs w:val="24"/>
        </w:rPr>
        <w:t>84, 93.</w:t>
      </w:r>
    </w:p>
    <w:p w14:paraId="4D926C66" w14:textId="77777777" w:rsidR="00186DCC" w:rsidRPr="00DA1E36" w:rsidRDefault="00186DCC" w:rsidP="00186DCC">
      <w:pPr>
        <w:pStyle w:val="NoSpacing"/>
        <w:rPr>
          <w:rFonts w:ascii="Times New Roman" w:hAnsi="Times New Roman"/>
          <w:szCs w:val="24"/>
        </w:rPr>
      </w:pPr>
    </w:p>
    <w:p w14:paraId="05555622" w14:textId="4681E7D0"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Marcus, George E., and </w:t>
      </w:r>
      <w:r w:rsidR="00592AC0" w:rsidRPr="00DA1E36">
        <w:rPr>
          <w:rFonts w:ascii="Times New Roman" w:hAnsi="Times New Roman"/>
          <w:szCs w:val="24"/>
        </w:rPr>
        <w:t>Fred R</w:t>
      </w:r>
      <w:r w:rsidR="00592AC0">
        <w:rPr>
          <w:rFonts w:ascii="Times New Roman" w:hAnsi="Times New Roman"/>
          <w:szCs w:val="24"/>
        </w:rPr>
        <w:t>.</w:t>
      </w:r>
      <w:r w:rsidR="00592AC0" w:rsidRPr="00DA1E36">
        <w:rPr>
          <w:rFonts w:ascii="Times New Roman" w:hAnsi="Times New Roman"/>
          <w:szCs w:val="24"/>
        </w:rPr>
        <w:t xml:space="preserve"> </w:t>
      </w:r>
      <w:r w:rsidRPr="00DA1E36">
        <w:rPr>
          <w:rFonts w:ascii="Times New Roman" w:hAnsi="Times New Roman"/>
          <w:szCs w:val="24"/>
        </w:rPr>
        <w:t xml:space="preserve">Myers. </w:t>
      </w:r>
      <w:r w:rsidRPr="00DA1E36">
        <w:rPr>
          <w:rFonts w:ascii="Times New Roman" w:hAnsi="Times New Roman"/>
          <w:i/>
          <w:szCs w:val="24"/>
        </w:rPr>
        <w:t>The Traffic in Culture: Refiguring Art and</w:t>
      </w:r>
      <w:r w:rsidR="005B1FDC">
        <w:rPr>
          <w:rFonts w:ascii="Times New Roman" w:hAnsi="Times New Roman"/>
          <w:i/>
          <w:szCs w:val="24"/>
        </w:rPr>
        <w:tab/>
      </w:r>
      <w:r w:rsidR="005B1FDC">
        <w:rPr>
          <w:rFonts w:ascii="Times New Roman" w:hAnsi="Times New Roman"/>
          <w:i/>
          <w:szCs w:val="24"/>
        </w:rPr>
        <w:tab/>
      </w:r>
      <w:r w:rsidRPr="00DA1E36">
        <w:rPr>
          <w:rFonts w:ascii="Times New Roman" w:hAnsi="Times New Roman"/>
          <w:i/>
          <w:szCs w:val="24"/>
        </w:rPr>
        <w:t>Anthropology</w:t>
      </w:r>
      <w:r w:rsidRPr="00DA1E36">
        <w:rPr>
          <w:rFonts w:ascii="Times New Roman" w:hAnsi="Times New Roman"/>
          <w:szCs w:val="24"/>
        </w:rPr>
        <w:t>.</w:t>
      </w:r>
      <w:r w:rsidRPr="00DA1E36">
        <w:rPr>
          <w:rFonts w:ascii="Times New Roman" w:hAnsi="Times New Roman"/>
          <w:szCs w:val="24"/>
        </w:rPr>
        <w:tab/>
        <w:t>Berkley: University of California Press, 1995.</w:t>
      </w:r>
    </w:p>
    <w:p w14:paraId="35D5F7FF" w14:textId="11E7F837" w:rsidR="00186DCC" w:rsidRDefault="00186DCC" w:rsidP="00186DCC">
      <w:pPr>
        <w:pStyle w:val="NoSpacing"/>
        <w:rPr>
          <w:rFonts w:ascii="Times New Roman" w:hAnsi="Times New Roman"/>
          <w:szCs w:val="24"/>
        </w:rPr>
      </w:pPr>
    </w:p>
    <w:p w14:paraId="23DA5672" w14:textId="66B77F36" w:rsidR="00F2059B" w:rsidRPr="00592AC0" w:rsidRDefault="00AD7D67" w:rsidP="00C37A50">
      <w:pPr>
        <w:pStyle w:val="NoSpacing"/>
        <w:ind w:left="720" w:hanging="720"/>
        <w:rPr>
          <w:rFonts w:ascii="Times New Roman" w:hAnsi="Times New Roman"/>
          <w:szCs w:val="24"/>
        </w:rPr>
      </w:pPr>
      <w:r>
        <w:rPr>
          <w:rFonts w:ascii="Times New Roman" w:hAnsi="Times New Roman"/>
          <w:szCs w:val="24"/>
        </w:rPr>
        <w:t>Eyewitness t</w:t>
      </w:r>
      <w:r w:rsidR="00592AC0">
        <w:rPr>
          <w:rFonts w:ascii="Times New Roman" w:hAnsi="Times New Roman"/>
          <w:szCs w:val="24"/>
        </w:rPr>
        <w:t xml:space="preserve">o History, </w:t>
      </w:r>
      <w:r w:rsidR="00F2059B" w:rsidRPr="004817B9">
        <w:rPr>
          <w:rFonts w:ascii="Times New Roman" w:hAnsi="Times New Roman"/>
          <w:szCs w:val="24"/>
        </w:rPr>
        <w:t>“Massa</w:t>
      </w:r>
      <w:r w:rsidR="00F2059B" w:rsidRPr="00F2059B">
        <w:rPr>
          <w:rFonts w:ascii="Times New Roman" w:hAnsi="Times New Roman"/>
          <w:szCs w:val="24"/>
        </w:rPr>
        <w:t>cre at Wound</w:t>
      </w:r>
      <w:r w:rsidR="00F2059B" w:rsidRPr="00592AC0">
        <w:rPr>
          <w:rFonts w:ascii="Times New Roman" w:hAnsi="Times New Roman"/>
          <w:szCs w:val="24"/>
        </w:rPr>
        <w:t>ed Knee, 1890,’ Accessed January 25,</w:t>
      </w:r>
      <w:r w:rsidR="00592AC0" w:rsidRPr="00592AC0">
        <w:rPr>
          <w:rFonts w:ascii="Times New Roman" w:hAnsi="Times New Roman"/>
          <w:szCs w:val="24"/>
        </w:rPr>
        <w:tab/>
      </w:r>
      <w:r w:rsidR="00F2059B" w:rsidRPr="00592AC0">
        <w:rPr>
          <w:rFonts w:ascii="Times New Roman" w:hAnsi="Times New Roman"/>
          <w:szCs w:val="24"/>
        </w:rPr>
        <w:t xml:space="preserve">2015. </w:t>
      </w:r>
      <w:hyperlink r:id="rId89" w:history="1">
        <w:r w:rsidR="00592AC0" w:rsidRPr="00592AC0">
          <w:rPr>
            <w:rStyle w:val="Hyperlink"/>
            <w:rFonts w:ascii="Times New Roman" w:hAnsi="Times New Roman"/>
            <w:color w:val="auto"/>
            <w:szCs w:val="24"/>
            <w:u w:val="none"/>
          </w:rPr>
          <w:t>http://www.eyewitnesstohistory.com/knee.htm</w:t>
        </w:r>
      </w:hyperlink>
      <w:r w:rsidR="00F2059B" w:rsidRPr="00592AC0">
        <w:rPr>
          <w:rFonts w:ascii="Times New Roman" w:hAnsi="Times New Roman"/>
          <w:szCs w:val="24"/>
        </w:rPr>
        <w:t>.</w:t>
      </w:r>
    </w:p>
    <w:p w14:paraId="1582AAA5" w14:textId="4E9F17C9" w:rsidR="00F2059B" w:rsidRPr="00592AC0" w:rsidRDefault="00F2059B" w:rsidP="00E67EF2">
      <w:pPr>
        <w:pStyle w:val="NoSpacing"/>
      </w:pPr>
    </w:p>
    <w:p w14:paraId="6C97BA77" w14:textId="074A9B72" w:rsidR="00186DCC" w:rsidRPr="00E67EF2" w:rsidRDefault="00186DCC" w:rsidP="00E67EF2">
      <w:pPr>
        <w:pStyle w:val="NoSpacing"/>
      </w:pPr>
      <w:r w:rsidRPr="00E67EF2">
        <w:t xml:space="preserve">McCoy, Joseph G. </w:t>
      </w:r>
      <w:r w:rsidRPr="00E67EF2">
        <w:rPr>
          <w:i/>
        </w:rPr>
        <w:t>Historic</w:t>
      </w:r>
      <w:r w:rsidRPr="00E67EF2">
        <w:t xml:space="preserve"> </w:t>
      </w:r>
      <w:r w:rsidRPr="00E67EF2">
        <w:rPr>
          <w:i/>
        </w:rPr>
        <w:t>Sketches from the Cattle Trade of the West and Southwest</w:t>
      </w:r>
      <w:r w:rsidRPr="00E67EF2">
        <w:t>.</w:t>
      </w:r>
      <w:r w:rsidR="005B1FDC" w:rsidRPr="00E67EF2">
        <w:tab/>
      </w:r>
      <w:r w:rsidRPr="00E67EF2">
        <w:t>Kansas City</w:t>
      </w:r>
      <w:r w:rsidR="005B1FDC" w:rsidRPr="00E67EF2">
        <w:t xml:space="preserve">: Ramsey, </w:t>
      </w:r>
      <w:r w:rsidRPr="00E67EF2">
        <w:t>Millett, and Hudson, 1874.</w:t>
      </w:r>
    </w:p>
    <w:p w14:paraId="13D9565A" w14:textId="671759AA" w:rsidR="00E67EF2" w:rsidRDefault="00E67EF2" w:rsidP="00E67EF2">
      <w:pPr>
        <w:pStyle w:val="NoSpacing"/>
      </w:pPr>
    </w:p>
    <w:p w14:paraId="05D7CC6B" w14:textId="6C6A8F52" w:rsidR="00A1496F" w:rsidRPr="00E67EF2" w:rsidRDefault="00A1496F" w:rsidP="00E67EF2">
      <w:pPr>
        <w:pStyle w:val="NoSpacing"/>
      </w:pPr>
      <w:r w:rsidRPr="006A42FC">
        <w:rPr>
          <w:rFonts w:ascii="Times New Roman" w:hAnsi="Times New Roman"/>
          <w:szCs w:val="24"/>
        </w:rPr>
        <w:t>McGeough, Michelle</w:t>
      </w:r>
      <w:r>
        <w:rPr>
          <w:szCs w:val="24"/>
        </w:rPr>
        <w:t>.</w:t>
      </w:r>
      <w:r w:rsidRPr="006A42FC">
        <w:rPr>
          <w:rFonts w:ascii="Times New Roman" w:hAnsi="Times New Roman"/>
          <w:szCs w:val="24"/>
        </w:rPr>
        <w:t xml:space="preserve"> </w:t>
      </w:r>
      <w:r w:rsidRPr="006A42FC">
        <w:rPr>
          <w:rFonts w:ascii="Times New Roman" w:hAnsi="Times New Roman"/>
          <w:i/>
          <w:szCs w:val="24"/>
        </w:rPr>
        <w:t>Through Their Eyes: Indian Painting in Santa Fe, 1918-1945</w:t>
      </w:r>
      <w:r>
        <w:rPr>
          <w:szCs w:val="24"/>
        </w:rPr>
        <w:t>.</w:t>
      </w:r>
      <w:r>
        <w:rPr>
          <w:szCs w:val="24"/>
        </w:rPr>
        <w:tab/>
      </w:r>
      <w:r w:rsidRPr="006A42FC">
        <w:rPr>
          <w:rFonts w:ascii="Times New Roman" w:hAnsi="Times New Roman"/>
          <w:szCs w:val="24"/>
        </w:rPr>
        <w:t>Santa Fe: Wheelwright Museum of the American Indian, 2009.</w:t>
      </w:r>
    </w:p>
    <w:p w14:paraId="563A2C61" w14:textId="77777777" w:rsidR="00C12047" w:rsidRDefault="00C12047" w:rsidP="00E67EF2">
      <w:pPr>
        <w:pStyle w:val="NoSpacing"/>
        <w:rPr>
          <w:color w:val="000000"/>
        </w:rPr>
      </w:pPr>
    </w:p>
    <w:p w14:paraId="13D27C8F" w14:textId="202B814F" w:rsidR="00E67EF2" w:rsidRPr="00E67EF2" w:rsidRDefault="00E67EF2" w:rsidP="00E67EF2">
      <w:pPr>
        <w:pStyle w:val="NoSpacing"/>
        <w:rPr>
          <w:color w:val="000000"/>
        </w:rPr>
      </w:pPr>
      <w:r w:rsidRPr="00E67EF2">
        <w:rPr>
          <w:color w:val="000000"/>
        </w:rPr>
        <w:t xml:space="preserve">McKnight, </w:t>
      </w:r>
      <w:r w:rsidRPr="00E67EF2">
        <w:t>David.</w:t>
      </w:r>
      <w:r w:rsidRPr="00E67EF2">
        <w:rPr>
          <w:color w:val="000000"/>
        </w:rPr>
        <w:t xml:space="preserve"> “The Australian Aborigines, in Anthropology,” In </w:t>
      </w:r>
      <w:r w:rsidR="00EA5655" w:rsidRPr="00E67EF2">
        <w:rPr>
          <w:color w:val="000000"/>
        </w:rPr>
        <w:t>Richard</w:t>
      </w:r>
      <w:r w:rsidR="00EA5655">
        <w:rPr>
          <w:color w:val="000000"/>
        </w:rPr>
        <w:tab/>
      </w:r>
      <w:r w:rsidR="00EA5655" w:rsidRPr="00E67EF2">
        <w:rPr>
          <w:color w:val="000000"/>
        </w:rPr>
        <w:t xml:space="preserve">Fardon, </w:t>
      </w:r>
      <w:r w:rsidR="00EA5655">
        <w:rPr>
          <w:color w:val="000000"/>
        </w:rPr>
        <w:t xml:space="preserve">ed. </w:t>
      </w:r>
      <w:r w:rsidRPr="00E67EF2">
        <w:rPr>
          <w:i/>
          <w:color w:val="000000"/>
        </w:rPr>
        <w:t>Localizing</w:t>
      </w:r>
      <w:r>
        <w:rPr>
          <w:i/>
          <w:color w:val="000000"/>
        </w:rPr>
        <w:tab/>
      </w:r>
      <w:r w:rsidRPr="00E67EF2">
        <w:rPr>
          <w:i/>
          <w:color w:val="000000"/>
        </w:rPr>
        <w:t>Strategies: Regional Traditions of Ethnographic Writing</w:t>
      </w:r>
      <w:r w:rsidRPr="00E67EF2">
        <w:rPr>
          <w:color w:val="000000"/>
        </w:rPr>
        <w:t>,</w:t>
      </w:r>
      <w:r w:rsidR="00EA5655">
        <w:rPr>
          <w:color w:val="000000"/>
        </w:rPr>
        <w:tab/>
      </w:r>
      <w:r w:rsidRPr="00E67EF2">
        <w:rPr>
          <w:color w:val="000000"/>
        </w:rPr>
        <w:t>58. Washington DC: Smith</w:t>
      </w:r>
      <w:r w:rsidR="00803CC1">
        <w:rPr>
          <w:color w:val="000000"/>
        </w:rPr>
        <w:t>sonian Institution Press, 1990.</w:t>
      </w:r>
    </w:p>
    <w:p w14:paraId="0D0146D4" w14:textId="77777777" w:rsidR="00186DCC" w:rsidRPr="00E67EF2" w:rsidRDefault="00186DCC" w:rsidP="00E67EF2">
      <w:pPr>
        <w:pStyle w:val="NoSpacing"/>
      </w:pPr>
    </w:p>
    <w:p w14:paraId="383B106D" w14:textId="06EA1452" w:rsidR="000A5E09" w:rsidRDefault="000A5E09" w:rsidP="00E67EF2">
      <w:pPr>
        <w:pStyle w:val="NoSpacing"/>
      </w:pPr>
      <w:r w:rsidRPr="004817B9">
        <w:rPr>
          <w:rFonts w:ascii="Times New Roman" w:hAnsi="Times New Roman"/>
          <w:szCs w:val="24"/>
          <w:shd w:val="clear" w:color="auto" w:fill="FFFFFF"/>
        </w:rPr>
        <w:t>Meinig</w:t>
      </w:r>
      <w:r>
        <w:rPr>
          <w:rFonts w:ascii="Times New Roman" w:hAnsi="Times New Roman"/>
          <w:szCs w:val="24"/>
          <w:shd w:val="clear" w:color="auto" w:fill="FFFFFF"/>
        </w:rPr>
        <w:t xml:space="preserve">, D.W. </w:t>
      </w:r>
      <w:r w:rsidRPr="000A5E09">
        <w:rPr>
          <w:rFonts w:ascii="Times New Roman" w:hAnsi="Times New Roman"/>
          <w:i/>
          <w:szCs w:val="24"/>
          <w:shd w:val="clear" w:color="auto" w:fill="FFFFFF"/>
        </w:rPr>
        <w:t>The Shaping of America: A Geographic Perspective on 500 Years of</w:t>
      </w:r>
      <w:r w:rsidRPr="000A5E09">
        <w:rPr>
          <w:rFonts w:ascii="Times New Roman" w:hAnsi="Times New Roman"/>
          <w:i/>
          <w:szCs w:val="24"/>
          <w:shd w:val="clear" w:color="auto" w:fill="FFFFFF"/>
        </w:rPr>
        <w:tab/>
        <w:t>History, Volume 2: Continental America, 1800-1867</w:t>
      </w:r>
      <w:r>
        <w:rPr>
          <w:rFonts w:ascii="Times New Roman" w:hAnsi="Times New Roman"/>
          <w:szCs w:val="24"/>
          <w:shd w:val="clear" w:color="auto" w:fill="FFFFFF"/>
        </w:rPr>
        <w:t>. New Haven: Yale</w:t>
      </w:r>
      <w:r>
        <w:rPr>
          <w:rFonts w:ascii="Times New Roman" w:hAnsi="Times New Roman"/>
          <w:szCs w:val="24"/>
          <w:shd w:val="clear" w:color="auto" w:fill="FFFFFF"/>
        </w:rPr>
        <w:tab/>
        <w:t>University Press, 1993.</w:t>
      </w:r>
    </w:p>
    <w:p w14:paraId="75331C07" w14:textId="77777777" w:rsidR="000A5E09" w:rsidRPr="00592AC0" w:rsidRDefault="000A5E09" w:rsidP="00E67EF2">
      <w:pPr>
        <w:pStyle w:val="NoSpacing"/>
        <w:rPr>
          <w:rFonts w:asciiTheme="majorHAnsi" w:hAnsiTheme="majorHAnsi" w:cstheme="majorHAnsi"/>
          <w:szCs w:val="24"/>
        </w:rPr>
      </w:pPr>
    </w:p>
    <w:p w14:paraId="1F88E6FF" w14:textId="6EFEE829" w:rsidR="00592AC0" w:rsidRPr="00592AC0" w:rsidRDefault="00EA5655" w:rsidP="00E67EF2">
      <w:pPr>
        <w:pStyle w:val="NoSpacing"/>
        <w:rPr>
          <w:rFonts w:asciiTheme="majorHAnsi" w:hAnsiTheme="majorHAnsi" w:cstheme="majorHAnsi"/>
          <w:color w:val="000000"/>
          <w:szCs w:val="24"/>
          <w:shd w:val="clear" w:color="auto" w:fill="FFFFFF"/>
        </w:rPr>
      </w:pPr>
      <w:r>
        <w:rPr>
          <w:rFonts w:asciiTheme="majorHAnsi" w:hAnsiTheme="majorHAnsi" w:cstheme="majorHAnsi"/>
          <w:szCs w:val="24"/>
        </w:rPr>
        <w:t>Meyers, Fred. “‘</w:t>
      </w:r>
      <w:r w:rsidR="00186DCC" w:rsidRPr="00592AC0">
        <w:rPr>
          <w:rFonts w:asciiTheme="majorHAnsi" w:hAnsiTheme="majorHAnsi" w:cstheme="majorHAnsi"/>
          <w:szCs w:val="24"/>
        </w:rPr>
        <w:t xml:space="preserve">Primitivism,’ Anthropology and the Category of ‘Primitive Art’,” </w:t>
      </w:r>
      <w:r>
        <w:rPr>
          <w:rFonts w:asciiTheme="majorHAnsi" w:hAnsiTheme="majorHAnsi" w:cstheme="majorHAnsi"/>
          <w:szCs w:val="24"/>
        </w:rPr>
        <w:t>in</w:t>
      </w:r>
      <w:r>
        <w:rPr>
          <w:rFonts w:asciiTheme="majorHAnsi" w:hAnsiTheme="majorHAnsi" w:cstheme="majorHAnsi"/>
          <w:szCs w:val="24"/>
        </w:rPr>
        <w:tab/>
      </w:r>
      <w:r w:rsidRPr="00592AC0">
        <w:rPr>
          <w:rFonts w:asciiTheme="majorHAnsi" w:hAnsiTheme="majorHAnsi" w:cstheme="majorHAnsi"/>
          <w:color w:val="000000"/>
          <w:szCs w:val="24"/>
          <w:shd w:val="clear" w:color="auto" w:fill="FFFFFF"/>
        </w:rPr>
        <w:t>Chris Tilley, Susanne Kuechler, Michael</w:t>
      </w:r>
      <w:r>
        <w:rPr>
          <w:rFonts w:asciiTheme="majorHAnsi" w:hAnsiTheme="majorHAnsi" w:cstheme="majorHAnsi"/>
          <w:color w:val="000000"/>
          <w:szCs w:val="24"/>
          <w:shd w:val="clear" w:color="auto" w:fill="FFFFFF"/>
        </w:rPr>
        <w:t xml:space="preserve"> </w:t>
      </w:r>
      <w:r w:rsidRPr="00592AC0">
        <w:rPr>
          <w:rFonts w:asciiTheme="majorHAnsi" w:hAnsiTheme="majorHAnsi" w:cstheme="majorHAnsi"/>
          <w:color w:val="000000"/>
          <w:szCs w:val="24"/>
          <w:shd w:val="clear" w:color="auto" w:fill="FFFFFF"/>
        </w:rPr>
        <w:t>Rowlands, Webb Keane and Patricia</w:t>
      </w:r>
      <w:r>
        <w:rPr>
          <w:rFonts w:asciiTheme="majorHAnsi" w:hAnsiTheme="majorHAnsi" w:cstheme="majorHAnsi"/>
          <w:color w:val="000000"/>
          <w:szCs w:val="24"/>
          <w:shd w:val="clear" w:color="auto" w:fill="FFFFFF"/>
        </w:rPr>
        <w:tab/>
      </w:r>
      <w:r w:rsidRPr="00592AC0">
        <w:rPr>
          <w:rFonts w:asciiTheme="majorHAnsi" w:hAnsiTheme="majorHAnsi" w:cstheme="majorHAnsi"/>
          <w:color w:val="000000"/>
          <w:szCs w:val="24"/>
          <w:shd w:val="clear" w:color="auto" w:fill="FFFFFF"/>
        </w:rPr>
        <w:t>Spyer, eds.</w:t>
      </w:r>
      <w:r>
        <w:rPr>
          <w:rFonts w:asciiTheme="majorHAnsi" w:hAnsiTheme="majorHAnsi" w:cstheme="majorHAnsi"/>
          <w:color w:val="000000"/>
          <w:szCs w:val="24"/>
          <w:shd w:val="clear" w:color="auto" w:fill="FFFFFF"/>
        </w:rPr>
        <w:t xml:space="preserve"> </w:t>
      </w:r>
      <w:r w:rsidR="00186DCC" w:rsidRPr="00592AC0">
        <w:rPr>
          <w:rFonts w:asciiTheme="majorHAnsi" w:hAnsiTheme="majorHAnsi" w:cstheme="majorHAnsi"/>
          <w:i/>
          <w:szCs w:val="24"/>
        </w:rPr>
        <w:t>Handbook of</w:t>
      </w:r>
      <w:r w:rsidR="005B1FDC" w:rsidRPr="00592AC0">
        <w:rPr>
          <w:rFonts w:asciiTheme="majorHAnsi" w:hAnsiTheme="majorHAnsi" w:cstheme="majorHAnsi"/>
          <w:i/>
          <w:szCs w:val="24"/>
        </w:rPr>
        <w:t xml:space="preserve"> </w:t>
      </w:r>
      <w:r w:rsidR="00186DCC" w:rsidRPr="00592AC0">
        <w:rPr>
          <w:rFonts w:asciiTheme="majorHAnsi" w:hAnsiTheme="majorHAnsi" w:cstheme="majorHAnsi"/>
          <w:i/>
          <w:szCs w:val="24"/>
        </w:rPr>
        <w:t>Material Culture</w:t>
      </w:r>
      <w:r>
        <w:rPr>
          <w:rFonts w:asciiTheme="majorHAnsi" w:hAnsiTheme="majorHAnsi" w:cstheme="majorHAnsi"/>
          <w:szCs w:val="24"/>
        </w:rPr>
        <w:t>,</w:t>
      </w:r>
      <w:r w:rsidR="00186DCC" w:rsidRPr="00592AC0">
        <w:rPr>
          <w:rFonts w:asciiTheme="majorHAnsi" w:hAnsiTheme="majorHAnsi" w:cstheme="majorHAnsi"/>
          <w:szCs w:val="24"/>
        </w:rPr>
        <w:t xml:space="preserve"> </w:t>
      </w:r>
      <w:r w:rsidR="00592AC0" w:rsidRPr="00592AC0">
        <w:rPr>
          <w:rFonts w:asciiTheme="majorHAnsi" w:hAnsiTheme="majorHAnsi" w:cstheme="majorHAnsi"/>
          <w:color w:val="000000"/>
          <w:szCs w:val="24"/>
          <w:shd w:val="clear" w:color="auto" w:fill="FFFFFF"/>
        </w:rPr>
        <w:t>267-284</w:t>
      </w:r>
      <w:r w:rsidR="00592AC0">
        <w:rPr>
          <w:rFonts w:asciiTheme="majorHAnsi" w:hAnsiTheme="majorHAnsi" w:cstheme="majorHAnsi"/>
          <w:color w:val="000000"/>
          <w:szCs w:val="24"/>
          <w:shd w:val="clear" w:color="auto" w:fill="FFFFFF"/>
        </w:rPr>
        <w:t xml:space="preserve">. New York: </w:t>
      </w:r>
      <w:r w:rsidR="00592AC0" w:rsidRPr="00592AC0">
        <w:rPr>
          <w:rFonts w:asciiTheme="majorHAnsi" w:hAnsiTheme="majorHAnsi" w:cstheme="majorHAnsi"/>
          <w:color w:val="000000"/>
          <w:szCs w:val="24"/>
          <w:shd w:val="clear" w:color="auto" w:fill="FFFFFF"/>
        </w:rPr>
        <w:t>Sage</w:t>
      </w:r>
      <w:r>
        <w:rPr>
          <w:rFonts w:asciiTheme="majorHAnsi" w:hAnsiTheme="majorHAnsi" w:cstheme="majorHAnsi"/>
          <w:color w:val="000000"/>
          <w:szCs w:val="24"/>
          <w:shd w:val="clear" w:color="auto" w:fill="FFFFFF"/>
        </w:rPr>
        <w:t xml:space="preserve"> </w:t>
      </w:r>
      <w:r w:rsidR="00592AC0" w:rsidRPr="00592AC0">
        <w:rPr>
          <w:rFonts w:asciiTheme="majorHAnsi" w:hAnsiTheme="majorHAnsi" w:cstheme="majorHAnsi"/>
          <w:color w:val="000000"/>
          <w:szCs w:val="24"/>
          <w:shd w:val="clear" w:color="auto" w:fill="FFFFFF"/>
        </w:rPr>
        <w:t>Press,</w:t>
      </w:r>
      <w:r>
        <w:rPr>
          <w:rFonts w:asciiTheme="majorHAnsi" w:hAnsiTheme="majorHAnsi" w:cstheme="majorHAnsi"/>
          <w:color w:val="000000"/>
          <w:szCs w:val="24"/>
          <w:shd w:val="clear" w:color="auto" w:fill="FFFFFF"/>
        </w:rPr>
        <w:tab/>
      </w:r>
      <w:r w:rsidR="00592AC0" w:rsidRPr="00592AC0">
        <w:rPr>
          <w:rFonts w:asciiTheme="majorHAnsi" w:hAnsiTheme="majorHAnsi" w:cstheme="majorHAnsi"/>
          <w:color w:val="000000"/>
          <w:szCs w:val="24"/>
          <w:shd w:val="clear" w:color="auto" w:fill="FFFFFF"/>
        </w:rPr>
        <w:t>2006.</w:t>
      </w:r>
    </w:p>
    <w:p w14:paraId="066C3152" w14:textId="77777777" w:rsidR="00592AC0" w:rsidRPr="00592AC0" w:rsidRDefault="00592AC0" w:rsidP="00186DCC">
      <w:pPr>
        <w:pStyle w:val="NoSpacing"/>
        <w:rPr>
          <w:rFonts w:asciiTheme="majorHAnsi" w:hAnsiTheme="majorHAnsi" w:cstheme="majorHAnsi"/>
          <w:szCs w:val="24"/>
        </w:rPr>
      </w:pPr>
    </w:p>
    <w:p w14:paraId="5D7103AD" w14:textId="7E2BB19D" w:rsidR="00A002CA" w:rsidRPr="00A002CA" w:rsidRDefault="00A002CA" w:rsidP="00A002CA">
      <w:pPr>
        <w:pStyle w:val="Standard"/>
        <w:rPr>
          <w:rFonts w:asciiTheme="majorHAnsi" w:hAnsiTheme="majorHAnsi" w:cstheme="majorHAnsi"/>
        </w:rPr>
      </w:pPr>
      <w:r w:rsidRPr="00592AC0">
        <w:rPr>
          <w:rFonts w:asciiTheme="majorHAnsi" w:hAnsiTheme="majorHAnsi" w:cstheme="majorHAnsi"/>
        </w:rPr>
        <w:t xml:space="preserve">Miller, Angela. </w:t>
      </w:r>
      <w:r w:rsidRPr="00592AC0">
        <w:rPr>
          <w:rFonts w:asciiTheme="majorHAnsi" w:hAnsiTheme="majorHAnsi" w:cstheme="majorHAnsi"/>
          <w:i/>
        </w:rPr>
        <w:t>The Empire of the Eye: Landscape Representation and American</w:t>
      </w:r>
      <w:r>
        <w:rPr>
          <w:rFonts w:asciiTheme="majorHAnsi" w:hAnsiTheme="majorHAnsi" w:cstheme="majorHAnsi"/>
          <w:i/>
        </w:rPr>
        <w:tab/>
      </w:r>
      <w:r w:rsidRPr="00A002CA">
        <w:rPr>
          <w:rFonts w:asciiTheme="majorHAnsi" w:hAnsiTheme="majorHAnsi" w:cstheme="majorHAnsi"/>
          <w:i/>
        </w:rPr>
        <w:t>Cultural Representation –1825-1875</w:t>
      </w:r>
      <w:r w:rsidRPr="00A002CA">
        <w:rPr>
          <w:rFonts w:asciiTheme="majorHAnsi" w:hAnsiTheme="majorHAnsi" w:cstheme="majorHAnsi"/>
        </w:rPr>
        <w:t>. Ithaca: Cornell University Press,</w:t>
      </w:r>
      <w:r w:rsidR="00592AC0">
        <w:rPr>
          <w:rFonts w:asciiTheme="majorHAnsi" w:hAnsiTheme="majorHAnsi" w:cstheme="majorHAnsi"/>
        </w:rPr>
        <w:t xml:space="preserve"> </w:t>
      </w:r>
      <w:r w:rsidRPr="00A002CA">
        <w:rPr>
          <w:rFonts w:asciiTheme="majorHAnsi" w:hAnsiTheme="majorHAnsi" w:cstheme="majorHAnsi"/>
        </w:rPr>
        <w:t>1995.</w:t>
      </w:r>
    </w:p>
    <w:p w14:paraId="53A6E9C0" w14:textId="77777777" w:rsidR="00A002CA" w:rsidRPr="00A002CA" w:rsidRDefault="00A002CA" w:rsidP="00A002CA">
      <w:pPr>
        <w:pStyle w:val="Standard"/>
        <w:rPr>
          <w:rFonts w:asciiTheme="majorHAnsi" w:hAnsiTheme="majorHAnsi" w:cstheme="majorHAnsi"/>
        </w:rPr>
      </w:pPr>
    </w:p>
    <w:p w14:paraId="6D957B77" w14:textId="7281FA07" w:rsidR="00186DCC" w:rsidRPr="00DA1E36" w:rsidRDefault="00186DCC" w:rsidP="00186DCC">
      <w:pPr>
        <w:pStyle w:val="NoSpacing"/>
        <w:rPr>
          <w:rFonts w:ascii="Times New Roman" w:hAnsi="Times New Roman"/>
          <w:szCs w:val="24"/>
        </w:rPr>
      </w:pPr>
      <w:r w:rsidRPr="00A002CA">
        <w:rPr>
          <w:rFonts w:asciiTheme="majorHAnsi" w:hAnsiTheme="majorHAnsi" w:cstheme="majorHAnsi"/>
          <w:szCs w:val="24"/>
        </w:rPr>
        <w:t xml:space="preserve">Moore, James. “Ernest Blumenschein's Long Journey with Star Road.” </w:t>
      </w:r>
      <w:r w:rsidRPr="00A002CA">
        <w:rPr>
          <w:rFonts w:asciiTheme="majorHAnsi" w:hAnsiTheme="majorHAnsi" w:cstheme="majorHAnsi"/>
          <w:i/>
          <w:szCs w:val="24"/>
        </w:rPr>
        <w:t>American Art</w:t>
      </w:r>
      <w:r w:rsidR="005B1FDC">
        <w:rPr>
          <w:rFonts w:ascii="Times New Roman" w:hAnsi="Times New Roman"/>
          <w:i/>
          <w:szCs w:val="24"/>
        </w:rPr>
        <w:tab/>
      </w:r>
      <w:r w:rsidRPr="00DA1E36">
        <w:rPr>
          <w:rFonts w:ascii="Times New Roman" w:hAnsi="Times New Roman"/>
          <w:szCs w:val="24"/>
        </w:rPr>
        <w:t>9</w:t>
      </w:r>
      <w:r w:rsidR="005B1FDC">
        <w:rPr>
          <w:rFonts w:ascii="Times New Roman" w:hAnsi="Times New Roman"/>
          <w:szCs w:val="24"/>
        </w:rPr>
        <w:t xml:space="preserve">, no. </w:t>
      </w:r>
      <w:r w:rsidRPr="00DA1E36">
        <w:rPr>
          <w:rFonts w:ascii="Times New Roman" w:hAnsi="Times New Roman"/>
          <w:szCs w:val="24"/>
        </w:rPr>
        <w:t xml:space="preserve">3 </w:t>
      </w:r>
      <w:r w:rsidR="005B1FDC">
        <w:rPr>
          <w:rFonts w:ascii="Times New Roman" w:hAnsi="Times New Roman"/>
          <w:szCs w:val="24"/>
        </w:rPr>
        <w:t>(</w:t>
      </w:r>
      <w:r w:rsidRPr="00DA1E36">
        <w:rPr>
          <w:rFonts w:ascii="Times New Roman" w:hAnsi="Times New Roman"/>
          <w:szCs w:val="24"/>
        </w:rPr>
        <w:t>Fall 1995</w:t>
      </w:r>
      <w:r w:rsidR="005B1FDC">
        <w:rPr>
          <w:rFonts w:ascii="Times New Roman" w:hAnsi="Times New Roman"/>
          <w:szCs w:val="24"/>
        </w:rPr>
        <w:t>)</w:t>
      </w:r>
      <w:r w:rsidRPr="00DA1E36">
        <w:rPr>
          <w:rFonts w:ascii="Times New Roman" w:hAnsi="Times New Roman"/>
          <w:szCs w:val="24"/>
        </w:rPr>
        <w:t>: 7-27.</w:t>
      </w:r>
    </w:p>
    <w:p w14:paraId="1AAE71DA" w14:textId="77777777" w:rsidR="00186DCC" w:rsidRPr="00DA1E36" w:rsidRDefault="00186DCC" w:rsidP="00186DCC">
      <w:pPr>
        <w:pStyle w:val="NoSpacing"/>
        <w:rPr>
          <w:rFonts w:ascii="Times New Roman" w:hAnsi="Times New Roman"/>
          <w:szCs w:val="24"/>
        </w:rPr>
      </w:pPr>
    </w:p>
    <w:p w14:paraId="0C9C87A9" w14:textId="3A9F7483" w:rsidR="009B2DE3" w:rsidRPr="003D6433" w:rsidRDefault="00803CC1" w:rsidP="003D6433">
      <w:pPr>
        <w:pStyle w:val="NoSpacing"/>
        <w:rPr>
          <w:rFonts w:asciiTheme="majorHAnsi" w:hAnsiTheme="majorHAnsi" w:cstheme="majorHAnsi"/>
          <w:szCs w:val="24"/>
        </w:rPr>
      </w:pPr>
      <w:r>
        <w:rPr>
          <w:rFonts w:ascii="Times New Roman" w:hAnsi="Times New Roman"/>
          <w:szCs w:val="24"/>
        </w:rPr>
        <w:t xml:space="preserve">"Moving on Oklahoma Boomers." </w:t>
      </w:r>
      <w:r w:rsidR="009B2DE3" w:rsidRPr="00440FB3">
        <w:rPr>
          <w:rFonts w:ascii="Times New Roman" w:hAnsi="Times New Roman"/>
          <w:i/>
          <w:iCs/>
          <w:szCs w:val="24"/>
        </w:rPr>
        <w:t>Cherokee Advocate</w:t>
      </w:r>
      <w:r w:rsidR="00AD7D67">
        <w:rPr>
          <w:rFonts w:ascii="Times New Roman" w:hAnsi="Times New Roman"/>
          <w:szCs w:val="24"/>
        </w:rPr>
        <w:t>, January 8, 1885: n.p.</w:t>
      </w:r>
    </w:p>
    <w:p w14:paraId="6683154B" w14:textId="77777777" w:rsidR="009B2DE3" w:rsidRPr="003D6433" w:rsidRDefault="009B2DE3" w:rsidP="003D6433">
      <w:pPr>
        <w:pStyle w:val="NoSpacing"/>
        <w:rPr>
          <w:rFonts w:asciiTheme="majorHAnsi" w:hAnsiTheme="majorHAnsi" w:cstheme="majorHAnsi"/>
          <w:szCs w:val="24"/>
        </w:rPr>
      </w:pPr>
    </w:p>
    <w:p w14:paraId="70E6D55C" w14:textId="065FEABF" w:rsidR="0003369E" w:rsidRDefault="0003369E" w:rsidP="003D6433">
      <w:pPr>
        <w:spacing w:line="240" w:lineRule="auto"/>
        <w:rPr>
          <w:rStyle w:val="reference-accessdate"/>
          <w:rFonts w:ascii="Times New Roman" w:hAnsi="Times New Roman"/>
          <w:i/>
          <w:iCs/>
          <w:shd w:val="clear" w:color="auto" w:fill="FFFFFF"/>
        </w:rPr>
      </w:pPr>
      <w:r w:rsidRPr="000520D6">
        <w:rPr>
          <w:rStyle w:val="HTMLCite"/>
          <w:rFonts w:ascii="Times New Roman" w:hAnsi="Times New Roman"/>
          <w:i w:val="0"/>
          <w:shd w:val="clear" w:color="auto" w:fill="FFFFFF"/>
        </w:rPr>
        <w:t>National Archives and Records Administration</w:t>
      </w:r>
      <w:r>
        <w:rPr>
          <w:rStyle w:val="reference-accessdate"/>
          <w:rFonts w:ascii="Times New Roman" w:hAnsi="Times New Roman"/>
          <w:i/>
          <w:iCs/>
          <w:shd w:val="clear" w:color="auto" w:fill="FFFFFF"/>
        </w:rPr>
        <w:t xml:space="preserve">. </w:t>
      </w:r>
      <w:r>
        <w:rPr>
          <w:rStyle w:val="reference-accessdate"/>
          <w:rFonts w:ascii="Times New Roman" w:hAnsi="Times New Roman"/>
          <w:iCs/>
          <w:shd w:val="clear" w:color="auto" w:fill="FFFFFF"/>
        </w:rPr>
        <w:t>“</w:t>
      </w:r>
      <w:r w:rsidRPr="000520D6">
        <w:rPr>
          <w:rStyle w:val="apple-converted-space"/>
          <w:rFonts w:ascii="Times New Roman" w:hAnsi="Times New Roman"/>
          <w:i/>
          <w:shd w:val="clear" w:color="auto" w:fill="FFFFFF"/>
        </w:rPr>
        <w:t>Dawes Act</w:t>
      </w:r>
      <w:r>
        <w:rPr>
          <w:rStyle w:val="apple-converted-space"/>
          <w:rFonts w:ascii="Times New Roman" w:hAnsi="Times New Roman"/>
          <w:i/>
          <w:shd w:val="clear" w:color="auto" w:fill="FFFFFF"/>
        </w:rPr>
        <w:t xml:space="preserve"> 1887</w:t>
      </w:r>
      <w:r w:rsidRPr="00FB63FF">
        <w:rPr>
          <w:rStyle w:val="apple-converted-space"/>
          <w:rFonts w:ascii="Times New Roman" w:hAnsi="Times New Roman"/>
          <w:shd w:val="clear" w:color="auto" w:fill="FFFFFF"/>
        </w:rPr>
        <w:t>.”</w:t>
      </w:r>
      <w:r>
        <w:rPr>
          <w:rStyle w:val="apple-converted-space"/>
          <w:rFonts w:ascii="Times New Roman" w:hAnsi="Times New Roman"/>
          <w:shd w:val="clear" w:color="auto" w:fill="FFFFFF"/>
        </w:rPr>
        <w:t xml:space="preserve"> OurDocuments.gov.</w:t>
      </w:r>
      <w:r>
        <w:rPr>
          <w:rStyle w:val="apple-converted-space"/>
          <w:rFonts w:ascii="Times New Roman" w:hAnsi="Times New Roman"/>
          <w:shd w:val="clear" w:color="auto" w:fill="FFFFFF"/>
        </w:rPr>
        <w:tab/>
      </w:r>
      <w:r>
        <w:rPr>
          <w:rStyle w:val="HTMLCite"/>
          <w:rFonts w:ascii="Times New Roman" w:hAnsi="Times New Roman"/>
          <w:i w:val="0"/>
          <w:shd w:val="clear" w:color="auto" w:fill="FFFFFF"/>
        </w:rPr>
        <w:t>(A</w:t>
      </w:r>
      <w:r w:rsidRPr="000520D6">
        <w:rPr>
          <w:rStyle w:val="reference-accessdate"/>
          <w:rFonts w:ascii="Times New Roman" w:hAnsi="Times New Roman"/>
          <w:iCs/>
          <w:shd w:val="clear" w:color="auto" w:fill="FFFFFF"/>
        </w:rPr>
        <w:t>ccessed</w:t>
      </w:r>
      <w:r>
        <w:rPr>
          <w:rStyle w:val="reference-accessdate"/>
          <w:rFonts w:ascii="Times New Roman" w:hAnsi="Times New Roman"/>
          <w:iCs/>
          <w:shd w:val="clear" w:color="auto" w:fill="FFFFFF"/>
        </w:rPr>
        <w:t xml:space="preserve"> </w:t>
      </w:r>
      <w:r w:rsidRPr="000520D6">
        <w:rPr>
          <w:rStyle w:val="reference-accessdate"/>
          <w:rFonts w:ascii="Times New Roman" w:hAnsi="Times New Roman"/>
          <w:iCs/>
          <w:shd w:val="clear" w:color="auto" w:fill="FFFFFF"/>
        </w:rPr>
        <w:t>July 2,</w:t>
      </w:r>
      <w:r>
        <w:rPr>
          <w:rStyle w:val="reference-accessdate"/>
          <w:rFonts w:ascii="Times New Roman" w:hAnsi="Times New Roman"/>
          <w:iCs/>
          <w:shd w:val="clear" w:color="auto" w:fill="FFFFFF"/>
        </w:rPr>
        <w:t xml:space="preserve"> </w:t>
      </w:r>
      <w:r w:rsidRPr="000520D6">
        <w:rPr>
          <w:rStyle w:val="reference-accessdate"/>
          <w:rFonts w:ascii="Times New Roman" w:hAnsi="Times New Roman"/>
          <w:iCs/>
          <w:shd w:val="clear" w:color="auto" w:fill="FFFFFF"/>
        </w:rPr>
        <w:t>2016</w:t>
      </w:r>
      <w:r>
        <w:rPr>
          <w:rStyle w:val="reference-accessdate"/>
          <w:rFonts w:ascii="Times New Roman" w:hAnsi="Times New Roman"/>
          <w:iCs/>
          <w:shd w:val="clear" w:color="auto" w:fill="FFFFFF"/>
        </w:rPr>
        <w:t>)</w:t>
      </w:r>
      <w:r w:rsidR="00803CC1">
        <w:rPr>
          <w:rStyle w:val="reference-accessdate"/>
          <w:rFonts w:ascii="Times New Roman" w:hAnsi="Times New Roman"/>
          <w:i/>
          <w:iCs/>
          <w:shd w:val="clear" w:color="auto" w:fill="FFFFFF"/>
        </w:rPr>
        <w:t>.</w:t>
      </w:r>
    </w:p>
    <w:p w14:paraId="284E0399" w14:textId="77777777" w:rsidR="0003369E" w:rsidRDefault="0003369E" w:rsidP="003D6433">
      <w:pPr>
        <w:spacing w:line="240" w:lineRule="auto"/>
        <w:rPr>
          <w:rStyle w:val="reference-accessdate"/>
          <w:rFonts w:ascii="Times New Roman" w:hAnsi="Times New Roman"/>
          <w:i/>
          <w:iCs/>
          <w:shd w:val="clear" w:color="auto" w:fill="FFFFFF"/>
        </w:rPr>
      </w:pPr>
    </w:p>
    <w:p w14:paraId="73AA88C6" w14:textId="77777777" w:rsidR="00187047" w:rsidRDefault="00187047" w:rsidP="00187047">
      <w:pPr>
        <w:pStyle w:val="NoSpacing"/>
        <w:rPr>
          <w:rFonts w:ascii="Times New Roman" w:hAnsi="Times New Roman"/>
          <w:szCs w:val="24"/>
        </w:rPr>
      </w:pPr>
      <w:r w:rsidRPr="00DA1E36">
        <w:rPr>
          <w:rFonts w:ascii="Times New Roman" w:hAnsi="Times New Roman"/>
          <w:szCs w:val="24"/>
        </w:rPr>
        <w:t>New Zealand Electronic Text Centre</w:t>
      </w:r>
      <w:r>
        <w:rPr>
          <w:rFonts w:ascii="Times New Roman" w:hAnsi="Times New Roman"/>
          <w:szCs w:val="24"/>
        </w:rPr>
        <w:t>.</w:t>
      </w:r>
      <w:r w:rsidRPr="00DA1E36">
        <w:rPr>
          <w:rFonts w:ascii="Times New Roman" w:hAnsi="Times New Roman"/>
          <w:szCs w:val="24"/>
        </w:rPr>
        <w:t xml:space="preserve"> “Explorers of the Pacific: European and American</w:t>
      </w:r>
      <w:r>
        <w:rPr>
          <w:rFonts w:ascii="Times New Roman" w:hAnsi="Times New Roman"/>
          <w:szCs w:val="24"/>
        </w:rPr>
        <w:tab/>
      </w:r>
      <w:r w:rsidRPr="00DA1E36">
        <w:rPr>
          <w:rFonts w:ascii="Times New Roman" w:hAnsi="Times New Roman"/>
          <w:szCs w:val="24"/>
        </w:rPr>
        <w:t>Discoveries i</w:t>
      </w:r>
      <w:r w:rsidRPr="00187047">
        <w:rPr>
          <w:rFonts w:ascii="Times New Roman" w:hAnsi="Times New Roman"/>
          <w:szCs w:val="24"/>
        </w:rPr>
        <w:t>n Polynesia: George Anson Byron.” http://www.nzetc.org/</w:t>
      </w:r>
      <w:r w:rsidRPr="00187047">
        <w:t xml:space="preserve"> </w:t>
      </w:r>
      <w:r w:rsidRPr="00187047">
        <w:rPr>
          <w:rFonts w:ascii="Times New Roman" w:hAnsi="Times New Roman"/>
          <w:szCs w:val="24"/>
        </w:rPr>
        <w:t>tm/</w:t>
      </w:r>
      <w:r w:rsidRPr="00187047">
        <w:rPr>
          <w:rFonts w:ascii="Times New Roman" w:hAnsi="Times New Roman"/>
          <w:szCs w:val="24"/>
        </w:rPr>
        <w:tab/>
        <w:t>scholarly/tei</w:t>
      </w:r>
      <w:hyperlink r:id="rId90" w:history="1">
        <w:r w:rsidRPr="00187047">
          <w:rPr>
            <w:rStyle w:val="Hyperlink"/>
            <w:rFonts w:ascii="Times New Roman" w:hAnsi="Times New Roman"/>
            <w:color w:val="auto"/>
            <w:szCs w:val="24"/>
            <w:u w:val="none"/>
          </w:rPr>
          <w:t>-BucExpl-t1-body-d20-d4.html</w:t>
        </w:r>
      </w:hyperlink>
      <w:r>
        <w:rPr>
          <w:rFonts w:ascii="Times New Roman" w:hAnsi="Times New Roman"/>
          <w:szCs w:val="24"/>
        </w:rPr>
        <w:t xml:space="preserve"> (accessed May 3, 2011)</w:t>
      </w:r>
      <w:r w:rsidRPr="00DA1E36">
        <w:rPr>
          <w:rFonts w:ascii="Times New Roman" w:hAnsi="Times New Roman"/>
          <w:szCs w:val="24"/>
        </w:rPr>
        <w:t>.</w:t>
      </w:r>
    </w:p>
    <w:p w14:paraId="708B4185" w14:textId="77777777" w:rsidR="00187047" w:rsidRPr="003D6433" w:rsidRDefault="00187047" w:rsidP="003D6433">
      <w:pPr>
        <w:pStyle w:val="NoSpacing"/>
        <w:rPr>
          <w:rFonts w:asciiTheme="majorHAnsi" w:hAnsiTheme="majorHAnsi" w:cstheme="majorHAnsi"/>
        </w:rPr>
      </w:pPr>
    </w:p>
    <w:p w14:paraId="31528825" w14:textId="78290D1F" w:rsidR="00186DCC" w:rsidRPr="00DA1E36" w:rsidRDefault="00186DCC" w:rsidP="003D6433">
      <w:pPr>
        <w:pStyle w:val="NoSpacing"/>
        <w:rPr>
          <w:rFonts w:ascii="Times New Roman" w:hAnsi="Times New Roman"/>
          <w:szCs w:val="24"/>
        </w:rPr>
      </w:pPr>
      <w:r w:rsidRPr="003D6433">
        <w:rPr>
          <w:rFonts w:asciiTheme="majorHAnsi" w:hAnsiTheme="majorHAnsi" w:cstheme="majorHAnsi"/>
          <w:szCs w:val="24"/>
        </w:rPr>
        <w:t xml:space="preserve">Nemerov, Alexander. </w:t>
      </w:r>
      <w:r w:rsidRPr="003D6433">
        <w:rPr>
          <w:rFonts w:asciiTheme="majorHAnsi" w:hAnsiTheme="majorHAnsi" w:cstheme="majorHAnsi"/>
          <w:i/>
          <w:szCs w:val="24"/>
        </w:rPr>
        <w:t>The Body of Raphaelle Peale: Still Life and Selfhood, 1812-1824</w:t>
      </w:r>
      <w:r w:rsidRPr="003D6433">
        <w:rPr>
          <w:rFonts w:asciiTheme="majorHAnsi" w:hAnsiTheme="majorHAnsi" w:cstheme="majorHAnsi"/>
          <w:szCs w:val="24"/>
        </w:rPr>
        <w:t>.</w:t>
      </w:r>
      <w:r w:rsidR="005B1FDC">
        <w:rPr>
          <w:rFonts w:ascii="Times New Roman" w:hAnsi="Times New Roman"/>
          <w:szCs w:val="24"/>
        </w:rPr>
        <w:tab/>
        <w:t xml:space="preserve">Berkley: </w:t>
      </w:r>
      <w:r w:rsidRPr="00DA1E36">
        <w:rPr>
          <w:rFonts w:ascii="Times New Roman" w:hAnsi="Times New Roman"/>
          <w:szCs w:val="24"/>
        </w:rPr>
        <w:t>University of</w:t>
      </w:r>
      <w:r w:rsidR="005B1FDC">
        <w:rPr>
          <w:rFonts w:ascii="Times New Roman" w:hAnsi="Times New Roman"/>
          <w:szCs w:val="24"/>
        </w:rPr>
        <w:t xml:space="preserve"> </w:t>
      </w:r>
      <w:r w:rsidRPr="00DA1E36">
        <w:rPr>
          <w:rFonts w:ascii="Times New Roman" w:hAnsi="Times New Roman"/>
          <w:szCs w:val="24"/>
        </w:rPr>
        <w:t>California Press, 2001.</w:t>
      </w:r>
    </w:p>
    <w:p w14:paraId="0DA28D91" w14:textId="77777777" w:rsidR="00C12047" w:rsidRDefault="00C12047" w:rsidP="00186DCC">
      <w:pPr>
        <w:pStyle w:val="NoSpacing"/>
        <w:rPr>
          <w:rFonts w:ascii="Times New Roman" w:hAnsi="Times New Roman"/>
          <w:szCs w:val="24"/>
        </w:rPr>
      </w:pPr>
    </w:p>
    <w:p w14:paraId="4AE2415F" w14:textId="206995BF"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Nemerov, Alexander. </w:t>
      </w:r>
      <w:r w:rsidRPr="00DA1E36">
        <w:rPr>
          <w:rFonts w:ascii="Times New Roman" w:hAnsi="Times New Roman"/>
          <w:i/>
          <w:szCs w:val="24"/>
        </w:rPr>
        <w:t>Frederic Remington and Turn-of-The-Century America</w:t>
      </w:r>
      <w:r w:rsidR="005B1FDC">
        <w:rPr>
          <w:rFonts w:ascii="Times New Roman" w:hAnsi="Times New Roman"/>
          <w:szCs w:val="24"/>
        </w:rPr>
        <w:t>.</w:t>
      </w:r>
      <w:r w:rsidRPr="00DA1E36">
        <w:rPr>
          <w:rFonts w:ascii="Times New Roman" w:hAnsi="Times New Roman"/>
          <w:szCs w:val="24"/>
        </w:rPr>
        <w:t xml:space="preserve"> </w:t>
      </w:r>
      <w:r w:rsidR="005B1FDC">
        <w:rPr>
          <w:rFonts w:ascii="Times New Roman" w:hAnsi="Times New Roman"/>
          <w:szCs w:val="24"/>
        </w:rPr>
        <w:t>New</w:t>
      </w:r>
      <w:r w:rsidR="005B1FDC">
        <w:rPr>
          <w:rFonts w:ascii="Times New Roman" w:hAnsi="Times New Roman"/>
          <w:szCs w:val="24"/>
        </w:rPr>
        <w:tab/>
        <w:t xml:space="preserve">Haven: </w:t>
      </w:r>
      <w:r w:rsidRPr="00DA1E36">
        <w:rPr>
          <w:rFonts w:ascii="Times New Roman" w:hAnsi="Times New Roman"/>
          <w:szCs w:val="24"/>
        </w:rPr>
        <w:t>Yale University Press,</w:t>
      </w:r>
      <w:r w:rsidR="005B1FDC">
        <w:rPr>
          <w:rFonts w:ascii="Times New Roman" w:hAnsi="Times New Roman"/>
          <w:szCs w:val="24"/>
        </w:rPr>
        <w:t xml:space="preserve"> </w:t>
      </w:r>
      <w:r w:rsidRPr="00DA1E36">
        <w:rPr>
          <w:rFonts w:ascii="Times New Roman" w:hAnsi="Times New Roman"/>
          <w:szCs w:val="24"/>
        </w:rPr>
        <w:t>1995.</w:t>
      </w:r>
    </w:p>
    <w:p w14:paraId="64F2C302" w14:textId="77777777" w:rsidR="00186DCC" w:rsidRPr="00DA1E36" w:rsidRDefault="00186DCC" w:rsidP="00186DCC">
      <w:pPr>
        <w:pStyle w:val="NoSpacing"/>
        <w:rPr>
          <w:rFonts w:ascii="Times New Roman" w:hAnsi="Times New Roman"/>
          <w:szCs w:val="24"/>
        </w:rPr>
      </w:pPr>
    </w:p>
    <w:p w14:paraId="278486BD" w14:textId="77777777"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Osorio, Jonathan. </w:t>
      </w:r>
      <w:r w:rsidRPr="00DA1E36">
        <w:rPr>
          <w:rFonts w:ascii="Times New Roman" w:hAnsi="Times New Roman"/>
          <w:i/>
          <w:szCs w:val="24"/>
        </w:rPr>
        <w:t>Dismembering Lāhui: A History of the Hawaiian Nation to 1887</w:t>
      </w:r>
      <w:r w:rsidRPr="00DA1E36">
        <w:rPr>
          <w:rFonts w:ascii="Times New Roman" w:hAnsi="Times New Roman"/>
          <w:szCs w:val="24"/>
        </w:rPr>
        <w:t>.</w:t>
      </w:r>
      <w:r w:rsidR="005B1FDC">
        <w:rPr>
          <w:rFonts w:ascii="Times New Roman" w:hAnsi="Times New Roman"/>
          <w:szCs w:val="24"/>
        </w:rPr>
        <w:tab/>
      </w:r>
      <w:r w:rsidRPr="00DA1E36">
        <w:rPr>
          <w:rFonts w:ascii="Times New Roman" w:hAnsi="Times New Roman"/>
          <w:szCs w:val="24"/>
        </w:rPr>
        <w:t>Honolulu:</w:t>
      </w:r>
      <w:r w:rsidR="005B1FDC">
        <w:rPr>
          <w:rFonts w:ascii="Times New Roman" w:hAnsi="Times New Roman"/>
          <w:szCs w:val="24"/>
        </w:rPr>
        <w:t xml:space="preserve"> </w:t>
      </w:r>
      <w:r w:rsidRPr="00DA1E36">
        <w:rPr>
          <w:rFonts w:ascii="Times New Roman" w:hAnsi="Times New Roman"/>
          <w:szCs w:val="24"/>
        </w:rPr>
        <w:t>University of Hawai’i Press, 2002.</w:t>
      </w:r>
    </w:p>
    <w:p w14:paraId="2231C54C" w14:textId="77777777" w:rsidR="00186DCC" w:rsidRPr="00DA1E36" w:rsidRDefault="00186DCC" w:rsidP="00186DCC">
      <w:pPr>
        <w:pStyle w:val="NoSpacing"/>
        <w:rPr>
          <w:rFonts w:ascii="Times New Roman" w:hAnsi="Times New Roman"/>
          <w:szCs w:val="24"/>
        </w:rPr>
      </w:pPr>
    </w:p>
    <w:p w14:paraId="553C4660" w14:textId="047EE91F" w:rsidR="009B7C5A" w:rsidRPr="009B7C5A" w:rsidRDefault="009B7C5A" w:rsidP="00186DCC">
      <w:pPr>
        <w:pStyle w:val="NoSpacing"/>
        <w:rPr>
          <w:rFonts w:ascii="Times New Roman" w:hAnsi="Times New Roman"/>
          <w:i/>
          <w:szCs w:val="24"/>
        </w:rPr>
      </w:pPr>
      <w:r>
        <w:rPr>
          <w:rFonts w:ascii="Times New Roman" w:hAnsi="Times New Roman"/>
          <w:szCs w:val="24"/>
        </w:rPr>
        <w:t xml:space="preserve">Ott, John. </w:t>
      </w:r>
      <w:r>
        <w:rPr>
          <w:rFonts w:ascii="Times New Roman" w:hAnsi="Times New Roman"/>
          <w:i/>
          <w:szCs w:val="24"/>
        </w:rPr>
        <w:t>Local Color: The Taos Society of Artists and the Marketing of Ethnicity</w:t>
      </w:r>
      <w:r w:rsidRPr="009B7C5A">
        <w:rPr>
          <w:rFonts w:ascii="Times New Roman" w:hAnsi="Times New Roman"/>
          <w:szCs w:val="24"/>
        </w:rPr>
        <w:t>.</w:t>
      </w:r>
      <w:r>
        <w:rPr>
          <w:rFonts w:ascii="Times New Roman" w:hAnsi="Times New Roman"/>
          <w:szCs w:val="24"/>
        </w:rPr>
        <w:tab/>
        <w:t>Master’s Thesis. University of California, Los Angeles, 1996.</w:t>
      </w:r>
    </w:p>
    <w:p w14:paraId="51BA4DB3" w14:textId="77777777" w:rsidR="009B7C5A" w:rsidRDefault="009B7C5A" w:rsidP="00186DCC">
      <w:pPr>
        <w:pStyle w:val="NoSpacing"/>
        <w:rPr>
          <w:rFonts w:ascii="Times New Roman" w:hAnsi="Times New Roman"/>
          <w:szCs w:val="24"/>
        </w:rPr>
      </w:pPr>
    </w:p>
    <w:p w14:paraId="6A6AB6C5" w14:textId="55227CCD" w:rsidR="00186DCC" w:rsidRPr="00DA1E36" w:rsidRDefault="009B7C5A" w:rsidP="00186DCC">
      <w:pPr>
        <w:pStyle w:val="NoSpacing"/>
        <w:rPr>
          <w:rFonts w:ascii="Times New Roman" w:hAnsi="Times New Roman"/>
          <w:bCs/>
          <w:szCs w:val="24"/>
        </w:rPr>
      </w:pPr>
      <w:r>
        <w:rPr>
          <w:rFonts w:ascii="Times New Roman" w:hAnsi="Times New Roman"/>
          <w:szCs w:val="24"/>
        </w:rPr>
        <w:t>_____</w:t>
      </w:r>
      <w:r w:rsidR="00186DCC" w:rsidRPr="00DA1E36">
        <w:rPr>
          <w:rFonts w:ascii="Times New Roman" w:hAnsi="Times New Roman"/>
          <w:szCs w:val="24"/>
        </w:rPr>
        <w:t>. “</w:t>
      </w:r>
      <w:r w:rsidR="00186DCC" w:rsidRPr="00DA1E36">
        <w:rPr>
          <w:rFonts w:ascii="Times New Roman" w:hAnsi="Times New Roman"/>
          <w:bCs/>
          <w:szCs w:val="24"/>
        </w:rPr>
        <w:t xml:space="preserve">Reform in Redface: The Taos Society of Artists Plays Indian.” </w:t>
      </w:r>
      <w:r w:rsidR="00186DCC" w:rsidRPr="00DA1E36">
        <w:rPr>
          <w:rFonts w:ascii="Times New Roman" w:hAnsi="Times New Roman"/>
          <w:bCs/>
          <w:i/>
          <w:szCs w:val="24"/>
        </w:rPr>
        <w:t>American Art</w:t>
      </w:r>
      <w:r w:rsidR="005B1FDC">
        <w:rPr>
          <w:rFonts w:ascii="Times New Roman" w:hAnsi="Times New Roman"/>
          <w:bCs/>
          <w:i/>
          <w:szCs w:val="24"/>
        </w:rPr>
        <w:tab/>
      </w:r>
      <w:r w:rsidR="005B1FDC">
        <w:rPr>
          <w:rFonts w:ascii="Times New Roman" w:hAnsi="Times New Roman"/>
          <w:bCs/>
          <w:szCs w:val="24"/>
        </w:rPr>
        <w:t xml:space="preserve">23, no. 2 </w:t>
      </w:r>
      <w:r w:rsidR="00186DCC" w:rsidRPr="00DA1E36">
        <w:rPr>
          <w:rFonts w:ascii="Times New Roman" w:hAnsi="Times New Roman"/>
          <w:bCs/>
          <w:szCs w:val="24"/>
        </w:rPr>
        <w:t>(Summer 2009): 80-107.</w:t>
      </w:r>
    </w:p>
    <w:p w14:paraId="1AF28C52" w14:textId="77777777" w:rsidR="00186DCC" w:rsidRPr="00DA1E36" w:rsidRDefault="00186DCC" w:rsidP="00186DCC">
      <w:pPr>
        <w:pStyle w:val="NoSpacing"/>
        <w:rPr>
          <w:rFonts w:ascii="Times New Roman" w:hAnsi="Times New Roman"/>
          <w:szCs w:val="24"/>
        </w:rPr>
      </w:pPr>
    </w:p>
    <w:p w14:paraId="65FDD6B7" w14:textId="6A98F876"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Paasi, Anssi. </w:t>
      </w:r>
      <w:r w:rsidRPr="00DA1E36">
        <w:rPr>
          <w:rFonts w:ascii="Times New Roman" w:hAnsi="Times New Roman"/>
          <w:i/>
          <w:szCs w:val="24"/>
        </w:rPr>
        <w:t>Territories, Boundaries, and Consciousness: The Changing Geographies</w:t>
      </w:r>
      <w:r w:rsidR="001935C2">
        <w:rPr>
          <w:rFonts w:ascii="Times New Roman" w:hAnsi="Times New Roman"/>
          <w:i/>
          <w:szCs w:val="24"/>
        </w:rPr>
        <w:tab/>
      </w:r>
      <w:r w:rsidRPr="00DA1E36">
        <w:rPr>
          <w:rFonts w:ascii="Times New Roman" w:hAnsi="Times New Roman"/>
          <w:i/>
          <w:szCs w:val="24"/>
        </w:rPr>
        <w:t>of the Finnish-</w:t>
      </w:r>
      <w:r w:rsidRPr="00DA1E36">
        <w:rPr>
          <w:rFonts w:ascii="Times New Roman" w:hAnsi="Times New Roman"/>
          <w:i/>
          <w:szCs w:val="24"/>
        </w:rPr>
        <w:tab/>
        <w:t>Russian Borders</w:t>
      </w:r>
      <w:r w:rsidRPr="00DA1E36">
        <w:rPr>
          <w:rFonts w:ascii="Times New Roman" w:hAnsi="Times New Roman"/>
          <w:szCs w:val="24"/>
        </w:rPr>
        <w:t>. Chichester</w:t>
      </w:r>
      <w:r w:rsidR="00184F91">
        <w:rPr>
          <w:rFonts w:ascii="Times New Roman" w:hAnsi="Times New Roman"/>
          <w:szCs w:val="24"/>
        </w:rPr>
        <w:t>: John Wiley &amp; Sons, 1996.</w:t>
      </w:r>
    </w:p>
    <w:p w14:paraId="5FF5C9B6" w14:textId="77777777" w:rsidR="005A39DA" w:rsidRDefault="005A39DA" w:rsidP="00186DCC">
      <w:pPr>
        <w:pStyle w:val="NoSpacing"/>
        <w:rPr>
          <w:rFonts w:ascii="Times New Roman" w:hAnsi="Times New Roman"/>
          <w:i/>
          <w:szCs w:val="24"/>
        </w:rPr>
      </w:pPr>
    </w:p>
    <w:p w14:paraId="0255C79F" w14:textId="0D44E942" w:rsidR="008711D5" w:rsidRDefault="008711D5" w:rsidP="00186DCC">
      <w:pPr>
        <w:pStyle w:val="NoSpacing"/>
        <w:rPr>
          <w:rFonts w:ascii="Times New Roman" w:hAnsi="Times New Roman"/>
          <w:szCs w:val="24"/>
        </w:rPr>
      </w:pPr>
      <w:r w:rsidRPr="00ED0730">
        <w:rPr>
          <w:rFonts w:ascii="Times New Roman" w:hAnsi="Times New Roman"/>
          <w:i/>
          <w:szCs w:val="24"/>
        </w:rPr>
        <w:t>Pacific Reporter, Volume 35,</w:t>
      </w:r>
      <w:r>
        <w:rPr>
          <w:rFonts w:ascii="Times New Roman" w:hAnsi="Times New Roman"/>
          <w:szCs w:val="24"/>
        </w:rPr>
        <w:t xml:space="preserve"> </w:t>
      </w:r>
      <w:r w:rsidRPr="00ED0730">
        <w:rPr>
          <w:rFonts w:ascii="Times New Roman" w:hAnsi="Times New Roman"/>
          <w:i/>
          <w:szCs w:val="24"/>
        </w:rPr>
        <w:t>Containing all the Decisions of the Supreme Courts of</w:t>
      </w:r>
      <w:r>
        <w:rPr>
          <w:rFonts w:ascii="Times New Roman" w:hAnsi="Times New Roman"/>
          <w:i/>
          <w:szCs w:val="24"/>
        </w:rPr>
        <w:tab/>
      </w:r>
      <w:r w:rsidRPr="00ED0730">
        <w:rPr>
          <w:rFonts w:ascii="Times New Roman" w:hAnsi="Times New Roman"/>
          <w:i/>
          <w:szCs w:val="24"/>
        </w:rPr>
        <w:t>California, Kansas, Oregon, Colorado, Washington, Montana, Arizona, Nevada,</w:t>
      </w:r>
      <w:r>
        <w:rPr>
          <w:rFonts w:ascii="Times New Roman" w:hAnsi="Times New Roman"/>
          <w:i/>
          <w:szCs w:val="24"/>
        </w:rPr>
        <w:tab/>
      </w:r>
      <w:r w:rsidRPr="00ED0730">
        <w:rPr>
          <w:rFonts w:ascii="Times New Roman" w:hAnsi="Times New Roman"/>
          <w:i/>
          <w:szCs w:val="24"/>
        </w:rPr>
        <w:t>Idaho Wyoming, Utah, New Mexico, Oklahoma and Court of Appeals Colorado.</w:t>
      </w:r>
      <w:r>
        <w:rPr>
          <w:rFonts w:ascii="Times New Roman" w:hAnsi="Times New Roman"/>
          <w:i/>
          <w:szCs w:val="24"/>
        </w:rPr>
        <w:tab/>
      </w:r>
      <w:r w:rsidRPr="004817B9">
        <w:rPr>
          <w:rFonts w:ascii="Times New Roman" w:hAnsi="Times New Roman"/>
          <w:szCs w:val="24"/>
        </w:rPr>
        <w:t>St. Paul</w:t>
      </w:r>
      <w:r>
        <w:rPr>
          <w:rFonts w:ascii="Times New Roman" w:hAnsi="Times New Roman"/>
          <w:szCs w:val="24"/>
        </w:rPr>
        <w:t>:</w:t>
      </w:r>
      <w:r w:rsidRPr="004817B9">
        <w:rPr>
          <w:rFonts w:ascii="Times New Roman" w:hAnsi="Times New Roman"/>
          <w:szCs w:val="24"/>
        </w:rPr>
        <w:t xml:space="preserve"> West Publishing Co., 1894.</w:t>
      </w:r>
    </w:p>
    <w:p w14:paraId="1AB92C4F" w14:textId="77777777" w:rsidR="00C12047" w:rsidRDefault="00C12047" w:rsidP="00186DCC">
      <w:pPr>
        <w:pStyle w:val="NoSpacing"/>
        <w:rPr>
          <w:szCs w:val="24"/>
        </w:rPr>
      </w:pPr>
    </w:p>
    <w:p w14:paraId="350B7B30" w14:textId="05DE71C1" w:rsidR="009B7C5A" w:rsidRDefault="009B7C5A" w:rsidP="00186DCC">
      <w:pPr>
        <w:pStyle w:val="NoSpacing"/>
        <w:rPr>
          <w:szCs w:val="24"/>
        </w:rPr>
      </w:pPr>
      <w:r>
        <w:rPr>
          <w:szCs w:val="24"/>
        </w:rPr>
        <w:t xml:space="preserve">Parsons, Elsie Clews. </w:t>
      </w:r>
      <w:r w:rsidRPr="009B7C5A">
        <w:rPr>
          <w:i/>
          <w:szCs w:val="24"/>
        </w:rPr>
        <w:t>Taos Pueblo</w:t>
      </w:r>
      <w:r>
        <w:rPr>
          <w:szCs w:val="24"/>
        </w:rPr>
        <w:t>. New York and London: Johnson Reprint</w:t>
      </w:r>
      <w:r w:rsidR="00803CC1">
        <w:rPr>
          <w:szCs w:val="24"/>
        </w:rPr>
        <w:tab/>
        <w:t>Corporation, 1970.</w:t>
      </w:r>
    </w:p>
    <w:p w14:paraId="5908C6D9" w14:textId="77777777" w:rsidR="009B7C5A" w:rsidRDefault="009B7C5A" w:rsidP="00186DCC">
      <w:pPr>
        <w:pStyle w:val="NoSpacing"/>
        <w:rPr>
          <w:szCs w:val="24"/>
        </w:rPr>
      </w:pPr>
    </w:p>
    <w:p w14:paraId="58D8E140" w14:textId="3FEFF63A" w:rsidR="008711D5" w:rsidRDefault="00C12047" w:rsidP="00186DCC">
      <w:pPr>
        <w:pStyle w:val="NoSpacing"/>
        <w:rPr>
          <w:rFonts w:ascii="Times New Roman" w:hAnsi="Times New Roman"/>
          <w:szCs w:val="24"/>
        </w:rPr>
      </w:pPr>
      <w:r>
        <w:rPr>
          <w:szCs w:val="24"/>
        </w:rPr>
        <w:t xml:space="preserve">Peck, </w:t>
      </w:r>
      <w:r w:rsidRPr="006A42FC">
        <w:rPr>
          <w:rFonts w:ascii="Times New Roman" w:hAnsi="Times New Roman"/>
          <w:szCs w:val="24"/>
        </w:rPr>
        <w:t>James</w:t>
      </w:r>
      <w:r w:rsidR="00EA5655">
        <w:rPr>
          <w:rFonts w:ascii="Times New Roman" w:hAnsi="Times New Roman"/>
          <w:szCs w:val="24"/>
        </w:rPr>
        <w:t>, ed.</w:t>
      </w:r>
      <w:r w:rsidRPr="006A42FC">
        <w:rPr>
          <w:rFonts w:ascii="Times New Roman" w:hAnsi="Times New Roman"/>
          <w:szCs w:val="24"/>
        </w:rPr>
        <w:t xml:space="preserve"> </w:t>
      </w:r>
      <w:r w:rsidRPr="006A42FC">
        <w:rPr>
          <w:rFonts w:ascii="Times New Roman" w:hAnsi="Times New Roman"/>
          <w:i/>
          <w:szCs w:val="24"/>
        </w:rPr>
        <w:t>In the Studios of Paris: William Bouguereau</w:t>
      </w:r>
      <w:r>
        <w:rPr>
          <w:rFonts w:ascii="Times New Roman" w:hAnsi="Times New Roman"/>
          <w:i/>
          <w:szCs w:val="24"/>
        </w:rPr>
        <w:t xml:space="preserve"> </w:t>
      </w:r>
      <w:r w:rsidRPr="006A42FC">
        <w:rPr>
          <w:rFonts w:ascii="Times New Roman" w:hAnsi="Times New Roman"/>
          <w:i/>
          <w:szCs w:val="24"/>
        </w:rPr>
        <w:t>and His</w:t>
      </w:r>
      <w:r w:rsidR="00EA5655">
        <w:rPr>
          <w:rFonts w:ascii="Times New Roman" w:hAnsi="Times New Roman"/>
          <w:i/>
          <w:szCs w:val="24"/>
        </w:rPr>
        <w:t xml:space="preserve"> </w:t>
      </w:r>
      <w:r w:rsidRPr="006A42FC">
        <w:rPr>
          <w:rFonts w:ascii="Times New Roman" w:hAnsi="Times New Roman"/>
          <w:i/>
          <w:szCs w:val="24"/>
        </w:rPr>
        <w:t>American</w:t>
      </w:r>
      <w:r w:rsidR="00EA5655">
        <w:rPr>
          <w:rFonts w:ascii="Times New Roman" w:hAnsi="Times New Roman"/>
          <w:i/>
          <w:szCs w:val="24"/>
        </w:rPr>
        <w:tab/>
      </w:r>
      <w:r w:rsidRPr="006A42FC">
        <w:rPr>
          <w:rFonts w:ascii="Times New Roman" w:hAnsi="Times New Roman"/>
          <w:i/>
          <w:szCs w:val="24"/>
        </w:rPr>
        <w:t>Students</w:t>
      </w:r>
      <w:r>
        <w:rPr>
          <w:rFonts w:ascii="Times New Roman" w:hAnsi="Times New Roman"/>
          <w:szCs w:val="24"/>
        </w:rPr>
        <w:t xml:space="preserve">. </w:t>
      </w:r>
      <w:r w:rsidRPr="006A42FC">
        <w:rPr>
          <w:rFonts w:ascii="Times New Roman" w:hAnsi="Times New Roman"/>
          <w:szCs w:val="24"/>
        </w:rPr>
        <w:t>Tulsa, OK: Philbrook Museum</w:t>
      </w:r>
      <w:r w:rsidR="00EA5655">
        <w:rPr>
          <w:rFonts w:ascii="Times New Roman" w:hAnsi="Times New Roman"/>
          <w:szCs w:val="24"/>
        </w:rPr>
        <w:t xml:space="preserve"> </w:t>
      </w:r>
      <w:r w:rsidRPr="006A42FC">
        <w:rPr>
          <w:rFonts w:ascii="Times New Roman" w:hAnsi="Times New Roman"/>
          <w:szCs w:val="24"/>
        </w:rPr>
        <w:t>of Art, 2006</w:t>
      </w:r>
      <w:r w:rsidR="00803CC1">
        <w:rPr>
          <w:rFonts w:ascii="Times New Roman" w:hAnsi="Times New Roman"/>
          <w:szCs w:val="24"/>
        </w:rPr>
        <w:t>.</w:t>
      </w:r>
    </w:p>
    <w:p w14:paraId="420A7228" w14:textId="77777777" w:rsidR="005A39DA" w:rsidRDefault="005A39DA" w:rsidP="00186DCC">
      <w:pPr>
        <w:pStyle w:val="NoSpacing"/>
        <w:rPr>
          <w:rFonts w:ascii="Times New Roman" w:hAnsi="Times New Roman"/>
          <w:szCs w:val="24"/>
        </w:rPr>
      </w:pPr>
    </w:p>
    <w:p w14:paraId="1BED46FC" w14:textId="176CBFE5"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Peckham, Harry Houston. </w:t>
      </w:r>
      <w:r w:rsidRPr="00DA1E36">
        <w:rPr>
          <w:rFonts w:ascii="Times New Roman" w:hAnsi="Times New Roman"/>
          <w:i/>
          <w:szCs w:val="24"/>
        </w:rPr>
        <w:t>Josiah Gilbert Holland in Relation to His Times</w:t>
      </w:r>
      <w:r w:rsidRPr="00DA1E36">
        <w:rPr>
          <w:rFonts w:ascii="Times New Roman" w:hAnsi="Times New Roman"/>
          <w:szCs w:val="24"/>
        </w:rPr>
        <w:t>.</w:t>
      </w:r>
      <w:r w:rsidR="00184F91">
        <w:rPr>
          <w:rFonts w:ascii="Times New Roman" w:hAnsi="Times New Roman"/>
          <w:szCs w:val="24"/>
        </w:rPr>
        <w:t xml:space="preserve"> </w:t>
      </w:r>
      <w:r w:rsidR="001935C2">
        <w:rPr>
          <w:rFonts w:ascii="Times New Roman" w:hAnsi="Times New Roman"/>
          <w:szCs w:val="24"/>
        </w:rPr>
        <w:tab/>
      </w:r>
      <w:r w:rsidRPr="00DA1E36">
        <w:rPr>
          <w:rFonts w:ascii="Times New Roman" w:hAnsi="Times New Roman"/>
          <w:szCs w:val="24"/>
        </w:rPr>
        <w:t>Philadelphia: University of</w:t>
      </w:r>
      <w:r w:rsidR="001935C2">
        <w:rPr>
          <w:rFonts w:ascii="Times New Roman" w:hAnsi="Times New Roman"/>
          <w:szCs w:val="24"/>
        </w:rPr>
        <w:t xml:space="preserve"> </w:t>
      </w:r>
      <w:r w:rsidRPr="00DA1E36">
        <w:rPr>
          <w:rFonts w:ascii="Times New Roman" w:hAnsi="Times New Roman"/>
          <w:szCs w:val="24"/>
        </w:rPr>
        <w:t xml:space="preserve">Pennsylvania Press, 1940. </w:t>
      </w:r>
    </w:p>
    <w:p w14:paraId="78C8F308" w14:textId="0A46807D" w:rsidR="00186DCC" w:rsidRDefault="00186DCC" w:rsidP="00186DCC">
      <w:pPr>
        <w:pStyle w:val="NoSpacing"/>
        <w:rPr>
          <w:rFonts w:ascii="Times New Roman" w:hAnsi="Times New Roman"/>
          <w:szCs w:val="24"/>
        </w:rPr>
      </w:pPr>
    </w:p>
    <w:p w14:paraId="113F8086" w14:textId="276766D1" w:rsidR="005A39DA" w:rsidRDefault="005A39DA" w:rsidP="005A39DA">
      <w:pPr>
        <w:pStyle w:val="NoSpacing"/>
        <w:rPr>
          <w:szCs w:val="24"/>
        </w:rPr>
      </w:pPr>
      <w:r w:rsidRPr="00E7312B">
        <w:t>Peixotto, Ernest. “</w:t>
      </w:r>
      <w:r w:rsidRPr="00E7312B">
        <w:rPr>
          <w:i/>
        </w:rPr>
        <w:t>The Taos Society of Artists</w:t>
      </w:r>
      <w:r w:rsidRPr="00E7312B">
        <w:t xml:space="preserve">.” </w:t>
      </w:r>
      <w:r w:rsidRPr="00E7312B">
        <w:rPr>
          <w:i/>
        </w:rPr>
        <w:t xml:space="preserve">Scribner’s Magazine </w:t>
      </w:r>
      <w:r w:rsidRPr="00E7312B">
        <w:t>60 (August 1916):</w:t>
      </w:r>
      <w:r>
        <w:tab/>
      </w:r>
      <w:r w:rsidRPr="00E7312B">
        <w:t>257.</w:t>
      </w:r>
    </w:p>
    <w:p w14:paraId="4DBBE49F" w14:textId="77777777" w:rsidR="005A39DA" w:rsidRPr="00DA1E36" w:rsidRDefault="005A39DA" w:rsidP="00186DCC">
      <w:pPr>
        <w:pStyle w:val="NoSpacing"/>
        <w:rPr>
          <w:rFonts w:ascii="Times New Roman" w:hAnsi="Times New Roman"/>
          <w:szCs w:val="24"/>
        </w:rPr>
      </w:pPr>
    </w:p>
    <w:p w14:paraId="0D36E85A" w14:textId="49E12CF6" w:rsidR="00D06F47" w:rsidRPr="00EA5655" w:rsidRDefault="00D06F47" w:rsidP="00D06F47">
      <w:pPr>
        <w:pStyle w:val="NoSpacing"/>
        <w:rPr>
          <w:rFonts w:ascii="Times New Roman" w:hAnsi="Times New Roman"/>
          <w:szCs w:val="24"/>
          <w:shd w:val="clear" w:color="auto" w:fill="FFFFFF"/>
        </w:rPr>
      </w:pPr>
      <w:r w:rsidRPr="00EA5655">
        <w:rPr>
          <w:rFonts w:ascii="Times New Roman" w:hAnsi="Times New Roman"/>
          <w:szCs w:val="24"/>
        </w:rPr>
        <w:t xml:space="preserve">Perdue, Theda, and Michael D. Green. </w:t>
      </w:r>
      <w:r w:rsidRPr="00EA5655">
        <w:rPr>
          <w:rFonts w:ascii="Times New Roman" w:hAnsi="Times New Roman"/>
          <w:i/>
          <w:szCs w:val="24"/>
        </w:rPr>
        <w:t>The Cherokee Removal: A Brief History with</w:t>
      </w:r>
      <w:r w:rsidRPr="00EA5655">
        <w:rPr>
          <w:rFonts w:ascii="Times New Roman" w:hAnsi="Times New Roman"/>
          <w:i/>
          <w:szCs w:val="24"/>
        </w:rPr>
        <w:tab/>
        <w:t>Documents</w:t>
      </w:r>
      <w:r w:rsidRPr="00EA5655">
        <w:rPr>
          <w:rFonts w:ascii="Times New Roman" w:hAnsi="Times New Roman"/>
          <w:szCs w:val="24"/>
        </w:rPr>
        <w:t xml:space="preserve">. Boston: </w:t>
      </w:r>
      <w:r w:rsidRPr="00EA5655">
        <w:rPr>
          <w:rFonts w:ascii="Times New Roman" w:hAnsi="Times New Roman"/>
          <w:szCs w:val="24"/>
          <w:shd w:val="clear" w:color="auto" w:fill="FFFFFF"/>
        </w:rPr>
        <w:t>Bedford/St. Martin's, 2005. 2nd edition.</w:t>
      </w:r>
    </w:p>
    <w:p w14:paraId="3A01D51D" w14:textId="77777777" w:rsidR="00D06F47" w:rsidRDefault="00D06F47" w:rsidP="00186DCC">
      <w:pPr>
        <w:pStyle w:val="NoSpacing"/>
        <w:rPr>
          <w:rStyle w:val="st"/>
          <w:rFonts w:ascii="Times New Roman" w:hAnsi="Times New Roman"/>
          <w:szCs w:val="24"/>
        </w:rPr>
      </w:pPr>
    </w:p>
    <w:p w14:paraId="502070AB" w14:textId="5F05B71E" w:rsidR="00186DCC" w:rsidRDefault="00186DCC" w:rsidP="00186DCC">
      <w:pPr>
        <w:pStyle w:val="NoSpacing"/>
        <w:rPr>
          <w:rStyle w:val="st"/>
          <w:rFonts w:ascii="Times New Roman" w:hAnsi="Times New Roman"/>
          <w:szCs w:val="24"/>
        </w:rPr>
      </w:pPr>
      <w:r w:rsidRPr="00DA1E36">
        <w:rPr>
          <w:rStyle w:val="st"/>
          <w:rFonts w:ascii="Times New Roman" w:hAnsi="Times New Roman"/>
          <w:szCs w:val="24"/>
        </w:rPr>
        <w:t xml:space="preserve">Philbrick, Nathanial. </w:t>
      </w:r>
      <w:r w:rsidRPr="00DA1E36">
        <w:rPr>
          <w:rStyle w:val="st"/>
          <w:rFonts w:ascii="Times New Roman" w:hAnsi="Times New Roman"/>
          <w:i/>
          <w:szCs w:val="24"/>
        </w:rPr>
        <w:t>Sea of Glory: America’s Voyage of Discovery, the U.S. Exploring</w:t>
      </w:r>
      <w:r w:rsidR="001935C2">
        <w:rPr>
          <w:rStyle w:val="st"/>
          <w:rFonts w:ascii="Times New Roman" w:hAnsi="Times New Roman"/>
          <w:i/>
          <w:szCs w:val="24"/>
        </w:rPr>
        <w:tab/>
      </w:r>
      <w:r w:rsidRPr="00DA1E36">
        <w:rPr>
          <w:rStyle w:val="st"/>
          <w:rFonts w:ascii="Times New Roman" w:hAnsi="Times New Roman"/>
          <w:i/>
          <w:szCs w:val="24"/>
        </w:rPr>
        <w:t>Expedition,</w:t>
      </w:r>
      <w:r w:rsidR="001935C2">
        <w:rPr>
          <w:rStyle w:val="st"/>
          <w:rFonts w:ascii="Times New Roman" w:hAnsi="Times New Roman"/>
          <w:i/>
          <w:szCs w:val="24"/>
        </w:rPr>
        <w:t xml:space="preserve"> </w:t>
      </w:r>
      <w:r w:rsidRPr="00DA1E36">
        <w:rPr>
          <w:rStyle w:val="st"/>
          <w:rFonts w:ascii="Times New Roman" w:hAnsi="Times New Roman"/>
          <w:i/>
          <w:szCs w:val="24"/>
        </w:rPr>
        <w:t>1838-1842</w:t>
      </w:r>
      <w:r w:rsidRPr="00DA1E36">
        <w:rPr>
          <w:rStyle w:val="st"/>
          <w:rFonts w:ascii="Times New Roman" w:hAnsi="Times New Roman"/>
          <w:szCs w:val="24"/>
        </w:rPr>
        <w:t xml:space="preserve">. NY: Viking Press, </w:t>
      </w:r>
      <w:r w:rsidR="00803CC1">
        <w:rPr>
          <w:rStyle w:val="st"/>
          <w:rFonts w:ascii="Times New Roman" w:hAnsi="Times New Roman"/>
          <w:szCs w:val="24"/>
        </w:rPr>
        <w:t>2003.</w:t>
      </w:r>
    </w:p>
    <w:p w14:paraId="0750A2FD" w14:textId="5A08FE84" w:rsidR="00B129C4" w:rsidRDefault="00B129C4" w:rsidP="00186DCC">
      <w:pPr>
        <w:pStyle w:val="NoSpacing"/>
        <w:rPr>
          <w:rStyle w:val="st"/>
          <w:rFonts w:ascii="Times New Roman" w:hAnsi="Times New Roman"/>
          <w:szCs w:val="24"/>
        </w:rPr>
      </w:pPr>
    </w:p>
    <w:p w14:paraId="4D9B9344" w14:textId="5CD59A6E"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Pinney, Christopher, and </w:t>
      </w:r>
      <w:r w:rsidR="00D06F47">
        <w:rPr>
          <w:rFonts w:ascii="Times New Roman" w:hAnsi="Times New Roman"/>
          <w:szCs w:val="24"/>
        </w:rPr>
        <w:t xml:space="preserve">Nicolas </w:t>
      </w:r>
      <w:r w:rsidRPr="00DA1E36">
        <w:rPr>
          <w:rFonts w:ascii="Times New Roman" w:hAnsi="Times New Roman"/>
          <w:szCs w:val="24"/>
        </w:rPr>
        <w:t xml:space="preserve">Peterson, eds. </w:t>
      </w:r>
      <w:r w:rsidRPr="00DA1E36">
        <w:rPr>
          <w:rFonts w:ascii="Times New Roman" w:hAnsi="Times New Roman"/>
          <w:i/>
          <w:szCs w:val="24"/>
        </w:rPr>
        <w:t>Photography’s Other Histories</w:t>
      </w:r>
      <w:r w:rsidRPr="00DA1E36">
        <w:rPr>
          <w:rFonts w:ascii="Times New Roman" w:hAnsi="Times New Roman"/>
          <w:szCs w:val="24"/>
        </w:rPr>
        <w:t>.</w:t>
      </w:r>
      <w:r w:rsidR="001935C2">
        <w:rPr>
          <w:rFonts w:ascii="Times New Roman" w:hAnsi="Times New Roman"/>
          <w:szCs w:val="24"/>
        </w:rPr>
        <w:tab/>
      </w:r>
      <w:r w:rsidRPr="00DA1E36">
        <w:rPr>
          <w:rFonts w:ascii="Times New Roman" w:hAnsi="Times New Roman"/>
          <w:szCs w:val="24"/>
        </w:rPr>
        <w:t>Durham: Duke</w:t>
      </w:r>
      <w:r w:rsidR="001935C2">
        <w:rPr>
          <w:rFonts w:ascii="Times New Roman" w:hAnsi="Times New Roman"/>
          <w:szCs w:val="24"/>
        </w:rPr>
        <w:t xml:space="preserve"> </w:t>
      </w:r>
      <w:r w:rsidRPr="00DA1E36">
        <w:rPr>
          <w:rFonts w:ascii="Times New Roman" w:hAnsi="Times New Roman"/>
          <w:szCs w:val="24"/>
        </w:rPr>
        <w:t>University Press, 2003.</w:t>
      </w:r>
    </w:p>
    <w:p w14:paraId="00AD8A40" w14:textId="77777777" w:rsidR="005D20B7" w:rsidRDefault="005D20B7" w:rsidP="00186DCC">
      <w:pPr>
        <w:pStyle w:val="NoSpacing"/>
        <w:rPr>
          <w:rFonts w:ascii="Times New Roman" w:hAnsi="Times New Roman"/>
          <w:szCs w:val="24"/>
        </w:rPr>
      </w:pPr>
    </w:p>
    <w:p w14:paraId="646D7A15" w14:textId="317308F8" w:rsidR="00186DCC" w:rsidRPr="00DA1E36" w:rsidRDefault="005D20B7" w:rsidP="00186DCC">
      <w:pPr>
        <w:pStyle w:val="NoSpacing"/>
        <w:rPr>
          <w:rFonts w:ascii="Times New Roman" w:hAnsi="Times New Roman"/>
          <w:szCs w:val="24"/>
        </w:rPr>
      </w:pPr>
      <w:r>
        <w:rPr>
          <w:rFonts w:ascii="Times New Roman" w:hAnsi="Times New Roman"/>
          <w:szCs w:val="24"/>
        </w:rPr>
        <w:t xml:space="preserve">Pollock, Griselda. “Feminism/Foucault – Surveillance/Sexuality.” In </w:t>
      </w:r>
      <w:r w:rsidR="00EA5655">
        <w:rPr>
          <w:rFonts w:ascii="Times New Roman" w:hAnsi="Times New Roman"/>
          <w:szCs w:val="24"/>
        </w:rPr>
        <w:t>Norman Bryson,</w:t>
      </w:r>
      <w:r w:rsidR="00EA5655">
        <w:rPr>
          <w:rFonts w:ascii="Times New Roman" w:hAnsi="Times New Roman"/>
          <w:szCs w:val="24"/>
        </w:rPr>
        <w:tab/>
        <w:t>Michael Ann Holly, and Keith Moxley, eds.</w:t>
      </w:r>
      <w:r w:rsidR="00EA5655">
        <w:rPr>
          <w:rFonts w:ascii="Times New Roman" w:hAnsi="Times New Roman"/>
          <w:i/>
          <w:szCs w:val="24"/>
        </w:rPr>
        <w:t xml:space="preserve"> </w:t>
      </w:r>
      <w:r>
        <w:rPr>
          <w:rFonts w:ascii="Times New Roman" w:hAnsi="Times New Roman"/>
          <w:i/>
          <w:szCs w:val="24"/>
        </w:rPr>
        <w:t>Visual Culture:</w:t>
      </w:r>
      <w:r w:rsidR="00EA5655">
        <w:rPr>
          <w:rFonts w:ascii="Times New Roman" w:hAnsi="Times New Roman"/>
          <w:i/>
          <w:szCs w:val="24"/>
        </w:rPr>
        <w:t xml:space="preserve"> </w:t>
      </w:r>
      <w:r>
        <w:rPr>
          <w:rFonts w:ascii="Times New Roman" w:hAnsi="Times New Roman"/>
          <w:i/>
          <w:szCs w:val="24"/>
        </w:rPr>
        <w:t>Images and</w:t>
      </w:r>
      <w:r w:rsidR="00EA5655">
        <w:rPr>
          <w:rFonts w:ascii="Times New Roman" w:hAnsi="Times New Roman"/>
          <w:i/>
          <w:szCs w:val="24"/>
        </w:rPr>
        <w:tab/>
      </w:r>
      <w:r>
        <w:rPr>
          <w:rFonts w:ascii="Times New Roman" w:hAnsi="Times New Roman"/>
          <w:i/>
          <w:szCs w:val="24"/>
        </w:rPr>
        <w:t>Interpretations</w:t>
      </w:r>
      <w:r w:rsidR="00EA5655">
        <w:rPr>
          <w:rFonts w:ascii="Times New Roman" w:hAnsi="Times New Roman"/>
          <w:szCs w:val="24"/>
        </w:rPr>
        <w:t>,</w:t>
      </w:r>
      <w:r w:rsidR="00D06F47">
        <w:rPr>
          <w:rFonts w:ascii="Times New Roman" w:hAnsi="Times New Roman"/>
          <w:szCs w:val="24"/>
        </w:rPr>
        <w:t>1-41.</w:t>
      </w:r>
      <w:r>
        <w:rPr>
          <w:rFonts w:ascii="Times New Roman" w:hAnsi="Times New Roman"/>
          <w:szCs w:val="24"/>
        </w:rPr>
        <w:t xml:space="preserve"> Hanover and London: Wesleyan University Press, 1994</w:t>
      </w:r>
      <w:r w:rsidR="00803CC1">
        <w:rPr>
          <w:rFonts w:ascii="Times New Roman" w:hAnsi="Times New Roman"/>
          <w:szCs w:val="24"/>
        </w:rPr>
        <w:t>.</w:t>
      </w:r>
    </w:p>
    <w:p w14:paraId="0923BD3B" w14:textId="77777777" w:rsidR="005D20B7" w:rsidRDefault="005D20B7" w:rsidP="00186DCC">
      <w:pPr>
        <w:pStyle w:val="NoSpacing"/>
        <w:rPr>
          <w:rFonts w:ascii="Times New Roman" w:hAnsi="Times New Roman"/>
          <w:bCs/>
          <w:szCs w:val="24"/>
        </w:rPr>
      </w:pPr>
    </w:p>
    <w:p w14:paraId="6A98CB00" w14:textId="78BC81B0" w:rsidR="00EA5655" w:rsidRPr="00DA1E36" w:rsidRDefault="00EA5655" w:rsidP="00EA5655">
      <w:pPr>
        <w:pStyle w:val="NoSpacing"/>
        <w:rPr>
          <w:rFonts w:ascii="Times New Roman" w:hAnsi="Times New Roman"/>
          <w:szCs w:val="24"/>
        </w:rPr>
      </w:pPr>
      <w:r w:rsidRPr="00DA1E36">
        <w:rPr>
          <w:rFonts w:ascii="Times New Roman" w:hAnsi="Times New Roman"/>
          <w:bCs/>
          <w:szCs w:val="24"/>
        </w:rPr>
        <w:t>Porter, Dean</w:t>
      </w:r>
      <w:r w:rsidRPr="00DA1E36">
        <w:rPr>
          <w:rFonts w:ascii="Times New Roman" w:hAnsi="Times New Roman"/>
          <w:szCs w:val="24"/>
        </w:rPr>
        <w:t xml:space="preserve">. “Reevaluating Walter Ufer.” </w:t>
      </w:r>
      <w:r w:rsidRPr="00DA1E36">
        <w:rPr>
          <w:rFonts w:ascii="Times New Roman" w:hAnsi="Times New Roman"/>
          <w:i/>
          <w:szCs w:val="24"/>
        </w:rPr>
        <w:t>Southwest Art</w:t>
      </w:r>
      <w:r>
        <w:rPr>
          <w:rFonts w:ascii="Times New Roman" w:hAnsi="Times New Roman"/>
          <w:szCs w:val="24"/>
        </w:rPr>
        <w:t xml:space="preserve"> 29, no. </w:t>
      </w:r>
      <w:r w:rsidRPr="00DA1E36">
        <w:rPr>
          <w:rFonts w:ascii="Times New Roman" w:hAnsi="Times New Roman"/>
          <w:szCs w:val="24"/>
        </w:rPr>
        <w:t>11 (April 2000): 84-7,</w:t>
      </w:r>
      <w:r>
        <w:rPr>
          <w:rFonts w:ascii="Times New Roman" w:hAnsi="Times New Roman"/>
          <w:szCs w:val="24"/>
        </w:rPr>
        <w:tab/>
      </w:r>
      <w:r w:rsidRPr="00DA1E36">
        <w:rPr>
          <w:rFonts w:ascii="Times New Roman" w:hAnsi="Times New Roman"/>
          <w:szCs w:val="24"/>
        </w:rPr>
        <w:t>136.</w:t>
      </w:r>
    </w:p>
    <w:p w14:paraId="106A46F0" w14:textId="77777777" w:rsidR="00EA5655" w:rsidRDefault="00EA5655" w:rsidP="00186DCC">
      <w:pPr>
        <w:pStyle w:val="NoSpacing"/>
        <w:rPr>
          <w:rFonts w:ascii="Times New Roman" w:hAnsi="Times New Roman"/>
          <w:bCs/>
          <w:szCs w:val="24"/>
        </w:rPr>
      </w:pPr>
    </w:p>
    <w:p w14:paraId="56F1646C" w14:textId="7C492C07" w:rsidR="001935C2" w:rsidRDefault="00EA5655" w:rsidP="00186DCC">
      <w:pPr>
        <w:pStyle w:val="NoSpacing"/>
        <w:rPr>
          <w:rFonts w:ascii="Times New Roman" w:hAnsi="Times New Roman"/>
          <w:szCs w:val="24"/>
        </w:rPr>
      </w:pPr>
      <w:r>
        <w:rPr>
          <w:rFonts w:ascii="Times New Roman" w:hAnsi="Times New Roman"/>
          <w:bCs/>
          <w:szCs w:val="24"/>
        </w:rPr>
        <w:t>_____</w:t>
      </w:r>
      <w:r w:rsidR="001935C2" w:rsidRPr="00DA1E36">
        <w:rPr>
          <w:rFonts w:ascii="Times New Roman" w:hAnsi="Times New Roman"/>
          <w:bCs/>
          <w:szCs w:val="24"/>
        </w:rPr>
        <w:t xml:space="preserve"> et al., </w:t>
      </w:r>
      <w:r w:rsidR="001935C2" w:rsidRPr="00DA1E36">
        <w:rPr>
          <w:rFonts w:ascii="Times New Roman" w:hAnsi="Times New Roman"/>
          <w:bCs/>
          <w:i/>
          <w:szCs w:val="24"/>
        </w:rPr>
        <w:t>Taos Artists and Their Patrons, 1898-1950</w:t>
      </w:r>
      <w:r w:rsidR="001935C2" w:rsidRPr="00DA1E36">
        <w:rPr>
          <w:rFonts w:ascii="Times New Roman" w:hAnsi="Times New Roman"/>
          <w:bCs/>
          <w:szCs w:val="24"/>
        </w:rPr>
        <w:t xml:space="preserve">. </w:t>
      </w:r>
      <w:r w:rsidR="001935C2" w:rsidRPr="00DA1E36">
        <w:rPr>
          <w:rFonts w:ascii="Times New Roman" w:hAnsi="Times New Roman"/>
          <w:szCs w:val="24"/>
        </w:rPr>
        <w:t>Albuquerque, NM:</w:t>
      </w:r>
      <w:r w:rsidR="001935C2">
        <w:rPr>
          <w:rFonts w:ascii="Times New Roman" w:hAnsi="Times New Roman"/>
          <w:szCs w:val="24"/>
        </w:rPr>
        <w:tab/>
      </w:r>
      <w:r w:rsidR="001935C2" w:rsidRPr="00DA1E36">
        <w:rPr>
          <w:rFonts w:ascii="Times New Roman" w:hAnsi="Times New Roman"/>
          <w:szCs w:val="24"/>
        </w:rPr>
        <w:t>University of New</w:t>
      </w:r>
      <w:r w:rsidR="001935C2">
        <w:rPr>
          <w:rFonts w:ascii="Times New Roman" w:hAnsi="Times New Roman"/>
          <w:szCs w:val="24"/>
        </w:rPr>
        <w:t xml:space="preserve"> </w:t>
      </w:r>
      <w:r w:rsidR="001935C2" w:rsidRPr="00DA1E36">
        <w:rPr>
          <w:rFonts w:ascii="Times New Roman" w:hAnsi="Times New Roman"/>
          <w:szCs w:val="24"/>
        </w:rPr>
        <w:t>Mexico Press, 1999.</w:t>
      </w:r>
    </w:p>
    <w:p w14:paraId="05A6798D" w14:textId="77777777" w:rsidR="001935C2" w:rsidRDefault="001935C2" w:rsidP="00186DCC">
      <w:pPr>
        <w:pStyle w:val="NoSpacing"/>
        <w:rPr>
          <w:rFonts w:ascii="Times New Roman" w:hAnsi="Times New Roman"/>
          <w:szCs w:val="24"/>
        </w:rPr>
      </w:pPr>
    </w:p>
    <w:p w14:paraId="40A9C19F" w14:textId="0128C39B" w:rsidR="00184F91" w:rsidRDefault="00186DCC" w:rsidP="00186DCC">
      <w:pPr>
        <w:pStyle w:val="NoSpacing"/>
        <w:rPr>
          <w:rFonts w:ascii="Times New Roman" w:hAnsi="Times New Roman"/>
          <w:szCs w:val="24"/>
        </w:rPr>
      </w:pPr>
      <w:r w:rsidRPr="00DA1E36">
        <w:rPr>
          <w:rFonts w:ascii="Times New Roman" w:hAnsi="Times New Roman"/>
          <w:szCs w:val="24"/>
        </w:rPr>
        <w:t xml:space="preserve">Pratt, Mary Louis. </w:t>
      </w:r>
      <w:r w:rsidRPr="00DA1E36">
        <w:rPr>
          <w:rFonts w:ascii="Times New Roman" w:hAnsi="Times New Roman"/>
          <w:i/>
          <w:szCs w:val="24"/>
        </w:rPr>
        <w:t>Imperial Eyes: Travel Writing and Transculturation</w:t>
      </w:r>
      <w:r w:rsidRPr="00DA1E36">
        <w:rPr>
          <w:rFonts w:ascii="Times New Roman" w:hAnsi="Times New Roman"/>
          <w:szCs w:val="24"/>
        </w:rPr>
        <w:t>.</w:t>
      </w:r>
      <w:r w:rsidR="00D06F47">
        <w:rPr>
          <w:rFonts w:ascii="Times New Roman" w:hAnsi="Times New Roman"/>
          <w:szCs w:val="24"/>
        </w:rPr>
        <w:t xml:space="preserve"> </w:t>
      </w:r>
      <w:r w:rsidRPr="00DA1E36">
        <w:rPr>
          <w:rFonts w:ascii="Times New Roman" w:hAnsi="Times New Roman"/>
          <w:szCs w:val="24"/>
        </w:rPr>
        <w:t>London and</w:t>
      </w:r>
      <w:r w:rsidR="00D06F47">
        <w:rPr>
          <w:rFonts w:ascii="Times New Roman" w:hAnsi="Times New Roman"/>
          <w:szCs w:val="24"/>
        </w:rPr>
        <w:tab/>
      </w:r>
      <w:r w:rsidRPr="00DA1E36">
        <w:rPr>
          <w:rFonts w:ascii="Times New Roman" w:hAnsi="Times New Roman"/>
          <w:szCs w:val="24"/>
        </w:rPr>
        <w:t>New</w:t>
      </w:r>
      <w:r w:rsidR="001935C2">
        <w:rPr>
          <w:rFonts w:ascii="Times New Roman" w:hAnsi="Times New Roman"/>
          <w:szCs w:val="24"/>
        </w:rPr>
        <w:t xml:space="preserve"> </w:t>
      </w:r>
      <w:r w:rsidRPr="00DA1E36">
        <w:rPr>
          <w:rFonts w:ascii="Times New Roman" w:hAnsi="Times New Roman"/>
          <w:szCs w:val="24"/>
        </w:rPr>
        <w:t>York: Routledge Press, 2008.</w:t>
      </w:r>
      <w:r w:rsidR="00D06F47">
        <w:rPr>
          <w:rFonts w:ascii="Times New Roman" w:hAnsi="Times New Roman"/>
          <w:szCs w:val="24"/>
        </w:rPr>
        <w:t xml:space="preserve"> </w:t>
      </w:r>
      <w:r w:rsidR="00D06F47" w:rsidRPr="00DA1E36">
        <w:rPr>
          <w:rFonts w:ascii="Times New Roman" w:hAnsi="Times New Roman"/>
          <w:szCs w:val="24"/>
        </w:rPr>
        <w:t>2</w:t>
      </w:r>
      <w:r w:rsidR="00D06F47" w:rsidRPr="00DA1E36">
        <w:rPr>
          <w:rFonts w:ascii="Times New Roman" w:hAnsi="Times New Roman"/>
          <w:szCs w:val="24"/>
          <w:vertAlign w:val="superscript"/>
        </w:rPr>
        <w:t>nd</w:t>
      </w:r>
      <w:r w:rsidR="00D06F47" w:rsidRPr="00DA1E36">
        <w:rPr>
          <w:rFonts w:ascii="Times New Roman" w:hAnsi="Times New Roman"/>
          <w:szCs w:val="24"/>
        </w:rPr>
        <w:t xml:space="preserve"> edition.</w:t>
      </w:r>
    </w:p>
    <w:p w14:paraId="4157F05E" w14:textId="77777777" w:rsidR="00A002CA" w:rsidRDefault="00A002CA" w:rsidP="00186DCC">
      <w:pPr>
        <w:pStyle w:val="NoSpacing"/>
        <w:rPr>
          <w:rFonts w:ascii="Times New Roman" w:hAnsi="Times New Roman"/>
          <w:szCs w:val="24"/>
        </w:rPr>
      </w:pPr>
    </w:p>
    <w:p w14:paraId="4001BE67" w14:textId="4D2FF5F0" w:rsidR="00EA5655" w:rsidRDefault="00EA5655" w:rsidP="00186DCC">
      <w:pPr>
        <w:pStyle w:val="NoSpacing"/>
        <w:rPr>
          <w:rFonts w:asciiTheme="majorHAnsi" w:hAnsiTheme="majorHAnsi" w:cstheme="majorHAnsi"/>
          <w:szCs w:val="24"/>
        </w:rPr>
      </w:pPr>
      <w:r w:rsidRPr="00DA1E36">
        <w:rPr>
          <w:rFonts w:ascii="Times New Roman" w:hAnsi="Times New Roman"/>
          <w:szCs w:val="24"/>
        </w:rPr>
        <w:t>Prown, Jules.</w:t>
      </w:r>
      <w:r w:rsidRPr="00A002CA">
        <w:rPr>
          <w:rFonts w:asciiTheme="majorHAnsi" w:hAnsiTheme="majorHAnsi" w:cstheme="majorHAnsi"/>
          <w:szCs w:val="24"/>
        </w:rPr>
        <w:t xml:space="preserve"> “Mind in Matter: An Introduction to Material Culture Theory and</w:t>
      </w:r>
      <w:r w:rsidRPr="00A002CA">
        <w:rPr>
          <w:rFonts w:asciiTheme="majorHAnsi" w:hAnsiTheme="majorHAnsi" w:cstheme="majorHAnsi"/>
          <w:szCs w:val="24"/>
        </w:rPr>
        <w:tab/>
      </w:r>
      <w:r w:rsidRPr="00A002CA">
        <w:rPr>
          <w:rFonts w:asciiTheme="majorHAnsi" w:hAnsiTheme="majorHAnsi" w:cstheme="majorHAnsi"/>
          <w:szCs w:val="24"/>
        </w:rPr>
        <w:tab/>
        <w:t xml:space="preserve">Method,” </w:t>
      </w:r>
      <w:r w:rsidR="00D10327" w:rsidRPr="00DA1E36">
        <w:rPr>
          <w:rFonts w:ascii="Times New Roman" w:hAnsi="Times New Roman"/>
          <w:i/>
          <w:szCs w:val="24"/>
        </w:rPr>
        <w:t>Wintertur Portfolio</w:t>
      </w:r>
      <w:r w:rsidR="00D10327" w:rsidRPr="00A002CA">
        <w:rPr>
          <w:rFonts w:asciiTheme="majorHAnsi" w:hAnsiTheme="majorHAnsi" w:cstheme="majorHAnsi"/>
          <w:szCs w:val="24"/>
        </w:rPr>
        <w:t xml:space="preserve"> </w:t>
      </w:r>
      <w:r w:rsidRPr="00A002CA">
        <w:rPr>
          <w:rFonts w:asciiTheme="majorHAnsi" w:hAnsiTheme="majorHAnsi" w:cstheme="majorHAnsi"/>
          <w:szCs w:val="24"/>
        </w:rPr>
        <w:t>17 (Spring 1982): 1-19.</w:t>
      </w:r>
    </w:p>
    <w:p w14:paraId="0D719A8C" w14:textId="77777777" w:rsidR="00EA5655" w:rsidRDefault="00EA5655" w:rsidP="00186DCC">
      <w:pPr>
        <w:pStyle w:val="NoSpacing"/>
        <w:rPr>
          <w:rFonts w:asciiTheme="majorHAnsi" w:hAnsiTheme="majorHAnsi" w:cstheme="majorHAnsi"/>
          <w:szCs w:val="24"/>
        </w:rPr>
      </w:pPr>
    </w:p>
    <w:p w14:paraId="526F641E" w14:textId="377DAF97" w:rsidR="00186DCC" w:rsidRPr="00DA1E36" w:rsidRDefault="00EA5655" w:rsidP="00186DCC">
      <w:pPr>
        <w:pStyle w:val="NoSpacing"/>
        <w:rPr>
          <w:rFonts w:ascii="Times New Roman" w:hAnsi="Times New Roman"/>
          <w:szCs w:val="24"/>
        </w:rPr>
      </w:pPr>
      <w:r>
        <w:rPr>
          <w:rFonts w:ascii="Times New Roman" w:hAnsi="Times New Roman"/>
          <w:szCs w:val="24"/>
        </w:rPr>
        <w:t xml:space="preserve">_____. </w:t>
      </w:r>
      <w:r w:rsidR="00186DCC" w:rsidRPr="00DA1E36">
        <w:rPr>
          <w:rFonts w:ascii="Times New Roman" w:hAnsi="Times New Roman"/>
          <w:szCs w:val="24"/>
        </w:rPr>
        <w:t xml:space="preserve">“Style as Evidence,” </w:t>
      </w:r>
      <w:r w:rsidR="00186DCC" w:rsidRPr="00DA1E36">
        <w:rPr>
          <w:rFonts w:ascii="Times New Roman" w:hAnsi="Times New Roman"/>
          <w:i/>
          <w:szCs w:val="24"/>
        </w:rPr>
        <w:t>Wintertur Portfolio</w:t>
      </w:r>
      <w:r w:rsidR="00186DCC" w:rsidRPr="00DA1E36">
        <w:rPr>
          <w:rFonts w:ascii="Times New Roman" w:hAnsi="Times New Roman"/>
          <w:szCs w:val="24"/>
        </w:rPr>
        <w:t xml:space="preserve"> 15 (Autumn, 1980): 197-210.</w:t>
      </w:r>
    </w:p>
    <w:p w14:paraId="1660A9BE" w14:textId="77777777" w:rsidR="00186DCC" w:rsidRPr="00DA1E36" w:rsidRDefault="00186DCC" w:rsidP="00186DCC">
      <w:pPr>
        <w:pStyle w:val="NoSpacing"/>
        <w:rPr>
          <w:rFonts w:ascii="Times New Roman" w:hAnsi="Times New Roman"/>
          <w:szCs w:val="24"/>
        </w:rPr>
      </w:pPr>
    </w:p>
    <w:p w14:paraId="10CBDC95" w14:textId="4C4EFA72" w:rsidR="00A002CA" w:rsidRPr="00A002CA" w:rsidRDefault="00D06F47" w:rsidP="00A002CA">
      <w:pPr>
        <w:pStyle w:val="NoSpacing"/>
        <w:rPr>
          <w:rFonts w:asciiTheme="majorHAnsi" w:hAnsiTheme="majorHAnsi" w:cstheme="majorHAnsi"/>
          <w:szCs w:val="24"/>
        </w:rPr>
      </w:pPr>
      <w:r>
        <w:rPr>
          <w:rFonts w:asciiTheme="majorHAnsi" w:hAnsiTheme="majorHAnsi" w:cstheme="majorHAnsi"/>
          <w:szCs w:val="24"/>
        </w:rPr>
        <w:softHyphen/>
      </w:r>
      <w:r>
        <w:rPr>
          <w:rFonts w:asciiTheme="majorHAnsi" w:hAnsiTheme="majorHAnsi" w:cstheme="majorHAnsi"/>
          <w:szCs w:val="24"/>
        </w:rPr>
        <w:softHyphen/>
      </w:r>
      <w:r>
        <w:rPr>
          <w:rFonts w:asciiTheme="majorHAnsi" w:hAnsiTheme="majorHAnsi" w:cstheme="majorHAnsi"/>
          <w:szCs w:val="24"/>
        </w:rPr>
        <w:softHyphen/>
      </w:r>
      <w:r>
        <w:rPr>
          <w:rFonts w:asciiTheme="majorHAnsi" w:hAnsiTheme="majorHAnsi" w:cstheme="majorHAnsi"/>
          <w:szCs w:val="24"/>
        </w:rPr>
        <w:softHyphen/>
      </w:r>
      <w:r>
        <w:rPr>
          <w:rFonts w:asciiTheme="majorHAnsi" w:hAnsiTheme="majorHAnsi" w:cstheme="majorHAnsi"/>
        </w:rPr>
        <w:t>_____</w:t>
      </w:r>
      <w:r w:rsidR="00A002CA" w:rsidRPr="00A002CA">
        <w:rPr>
          <w:rFonts w:asciiTheme="majorHAnsi" w:hAnsiTheme="majorHAnsi" w:cstheme="majorHAnsi"/>
        </w:rPr>
        <w:t xml:space="preserve">, and </w:t>
      </w:r>
      <w:r>
        <w:rPr>
          <w:rFonts w:asciiTheme="majorHAnsi" w:hAnsiTheme="majorHAnsi" w:cstheme="majorHAnsi"/>
        </w:rPr>
        <w:t xml:space="preserve">Kenneth </w:t>
      </w:r>
      <w:r w:rsidR="00A002CA" w:rsidRPr="00A002CA">
        <w:rPr>
          <w:rFonts w:asciiTheme="majorHAnsi" w:hAnsiTheme="majorHAnsi" w:cstheme="majorHAnsi"/>
        </w:rPr>
        <w:t xml:space="preserve">Haltman, eds. </w:t>
      </w:r>
      <w:r w:rsidR="00A002CA" w:rsidRPr="00A002CA">
        <w:rPr>
          <w:rFonts w:asciiTheme="majorHAnsi" w:hAnsiTheme="majorHAnsi" w:cstheme="majorHAnsi"/>
          <w:i/>
        </w:rPr>
        <w:t>American Artifacts: Essays in Material</w:t>
      </w:r>
      <w:r w:rsidR="00A002CA">
        <w:rPr>
          <w:rFonts w:asciiTheme="majorHAnsi" w:hAnsiTheme="majorHAnsi" w:cstheme="majorHAnsi"/>
          <w:i/>
        </w:rPr>
        <w:tab/>
      </w:r>
      <w:r w:rsidR="00A002CA">
        <w:rPr>
          <w:rFonts w:asciiTheme="majorHAnsi" w:hAnsiTheme="majorHAnsi" w:cstheme="majorHAnsi"/>
          <w:i/>
        </w:rPr>
        <w:tab/>
      </w:r>
      <w:r w:rsidR="00A002CA" w:rsidRPr="00A002CA">
        <w:rPr>
          <w:rFonts w:asciiTheme="majorHAnsi" w:hAnsiTheme="majorHAnsi" w:cstheme="majorHAnsi"/>
          <w:i/>
        </w:rPr>
        <w:t>Culture</w:t>
      </w:r>
      <w:r w:rsidR="00A002CA">
        <w:rPr>
          <w:rFonts w:asciiTheme="majorHAnsi" w:hAnsiTheme="majorHAnsi" w:cstheme="majorHAnsi"/>
        </w:rPr>
        <w:t xml:space="preserve">. East Lansing: </w:t>
      </w:r>
      <w:r w:rsidR="00A002CA" w:rsidRPr="00A002CA">
        <w:rPr>
          <w:rFonts w:asciiTheme="majorHAnsi" w:hAnsiTheme="majorHAnsi" w:cstheme="majorHAnsi"/>
        </w:rPr>
        <w:t>Michigan State University Press, 2000.</w:t>
      </w:r>
    </w:p>
    <w:p w14:paraId="2F2C928B" w14:textId="77777777" w:rsidR="00A002CA" w:rsidRPr="00A002CA" w:rsidRDefault="00A002CA" w:rsidP="00186DCC">
      <w:pPr>
        <w:pStyle w:val="NoSpacing"/>
        <w:rPr>
          <w:rFonts w:asciiTheme="majorHAnsi" w:hAnsiTheme="majorHAnsi" w:cstheme="majorHAnsi"/>
          <w:szCs w:val="24"/>
        </w:rPr>
      </w:pPr>
    </w:p>
    <w:p w14:paraId="04DEBB2F" w14:textId="055BF84E" w:rsidR="00186DCC" w:rsidRPr="00DA1E36" w:rsidRDefault="00186DCC" w:rsidP="00186DCC">
      <w:pPr>
        <w:pStyle w:val="NoSpacing"/>
        <w:rPr>
          <w:rFonts w:ascii="Times New Roman" w:hAnsi="Times New Roman"/>
          <w:szCs w:val="24"/>
        </w:rPr>
      </w:pPr>
      <w:r w:rsidRPr="00A002CA">
        <w:rPr>
          <w:rFonts w:asciiTheme="majorHAnsi" w:hAnsiTheme="majorHAnsi" w:cstheme="majorHAnsi"/>
          <w:szCs w:val="24"/>
        </w:rPr>
        <w:t>Riley, Michael J. “Trapped in the History of Film: Racial Conflict and Allure in the</w:t>
      </w:r>
      <w:r w:rsidR="001935C2">
        <w:rPr>
          <w:rFonts w:ascii="Times New Roman" w:hAnsi="Times New Roman"/>
          <w:szCs w:val="24"/>
        </w:rPr>
        <w:tab/>
      </w:r>
      <w:r w:rsidRPr="00DA1E36">
        <w:rPr>
          <w:rFonts w:ascii="Times New Roman" w:hAnsi="Times New Roman"/>
          <w:i/>
          <w:szCs w:val="24"/>
        </w:rPr>
        <w:t>Vanishing</w:t>
      </w:r>
      <w:r w:rsidR="001935C2">
        <w:rPr>
          <w:rFonts w:ascii="Times New Roman" w:hAnsi="Times New Roman"/>
          <w:i/>
          <w:szCs w:val="24"/>
        </w:rPr>
        <w:t xml:space="preserve"> </w:t>
      </w:r>
      <w:r w:rsidRPr="00DA1E36">
        <w:rPr>
          <w:rFonts w:ascii="Times New Roman" w:hAnsi="Times New Roman"/>
          <w:i/>
          <w:szCs w:val="24"/>
        </w:rPr>
        <w:t>American</w:t>
      </w:r>
      <w:r w:rsidRPr="00DA1E36">
        <w:rPr>
          <w:rFonts w:ascii="Times New Roman" w:hAnsi="Times New Roman"/>
          <w:szCs w:val="24"/>
        </w:rPr>
        <w:t>,” in</w:t>
      </w:r>
      <w:r w:rsidR="001935C2">
        <w:rPr>
          <w:rFonts w:ascii="Times New Roman" w:hAnsi="Times New Roman"/>
          <w:szCs w:val="24"/>
        </w:rPr>
        <w:t xml:space="preserve"> </w:t>
      </w:r>
      <w:r w:rsidR="00D10327" w:rsidRPr="00DA1E36">
        <w:rPr>
          <w:rFonts w:ascii="Times New Roman" w:hAnsi="Times New Roman"/>
          <w:szCs w:val="24"/>
        </w:rPr>
        <w:t>Peter C. Rollins and John E. O’Connor</w:t>
      </w:r>
      <w:r w:rsidR="00D10327">
        <w:rPr>
          <w:rFonts w:ascii="Times New Roman" w:hAnsi="Times New Roman"/>
          <w:szCs w:val="24"/>
        </w:rPr>
        <w:t>, eds.</w:t>
      </w:r>
      <w:r w:rsidR="00D10327">
        <w:rPr>
          <w:rFonts w:ascii="Times New Roman" w:hAnsi="Times New Roman"/>
          <w:szCs w:val="24"/>
        </w:rPr>
        <w:tab/>
      </w:r>
      <w:r w:rsidR="001935C2" w:rsidRPr="00DA1E36">
        <w:rPr>
          <w:rFonts w:ascii="Times New Roman" w:hAnsi="Times New Roman"/>
          <w:i/>
          <w:szCs w:val="24"/>
        </w:rPr>
        <w:t>Holl</w:t>
      </w:r>
      <w:r w:rsidR="001935C2">
        <w:rPr>
          <w:rFonts w:ascii="Times New Roman" w:hAnsi="Times New Roman"/>
          <w:i/>
          <w:szCs w:val="24"/>
        </w:rPr>
        <w:t xml:space="preserve">ywood’s Indian: The Portrayal </w:t>
      </w:r>
      <w:r w:rsidR="001935C2" w:rsidRPr="00DA1E36">
        <w:rPr>
          <w:rFonts w:ascii="Times New Roman" w:hAnsi="Times New Roman"/>
          <w:i/>
          <w:szCs w:val="24"/>
        </w:rPr>
        <w:t>of the Native</w:t>
      </w:r>
      <w:r w:rsidR="00D10327">
        <w:rPr>
          <w:rFonts w:ascii="Times New Roman" w:hAnsi="Times New Roman"/>
          <w:i/>
          <w:szCs w:val="24"/>
        </w:rPr>
        <w:t xml:space="preserve"> </w:t>
      </w:r>
      <w:r w:rsidR="001935C2" w:rsidRPr="00DA1E36">
        <w:rPr>
          <w:rFonts w:ascii="Times New Roman" w:hAnsi="Times New Roman"/>
          <w:i/>
          <w:szCs w:val="24"/>
        </w:rPr>
        <w:t>American in Film</w:t>
      </w:r>
      <w:r w:rsidR="001935C2">
        <w:rPr>
          <w:rFonts w:ascii="Times New Roman" w:hAnsi="Times New Roman"/>
          <w:szCs w:val="24"/>
        </w:rPr>
        <w:t xml:space="preserve">, 58-72. </w:t>
      </w:r>
      <w:r w:rsidR="001935C2">
        <w:rPr>
          <w:rFonts w:ascii="Times New Roman" w:hAnsi="Times New Roman"/>
          <w:szCs w:val="24"/>
        </w:rPr>
        <w:tab/>
      </w:r>
      <w:r w:rsidRPr="00DA1E36">
        <w:rPr>
          <w:rFonts w:ascii="Times New Roman" w:hAnsi="Times New Roman"/>
          <w:szCs w:val="24"/>
        </w:rPr>
        <w:t>Lexington,</w:t>
      </w:r>
      <w:r w:rsidR="001935C2">
        <w:rPr>
          <w:rFonts w:ascii="Times New Roman" w:hAnsi="Times New Roman"/>
          <w:szCs w:val="24"/>
        </w:rPr>
        <w:t xml:space="preserve"> </w:t>
      </w:r>
      <w:r w:rsidRPr="00DA1E36">
        <w:rPr>
          <w:rFonts w:ascii="Times New Roman" w:hAnsi="Times New Roman"/>
          <w:szCs w:val="24"/>
        </w:rPr>
        <w:t>KY: The University Press of Kentucky, 2003.</w:t>
      </w:r>
    </w:p>
    <w:p w14:paraId="6FBFB93C" w14:textId="77777777" w:rsidR="00186DCC" w:rsidRDefault="00186DCC" w:rsidP="00186DCC">
      <w:pPr>
        <w:pStyle w:val="NoSpacing"/>
        <w:rPr>
          <w:rFonts w:ascii="Times New Roman" w:hAnsi="Times New Roman"/>
          <w:szCs w:val="24"/>
        </w:rPr>
      </w:pPr>
    </w:p>
    <w:p w14:paraId="293237B9" w14:textId="3AB0345B"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Richardson, Albert D. </w:t>
      </w:r>
      <w:r w:rsidRPr="00DA1E36">
        <w:rPr>
          <w:rFonts w:ascii="Times New Roman" w:hAnsi="Times New Roman"/>
          <w:i/>
          <w:szCs w:val="24"/>
        </w:rPr>
        <w:t>Beyond the Mississippi: From the Great River to the Great</w:t>
      </w:r>
      <w:r w:rsidR="001935C2">
        <w:rPr>
          <w:rFonts w:ascii="Times New Roman" w:hAnsi="Times New Roman"/>
          <w:i/>
          <w:szCs w:val="24"/>
        </w:rPr>
        <w:tab/>
      </w:r>
      <w:r w:rsidR="001935C2">
        <w:rPr>
          <w:rFonts w:ascii="Times New Roman" w:hAnsi="Times New Roman"/>
          <w:i/>
          <w:szCs w:val="24"/>
        </w:rPr>
        <w:tab/>
      </w:r>
      <w:r w:rsidRPr="00DA1E36">
        <w:rPr>
          <w:rFonts w:ascii="Times New Roman" w:hAnsi="Times New Roman"/>
          <w:i/>
          <w:szCs w:val="24"/>
        </w:rPr>
        <w:t>Ocean</w:t>
      </w:r>
      <w:r w:rsidRPr="00DA1E36">
        <w:rPr>
          <w:rFonts w:ascii="Times New Roman" w:hAnsi="Times New Roman"/>
          <w:szCs w:val="24"/>
        </w:rPr>
        <w:t>. Hartford:</w:t>
      </w:r>
      <w:r w:rsidR="00D06F47">
        <w:rPr>
          <w:rFonts w:ascii="Times New Roman" w:hAnsi="Times New Roman"/>
          <w:szCs w:val="24"/>
        </w:rPr>
        <w:t xml:space="preserve"> </w:t>
      </w:r>
      <w:r w:rsidRPr="00DA1E36">
        <w:rPr>
          <w:rFonts w:ascii="Times New Roman" w:hAnsi="Times New Roman"/>
          <w:szCs w:val="24"/>
        </w:rPr>
        <w:t>American Publishing Co., 1867.</w:t>
      </w:r>
    </w:p>
    <w:p w14:paraId="069070AE" w14:textId="77777777" w:rsidR="00186DCC" w:rsidRPr="00DA1E36" w:rsidRDefault="00186DCC" w:rsidP="00186DCC">
      <w:pPr>
        <w:pStyle w:val="NoSpacing"/>
        <w:rPr>
          <w:rFonts w:ascii="Times New Roman" w:hAnsi="Times New Roman"/>
          <w:szCs w:val="24"/>
        </w:rPr>
      </w:pPr>
    </w:p>
    <w:p w14:paraId="6E3F66B9" w14:textId="03CDB5A1" w:rsidR="00186DCC" w:rsidRDefault="00186DCC" w:rsidP="00186DCC">
      <w:pPr>
        <w:pStyle w:val="NoSpacing"/>
        <w:rPr>
          <w:rFonts w:ascii="Times New Roman" w:hAnsi="Times New Roman"/>
          <w:szCs w:val="24"/>
        </w:rPr>
      </w:pPr>
      <w:r w:rsidRPr="00DA1E36">
        <w:rPr>
          <w:rFonts w:ascii="Times New Roman" w:hAnsi="Times New Roman"/>
          <w:szCs w:val="24"/>
        </w:rPr>
        <w:t>Robertson, Jennifer. "Mon Japon: The Revue Theater as a Technology of Japanese</w:t>
      </w:r>
      <w:r w:rsidR="001935C2">
        <w:rPr>
          <w:rFonts w:ascii="Times New Roman" w:hAnsi="Times New Roman"/>
          <w:szCs w:val="24"/>
        </w:rPr>
        <w:tab/>
      </w:r>
      <w:r w:rsidRPr="00DA1E36">
        <w:rPr>
          <w:rFonts w:ascii="Times New Roman" w:hAnsi="Times New Roman"/>
          <w:szCs w:val="24"/>
        </w:rPr>
        <w:t>Imperialism."</w:t>
      </w:r>
      <w:r w:rsidR="001935C2">
        <w:rPr>
          <w:rFonts w:ascii="Times New Roman" w:hAnsi="Times New Roman"/>
          <w:szCs w:val="24"/>
        </w:rPr>
        <w:t xml:space="preserve"> </w:t>
      </w:r>
      <w:r w:rsidRPr="00DA1E36">
        <w:rPr>
          <w:rFonts w:ascii="Times New Roman" w:hAnsi="Times New Roman"/>
          <w:i/>
          <w:szCs w:val="24"/>
        </w:rPr>
        <w:t>American Ethnologist</w:t>
      </w:r>
      <w:r w:rsidRPr="00DA1E36">
        <w:rPr>
          <w:rFonts w:ascii="Times New Roman" w:hAnsi="Times New Roman"/>
          <w:szCs w:val="24"/>
        </w:rPr>
        <w:t xml:space="preserve"> 22</w:t>
      </w:r>
      <w:r w:rsidR="001935C2">
        <w:rPr>
          <w:rFonts w:ascii="Times New Roman" w:hAnsi="Times New Roman"/>
          <w:szCs w:val="24"/>
        </w:rPr>
        <w:t xml:space="preserve">, no. </w:t>
      </w:r>
      <w:r w:rsidRPr="00DA1E36">
        <w:rPr>
          <w:rFonts w:ascii="Times New Roman" w:hAnsi="Times New Roman"/>
          <w:szCs w:val="24"/>
        </w:rPr>
        <w:t>4 (November 1995): 973.</w:t>
      </w:r>
    </w:p>
    <w:p w14:paraId="05BD93EB" w14:textId="77777777" w:rsidR="004F51BA" w:rsidRPr="00DA1E36" w:rsidRDefault="004F51BA" w:rsidP="00186DCC">
      <w:pPr>
        <w:pStyle w:val="NoSpacing"/>
        <w:rPr>
          <w:rFonts w:ascii="Times New Roman" w:hAnsi="Times New Roman"/>
          <w:szCs w:val="24"/>
        </w:rPr>
      </w:pPr>
    </w:p>
    <w:p w14:paraId="7D02926C" w14:textId="3D1E593C" w:rsidR="00186DCC" w:rsidRPr="00DA1E36" w:rsidRDefault="00186DCC" w:rsidP="00186DCC">
      <w:pPr>
        <w:pStyle w:val="NoSpacing"/>
        <w:rPr>
          <w:rFonts w:ascii="Times New Roman" w:hAnsi="Times New Roman"/>
          <w:bCs/>
          <w:szCs w:val="24"/>
        </w:rPr>
      </w:pPr>
      <w:r w:rsidRPr="00DA1E36">
        <w:rPr>
          <w:rFonts w:ascii="Times New Roman" w:hAnsi="Times New Roman"/>
          <w:bCs/>
          <w:szCs w:val="24"/>
        </w:rPr>
        <w:t>Rodriguez, Sylvia. “Art, Tourism, and Race Relations in Taos: Toward a Sociology of</w:t>
      </w:r>
      <w:r w:rsidR="001935C2">
        <w:rPr>
          <w:rFonts w:ascii="Times New Roman" w:hAnsi="Times New Roman"/>
          <w:bCs/>
          <w:szCs w:val="24"/>
        </w:rPr>
        <w:tab/>
      </w:r>
      <w:r w:rsidR="005E106C">
        <w:rPr>
          <w:rFonts w:ascii="Times New Roman" w:hAnsi="Times New Roman"/>
          <w:bCs/>
          <w:szCs w:val="24"/>
        </w:rPr>
        <w:t>the Art Colony.</w:t>
      </w:r>
      <w:r w:rsidRPr="00DA1E36">
        <w:rPr>
          <w:rFonts w:ascii="Times New Roman" w:hAnsi="Times New Roman"/>
          <w:bCs/>
          <w:szCs w:val="24"/>
        </w:rPr>
        <w:t>”</w:t>
      </w:r>
      <w:r w:rsidR="001935C2">
        <w:rPr>
          <w:rFonts w:ascii="Times New Roman" w:hAnsi="Times New Roman"/>
          <w:bCs/>
          <w:szCs w:val="24"/>
        </w:rPr>
        <w:t xml:space="preserve"> </w:t>
      </w:r>
      <w:r w:rsidRPr="00DA1E36">
        <w:rPr>
          <w:rFonts w:ascii="Times New Roman" w:hAnsi="Times New Roman"/>
          <w:bCs/>
          <w:i/>
          <w:szCs w:val="24"/>
        </w:rPr>
        <w:t>Journal of Anthropological Research</w:t>
      </w:r>
      <w:r w:rsidR="00D06F47">
        <w:rPr>
          <w:rFonts w:ascii="Times New Roman" w:hAnsi="Times New Roman"/>
          <w:bCs/>
          <w:szCs w:val="24"/>
        </w:rPr>
        <w:t xml:space="preserve"> 45, no. </w:t>
      </w:r>
      <w:r w:rsidRPr="00DA1E36">
        <w:rPr>
          <w:rFonts w:ascii="Times New Roman" w:hAnsi="Times New Roman"/>
          <w:bCs/>
          <w:szCs w:val="24"/>
        </w:rPr>
        <w:t>1 (Spring 1989):</w:t>
      </w:r>
      <w:r w:rsidR="00D06F47">
        <w:rPr>
          <w:rFonts w:ascii="Times New Roman" w:hAnsi="Times New Roman"/>
          <w:bCs/>
          <w:szCs w:val="24"/>
        </w:rPr>
        <w:tab/>
      </w:r>
      <w:r w:rsidRPr="00DA1E36">
        <w:rPr>
          <w:rFonts w:ascii="Times New Roman" w:hAnsi="Times New Roman"/>
          <w:bCs/>
          <w:szCs w:val="24"/>
        </w:rPr>
        <w:t>77</w:t>
      </w:r>
      <w:r w:rsidR="001935C2">
        <w:rPr>
          <w:rFonts w:ascii="Times New Roman" w:hAnsi="Times New Roman"/>
          <w:bCs/>
          <w:szCs w:val="24"/>
        </w:rPr>
        <w:t>-</w:t>
      </w:r>
      <w:r w:rsidRPr="00DA1E36">
        <w:rPr>
          <w:rFonts w:ascii="Times New Roman" w:hAnsi="Times New Roman"/>
          <w:bCs/>
          <w:szCs w:val="24"/>
        </w:rPr>
        <w:t>99.</w:t>
      </w:r>
    </w:p>
    <w:p w14:paraId="406A7A12" w14:textId="77777777" w:rsidR="004F2423" w:rsidRDefault="004F2423" w:rsidP="00782412">
      <w:pPr>
        <w:pStyle w:val="NoSpacing"/>
        <w:rPr>
          <w:rFonts w:ascii="Times New Roman" w:hAnsi="Times New Roman"/>
          <w:szCs w:val="24"/>
        </w:rPr>
      </w:pPr>
    </w:p>
    <w:p w14:paraId="4211E7F6" w14:textId="3D38A04D" w:rsidR="004F51BA" w:rsidRPr="004817B9" w:rsidRDefault="004F51BA" w:rsidP="00782412">
      <w:pPr>
        <w:pStyle w:val="NoSpacing"/>
        <w:rPr>
          <w:rFonts w:ascii="Times New Roman" w:hAnsi="Times New Roman"/>
          <w:szCs w:val="24"/>
        </w:rPr>
      </w:pPr>
      <w:r w:rsidRPr="004817B9">
        <w:rPr>
          <w:rFonts w:ascii="Times New Roman" w:hAnsi="Times New Roman"/>
          <w:szCs w:val="24"/>
        </w:rPr>
        <w:t xml:space="preserve">Round, Phillip H. </w:t>
      </w:r>
      <w:r w:rsidRPr="00ED0730">
        <w:rPr>
          <w:rFonts w:ascii="Times New Roman" w:hAnsi="Times New Roman"/>
          <w:i/>
          <w:szCs w:val="24"/>
        </w:rPr>
        <w:t>Removable Type: Histories of the Book in Indian Country, 1663</w:t>
      </w:r>
      <w:r>
        <w:rPr>
          <w:rFonts w:ascii="Times New Roman" w:hAnsi="Times New Roman"/>
          <w:i/>
          <w:szCs w:val="24"/>
        </w:rPr>
        <w:t>-</w:t>
      </w:r>
      <w:r>
        <w:rPr>
          <w:rFonts w:ascii="Times New Roman" w:hAnsi="Times New Roman"/>
          <w:i/>
          <w:szCs w:val="24"/>
        </w:rPr>
        <w:tab/>
      </w:r>
      <w:r w:rsidRPr="00ED0730">
        <w:rPr>
          <w:rFonts w:ascii="Times New Roman" w:hAnsi="Times New Roman"/>
          <w:i/>
          <w:szCs w:val="24"/>
        </w:rPr>
        <w:t>1880</w:t>
      </w:r>
      <w:r w:rsidRPr="004817B9">
        <w:rPr>
          <w:rFonts w:ascii="Times New Roman" w:hAnsi="Times New Roman"/>
          <w:szCs w:val="24"/>
        </w:rPr>
        <w:t>. Chapel</w:t>
      </w:r>
      <w:r>
        <w:rPr>
          <w:rFonts w:ascii="Times New Roman" w:hAnsi="Times New Roman"/>
          <w:szCs w:val="24"/>
        </w:rPr>
        <w:t xml:space="preserve"> </w:t>
      </w:r>
      <w:r w:rsidRPr="004817B9">
        <w:rPr>
          <w:rFonts w:ascii="Times New Roman" w:hAnsi="Times New Roman"/>
          <w:szCs w:val="24"/>
        </w:rPr>
        <w:t>Hill, NC: The University of Nort</w:t>
      </w:r>
      <w:r>
        <w:rPr>
          <w:rFonts w:ascii="Times New Roman" w:hAnsi="Times New Roman"/>
          <w:szCs w:val="24"/>
        </w:rPr>
        <w:t>h Carolina Press, 2010.</w:t>
      </w:r>
    </w:p>
    <w:p w14:paraId="66B831B8" w14:textId="3D9EB9F5" w:rsidR="00186DCC" w:rsidRDefault="00186DCC" w:rsidP="00782412">
      <w:pPr>
        <w:pStyle w:val="NoSpacing"/>
        <w:rPr>
          <w:rFonts w:ascii="Times New Roman" w:hAnsi="Times New Roman"/>
          <w:bCs/>
          <w:szCs w:val="24"/>
        </w:rPr>
      </w:pPr>
    </w:p>
    <w:p w14:paraId="43583CAE" w14:textId="77777777" w:rsidR="00D1696F" w:rsidRDefault="00D1696F" w:rsidP="00D10327">
      <w:pPr>
        <w:pStyle w:val="NoSpacing"/>
      </w:pPr>
      <w:r>
        <w:t xml:space="preserve">Rubin, Louis B. </w:t>
      </w:r>
      <w:r w:rsidRPr="008C6C18">
        <w:rPr>
          <w:i/>
        </w:rPr>
        <w:t>George Washington Cable: The Life and Times of a Southern Heretic</w:t>
      </w:r>
      <w:r>
        <w:t>.</w:t>
      </w:r>
      <w:r>
        <w:tab/>
        <w:t>New York: Pegasus, 1969.</w:t>
      </w:r>
    </w:p>
    <w:p w14:paraId="1A5BE8A1" w14:textId="77777777" w:rsidR="00A1496F" w:rsidRDefault="00A1496F" w:rsidP="00D10327">
      <w:pPr>
        <w:pStyle w:val="NoSpacing"/>
      </w:pPr>
    </w:p>
    <w:p w14:paraId="2D213515" w14:textId="5A5E41DE" w:rsidR="00782412" w:rsidRPr="00E7312B" w:rsidRDefault="00782412" w:rsidP="00D10327">
      <w:pPr>
        <w:pStyle w:val="NoSpacing"/>
      </w:pPr>
      <w:r w:rsidRPr="00E7312B">
        <w:t xml:space="preserve">Rudnick, Lois P. </w:t>
      </w:r>
      <w:r w:rsidRPr="00E7312B">
        <w:rPr>
          <w:i/>
        </w:rPr>
        <w:t>Mabel Dodge Luhan: New Woman, New World</w:t>
      </w:r>
      <w:r w:rsidRPr="00E7312B">
        <w:t>. Albuquerque:</w:t>
      </w:r>
      <w:r>
        <w:tab/>
      </w:r>
      <w:r w:rsidRPr="00E7312B">
        <w:t>University of New</w:t>
      </w:r>
      <w:r>
        <w:t xml:space="preserve"> </w:t>
      </w:r>
      <w:r w:rsidR="00803CC1">
        <w:t>Mexico press, 1987.</w:t>
      </w:r>
    </w:p>
    <w:p w14:paraId="67F69493" w14:textId="77777777" w:rsidR="00D10327" w:rsidRDefault="00D10327" w:rsidP="00D10327">
      <w:pPr>
        <w:pStyle w:val="NoSpacing"/>
      </w:pPr>
    </w:p>
    <w:p w14:paraId="01F48A36" w14:textId="4BE69533" w:rsidR="00782412" w:rsidRDefault="00782412" w:rsidP="00D10327">
      <w:pPr>
        <w:pStyle w:val="NoSpacing"/>
      </w:pPr>
      <w:r w:rsidRPr="00E7312B">
        <w:t xml:space="preserve">____________. </w:t>
      </w:r>
      <w:r w:rsidRPr="00E7312B">
        <w:rPr>
          <w:i/>
        </w:rPr>
        <w:t>Utopian Vistas: The Mabel Dodge Luhan House and the American</w:t>
      </w:r>
      <w:r>
        <w:rPr>
          <w:i/>
        </w:rPr>
        <w:tab/>
      </w:r>
      <w:r w:rsidRPr="00E7312B">
        <w:rPr>
          <w:i/>
        </w:rPr>
        <w:t>Counterculture</w:t>
      </w:r>
      <w:r w:rsidRPr="00E7312B">
        <w:t>.</w:t>
      </w:r>
      <w:r>
        <w:t xml:space="preserve"> A</w:t>
      </w:r>
      <w:r w:rsidRPr="00E7312B">
        <w:t>lbuquerque: Univer</w:t>
      </w:r>
      <w:r w:rsidR="00404EFD">
        <w:t>sity of New Mexico Press, 1996.</w:t>
      </w:r>
    </w:p>
    <w:p w14:paraId="58A0008F" w14:textId="77777777" w:rsidR="00D10327" w:rsidRDefault="00D10327" w:rsidP="00D10327">
      <w:pPr>
        <w:pStyle w:val="NoSpacing"/>
      </w:pPr>
    </w:p>
    <w:p w14:paraId="08699E21" w14:textId="5B7AD555" w:rsidR="00BA1E87" w:rsidRDefault="00BA1E87" w:rsidP="00D10327">
      <w:pPr>
        <w:pStyle w:val="NoSpacing"/>
      </w:pPr>
      <w:r w:rsidRPr="00DA1E36">
        <w:t>Rushing</w:t>
      </w:r>
      <w:r w:rsidR="00D06F47">
        <w:t xml:space="preserve"> III</w:t>
      </w:r>
      <w:r w:rsidRPr="00DA1E36">
        <w:t>, W. Jackson. “Marketing the Affinity of the Primitive and the Modern:</w:t>
      </w:r>
      <w:r w:rsidR="00D06F47">
        <w:tab/>
      </w:r>
      <w:r w:rsidRPr="00DA1E36">
        <w:t>René</w:t>
      </w:r>
      <w:r w:rsidR="00D06F47">
        <w:t xml:space="preserve"> </w:t>
      </w:r>
      <w:r w:rsidRPr="00DA1E36">
        <w:t>d’Harnoncourt</w:t>
      </w:r>
      <w:r>
        <w:t xml:space="preserve"> </w:t>
      </w:r>
      <w:r w:rsidR="00D06F47">
        <w:t>and ‘Indian Art of the United</w:t>
      </w:r>
      <w:r w:rsidRPr="00DA1E36">
        <w:t xml:space="preserve"> States,’” </w:t>
      </w:r>
      <w:r>
        <w:t xml:space="preserve">in </w:t>
      </w:r>
      <w:r w:rsidR="00D10327">
        <w:t>Janet Berlo, ed.</w:t>
      </w:r>
      <w:r w:rsidR="00D10327">
        <w:tab/>
      </w:r>
      <w:r w:rsidRPr="00DA1E36">
        <w:rPr>
          <w:i/>
        </w:rPr>
        <w:t>The Early Years</w:t>
      </w:r>
      <w:r w:rsidR="00D10327">
        <w:rPr>
          <w:i/>
        </w:rPr>
        <w:t xml:space="preserve"> </w:t>
      </w:r>
      <w:r w:rsidRPr="00DA1E36">
        <w:rPr>
          <w:i/>
        </w:rPr>
        <w:t>of</w:t>
      </w:r>
      <w:r w:rsidR="00D06F47">
        <w:rPr>
          <w:i/>
        </w:rPr>
        <w:t xml:space="preserve"> </w:t>
      </w:r>
      <w:r w:rsidRPr="00DA1E36">
        <w:rPr>
          <w:i/>
        </w:rPr>
        <w:t>Native American Art</w:t>
      </w:r>
      <w:r>
        <w:rPr>
          <w:i/>
        </w:rPr>
        <w:t xml:space="preserve"> </w:t>
      </w:r>
      <w:r w:rsidRPr="00DA1E36">
        <w:rPr>
          <w:i/>
        </w:rPr>
        <w:t>History: The Politics of Scholarship</w:t>
      </w:r>
      <w:r w:rsidR="00D10327">
        <w:rPr>
          <w:i/>
        </w:rPr>
        <w:tab/>
      </w:r>
      <w:r w:rsidRPr="00DA1E36">
        <w:rPr>
          <w:i/>
        </w:rPr>
        <w:t>and Collecting</w:t>
      </w:r>
      <w:r w:rsidR="00D10327">
        <w:t xml:space="preserve">, </w:t>
      </w:r>
      <w:r w:rsidRPr="00DA1E36">
        <w:t>191</w:t>
      </w:r>
      <w:r>
        <w:t>-</w:t>
      </w:r>
      <w:r w:rsidRPr="00DA1E36">
        <w:t>236.</w:t>
      </w:r>
      <w:r>
        <w:t xml:space="preserve"> </w:t>
      </w:r>
      <w:r w:rsidRPr="00DA1E36">
        <w:t>Seattle</w:t>
      </w:r>
      <w:r>
        <w:t xml:space="preserve">, WA: University of Washington </w:t>
      </w:r>
      <w:r w:rsidRPr="00DA1E36">
        <w:t>Press,</w:t>
      </w:r>
      <w:r w:rsidR="00D10327">
        <w:t xml:space="preserve"> </w:t>
      </w:r>
      <w:r w:rsidRPr="00DA1E36">
        <w:t>1992</w:t>
      </w:r>
      <w:r>
        <w:t>.</w:t>
      </w:r>
    </w:p>
    <w:p w14:paraId="79DA09F2" w14:textId="77777777" w:rsidR="00BA1E87" w:rsidRDefault="00BA1E87" w:rsidP="00186DCC">
      <w:pPr>
        <w:pStyle w:val="NoSpacing"/>
        <w:rPr>
          <w:szCs w:val="24"/>
        </w:rPr>
      </w:pPr>
    </w:p>
    <w:p w14:paraId="373F213D" w14:textId="6642E98E" w:rsidR="00A1496F" w:rsidRDefault="00D10327" w:rsidP="00186DCC">
      <w:pPr>
        <w:pStyle w:val="NoSpacing"/>
        <w:rPr>
          <w:rFonts w:ascii="Times New Roman" w:hAnsi="Times New Roman"/>
          <w:szCs w:val="24"/>
        </w:rPr>
      </w:pPr>
      <w:r>
        <w:rPr>
          <w:rFonts w:ascii="Times New Roman" w:hAnsi="Times New Roman"/>
          <w:szCs w:val="24"/>
        </w:rPr>
        <w:t>_____</w:t>
      </w:r>
      <w:r w:rsidR="00A1496F" w:rsidRPr="00DA1E36">
        <w:rPr>
          <w:rFonts w:ascii="Times New Roman" w:hAnsi="Times New Roman"/>
          <w:szCs w:val="24"/>
        </w:rPr>
        <w:t xml:space="preserve">. </w:t>
      </w:r>
      <w:r w:rsidR="00A1496F" w:rsidRPr="00DA1E36">
        <w:rPr>
          <w:rFonts w:ascii="Times New Roman" w:hAnsi="Times New Roman"/>
          <w:i/>
          <w:szCs w:val="24"/>
        </w:rPr>
        <w:t>Native American Art and the New York Avant-Garde</w:t>
      </w:r>
      <w:r w:rsidR="00A1496F" w:rsidRPr="00DA1E36">
        <w:rPr>
          <w:rFonts w:ascii="Times New Roman" w:hAnsi="Times New Roman"/>
          <w:szCs w:val="24"/>
        </w:rPr>
        <w:t>:</w:t>
      </w:r>
      <w:r w:rsidR="00A1496F" w:rsidRPr="00DA1E36">
        <w:rPr>
          <w:rFonts w:ascii="Times New Roman" w:hAnsi="Times New Roman"/>
          <w:i/>
          <w:szCs w:val="24"/>
        </w:rPr>
        <w:t xml:space="preserve"> A</w:t>
      </w:r>
      <w:r>
        <w:rPr>
          <w:rFonts w:ascii="Times New Roman" w:hAnsi="Times New Roman"/>
          <w:i/>
          <w:szCs w:val="24"/>
        </w:rPr>
        <w:t xml:space="preserve"> </w:t>
      </w:r>
      <w:r w:rsidR="00A1496F" w:rsidRPr="00DA1E36">
        <w:rPr>
          <w:rFonts w:ascii="Times New Roman" w:hAnsi="Times New Roman"/>
          <w:i/>
          <w:szCs w:val="24"/>
        </w:rPr>
        <w:t>History of Cultural</w:t>
      </w:r>
      <w:r>
        <w:rPr>
          <w:rFonts w:ascii="Times New Roman" w:hAnsi="Times New Roman"/>
          <w:i/>
          <w:szCs w:val="24"/>
        </w:rPr>
        <w:tab/>
      </w:r>
      <w:r w:rsidR="00A1496F" w:rsidRPr="00DA1E36">
        <w:rPr>
          <w:rFonts w:ascii="Times New Roman" w:hAnsi="Times New Roman"/>
          <w:i/>
          <w:szCs w:val="24"/>
        </w:rPr>
        <w:t>Primitivism</w:t>
      </w:r>
      <w:r w:rsidR="00A1496F" w:rsidRPr="00DA1E36">
        <w:rPr>
          <w:rFonts w:ascii="Times New Roman" w:hAnsi="Times New Roman"/>
          <w:szCs w:val="24"/>
        </w:rPr>
        <w:t>. Austin: U</w:t>
      </w:r>
      <w:r w:rsidR="00803CC1">
        <w:rPr>
          <w:rFonts w:ascii="Times New Roman" w:hAnsi="Times New Roman"/>
          <w:szCs w:val="24"/>
        </w:rPr>
        <w:t>niversity of Texas Press, 1995.</w:t>
      </w:r>
    </w:p>
    <w:p w14:paraId="1DA5A20F" w14:textId="77777777" w:rsidR="005E106C" w:rsidRDefault="005E106C" w:rsidP="00186DCC">
      <w:pPr>
        <w:pStyle w:val="NoSpacing"/>
        <w:rPr>
          <w:rFonts w:ascii="Times New Roman" w:hAnsi="Times New Roman"/>
          <w:szCs w:val="24"/>
        </w:rPr>
      </w:pPr>
    </w:p>
    <w:p w14:paraId="42C5033F" w14:textId="4FA3D686" w:rsidR="005E106C" w:rsidRDefault="005E106C" w:rsidP="00186DCC">
      <w:pPr>
        <w:pStyle w:val="NoSpacing"/>
        <w:rPr>
          <w:rFonts w:ascii="Times New Roman" w:hAnsi="Times New Roman"/>
          <w:szCs w:val="24"/>
        </w:rPr>
      </w:pPr>
      <w:r>
        <w:t>_____</w:t>
      </w:r>
      <w:r w:rsidRPr="00DA1E36">
        <w:t>.</w:t>
      </w:r>
      <w:r w:rsidRPr="0005617F">
        <w:rPr>
          <w:rStyle w:val="NoSpacingChar"/>
          <w:rFonts w:asciiTheme="majorHAnsi" w:hAnsiTheme="majorHAnsi" w:cstheme="majorHAnsi"/>
          <w:szCs w:val="24"/>
        </w:rPr>
        <w:t xml:space="preserve"> “</w:t>
      </w:r>
      <w:r w:rsidRPr="0005617F">
        <w:rPr>
          <w:rStyle w:val="NoSpacingChar"/>
          <w:rFonts w:asciiTheme="majorHAnsi" w:eastAsia="Arial Unicode MS" w:hAnsiTheme="majorHAnsi" w:cstheme="majorHAnsi"/>
          <w:szCs w:val="24"/>
        </w:rPr>
        <w:t xml:space="preserve">Native Authorship in Edward Curtis's </w:t>
      </w:r>
      <w:r>
        <w:rPr>
          <w:rStyle w:val="NoSpacingChar"/>
          <w:rFonts w:asciiTheme="majorHAnsi" w:eastAsia="Arial Unicode MS" w:hAnsiTheme="majorHAnsi" w:cstheme="majorHAnsi"/>
          <w:szCs w:val="24"/>
        </w:rPr>
        <w:t>"Master P</w:t>
      </w:r>
      <w:r w:rsidRPr="0005617F">
        <w:rPr>
          <w:rStyle w:val="NoSpacingChar"/>
          <w:rFonts w:asciiTheme="majorHAnsi" w:eastAsia="Arial Unicode MS" w:hAnsiTheme="majorHAnsi" w:cstheme="majorHAnsi"/>
          <w:szCs w:val="24"/>
        </w:rPr>
        <w:t>rints</w:t>
      </w:r>
      <w:r>
        <w:rPr>
          <w:rStyle w:val="NoSpacingChar"/>
          <w:rFonts w:asciiTheme="majorHAnsi" w:eastAsia="Arial Unicode MS" w:hAnsiTheme="majorHAnsi" w:cstheme="majorHAnsi"/>
          <w:szCs w:val="24"/>
        </w:rPr>
        <w:t>.</w:t>
      </w:r>
      <w:r w:rsidRPr="0005617F">
        <w:rPr>
          <w:rStyle w:val="NoSpacingChar"/>
          <w:rFonts w:asciiTheme="majorHAnsi" w:eastAsia="Arial Unicode MS" w:hAnsiTheme="majorHAnsi" w:cstheme="majorHAnsi"/>
          <w:szCs w:val="24"/>
        </w:rPr>
        <w:t>"</w:t>
      </w:r>
      <w:r>
        <w:rPr>
          <w:rStyle w:val="NoSpacingChar"/>
          <w:rFonts w:asciiTheme="majorHAnsi" w:eastAsia="Arial Unicode MS" w:hAnsiTheme="majorHAnsi" w:cstheme="majorHAnsi"/>
          <w:szCs w:val="24"/>
        </w:rPr>
        <w:t xml:space="preserve"> </w:t>
      </w:r>
      <w:r>
        <w:rPr>
          <w:rFonts w:eastAsia="Arial Unicode MS"/>
          <w:i/>
          <w:color w:val="000000"/>
        </w:rPr>
        <w:t>American Indian Art</w:t>
      </w:r>
      <w:r>
        <w:rPr>
          <w:rFonts w:eastAsia="Arial Unicode MS"/>
          <w:i/>
          <w:color w:val="000000"/>
        </w:rPr>
        <w:tab/>
        <w:t>M</w:t>
      </w:r>
      <w:r w:rsidRPr="0005617F">
        <w:rPr>
          <w:rFonts w:eastAsia="Arial Unicode MS"/>
          <w:i/>
          <w:color w:val="000000"/>
        </w:rPr>
        <w:t>agazine</w:t>
      </w:r>
      <w:r>
        <w:rPr>
          <w:rFonts w:eastAsia="Arial Unicode MS"/>
          <w:color w:val="000000"/>
        </w:rPr>
        <w:t xml:space="preserve"> </w:t>
      </w:r>
      <w:r w:rsidRPr="0005617F">
        <w:rPr>
          <w:rFonts w:eastAsia="Arial Unicode MS"/>
          <w:color w:val="000000"/>
        </w:rPr>
        <w:t>29, no. 1 (</w:t>
      </w:r>
      <w:r>
        <w:rPr>
          <w:rFonts w:eastAsia="Arial Unicode MS"/>
          <w:color w:val="000000"/>
        </w:rPr>
        <w:t>W</w:t>
      </w:r>
      <w:r w:rsidRPr="0005617F">
        <w:rPr>
          <w:rFonts w:eastAsia="Arial Unicode MS"/>
          <w:color w:val="000000"/>
        </w:rPr>
        <w:t>inter 2003)</w:t>
      </w:r>
      <w:r>
        <w:rPr>
          <w:rFonts w:eastAsia="Arial Unicode MS"/>
          <w:color w:val="000000"/>
        </w:rPr>
        <w:t>: 58-63</w:t>
      </w:r>
      <w:r w:rsidRPr="0005617F">
        <w:rPr>
          <w:rFonts w:eastAsia="Arial Unicode MS"/>
          <w:color w:val="000000"/>
        </w:rPr>
        <w:t>.</w:t>
      </w:r>
    </w:p>
    <w:p w14:paraId="7E536900" w14:textId="77777777" w:rsidR="005E106C" w:rsidRDefault="005E106C" w:rsidP="00186DCC">
      <w:pPr>
        <w:pStyle w:val="NoSpacing"/>
        <w:rPr>
          <w:rFonts w:ascii="Times New Roman" w:hAnsi="Times New Roman"/>
          <w:szCs w:val="24"/>
        </w:rPr>
      </w:pPr>
    </w:p>
    <w:p w14:paraId="2B1CBB13" w14:textId="7B517070" w:rsidR="00D1696F" w:rsidRDefault="00A1496F" w:rsidP="00186DCC">
      <w:pPr>
        <w:pStyle w:val="NoSpacing"/>
        <w:rPr>
          <w:rFonts w:ascii="Times New Roman" w:hAnsi="Times New Roman"/>
          <w:szCs w:val="24"/>
        </w:rPr>
      </w:pPr>
      <w:r w:rsidRPr="006A42FC">
        <w:rPr>
          <w:rFonts w:ascii="Times New Roman" w:hAnsi="Times New Roman"/>
          <w:szCs w:val="24"/>
        </w:rPr>
        <w:t>Rushing III, W. Jackson</w:t>
      </w:r>
      <w:r>
        <w:rPr>
          <w:rFonts w:ascii="Times New Roman" w:hAnsi="Times New Roman"/>
          <w:szCs w:val="24"/>
        </w:rPr>
        <w:t>.</w:t>
      </w:r>
      <w:r w:rsidRPr="006A42FC">
        <w:rPr>
          <w:rFonts w:ascii="Times New Roman" w:hAnsi="Times New Roman"/>
          <w:szCs w:val="24"/>
        </w:rPr>
        <w:t xml:space="preserve"> ed., </w:t>
      </w:r>
      <w:r w:rsidRPr="006A42FC">
        <w:rPr>
          <w:rFonts w:ascii="Times New Roman" w:hAnsi="Times New Roman"/>
          <w:i/>
          <w:szCs w:val="24"/>
        </w:rPr>
        <w:t>Native American Art in the Twentieth Century</w:t>
      </w:r>
      <w:r w:rsidRPr="006A42FC">
        <w:rPr>
          <w:rFonts w:ascii="Times New Roman" w:hAnsi="Times New Roman"/>
          <w:szCs w:val="24"/>
        </w:rPr>
        <w:t>, London</w:t>
      </w:r>
      <w:r>
        <w:rPr>
          <w:rFonts w:ascii="Times New Roman" w:hAnsi="Times New Roman"/>
          <w:szCs w:val="24"/>
        </w:rPr>
        <w:tab/>
      </w:r>
      <w:r w:rsidRPr="006A42FC">
        <w:rPr>
          <w:rFonts w:ascii="Times New Roman" w:hAnsi="Times New Roman"/>
          <w:szCs w:val="24"/>
        </w:rPr>
        <w:t>and New York: Routledge, 1999.</w:t>
      </w:r>
    </w:p>
    <w:p w14:paraId="1EA549BD" w14:textId="77777777" w:rsidR="00B64318" w:rsidRDefault="00B64318" w:rsidP="00186DCC">
      <w:pPr>
        <w:pStyle w:val="NoSpacing"/>
        <w:rPr>
          <w:rFonts w:ascii="Times New Roman" w:hAnsi="Times New Roman"/>
          <w:szCs w:val="24"/>
        </w:rPr>
      </w:pPr>
    </w:p>
    <w:p w14:paraId="50170B2E" w14:textId="699EF4F6" w:rsidR="00B64318" w:rsidRDefault="00BA1E87" w:rsidP="00186DCC">
      <w:pPr>
        <w:pStyle w:val="NoSpacing"/>
        <w:rPr>
          <w:rFonts w:ascii="Times New Roman" w:hAnsi="Times New Roman"/>
          <w:szCs w:val="24"/>
        </w:rPr>
      </w:pPr>
      <w:r>
        <w:rPr>
          <w:rFonts w:ascii="Times New Roman" w:hAnsi="Times New Roman"/>
          <w:szCs w:val="24"/>
        </w:rPr>
        <w:t>S</w:t>
      </w:r>
      <w:r w:rsidR="00B64318" w:rsidRPr="00E67EF2">
        <w:rPr>
          <w:rFonts w:ascii="Times New Roman" w:hAnsi="Times New Roman"/>
          <w:szCs w:val="24"/>
        </w:rPr>
        <w:t xml:space="preserve">aid, Edward. </w:t>
      </w:r>
      <w:r w:rsidR="00B64318" w:rsidRPr="00E67EF2">
        <w:rPr>
          <w:rFonts w:ascii="Times New Roman" w:hAnsi="Times New Roman"/>
          <w:i/>
          <w:szCs w:val="24"/>
        </w:rPr>
        <w:t>Culture and Imperialism</w:t>
      </w:r>
      <w:r w:rsidR="00D06F47">
        <w:rPr>
          <w:rFonts w:ascii="Times New Roman" w:hAnsi="Times New Roman"/>
          <w:szCs w:val="24"/>
        </w:rPr>
        <w:t>.</w:t>
      </w:r>
      <w:r w:rsidR="00B64318" w:rsidRPr="00E67EF2">
        <w:rPr>
          <w:rFonts w:ascii="Times New Roman" w:hAnsi="Times New Roman"/>
          <w:szCs w:val="24"/>
        </w:rPr>
        <w:t xml:space="preserve"> New York: Random House, 1993.</w:t>
      </w:r>
    </w:p>
    <w:p w14:paraId="447E3C03" w14:textId="77777777" w:rsidR="00B64318" w:rsidRDefault="00B64318" w:rsidP="00186DCC">
      <w:pPr>
        <w:pStyle w:val="NoSpacing"/>
        <w:rPr>
          <w:rFonts w:ascii="Times New Roman" w:hAnsi="Times New Roman"/>
          <w:szCs w:val="24"/>
        </w:rPr>
      </w:pPr>
    </w:p>
    <w:p w14:paraId="516075A9" w14:textId="77777777" w:rsidR="00D10327" w:rsidRDefault="00D10327" w:rsidP="00D10327">
      <w:pPr>
        <w:pStyle w:val="NoSpacing"/>
        <w:rPr>
          <w:rFonts w:ascii="Times New Roman" w:hAnsi="Times New Roman"/>
          <w:szCs w:val="24"/>
        </w:rPr>
      </w:pPr>
      <w:r>
        <w:rPr>
          <w:rFonts w:ascii="Times New Roman" w:hAnsi="Times New Roman"/>
          <w:szCs w:val="24"/>
        </w:rPr>
        <w:t>_____</w:t>
      </w:r>
      <w:r w:rsidRPr="00DA1E36">
        <w:rPr>
          <w:rFonts w:ascii="Times New Roman" w:hAnsi="Times New Roman"/>
          <w:szCs w:val="24"/>
        </w:rPr>
        <w:t xml:space="preserve">. </w:t>
      </w:r>
      <w:r w:rsidRPr="00DA1E36">
        <w:rPr>
          <w:rFonts w:ascii="Times New Roman" w:hAnsi="Times New Roman"/>
          <w:i/>
          <w:szCs w:val="24"/>
        </w:rPr>
        <w:t>Orientalism</w:t>
      </w:r>
      <w:r w:rsidRPr="00DA1E36">
        <w:rPr>
          <w:rFonts w:ascii="Times New Roman" w:hAnsi="Times New Roman"/>
          <w:szCs w:val="24"/>
        </w:rPr>
        <w:t>. New York: Vintage Books, 2003.</w:t>
      </w:r>
    </w:p>
    <w:p w14:paraId="5BF71EC8" w14:textId="77777777" w:rsidR="00D10327" w:rsidRDefault="00D10327" w:rsidP="00B64318">
      <w:pPr>
        <w:pStyle w:val="FootnoteText"/>
        <w:rPr>
          <w:rFonts w:cs="Times New Roman"/>
          <w:sz w:val="24"/>
          <w:szCs w:val="24"/>
        </w:rPr>
      </w:pPr>
    </w:p>
    <w:p w14:paraId="490526FC" w14:textId="775CAD4A" w:rsidR="00B64318" w:rsidRPr="006A42FC" w:rsidRDefault="00E20CE7" w:rsidP="00B64318">
      <w:pPr>
        <w:pStyle w:val="FootnoteText"/>
        <w:rPr>
          <w:rFonts w:cs="Times New Roman"/>
          <w:sz w:val="24"/>
          <w:szCs w:val="24"/>
        </w:rPr>
      </w:pPr>
      <w:r>
        <w:rPr>
          <w:rFonts w:cs="Times New Roman"/>
          <w:sz w:val="24"/>
          <w:szCs w:val="24"/>
        </w:rPr>
        <w:t>_____</w:t>
      </w:r>
      <w:r w:rsidR="00B64318">
        <w:rPr>
          <w:rFonts w:cs="Times New Roman"/>
          <w:sz w:val="24"/>
          <w:szCs w:val="24"/>
        </w:rPr>
        <w:t>.</w:t>
      </w:r>
      <w:r w:rsidR="00B64318" w:rsidRPr="006A42FC">
        <w:rPr>
          <w:rFonts w:cs="Times New Roman"/>
          <w:sz w:val="24"/>
          <w:szCs w:val="24"/>
        </w:rPr>
        <w:t xml:space="preserve"> “Secular Interpretation, The Geographic Element, and the Methodolo</w:t>
      </w:r>
      <w:r>
        <w:rPr>
          <w:rFonts w:cs="Times New Roman"/>
          <w:sz w:val="24"/>
          <w:szCs w:val="24"/>
        </w:rPr>
        <w:t xml:space="preserve">gy </w:t>
      </w:r>
      <w:r w:rsidR="00B64318">
        <w:rPr>
          <w:rFonts w:cs="Times New Roman"/>
          <w:sz w:val="24"/>
          <w:szCs w:val="24"/>
        </w:rPr>
        <w:t>of</w:t>
      </w:r>
      <w:r>
        <w:rPr>
          <w:rFonts w:cs="Times New Roman"/>
          <w:sz w:val="24"/>
          <w:szCs w:val="24"/>
        </w:rPr>
        <w:tab/>
      </w:r>
      <w:r>
        <w:rPr>
          <w:rFonts w:cs="Times New Roman"/>
          <w:sz w:val="24"/>
          <w:szCs w:val="24"/>
        </w:rPr>
        <w:tab/>
      </w:r>
      <w:r w:rsidR="00B64318">
        <w:rPr>
          <w:rFonts w:cs="Times New Roman"/>
          <w:sz w:val="24"/>
          <w:szCs w:val="24"/>
        </w:rPr>
        <w:t xml:space="preserve">Imperialism,” in </w:t>
      </w:r>
      <w:r w:rsidR="00D10327">
        <w:rPr>
          <w:rFonts w:cs="Times New Roman"/>
          <w:sz w:val="24"/>
          <w:szCs w:val="24"/>
        </w:rPr>
        <w:t xml:space="preserve">Gyan Prakash, ed. </w:t>
      </w:r>
      <w:r w:rsidR="00B64318" w:rsidRPr="006A42FC">
        <w:rPr>
          <w:rFonts w:cs="Times New Roman"/>
          <w:i/>
          <w:sz w:val="24"/>
          <w:szCs w:val="24"/>
        </w:rPr>
        <w:t>After Colonialism: Imperial Histories and</w:t>
      </w:r>
      <w:r w:rsidR="00D10327">
        <w:rPr>
          <w:rFonts w:cs="Times New Roman"/>
          <w:i/>
          <w:sz w:val="24"/>
          <w:szCs w:val="24"/>
        </w:rPr>
        <w:tab/>
      </w:r>
      <w:r w:rsidR="00B64318" w:rsidRPr="006A42FC">
        <w:rPr>
          <w:rFonts w:cs="Times New Roman"/>
          <w:i/>
          <w:sz w:val="24"/>
          <w:szCs w:val="24"/>
        </w:rPr>
        <w:t>Postcolonial</w:t>
      </w:r>
      <w:r w:rsidR="00D10327">
        <w:rPr>
          <w:rFonts w:cs="Times New Roman"/>
          <w:i/>
          <w:sz w:val="24"/>
          <w:szCs w:val="24"/>
        </w:rPr>
        <w:t xml:space="preserve"> </w:t>
      </w:r>
      <w:r w:rsidR="00B64318" w:rsidRPr="006A42FC">
        <w:rPr>
          <w:rFonts w:cs="Times New Roman"/>
          <w:i/>
          <w:sz w:val="24"/>
          <w:szCs w:val="24"/>
        </w:rPr>
        <w:t>Displacements</w:t>
      </w:r>
      <w:r w:rsidR="00D10327">
        <w:rPr>
          <w:rFonts w:cs="Times New Roman"/>
          <w:sz w:val="24"/>
          <w:szCs w:val="24"/>
        </w:rPr>
        <w:t>, 21-39.</w:t>
      </w:r>
      <w:r w:rsidR="00B64318">
        <w:rPr>
          <w:rFonts w:cs="Times New Roman"/>
          <w:sz w:val="24"/>
          <w:szCs w:val="24"/>
        </w:rPr>
        <w:t xml:space="preserve"> </w:t>
      </w:r>
      <w:r w:rsidR="00B64318" w:rsidRPr="006A42FC">
        <w:rPr>
          <w:rFonts w:cs="Times New Roman"/>
          <w:sz w:val="24"/>
          <w:szCs w:val="24"/>
        </w:rPr>
        <w:t>Princeton, NJ: Princeton University</w:t>
      </w:r>
      <w:r w:rsidR="00D10327">
        <w:rPr>
          <w:rFonts w:cs="Times New Roman"/>
          <w:sz w:val="24"/>
          <w:szCs w:val="24"/>
        </w:rPr>
        <w:t xml:space="preserve"> </w:t>
      </w:r>
      <w:r w:rsidR="00B64318" w:rsidRPr="006A42FC">
        <w:rPr>
          <w:rFonts w:cs="Times New Roman"/>
          <w:sz w:val="24"/>
          <w:szCs w:val="24"/>
        </w:rPr>
        <w:t>Press,</w:t>
      </w:r>
      <w:r w:rsidR="00D10327">
        <w:rPr>
          <w:rFonts w:cs="Times New Roman"/>
          <w:sz w:val="24"/>
          <w:szCs w:val="24"/>
        </w:rPr>
        <w:tab/>
        <w:t>1995.</w:t>
      </w:r>
    </w:p>
    <w:p w14:paraId="5C80843E" w14:textId="7EB8EB23" w:rsidR="00B64318" w:rsidRPr="00E67EF2" w:rsidRDefault="00B64318" w:rsidP="00186DCC">
      <w:pPr>
        <w:pStyle w:val="NoSpacing"/>
        <w:rPr>
          <w:rFonts w:ascii="Times New Roman" w:hAnsi="Times New Roman"/>
          <w:szCs w:val="24"/>
        </w:rPr>
      </w:pPr>
    </w:p>
    <w:p w14:paraId="7EAC9310" w14:textId="1897699C" w:rsidR="00B64318" w:rsidRPr="00A002CA" w:rsidRDefault="00B64318" w:rsidP="00B64318">
      <w:pPr>
        <w:spacing w:line="240" w:lineRule="auto"/>
        <w:rPr>
          <w:rFonts w:asciiTheme="majorHAnsi" w:hAnsiTheme="majorHAnsi" w:cstheme="majorHAnsi"/>
          <w:color w:val="000000"/>
        </w:rPr>
      </w:pPr>
      <w:r w:rsidRPr="006A42FC">
        <w:rPr>
          <w:rFonts w:ascii="Times New Roman" w:hAnsi="Times New Roman"/>
        </w:rPr>
        <w:t xml:space="preserve">Sanders, </w:t>
      </w:r>
      <w:r>
        <w:t xml:space="preserve">Gordon. </w:t>
      </w:r>
      <w:r w:rsidRPr="006A42FC">
        <w:rPr>
          <w:rFonts w:ascii="Times New Roman" w:hAnsi="Times New Roman"/>
          <w:i/>
        </w:rPr>
        <w:t>Oscar Berninghaus: Mater Painter of American Indians and Th</w:t>
      </w:r>
      <w:r>
        <w:rPr>
          <w:rFonts w:ascii="Times New Roman" w:hAnsi="Times New Roman"/>
          <w:i/>
        </w:rPr>
        <w:t>e</w:t>
      </w:r>
      <w:r>
        <w:rPr>
          <w:rFonts w:ascii="Times New Roman" w:hAnsi="Times New Roman"/>
          <w:i/>
        </w:rPr>
        <w:tab/>
      </w:r>
      <w:r w:rsidRPr="00A002CA">
        <w:rPr>
          <w:rFonts w:asciiTheme="majorHAnsi" w:hAnsiTheme="majorHAnsi" w:cstheme="majorHAnsi"/>
          <w:i/>
        </w:rPr>
        <w:t>Frontier West</w:t>
      </w:r>
      <w:r w:rsidR="00D10327">
        <w:rPr>
          <w:rFonts w:asciiTheme="majorHAnsi" w:hAnsiTheme="majorHAnsi" w:cstheme="majorHAnsi"/>
        </w:rPr>
        <w:t>.</w:t>
      </w:r>
      <w:r w:rsidR="00E20CE7">
        <w:rPr>
          <w:rFonts w:asciiTheme="majorHAnsi" w:hAnsiTheme="majorHAnsi" w:cstheme="majorHAnsi"/>
        </w:rPr>
        <w:t xml:space="preserve"> Taos</w:t>
      </w:r>
      <w:r w:rsidRPr="00A002CA">
        <w:rPr>
          <w:rFonts w:asciiTheme="majorHAnsi" w:hAnsiTheme="majorHAnsi" w:cstheme="majorHAnsi"/>
        </w:rPr>
        <w:t>: Taos Heritage Publishing, 1985.</w:t>
      </w:r>
    </w:p>
    <w:p w14:paraId="79852FB7" w14:textId="77777777" w:rsidR="00B64318" w:rsidRPr="00A002CA" w:rsidRDefault="00B64318" w:rsidP="00B64318">
      <w:pPr>
        <w:spacing w:line="240" w:lineRule="auto"/>
        <w:rPr>
          <w:rFonts w:asciiTheme="majorHAnsi" w:hAnsiTheme="majorHAnsi" w:cstheme="majorHAnsi"/>
          <w:color w:val="000000"/>
        </w:rPr>
      </w:pPr>
    </w:p>
    <w:p w14:paraId="36CE4910" w14:textId="525DF4CD" w:rsidR="00E67EF2" w:rsidRPr="00A002CA" w:rsidRDefault="00E67EF2" w:rsidP="00E67EF2">
      <w:pPr>
        <w:rPr>
          <w:rFonts w:asciiTheme="majorHAnsi" w:hAnsiTheme="majorHAnsi" w:cstheme="majorHAnsi"/>
          <w:color w:val="000000"/>
        </w:rPr>
      </w:pPr>
      <w:r w:rsidRPr="00A002CA">
        <w:rPr>
          <w:rFonts w:asciiTheme="majorHAnsi" w:hAnsiTheme="majorHAnsi" w:cstheme="majorHAnsi"/>
          <w:color w:val="000000"/>
        </w:rPr>
        <w:t xml:space="preserve">Sanjek, Roger. “The Ethnographic Present,” </w:t>
      </w:r>
      <w:r w:rsidRPr="00A002CA">
        <w:rPr>
          <w:rFonts w:asciiTheme="majorHAnsi" w:hAnsiTheme="majorHAnsi" w:cstheme="majorHAnsi"/>
          <w:i/>
          <w:color w:val="000000"/>
        </w:rPr>
        <w:t>Man</w:t>
      </w:r>
      <w:r w:rsidRPr="00A002CA">
        <w:rPr>
          <w:rFonts w:asciiTheme="majorHAnsi" w:hAnsiTheme="majorHAnsi" w:cstheme="majorHAnsi"/>
          <w:color w:val="000000"/>
        </w:rPr>
        <w:t xml:space="preserve"> 26, no. 4 (December 1991): 612.</w:t>
      </w:r>
    </w:p>
    <w:p w14:paraId="22D5C2B5" w14:textId="013A8BCA" w:rsidR="00186DCC" w:rsidRDefault="00186DCC" w:rsidP="00404EFD">
      <w:pPr>
        <w:spacing w:line="240" w:lineRule="auto"/>
      </w:pPr>
      <w:r w:rsidRPr="00A002CA">
        <w:t xml:space="preserve">Sanweiss, Martha. </w:t>
      </w:r>
      <w:r w:rsidRPr="00A002CA">
        <w:rPr>
          <w:i/>
        </w:rPr>
        <w:t>Print the Legend: Photography and the American West</w:t>
      </w:r>
      <w:r w:rsidR="00E20CE7">
        <w:t xml:space="preserve">. </w:t>
      </w:r>
      <w:r w:rsidRPr="00A002CA">
        <w:t>New Haven</w:t>
      </w:r>
      <w:r w:rsidR="005C21FB" w:rsidRPr="00A002CA">
        <w:t>:</w:t>
      </w:r>
      <w:r w:rsidR="00A002CA">
        <w:tab/>
      </w:r>
      <w:r w:rsidRPr="00A002CA">
        <w:t>Yale</w:t>
      </w:r>
      <w:r w:rsidR="00A002CA">
        <w:t xml:space="preserve"> </w:t>
      </w:r>
      <w:r w:rsidRPr="00A002CA">
        <w:t>University Press, 2002.</w:t>
      </w:r>
    </w:p>
    <w:p w14:paraId="3E118379" w14:textId="77777777" w:rsidR="00404EFD" w:rsidRPr="00A002CA" w:rsidRDefault="00404EFD" w:rsidP="00404EFD">
      <w:pPr>
        <w:spacing w:line="240" w:lineRule="auto"/>
      </w:pPr>
    </w:p>
    <w:p w14:paraId="4A4D7DD6" w14:textId="4818F3EA" w:rsidR="00186DCC" w:rsidRPr="00A002CA" w:rsidRDefault="00186DCC" w:rsidP="007459C4">
      <w:pPr>
        <w:spacing w:line="240" w:lineRule="auto"/>
      </w:pPr>
      <w:r w:rsidRPr="00A002CA">
        <w:t xml:space="preserve">Schein, Louisa. “Gender and Internal Orientalism in China.” </w:t>
      </w:r>
      <w:r w:rsidRPr="00A002CA">
        <w:rPr>
          <w:i/>
        </w:rPr>
        <w:t>Modern China</w:t>
      </w:r>
      <w:r w:rsidR="005C21FB" w:rsidRPr="00A002CA">
        <w:t xml:space="preserve"> 23, no. </w:t>
      </w:r>
      <w:r w:rsidRPr="00A002CA">
        <w:t xml:space="preserve">1 </w:t>
      </w:r>
      <w:r w:rsidR="002D6CAC" w:rsidRPr="00A002CA">
        <w:tab/>
      </w:r>
      <w:r w:rsidRPr="00A002CA">
        <w:t>(Jan</w:t>
      </w:r>
      <w:r w:rsidR="005C21FB" w:rsidRPr="00A002CA">
        <w:t>uary</w:t>
      </w:r>
      <w:r w:rsidRPr="00A002CA">
        <w:t>1997): 69-98.</w:t>
      </w:r>
    </w:p>
    <w:p w14:paraId="3E052AD8" w14:textId="77777777" w:rsidR="00D10327" w:rsidRDefault="00D10327" w:rsidP="007459C4">
      <w:pPr>
        <w:spacing w:line="240" w:lineRule="auto"/>
      </w:pPr>
    </w:p>
    <w:p w14:paraId="7A364BF4" w14:textId="4564906B" w:rsidR="003D6433" w:rsidRDefault="003D6433" w:rsidP="007459C4">
      <w:pPr>
        <w:spacing w:line="240" w:lineRule="auto"/>
      </w:pPr>
      <w:r w:rsidRPr="003D6433">
        <w:t xml:space="preserve">Schimmel, J. and </w:t>
      </w:r>
      <w:r w:rsidR="00E20CE7">
        <w:t xml:space="preserve">R.R. </w:t>
      </w:r>
      <w:r w:rsidRPr="003D6433">
        <w:t xml:space="preserve">White. </w:t>
      </w:r>
      <w:r w:rsidRPr="003D6433">
        <w:rPr>
          <w:i/>
        </w:rPr>
        <w:t>Bert Geer Phillips and the Taos Art Colony</w:t>
      </w:r>
      <w:r>
        <w:t>.</w:t>
      </w:r>
      <w:r>
        <w:tab/>
      </w:r>
      <w:r>
        <w:tab/>
      </w:r>
      <w:r w:rsidRPr="003D6433">
        <w:t>Albuquerque: University of</w:t>
      </w:r>
      <w:r>
        <w:t xml:space="preserve"> </w:t>
      </w:r>
      <w:r w:rsidRPr="003D6433">
        <w:t>New Mexico Press, 1994.</w:t>
      </w:r>
    </w:p>
    <w:p w14:paraId="5E6915B1" w14:textId="77777777" w:rsidR="007459C4" w:rsidRDefault="007459C4" w:rsidP="007459C4">
      <w:pPr>
        <w:pStyle w:val="EndnoteText"/>
        <w:rPr>
          <w:rFonts w:asciiTheme="majorHAnsi" w:hAnsiTheme="majorHAnsi" w:cstheme="majorHAnsi"/>
          <w:sz w:val="24"/>
          <w:szCs w:val="24"/>
        </w:rPr>
      </w:pPr>
    </w:p>
    <w:p w14:paraId="7644325F" w14:textId="2A0B0374" w:rsidR="00E20CE7" w:rsidRDefault="00186DCC" w:rsidP="007459C4">
      <w:pPr>
        <w:pStyle w:val="EndnoteText"/>
        <w:rPr>
          <w:rFonts w:asciiTheme="majorHAnsi" w:hAnsiTheme="majorHAnsi" w:cstheme="majorHAnsi"/>
          <w:sz w:val="24"/>
          <w:szCs w:val="24"/>
        </w:rPr>
      </w:pPr>
      <w:r w:rsidRPr="00A002CA">
        <w:rPr>
          <w:rFonts w:asciiTheme="majorHAnsi" w:hAnsiTheme="majorHAnsi" w:cstheme="majorHAnsi"/>
          <w:sz w:val="24"/>
          <w:szCs w:val="24"/>
        </w:rPr>
        <w:t>Schroe</w:t>
      </w:r>
      <w:r w:rsidRPr="004245C9">
        <w:rPr>
          <w:rFonts w:asciiTheme="majorHAnsi" w:hAnsiTheme="majorHAnsi" w:cstheme="majorHAnsi"/>
          <w:sz w:val="24"/>
          <w:szCs w:val="24"/>
        </w:rPr>
        <w:t>der, Jonathan E., and Janet L. Borgerson. “Packaging Paradise: Organizing</w:t>
      </w:r>
      <w:r w:rsidR="005C21FB" w:rsidRPr="004245C9">
        <w:rPr>
          <w:rFonts w:asciiTheme="majorHAnsi" w:hAnsiTheme="majorHAnsi" w:cstheme="majorHAnsi"/>
          <w:sz w:val="24"/>
          <w:szCs w:val="24"/>
        </w:rPr>
        <w:tab/>
      </w:r>
      <w:r w:rsidRPr="004245C9">
        <w:rPr>
          <w:rFonts w:asciiTheme="majorHAnsi" w:hAnsiTheme="majorHAnsi" w:cstheme="majorHAnsi"/>
          <w:sz w:val="24"/>
          <w:szCs w:val="24"/>
        </w:rPr>
        <w:t>Representations of</w:t>
      </w:r>
      <w:r w:rsidR="005C21FB" w:rsidRPr="004245C9">
        <w:rPr>
          <w:rFonts w:asciiTheme="majorHAnsi" w:hAnsiTheme="majorHAnsi" w:cstheme="majorHAnsi"/>
          <w:sz w:val="24"/>
          <w:szCs w:val="24"/>
        </w:rPr>
        <w:t xml:space="preserve"> </w:t>
      </w:r>
      <w:r w:rsidRPr="004245C9">
        <w:rPr>
          <w:rFonts w:asciiTheme="majorHAnsi" w:hAnsiTheme="majorHAnsi" w:cstheme="majorHAnsi"/>
          <w:sz w:val="24"/>
          <w:szCs w:val="24"/>
        </w:rPr>
        <w:t xml:space="preserve">Hawaii,” </w:t>
      </w:r>
      <w:r w:rsidR="00E20CE7">
        <w:rPr>
          <w:rFonts w:asciiTheme="majorHAnsi" w:hAnsiTheme="majorHAnsi" w:cstheme="majorHAnsi"/>
          <w:sz w:val="24"/>
          <w:szCs w:val="24"/>
        </w:rPr>
        <w:t xml:space="preserve">in </w:t>
      </w:r>
      <w:r w:rsidR="00D10327">
        <w:rPr>
          <w:rFonts w:asciiTheme="majorHAnsi" w:hAnsiTheme="majorHAnsi" w:cstheme="majorHAnsi"/>
          <w:sz w:val="24"/>
          <w:szCs w:val="24"/>
        </w:rPr>
        <w:t>A. Prasad, ed.</w:t>
      </w:r>
      <w:r w:rsidR="00D10327" w:rsidRPr="004245C9">
        <w:rPr>
          <w:rFonts w:asciiTheme="majorHAnsi" w:hAnsiTheme="majorHAnsi" w:cstheme="majorHAnsi"/>
          <w:i/>
          <w:sz w:val="24"/>
          <w:szCs w:val="24"/>
        </w:rPr>
        <w:t xml:space="preserve"> </w:t>
      </w:r>
      <w:r w:rsidR="005C21FB" w:rsidRPr="004245C9">
        <w:rPr>
          <w:rFonts w:asciiTheme="majorHAnsi" w:hAnsiTheme="majorHAnsi" w:cstheme="majorHAnsi"/>
          <w:i/>
          <w:sz w:val="24"/>
          <w:szCs w:val="24"/>
        </w:rPr>
        <w:t>Against The Grain: Advances in</w:t>
      </w:r>
      <w:r w:rsidR="00D10327">
        <w:rPr>
          <w:rFonts w:asciiTheme="majorHAnsi" w:hAnsiTheme="majorHAnsi" w:cstheme="majorHAnsi"/>
          <w:i/>
          <w:sz w:val="24"/>
          <w:szCs w:val="24"/>
        </w:rPr>
        <w:tab/>
        <w:t xml:space="preserve">Postcolonial </w:t>
      </w:r>
      <w:r w:rsidR="005C21FB" w:rsidRPr="004245C9">
        <w:rPr>
          <w:rFonts w:asciiTheme="majorHAnsi" w:hAnsiTheme="majorHAnsi" w:cstheme="majorHAnsi"/>
          <w:i/>
          <w:sz w:val="24"/>
          <w:szCs w:val="24"/>
        </w:rPr>
        <w:t>Organization Studies</w:t>
      </w:r>
      <w:r w:rsidR="00E20CE7">
        <w:rPr>
          <w:rFonts w:asciiTheme="majorHAnsi" w:hAnsiTheme="majorHAnsi" w:cstheme="majorHAnsi"/>
          <w:sz w:val="24"/>
          <w:szCs w:val="24"/>
        </w:rPr>
        <w:t>, 32-53.</w:t>
      </w:r>
      <w:r w:rsidR="005C21FB" w:rsidRPr="004245C9">
        <w:rPr>
          <w:rFonts w:asciiTheme="majorHAnsi" w:hAnsiTheme="majorHAnsi" w:cstheme="majorHAnsi"/>
          <w:sz w:val="24"/>
          <w:szCs w:val="24"/>
        </w:rPr>
        <w:t xml:space="preserve"> Copenhagen: </w:t>
      </w:r>
      <w:r w:rsidRPr="004245C9">
        <w:rPr>
          <w:rFonts w:asciiTheme="majorHAnsi" w:hAnsiTheme="majorHAnsi" w:cstheme="majorHAnsi"/>
          <w:sz w:val="24"/>
          <w:szCs w:val="24"/>
        </w:rPr>
        <w:t>Liber &amp;</w:t>
      </w:r>
      <w:r w:rsidR="00803CC1">
        <w:rPr>
          <w:rFonts w:asciiTheme="majorHAnsi" w:hAnsiTheme="majorHAnsi" w:cstheme="majorHAnsi"/>
          <w:sz w:val="24"/>
          <w:szCs w:val="24"/>
        </w:rPr>
        <w:t xml:space="preserve"> </w:t>
      </w:r>
      <w:r w:rsidRPr="004245C9">
        <w:rPr>
          <w:rFonts w:asciiTheme="majorHAnsi" w:hAnsiTheme="majorHAnsi" w:cstheme="majorHAnsi"/>
          <w:sz w:val="24"/>
          <w:szCs w:val="24"/>
        </w:rPr>
        <w:t>Copenhagen</w:t>
      </w:r>
      <w:r w:rsidR="00803CC1">
        <w:rPr>
          <w:rFonts w:asciiTheme="majorHAnsi" w:hAnsiTheme="majorHAnsi" w:cstheme="majorHAnsi"/>
          <w:sz w:val="24"/>
          <w:szCs w:val="24"/>
        </w:rPr>
        <w:tab/>
      </w:r>
      <w:r w:rsidRPr="004245C9">
        <w:rPr>
          <w:rFonts w:asciiTheme="majorHAnsi" w:hAnsiTheme="majorHAnsi" w:cstheme="majorHAnsi"/>
          <w:sz w:val="24"/>
          <w:szCs w:val="24"/>
        </w:rPr>
        <w:t>Business</w:t>
      </w:r>
      <w:r w:rsidR="005C21FB" w:rsidRPr="004245C9">
        <w:rPr>
          <w:rFonts w:asciiTheme="majorHAnsi" w:hAnsiTheme="majorHAnsi" w:cstheme="majorHAnsi"/>
          <w:sz w:val="24"/>
          <w:szCs w:val="24"/>
        </w:rPr>
        <w:t xml:space="preserve"> </w:t>
      </w:r>
      <w:r w:rsidRPr="004245C9">
        <w:rPr>
          <w:rFonts w:asciiTheme="majorHAnsi" w:hAnsiTheme="majorHAnsi" w:cstheme="majorHAnsi"/>
          <w:sz w:val="24"/>
          <w:szCs w:val="24"/>
        </w:rPr>
        <w:t>School Press, 20</w:t>
      </w:r>
      <w:r w:rsidR="00E20CE7">
        <w:rPr>
          <w:rFonts w:asciiTheme="majorHAnsi" w:hAnsiTheme="majorHAnsi" w:cstheme="majorHAnsi"/>
          <w:sz w:val="24"/>
          <w:szCs w:val="24"/>
        </w:rPr>
        <w:t>12.</w:t>
      </w:r>
    </w:p>
    <w:p w14:paraId="3595D78A" w14:textId="3E71FAAF" w:rsidR="00E20CE7" w:rsidRDefault="00E20CE7" w:rsidP="007459C4">
      <w:pPr>
        <w:pStyle w:val="EndnoteText"/>
        <w:rPr>
          <w:rFonts w:asciiTheme="majorHAnsi" w:hAnsiTheme="majorHAnsi" w:cstheme="majorHAnsi"/>
          <w:sz w:val="24"/>
          <w:szCs w:val="24"/>
        </w:rPr>
      </w:pPr>
    </w:p>
    <w:p w14:paraId="046EB8D2" w14:textId="3F9E4A59" w:rsidR="00186DCC" w:rsidRPr="00C639DE" w:rsidRDefault="00186DCC" w:rsidP="00186DCC">
      <w:pPr>
        <w:pStyle w:val="NoSpacing"/>
        <w:rPr>
          <w:rFonts w:ascii="Times New Roman" w:hAnsi="Times New Roman"/>
          <w:bCs/>
          <w:szCs w:val="24"/>
        </w:rPr>
      </w:pPr>
      <w:r w:rsidRPr="004245C9">
        <w:rPr>
          <w:rFonts w:asciiTheme="majorHAnsi" w:hAnsiTheme="majorHAnsi" w:cstheme="majorHAnsi"/>
          <w:bCs/>
          <w:szCs w:val="24"/>
        </w:rPr>
        <w:t xml:space="preserve">Scott, Sascha. </w:t>
      </w:r>
      <w:r w:rsidRPr="004245C9">
        <w:rPr>
          <w:rFonts w:asciiTheme="majorHAnsi" w:hAnsiTheme="majorHAnsi" w:cstheme="majorHAnsi"/>
          <w:bCs/>
          <w:i/>
          <w:szCs w:val="24"/>
        </w:rPr>
        <w:t>Painting</w:t>
      </w:r>
      <w:r w:rsidRPr="00DA1E36">
        <w:rPr>
          <w:rFonts w:ascii="Times New Roman" w:hAnsi="Times New Roman"/>
          <w:bCs/>
          <w:i/>
          <w:szCs w:val="24"/>
        </w:rPr>
        <w:t xml:space="preserve"> of Pueblo Indians</w:t>
      </w:r>
      <w:r w:rsidR="00D10327">
        <w:rPr>
          <w:rFonts w:ascii="Times New Roman" w:hAnsi="Times New Roman"/>
          <w:bCs/>
          <w:i/>
          <w:szCs w:val="24"/>
        </w:rPr>
        <w:t xml:space="preserve"> </w:t>
      </w:r>
      <w:r w:rsidRPr="00DA1E36">
        <w:rPr>
          <w:rFonts w:ascii="Times New Roman" w:hAnsi="Times New Roman"/>
          <w:bCs/>
          <w:i/>
          <w:szCs w:val="24"/>
        </w:rPr>
        <w:t>and the Politics</w:t>
      </w:r>
      <w:r w:rsidR="005C21FB">
        <w:rPr>
          <w:rFonts w:ascii="Times New Roman" w:hAnsi="Times New Roman"/>
          <w:bCs/>
          <w:i/>
          <w:szCs w:val="24"/>
        </w:rPr>
        <w:t xml:space="preserve"> </w:t>
      </w:r>
      <w:r w:rsidRPr="00DA1E36">
        <w:rPr>
          <w:rFonts w:ascii="Times New Roman" w:hAnsi="Times New Roman"/>
          <w:bCs/>
          <w:i/>
          <w:szCs w:val="24"/>
        </w:rPr>
        <w:t>of Preservation in the</w:t>
      </w:r>
      <w:r w:rsidR="00D10327">
        <w:rPr>
          <w:rFonts w:ascii="Times New Roman" w:hAnsi="Times New Roman"/>
          <w:bCs/>
          <w:i/>
          <w:szCs w:val="24"/>
        </w:rPr>
        <w:tab/>
      </w:r>
      <w:r w:rsidR="00D10327">
        <w:rPr>
          <w:rFonts w:ascii="Times New Roman" w:hAnsi="Times New Roman"/>
          <w:bCs/>
          <w:i/>
          <w:szCs w:val="24"/>
        </w:rPr>
        <w:tab/>
      </w:r>
      <w:r w:rsidRPr="00DA1E36">
        <w:rPr>
          <w:rFonts w:ascii="Times New Roman" w:hAnsi="Times New Roman"/>
          <w:bCs/>
          <w:i/>
          <w:szCs w:val="24"/>
        </w:rPr>
        <w:t>American Southwest</w:t>
      </w:r>
      <w:r w:rsidR="00D10327">
        <w:rPr>
          <w:rFonts w:ascii="Times New Roman" w:hAnsi="Times New Roman"/>
          <w:bCs/>
          <w:szCs w:val="24"/>
        </w:rPr>
        <w:t xml:space="preserve">. </w:t>
      </w:r>
      <w:r w:rsidR="00E20CE7">
        <w:rPr>
          <w:rFonts w:ascii="Times New Roman" w:hAnsi="Times New Roman"/>
          <w:bCs/>
          <w:szCs w:val="24"/>
        </w:rPr>
        <w:t>Ph</w:t>
      </w:r>
      <w:r w:rsidRPr="00DA1E36">
        <w:rPr>
          <w:rFonts w:ascii="Times New Roman" w:hAnsi="Times New Roman"/>
          <w:bCs/>
          <w:szCs w:val="24"/>
        </w:rPr>
        <w:t>D</w:t>
      </w:r>
      <w:r w:rsidR="00E20CE7">
        <w:rPr>
          <w:rFonts w:ascii="Times New Roman" w:hAnsi="Times New Roman"/>
          <w:bCs/>
          <w:szCs w:val="24"/>
        </w:rPr>
        <w:t xml:space="preserve"> diss.,</w:t>
      </w:r>
      <w:r w:rsidR="00D10327">
        <w:rPr>
          <w:rFonts w:ascii="Times New Roman" w:hAnsi="Times New Roman"/>
          <w:bCs/>
          <w:szCs w:val="24"/>
        </w:rPr>
        <w:t xml:space="preserve"> </w:t>
      </w:r>
      <w:r w:rsidRPr="00C639DE">
        <w:rPr>
          <w:rFonts w:asciiTheme="majorHAnsi" w:hAnsiTheme="majorHAnsi" w:cstheme="majorHAnsi"/>
          <w:bCs/>
          <w:szCs w:val="24"/>
        </w:rPr>
        <w:t>Rutgers University,</w:t>
      </w:r>
      <w:r w:rsidR="005C21FB" w:rsidRPr="00C639DE">
        <w:rPr>
          <w:rFonts w:asciiTheme="majorHAnsi" w:hAnsiTheme="majorHAnsi" w:cstheme="majorHAnsi"/>
          <w:bCs/>
          <w:szCs w:val="24"/>
        </w:rPr>
        <w:t xml:space="preserve"> </w:t>
      </w:r>
      <w:r w:rsidRPr="00C639DE">
        <w:rPr>
          <w:rFonts w:asciiTheme="majorHAnsi" w:hAnsiTheme="majorHAnsi" w:cstheme="majorHAnsi"/>
          <w:bCs/>
          <w:szCs w:val="24"/>
        </w:rPr>
        <w:t>2008.</w:t>
      </w:r>
      <w:r w:rsidR="00C639DE" w:rsidRPr="00C639DE">
        <w:rPr>
          <w:rFonts w:asciiTheme="majorHAnsi" w:hAnsiTheme="majorHAnsi" w:cstheme="majorHAnsi"/>
          <w:bCs/>
          <w:szCs w:val="24"/>
        </w:rPr>
        <w:t xml:space="preserve"> </w:t>
      </w:r>
      <w:hyperlink r:id="rId91" w:history="1">
        <w:r w:rsidR="00D10327" w:rsidRPr="00C639DE">
          <w:rPr>
            <w:rStyle w:val="Hyperlink"/>
            <w:rFonts w:asciiTheme="majorHAnsi" w:hAnsiTheme="majorHAnsi" w:cstheme="majorHAnsi"/>
            <w:color w:val="auto"/>
            <w:szCs w:val="24"/>
            <w:u w:val="none"/>
          </w:rPr>
          <w:t>http://dx.doi.org/doi:</w:t>
        </w:r>
        <w:r w:rsidR="00D10327" w:rsidRPr="00C639DE">
          <w:rPr>
            <w:rStyle w:val="Hyperlink"/>
            <w:rFonts w:asciiTheme="majorHAnsi" w:hAnsiTheme="majorHAnsi" w:cstheme="majorHAnsi"/>
            <w:color w:val="auto"/>
            <w:szCs w:val="24"/>
            <w:u w:val="none"/>
          </w:rPr>
          <w:tab/>
          <w:t>10.7282/T3571CCX</w:t>
        </w:r>
      </w:hyperlink>
      <w:r w:rsidR="00D10327">
        <w:rPr>
          <w:rStyle w:val="Hyperlink"/>
          <w:rFonts w:asciiTheme="majorHAnsi" w:hAnsiTheme="majorHAnsi" w:cstheme="majorHAnsi"/>
          <w:color w:val="auto"/>
          <w:szCs w:val="24"/>
          <w:u w:val="none"/>
        </w:rPr>
        <w:t xml:space="preserve"> (a</w:t>
      </w:r>
      <w:r w:rsidR="007D753B">
        <w:rPr>
          <w:rFonts w:asciiTheme="majorHAnsi" w:hAnsiTheme="majorHAnsi" w:cstheme="majorHAnsi"/>
          <w:szCs w:val="24"/>
          <w:shd w:val="clear" w:color="auto" w:fill="FFFFFF"/>
        </w:rPr>
        <w:t>ccessed</w:t>
      </w:r>
      <w:r w:rsidR="00C639DE" w:rsidRPr="00C639DE">
        <w:rPr>
          <w:rFonts w:asciiTheme="majorHAnsi" w:hAnsiTheme="majorHAnsi" w:cstheme="majorHAnsi"/>
          <w:szCs w:val="24"/>
          <w:shd w:val="clear" w:color="auto" w:fill="FFFFFF"/>
        </w:rPr>
        <w:t xml:space="preserve"> September 4, 2011</w:t>
      </w:r>
      <w:r w:rsidR="00D10327">
        <w:rPr>
          <w:rFonts w:asciiTheme="majorHAnsi" w:hAnsiTheme="majorHAnsi" w:cstheme="majorHAnsi"/>
          <w:szCs w:val="24"/>
          <w:shd w:val="clear" w:color="auto" w:fill="FFFFFF"/>
        </w:rPr>
        <w:t>)</w:t>
      </w:r>
      <w:r w:rsidR="00C639DE" w:rsidRPr="00C639DE">
        <w:rPr>
          <w:rFonts w:asciiTheme="majorHAnsi" w:hAnsiTheme="majorHAnsi" w:cstheme="majorHAnsi"/>
          <w:szCs w:val="24"/>
          <w:shd w:val="clear" w:color="auto" w:fill="FFFFFF"/>
        </w:rPr>
        <w:t>.</w:t>
      </w:r>
    </w:p>
    <w:p w14:paraId="26B4FF59" w14:textId="77777777" w:rsidR="00186DCC" w:rsidRPr="00C639DE" w:rsidRDefault="00186DCC" w:rsidP="00186DCC">
      <w:pPr>
        <w:pStyle w:val="NoSpacing"/>
        <w:rPr>
          <w:rFonts w:ascii="Times New Roman" w:hAnsi="Times New Roman"/>
          <w:szCs w:val="24"/>
        </w:rPr>
      </w:pPr>
    </w:p>
    <w:p w14:paraId="08B4AF82" w14:textId="7EF040E6"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Severson, Don R., Michael D. Horikawa, and Jennifer Saville. </w:t>
      </w:r>
      <w:r w:rsidRPr="00DA1E36">
        <w:rPr>
          <w:rFonts w:ascii="Times New Roman" w:hAnsi="Times New Roman"/>
          <w:i/>
          <w:iCs/>
          <w:szCs w:val="24"/>
        </w:rPr>
        <w:t>Finding Paradise: Island</w:t>
      </w:r>
      <w:r w:rsidR="005C21FB">
        <w:rPr>
          <w:rFonts w:ascii="Times New Roman" w:hAnsi="Times New Roman"/>
          <w:i/>
          <w:iCs/>
          <w:szCs w:val="24"/>
        </w:rPr>
        <w:tab/>
      </w:r>
      <w:r w:rsidRPr="00DA1E36">
        <w:rPr>
          <w:rFonts w:ascii="Times New Roman" w:hAnsi="Times New Roman"/>
          <w:i/>
          <w:iCs/>
          <w:szCs w:val="24"/>
        </w:rPr>
        <w:t>Art in Private</w:t>
      </w:r>
      <w:r w:rsidR="005C21FB">
        <w:rPr>
          <w:rFonts w:ascii="Times New Roman" w:hAnsi="Times New Roman"/>
          <w:i/>
          <w:iCs/>
          <w:szCs w:val="24"/>
        </w:rPr>
        <w:t xml:space="preserve"> Collections</w:t>
      </w:r>
      <w:r w:rsidR="00D10327">
        <w:rPr>
          <w:rFonts w:ascii="Times New Roman" w:hAnsi="Times New Roman"/>
          <w:iCs/>
          <w:szCs w:val="24"/>
        </w:rPr>
        <w:t xml:space="preserve">. </w:t>
      </w:r>
      <w:r w:rsidRPr="00DA1E36">
        <w:rPr>
          <w:rFonts w:ascii="Times New Roman" w:hAnsi="Times New Roman"/>
          <w:szCs w:val="24"/>
        </w:rPr>
        <w:t>Honolulu: Honolulu</w:t>
      </w:r>
      <w:r w:rsidR="00D10327">
        <w:rPr>
          <w:rFonts w:ascii="Times New Roman" w:hAnsi="Times New Roman"/>
          <w:szCs w:val="24"/>
        </w:rPr>
        <w:t xml:space="preserve"> </w:t>
      </w:r>
      <w:r w:rsidRPr="00DA1E36">
        <w:rPr>
          <w:rFonts w:ascii="Times New Roman" w:hAnsi="Times New Roman"/>
          <w:szCs w:val="24"/>
        </w:rPr>
        <w:t>Academy of Arts, University of</w:t>
      </w:r>
      <w:r w:rsidR="00D10327">
        <w:rPr>
          <w:rFonts w:ascii="Times New Roman" w:hAnsi="Times New Roman"/>
          <w:szCs w:val="24"/>
        </w:rPr>
        <w:tab/>
      </w:r>
      <w:r w:rsidRPr="00DA1E36">
        <w:rPr>
          <w:rFonts w:ascii="Times New Roman" w:hAnsi="Times New Roman"/>
          <w:szCs w:val="24"/>
        </w:rPr>
        <w:t>Hawaii Press, 2003.</w:t>
      </w:r>
    </w:p>
    <w:p w14:paraId="16BDCE38" w14:textId="491E0C7B" w:rsidR="00186DCC" w:rsidRDefault="00186DCC" w:rsidP="00186DCC">
      <w:pPr>
        <w:pStyle w:val="NoSpacing"/>
        <w:rPr>
          <w:rFonts w:ascii="Times New Roman" w:hAnsi="Times New Roman"/>
          <w:szCs w:val="24"/>
        </w:rPr>
      </w:pPr>
    </w:p>
    <w:p w14:paraId="20D19697" w14:textId="7D454950" w:rsidR="00811CBA" w:rsidRDefault="00811CBA" w:rsidP="00186DCC">
      <w:pPr>
        <w:pStyle w:val="NoSpacing"/>
        <w:rPr>
          <w:rFonts w:ascii="Times New Roman" w:hAnsi="Times New Roman"/>
          <w:szCs w:val="24"/>
        </w:rPr>
      </w:pPr>
      <w:r>
        <w:rPr>
          <w:rFonts w:ascii="Times New Roman" w:hAnsi="Times New Roman"/>
          <w:szCs w:val="24"/>
        </w:rPr>
        <w:t xml:space="preserve">Shields, Scott A., Claudine Chalmers, and Alfred C. Harrison, Jr. </w:t>
      </w:r>
      <w:r w:rsidRPr="00811CBA">
        <w:rPr>
          <w:rFonts w:ascii="Times New Roman" w:hAnsi="Times New Roman"/>
          <w:i/>
          <w:szCs w:val="24"/>
        </w:rPr>
        <w:t>Jules Tavernier:</w:t>
      </w:r>
      <w:r>
        <w:rPr>
          <w:rFonts w:ascii="Times New Roman" w:hAnsi="Times New Roman"/>
          <w:i/>
          <w:szCs w:val="24"/>
        </w:rPr>
        <w:tab/>
      </w:r>
      <w:r>
        <w:rPr>
          <w:rFonts w:ascii="Times New Roman" w:hAnsi="Times New Roman"/>
          <w:i/>
          <w:szCs w:val="24"/>
        </w:rPr>
        <w:tab/>
      </w:r>
      <w:r w:rsidRPr="00811CBA">
        <w:rPr>
          <w:rFonts w:ascii="Times New Roman" w:hAnsi="Times New Roman"/>
          <w:i/>
          <w:szCs w:val="24"/>
        </w:rPr>
        <w:t>Artist and Adventurer</w:t>
      </w:r>
      <w:r>
        <w:rPr>
          <w:rFonts w:ascii="Times New Roman" w:hAnsi="Times New Roman"/>
          <w:szCs w:val="24"/>
        </w:rPr>
        <w:t>. Portland: Pomegranate, 2013.</w:t>
      </w:r>
    </w:p>
    <w:p w14:paraId="661A75E6" w14:textId="77777777" w:rsidR="00811CBA" w:rsidRPr="00DA1E36" w:rsidRDefault="00811CBA" w:rsidP="00186DCC">
      <w:pPr>
        <w:pStyle w:val="NoSpacing"/>
        <w:rPr>
          <w:rFonts w:ascii="Times New Roman" w:hAnsi="Times New Roman"/>
          <w:szCs w:val="24"/>
        </w:rPr>
      </w:pPr>
    </w:p>
    <w:p w14:paraId="0A9CF278" w14:textId="576AB160" w:rsidR="00186DCC" w:rsidRPr="00DA1E36" w:rsidRDefault="00186DCC" w:rsidP="00782412">
      <w:pPr>
        <w:pStyle w:val="EndnoteText"/>
        <w:rPr>
          <w:rFonts w:ascii="Times New Roman" w:hAnsi="Times New Roman" w:cs="Times New Roman"/>
          <w:sz w:val="24"/>
          <w:szCs w:val="24"/>
        </w:rPr>
      </w:pPr>
      <w:r w:rsidRPr="00DA1E36">
        <w:rPr>
          <w:rFonts w:ascii="Times New Roman" w:hAnsi="Times New Roman" w:cs="Times New Roman"/>
          <w:sz w:val="24"/>
          <w:szCs w:val="24"/>
        </w:rPr>
        <w:t xml:space="preserve">Silva, Noenoe K. </w:t>
      </w:r>
      <w:r w:rsidRPr="00DA1E36">
        <w:rPr>
          <w:rFonts w:ascii="Times New Roman" w:hAnsi="Times New Roman" w:cs="Times New Roman"/>
          <w:i/>
          <w:sz w:val="24"/>
          <w:szCs w:val="24"/>
        </w:rPr>
        <w:t>Aloha Betrayed: Native Hawaiian Resistance to American</w:t>
      </w:r>
      <w:r w:rsidR="005C21FB">
        <w:rPr>
          <w:rFonts w:ascii="Times New Roman" w:hAnsi="Times New Roman" w:cs="Times New Roman"/>
          <w:i/>
          <w:sz w:val="24"/>
          <w:szCs w:val="24"/>
        </w:rPr>
        <w:tab/>
      </w:r>
      <w:r w:rsidRPr="00DA1E36">
        <w:rPr>
          <w:rFonts w:ascii="Times New Roman" w:hAnsi="Times New Roman" w:cs="Times New Roman"/>
          <w:i/>
          <w:sz w:val="24"/>
          <w:szCs w:val="24"/>
        </w:rPr>
        <w:t>Colonialism</w:t>
      </w:r>
      <w:r w:rsidR="005C21FB">
        <w:rPr>
          <w:rFonts w:ascii="Times New Roman" w:hAnsi="Times New Roman" w:cs="Times New Roman"/>
          <w:sz w:val="24"/>
          <w:szCs w:val="24"/>
        </w:rPr>
        <w:t xml:space="preserve">. Durham &amp; </w:t>
      </w:r>
      <w:r w:rsidRPr="00DA1E36">
        <w:rPr>
          <w:rFonts w:ascii="Times New Roman" w:hAnsi="Times New Roman" w:cs="Times New Roman"/>
          <w:sz w:val="24"/>
          <w:szCs w:val="24"/>
        </w:rPr>
        <w:t>London</w:t>
      </w:r>
      <w:r w:rsidR="00404EFD">
        <w:rPr>
          <w:rFonts w:ascii="Times New Roman" w:hAnsi="Times New Roman" w:cs="Times New Roman"/>
          <w:sz w:val="24"/>
          <w:szCs w:val="24"/>
        </w:rPr>
        <w:t>: Duke University Press, 2004.</w:t>
      </w:r>
    </w:p>
    <w:p w14:paraId="72D1DF6D" w14:textId="77777777" w:rsidR="00C529DE" w:rsidRDefault="00C529DE" w:rsidP="00782412">
      <w:pPr>
        <w:pStyle w:val="NoSpacing"/>
        <w:rPr>
          <w:rFonts w:ascii="Times New Roman" w:hAnsi="Times New Roman"/>
          <w:szCs w:val="24"/>
        </w:rPr>
      </w:pPr>
    </w:p>
    <w:p w14:paraId="2B723048" w14:textId="4D62EBFA" w:rsidR="00782412" w:rsidRPr="00E7312B" w:rsidRDefault="00782412" w:rsidP="00782412">
      <w:pPr>
        <w:spacing w:line="240" w:lineRule="auto"/>
      </w:pPr>
      <w:r w:rsidRPr="00E7312B">
        <w:softHyphen/>
      </w:r>
      <w:r w:rsidRPr="00E7312B">
        <w:softHyphen/>
      </w:r>
      <w:r w:rsidRPr="00E7312B">
        <w:softHyphen/>
      </w:r>
      <w:r w:rsidR="00D10327" w:rsidRPr="00D10327">
        <w:t xml:space="preserve"> </w:t>
      </w:r>
      <w:r w:rsidR="00D10327" w:rsidRPr="00E7312B">
        <w:t>Sloan, John.</w:t>
      </w:r>
      <w:r w:rsidRPr="00E7312B">
        <w:t xml:space="preserve"> "The Indian Dance from an Artists Point of View.” </w:t>
      </w:r>
      <w:r w:rsidRPr="00E7312B">
        <w:rPr>
          <w:i/>
        </w:rPr>
        <w:t>Arts and Decoration</w:t>
      </w:r>
      <w:r w:rsidR="00D10327">
        <w:rPr>
          <w:i/>
        </w:rPr>
        <w:tab/>
      </w:r>
      <w:r w:rsidRPr="00E7312B">
        <w:t>20</w:t>
      </w:r>
      <w:r w:rsidR="00D10327">
        <w:t xml:space="preserve"> </w:t>
      </w:r>
      <w:r w:rsidRPr="00E7312B">
        <w:t>(January 1924): 17,</w:t>
      </w:r>
      <w:r>
        <w:t xml:space="preserve"> </w:t>
      </w:r>
      <w:r w:rsidRPr="00E7312B">
        <w:t>56.</w:t>
      </w:r>
    </w:p>
    <w:p w14:paraId="7D4FCBF7" w14:textId="77777777" w:rsidR="00D10327" w:rsidRDefault="00D10327" w:rsidP="00D10327">
      <w:pPr>
        <w:spacing w:line="240" w:lineRule="auto"/>
      </w:pPr>
    </w:p>
    <w:p w14:paraId="145A6AD6" w14:textId="75A021B5" w:rsidR="00D10327" w:rsidRPr="00E7312B" w:rsidRDefault="00D10327" w:rsidP="00D10327">
      <w:pPr>
        <w:spacing w:line="240" w:lineRule="auto"/>
      </w:pPr>
      <w:r>
        <w:t xml:space="preserve">_____. </w:t>
      </w:r>
      <w:r w:rsidRPr="00E7312B">
        <w:t xml:space="preserve">“Modern Art is Dying.” </w:t>
      </w:r>
      <w:r w:rsidRPr="00E7312B">
        <w:rPr>
          <w:i/>
        </w:rPr>
        <w:t>Echo</w:t>
      </w:r>
      <w:r w:rsidRPr="00E7312B">
        <w:t xml:space="preserve"> 4 (December 1926): 22-23.</w:t>
      </w:r>
    </w:p>
    <w:p w14:paraId="2D04C08A" w14:textId="77777777" w:rsidR="009044C1" w:rsidRDefault="009044C1" w:rsidP="00782412">
      <w:pPr>
        <w:pStyle w:val="NoSpacing"/>
        <w:rPr>
          <w:rFonts w:ascii="Times New Roman" w:hAnsi="Times New Roman"/>
          <w:szCs w:val="24"/>
        </w:rPr>
      </w:pPr>
    </w:p>
    <w:p w14:paraId="455AF5FA" w14:textId="24EB793A" w:rsidR="00186DCC" w:rsidRPr="00EA2890" w:rsidRDefault="009044C1" w:rsidP="00782412">
      <w:pPr>
        <w:pStyle w:val="NoSpacing"/>
        <w:rPr>
          <w:rFonts w:asciiTheme="majorHAnsi" w:hAnsiTheme="majorHAnsi" w:cstheme="majorHAnsi"/>
          <w:szCs w:val="24"/>
        </w:rPr>
      </w:pPr>
      <w:r w:rsidRPr="004817B9">
        <w:rPr>
          <w:rFonts w:ascii="Times New Roman" w:hAnsi="Times New Roman"/>
          <w:szCs w:val="24"/>
        </w:rPr>
        <w:t>Slotkin</w:t>
      </w:r>
      <w:r>
        <w:rPr>
          <w:rFonts w:ascii="Times New Roman" w:hAnsi="Times New Roman"/>
          <w:szCs w:val="24"/>
        </w:rPr>
        <w:t xml:space="preserve"> </w:t>
      </w:r>
      <w:r w:rsidRPr="004817B9">
        <w:rPr>
          <w:rFonts w:ascii="Times New Roman" w:hAnsi="Times New Roman"/>
          <w:szCs w:val="24"/>
        </w:rPr>
        <w:t>Richard</w:t>
      </w:r>
      <w:r>
        <w:rPr>
          <w:rFonts w:ascii="Times New Roman" w:hAnsi="Times New Roman"/>
          <w:szCs w:val="24"/>
        </w:rPr>
        <w:t xml:space="preserve">. </w:t>
      </w:r>
      <w:r w:rsidRPr="00DF0C42">
        <w:rPr>
          <w:rFonts w:ascii="Times New Roman" w:hAnsi="Times New Roman"/>
          <w:i/>
          <w:szCs w:val="24"/>
        </w:rPr>
        <w:t>The Gunfighter Nation: Myth of the</w:t>
      </w:r>
      <w:r>
        <w:rPr>
          <w:rFonts w:ascii="Times New Roman" w:hAnsi="Times New Roman"/>
          <w:i/>
          <w:szCs w:val="24"/>
        </w:rPr>
        <w:t xml:space="preserve"> </w:t>
      </w:r>
      <w:r w:rsidRPr="00DF0C42">
        <w:rPr>
          <w:rFonts w:ascii="Times New Roman" w:hAnsi="Times New Roman"/>
          <w:i/>
          <w:szCs w:val="24"/>
        </w:rPr>
        <w:t>Frontier in Twentieth Century</w:t>
      </w:r>
      <w:r>
        <w:rPr>
          <w:rFonts w:ascii="Times New Roman" w:hAnsi="Times New Roman"/>
          <w:i/>
          <w:szCs w:val="24"/>
        </w:rPr>
        <w:tab/>
      </w:r>
      <w:r w:rsidRPr="00DF0C42">
        <w:rPr>
          <w:rFonts w:ascii="Times New Roman" w:hAnsi="Times New Roman"/>
          <w:i/>
          <w:szCs w:val="24"/>
        </w:rPr>
        <w:t>America</w:t>
      </w:r>
      <w:r>
        <w:rPr>
          <w:rFonts w:ascii="Times New Roman" w:hAnsi="Times New Roman"/>
          <w:szCs w:val="24"/>
        </w:rPr>
        <w:t>.</w:t>
      </w:r>
      <w:r w:rsidRPr="004817B9">
        <w:rPr>
          <w:rFonts w:ascii="Times New Roman" w:hAnsi="Times New Roman"/>
          <w:szCs w:val="24"/>
        </w:rPr>
        <w:t xml:space="preserve"> Norman</w:t>
      </w:r>
      <w:r w:rsidR="00E20CE7">
        <w:rPr>
          <w:rFonts w:ascii="Times New Roman" w:hAnsi="Times New Roman"/>
          <w:szCs w:val="24"/>
        </w:rPr>
        <w:t>:</w:t>
      </w:r>
      <w:r>
        <w:rPr>
          <w:rFonts w:ascii="Times New Roman" w:hAnsi="Times New Roman"/>
          <w:szCs w:val="24"/>
        </w:rPr>
        <w:t xml:space="preserve"> University </w:t>
      </w:r>
      <w:r w:rsidR="00D10327">
        <w:rPr>
          <w:rFonts w:ascii="Times New Roman" w:hAnsi="Times New Roman"/>
          <w:szCs w:val="24"/>
        </w:rPr>
        <w:t xml:space="preserve">of Oklahoma </w:t>
      </w:r>
      <w:r>
        <w:rPr>
          <w:rFonts w:ascii="Times New Roman" w:hAnsi="Times New Roman"/>
          <w:szCs w:val="24"/>
        </w:rPr>
        <w:t>P</w:t>
      </w:r>
      <w:r w:rsidRPr="00EA2890">
        <w:rPr>
          <w:rFonts w:asciiTheme="majorHAnsi" w:hAnsiTheme="majorHAnsi" w:cstheme="majorHAnsi"/>
          <w:szCs w:val="24"/>
        </w:rPr>
        <w:t>ress, 1998.</w:t>
      </w:r>
    </w:p>
    <w:p w14:paraId="7E63D625" w14:textId="6CE35308" w:rsidR="00EA2890" w:rsidRPr="00EA2890" w:rsidRDefault="00EA2890" w:rsidP="00782412">
      <w:pPr>
        <w:pStyle w:val="NoSpacing"/>
        <w:rPr>
          <w:rFonts w:asciiTheme="majorHAnsi" w:hAnsiTheme="majorHAnsi" w:cstheme="majorHAnsi"/>
          <w:szCs w:val="24"/>
        </w:rPr>
      </w:pPr>
    </w:p>
    <w:p w14:paraId="67F53B16" w14:textId="3C4736CE" w:rsidR="00EA2890" w:rsidRDefault="00EA2890" w:rsidP="00782412">
      <w:pPr>
        <w:pStyle w:val="NoSpacing"/>
        <w:rPr>
          <w:rFonts w:asciiTheme="majorHAnsi" w:hAnsiTheme="majorHAnsi" w:cstheme="majorHAnsi"/>
          <w:szCs w:val="24"/>
        </w:rPr>
      </w:pPr>
      <w:r w:rsidRPr="00EA2890">
        <w:rPr>
          <w:rFonts w:asciiTheme="majorHAnsi" w:hAnsiTheme="majorHAnsi" w:cstheme="majorHAnsi"/>
          <w:szCs w:val="24"/>
        </w:rPr>
        <w:t xml:space="preserve">Smith, Thomas Brent. </w:t>
      </w:r>
      <w:r w:rsidRPr="00EA2890">
        <w:rPr>
          <w:rFonts w:asciiTheme="majorHAnsi" w:hAnsiTheme="majorHAnsi" w:cstheme="majorHAnsi"/>
          <w:i/>
          <w:szCs w:val="24"/>
        </w:rPr>
        <w:t>A Place in the Sun: The Southwest Paintings of Walter Ufer and</w:t>
      </w:r>
      <w:r>
        <w:rPr>
          <w:rFonts w:asciiTheme="majorHAnsi" w:hAnsiTheme="majorHAnsi" w:cstheme="majorHAnsi"/>
          <w:i/>
          <w:szCs w:val="24"/>
        </w:rPr>
        <w:tab/>
      </w:r>
      <w:r w:rsidRPr="00EA2890">
        <w:rPr>
          <w:rFonts w:asciiTheme="majorHAnsi" w:hAnsiTheme="majorHAnsi" w:cstheme="majorHAnsi"/>
          <w:i/>
          <w:szCs w:val="24"/>
        </w:rPr>
        <w:t>E. Martin</w:t>
      </w:r>
      <w:r>
        <w:rPr>
          <w:rFonts w:asciiTheme="majorHAnsi" w:hAnsiTheme="majorHAnsi" w:cstheme="majorHAnsi"/>
          <w:i/>
          <w:szCs w:val="24"/>
        </w:rPr>
        <w:t xml:space="preserve"> </w:t>
      </w:r>
      <w:r w:rsidRPr="00EA2890">
        <w:rPr>
          <w:rFonts w:asciiTheme="majorHAnsi" w:hAnsiTheme="majorHAnsi" w:cstheme="majorHAnsi"/>
          <w:i/>
          <w:szCs w:val="24"/>
        </w:rPr>
        <w:t>Hennings</w:t>
      </w:r>
      <w:r w:rsidRPr="00EA2890">
        <w:rPr>
          <w:rFonts w:asciiTheme="majorHAnsi" w:hAnsiTheme="majorHAnsi" w:cstheme="majorHAnsi"/>
          <w:szCs w:val="24"/>
        </w:rPr>
        <w:t>. Norman: University of Oklahoma Press, 2016.</w:t>
      </w:r>
    </w:p>
    <w:p w14:paraId="130E4C1D" w14:textId="77777777" w:rsidR="00D10327" w:rsidRPr="00EA2890" w:rsidRDefault="00D10327" w:rsidP="00782412">
      <w:pPr>
        <w:pStyle w:val="NoSpacing"/>
        <w:rPr>
          <w:rFonts w:asciiTheme="majorHAnsi" w:hAnsiTheme="majorHAnsi" w:cstheme="majorHAnsi"/>
          <w:szCs w:val="24"/>
        </w:rPr>
      </w:pPr>
    </w:p>
    <w:p w14:paraId="16310FFF" w14:textId="7B7912A5" w:rsidR="00811CBA" w:rsidRDefault="00811CBA" w:rsidP="00811CBA">
      <w:pPr>
        <w:pStyle w:val="NoSpacing"/>
        <w:rPr>
          <w:rFonts w:ascii="Times New Roman" w:hAnsi="Times New Roman"/>
          <w:szCs w:val="24"/>
        </w:rPr>
      </w:pPr>
      <w:r w:rsidRPr="00DA1E36">
        <w:rPr>
          <w:rFonts w:ascii="Times New Roman" w:hAnsi="Times New Roman"/>
          <w:szCs w:val="24"/>
        </w:rPr>
        <w:t xml:space="preserve">Spivak, Gayatri Chakravorty. </w:t>
      </w:r>
      <w:r w:rsidRPr="00DA1E36">
        <w:rPr>
          <w:rFonts w:ascii="Times New Roman" w:hAnsi="Times New Roman"/>
          <w:i/>
          <w:szCs w:val="24"/>
        </w:rPr>
        <w:t>In Other Worlds: Essays in Cultural Politics</w:t>
      </w:r>
      <w:r>
        <w:rPr>
          <w:rFonts w:ascii="Times New Roman" w:hAnsi="Times New Roman"/>
          <w:szCs w:val="24"/>
        </w:rPr>
        <w:t>.</w:t>
      </w:r>
      <w:r w:rsidRPr="00DA1E36">
        <w:rPr>
          <w:rFonts w:ascii="Times New Roman" w:hAnsi="Times New Roman"/>
          <w:szCs w:val="24"/>
        </w:rPr>
        <w:t xml:space="preserve"> London &amp;</w:t>
      </w:r>
      <w:r>
        <w:rPr>
          <w:rFonts w:ascii="Times New Roman" w:hAnsi="Times New Roman"/>
          <w:szCs w:val="24"/>
        </w:rPr>
        <w:tab/>
      </w:r>
      <w:r w:rsidRPr="00DA1E36">
        <w:rPr>
          <w:rFonts w:ascii="Times New Roman" w:hAnsi="Times New Roman"/>
          <w:szCs w:val="24"/>
        </w:rPr>
        <w:t>New York:</w:t>
      </w:r>
      <w:r>
        <w:rPr>
          <w:rFonts w:ascii="Times New Roman" w:hAnsi="Times New Roman"/>
          <w:szCs w:val="24"/>
        </w:rPr>
        <w:t xml:space="preserve"> </w:t>
      </w:r>
      <w:r w:rsidRPr="00DA1E36">
        <w:rPr>
          <w:rFonts w:ascii="Times New Roman" w:hAnsi="Times New Roman"/>
          <w:szCs w:val="24"/>
        </w:rPr>
        <w:t>Methuen, 1987.</w:t>
      </w:r>
    </w:p>
    <w:p w14:paraId="264B7436" w14:textId="77777777" w:rsidR="00811CBA" w:rsidRDefault="00811CBA" w:rsidP="00186DCC">
      <w:pPr>
        <w:pStyle w:val="NoSpacing"/>
        <w:rPr>
          <w:rFonts w:asciiTheme="majorHAnsi" w:hAnsiTheme="majorHAnsi" w:cstheme="majorHAnsi"/>
          <w:szCs w:val="24"/>
        </w:rPr>
      </w:pPr>
    </w:p>
    <w:p w14:paraId="6ECA8C9E" w14:textId="3C04FC2F" w:rsidR="00186DCC" w:rsidRPr="00DA1E36" w:rsidRDefault="00186DCC" w:rsidP="00186DCC">
      <w:pPr>
        <w:pStyle w:val="NoSpacing"/>
        <w:rPr>
          <w:rFonts w:ascii="Times New Roman" w:hAnsi="Times New Roman"/>
          <w:szCs w:val="24"/>
        </w:rPr>
      </w:pPr>
      <w:r w:rsidRPr="00EA2890">
        <w:rPr>
          <w:rFonts w:asciiTheme="majorHAnsi" w:hAnsiTheme="majorHAnsi" w:cstheme="majorHAnsi"/>
          <w:szCs w:val="24"/>
        </w:rPr>
        <w:t xml:space="preserve">Spurr, David. </w:t>
      </w:r>
      <w:r w:rsidRPr="00EA2890">
        <w:rPr>
          <w:rFonts w:asciiTheme="majorHAnsi" w:hAnsiTheme="majorHAnsi" w:cstheme="majorHAnsi"/>
          <w:i/>
          <w:iCs/>
          <w:szCs w:val="24"/>
        </w:rPr>
        <w:t>The Rhetoric of Empire:</w:t>
      </w:r>
      <w:r w:rsidRPr="00DA1E36">
        <w:rPr>
          <w:rFonts w:ascii="Times New Roman" w:hAnsi="Times New Roman"/>
          <w:i/>
          <w:iCs/>
          <w:szCs w:val="24"/>
        </w:rPr>
        <w:t xml:space="preserve"> Colonial Discourse in Journalism, Travel</w:t>
      </w:r>
      <w:r w:rsidR="00E67EF2">
        <w:rPr>
          <w:rFonts w:ascii="Times New Roman" w:hAnsi="Times New Roman"/>
          <w:i/>
          <w:iCs/>
          <w:szCs w:val="24"/>
        </w:rPr>
        <w:tab/>
      </w:r>
      <w:r w:rsidRPr="00DA1E36">
        <w:rPr>
          <w:rFonts w:ascii="Times New Roman" w:hAnsi="Times New Roman"/>
          <w:i/>
          <w:iCs/>
          <w:szCs w:val="24"/>
        </w:rPr>
        <w:t>Writing, and Imperial</w:t>
      </w:r>
      <w:r w:rsidR="00E67EF2">
        <w:rPr>
          <w:rFonts w:ascii="Times New Roman" w:hAnsi="Times New Roman"/>
          <w:i/>
          <w:iCs/>
          <w:szCs w:val="24"/>
        </w:rPr>
        <w:t xml:space="preserve"> </w:t>
      </w:r>
      <w:r w:rsidRPr="00DA1E36">
        <w:rPr>
          <w:rFonts w:ascii="Times New Roman" w:hAnsi="Times New Roman"/>
          <w:i/>
          <w:iCs/>
          <w:szCs w:val="24"/>
        </w:rPr>
        <w:tab/>
        <w:t>Administration</w:t>
      </w:r>
      <w:r w:rsidRPr="00DA1E36">
        <w:rPr>
          <w:rFonts w:ascii="Times New Roman" w:hAnsi="Times New Roman"/>
          <w:szCs w:val="24"/>
        </w:rPr>
        <w:t>. Durham: Duke University Press, 1993.</w:t>
      </w:r>
    </w:p>
    <w:p w14:paraId="6B816B54" w14:textId="77777777" w:rsidR="00186DCC" w:rsidRPr="00DA1E36" w:rsidRDefault="00186DCC" w:rsidP="00186DCC">
      <w:pPr>
        <w:pStyle w:val="NoSpacing"/>
        <w:rPr>
          <w:rFonts w:ascii="Times New Roman" w:hAnsi="Times New Roman"/>
          <w:szCs w:val="24"/>
        </w:rPr>
      </w:pPr>
    </w:p>
    <w:p w14:paraId="5EFF5EF0" w14:textId="23700C3F"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Stanley, Henry. </w:t>
      </w:r>
      <w:r w:rsidRPr="00DA1E36">
        <w:rPr>
          <w:rFonts w:ascii="Times New Roman" w:hAnsi="Times New Roman"/>
          <w:i/>
          <w:szCs w:val="24"/>
        </w:rPr>
        <w:t>How I Found Livingstone</w:t>
      </w:r>
      <w:r w:rsidRPr="00DA1E36">
        <w:rPr>
          <w:rFonts w:ascii="Times New Roman" w:hAnsi="Times New Roman"/>
          <w:szCs w:val="24"/>
        </w:rPr>
        <w:t xml:space="preserve">. </w:t>
      </w:r>
      <w:r w:rsidR="00E20CE7">
        <w:rPr>
          <w:rFonts w:ascii="Times New Roman" w:hAnsi="Times New Roman"/>
          <w:szCs w:val="24"/>
        </w:rPr>
        <w:t xml:space="preserve">New York: </w:t>
      </w:r>
      <w:r w:rsidRPr="00DA1E36">
        <w:rPr>
          <w:rFonts w:ascii="Times New Roman" w:hAnsi="Times New Roman"/>
          <w:szCs w:val="24"/>
        </w:rPr>
        <w:t>Scribner, Armstrong &amp; Co.,</w:t>
      </w:r>
      <w:r w:rsidR="00E20CE7">
        <w:rPr>
          <w:rFonts w:ascii="Times New Roman" w:hAnsi="Times New Roman"/>
          <w:szCs w:val="24"/>
        </w:rPr>
        <w:tab/>
      </w:r>
      <w:r w:rsidR="00404EFD">
        <w:rPr>
          <w:rFonts w:ascii="Times New Roman" w:hAnsi="Times New Roman"/>
          <w:szCs w:val="24"/>
        </w:rPr>
        <w:t>1872.</w:t>
      </w:r>
    </w:p>
    <w:p w14:paraId="4A5D851A" w14:textId="77777777" w:rsidR="00C12047" w:rsidRDefault="00C12047" w:rsidP="00186DCC">
      <w:pPr>
        <w:pStyle w:val="NoSpacing"/>
        <w:rPr>
          <w:rFonts w:ascii="Times New Roman" w:hAnsi="Times New Roman"/>
          <w:szCs w:val="24"/>
        </w:rPr>
      </w:pPr>
    </w:p>
    <w:p w14:paraId="05EA0CE9" w14:textId="5329C204" w:rsidR="00186DCC" w:rsidRPr="003D6433" w:rsidRDefault="00B129C4" w:rsidP="00186DCC">
      <w:pPr>
        <w:pStyle w:val="NoSpacing"/>
        <w:rPr>
          <w:rFonts w:asciiTheme="majorHAnsi" w:hAnsiTheme="majorHAnsi" w:cstheme="majorHAnsi"/>
          <w:szCs w:val="24"/>
        </w:rPr>
      </w:pPr>
      <w:r>
        <w:rPr>
          <w:rFonts w:ascii="Times New Roman" w:hAnsi="Times New Roman"/>
          <w:szCs w:val="24"/>
        </w:rPr>
        <w:t xml:space="preserve">Steiner, </w:t>
      </w:r>
      <w:r w:rsidRPr="006A42FC">
        <w:rPr>
          <w:rFonts w:ascii="Times New Roman" w:hAnsi="Times New Roman"/>
          <w:szCs w:val="24"/>
        </w:rPr>
        <w:t>Christopher B. “Authenticity, Repetition, and the Aesthetics of Seriality: The</w:t>
      </w:r>
      <w:r>
        <w:rPr>
          <w:rFonts w:ascii="Times New Roman" w:hAnsi="Times New Roman"/>
          <w:szCs w:val="24"/>
        </w:rPr>
        <w:tab/>
      </w:r>
      <w:r w:rsidRPr="006A42FC">
        <w:rPr>
          <w:rFonts w:ascii="Times New Roman" w:hAnsi="Times New Roman"/>
          <w:szCs w:val="24"/>
        </w:rPr>
        <w:t xml:space="preserve">Work of Tourist Art in the Age of Mechanical Reproduction,” </w:t>
      </w:r>
      <w:r>
        <w:rPr>
          <w:rFonts w:ascii="Times New Roman" w:hAnsi="Times New Roman"/>
          <w:szCs w:val="24"/>
        </w:rPr>
        <w:t xml:space="preserve">in </w:t>
      </w:r>
      <w:r w:rsidR="00D10327">
        <w:rPr>
          <w:rFonts w:ascii="Times New Roman" w:hAnsi="Times New Roman"/>
          <w:szCs w:val="24"/>
        </w:rPr>
        <w:t>Ruth B.</w:t>
      </w:r>
      <w:r w:rsidR="00803CC1">
        <w:rPr>
          <w:rFonts w:ascii="Times New Roman" w:hAnsi="Times New Roman"/>
          <w:szCs w:val="24"/>
        </w:rPr>
        <w:tab/>
      </w:r>
      <w:r w:rsidR="00803CC1">
        <w:rPr>
          <w:rFonts w:ascii="Times New Roman" w:hAnsi="Times New Roman"/>
          <w:szCs w:val="24"/>
        </w:rPr>
        <w:tab/>
      </w:r>
      <w:r w:rsidR="00D10327" w:rsidRPr="00DA1E36">
        <w:rPr>
          <w:rFonts w:ascii="Times New Roman" w:hAnsi="Times New Roman"/>
          <w:szCs w:val="24"/>
        </w:rPr>
        <w:t>Phillips</w:t>
      </w:r>
      <w:r w:rsidR="00D10327">
        <w:rPr>
          <w:rFonts w:ascii="Times New Roman" w:hAnsi="Times New Roman"/>
          <w:szCs w:val="24"/>
        </w:rPr>
        <w:t xml:space="preserve"> and Christopher </w:t>
      </w:r>
      <w:r w:rsidR="00D10327" w:rsidRPr="00DA1E36">
        <w:rPr>
          <w:rFonts w:ascii="Times New Roman" w:hAnsi="Times New Roman"/>
          <w:szCs w:val="24"/>
        </w:rPr>
        <w:t>Steiner</w:t>
      </w:r>
      <w:r w:rsidR="00D10327">
        <w:rPr>
          <w:rFonts w:ascii="Times New Roman" w:hAnsi="Times New Roman"/>
          <w:szCs w:val="24"/>
        </w:rPr>
        <w:t>, eds.</w:t>
      </w:r>
      <w:r w:rsidR="00D10327" w:rsidRPr="00DA1E36">
        <w:rPr>
          <w:rFonts w:ascii="Times New Roman" w:hAnsi="Times New Roman"/>
          <w:i/>
          <w:szCs w:val="24"/>
        </w:rPr>
        <w:t xml:space="preserve"> </w:t>
      </w:r>
      <w:r w:rsidRPr="00DA1E36">
        <w:rPr>
          <w:rFonts w:ascii="Times New Roman" w:hAnsi="Times New Roman"/>
          <w:i/>
          <w:szCs w:val="24"/>
        </w:rPr>
        <w:t>Unpacking</w:t>
      </w:r>
      <w:r w:rsidR="00D10327">
        <w:rPr>
          <w:rFonts w:ascii="Times New Roman" w:hAnsi="Times New Roman"/>
          <w:i/>
          <w:szCs w:val="24"/>
        </w:rPr>
        <w:t xml:space="preserve"> </w:t>
      </w:r>
      <w:r w:rsidRPr="00DA1E36">
        <w:rPr>
          <w:rFonts w:ascii="Times New Roman" w:hAnsi="Times New Roman"/>
          <w:i/>
          <w:szCs w:val="24"/>
        </w:rPr>
        <w:t>Culture: Art and Commodity</w:t>
      </w:r>
      <w:r>
        <w:rPr>
          <w:rFonts w:ascii="Times New Roman" w:hAnsi="Times New Roman"/>
          <w:i/>
          <w:szCs w:val="24"/>
        </w:rPr>
        <w:t xml:space="preserve"> </w:t>
      </w:r>
      <w:r w:rsidRPr="00DA1E36">
        <w:rPr>
          <w:rFonts w:ascii="Times New Roman" w:hAnsi="Times New Roman"/>
          <w:i/>
          <w:szCs w:val="24"/>
        </w:rPr>
        <w:t>in</w:t>
      </w:r>
      <w:r w:rsidR="00D10327">
        <w:rPr>
          <w:rFonts w:ascii="Times New Roman" w:hAnsi="Times New Roman"/>
          <w:i/>
          <w:szCs w:val="24"/>
        </w:rPr>
        <w:tab/>
      </w:r>
      <w:r w:rsidR="00E20CE7">
        <w:rPr>
          <w:rFonts w:ascii="Times New Roman" w:hAnsi="Times New Roman"/>
          <w:i/>
          <w:szCs w:val="24"/>
        </w:rPr>
        <w:t>C</w:t>
      </w:r>
      <w:r w:rsidRPr="00DA1E36">
        <w:rPr>
          <w:rFonts w:ascii="Times New Roman" w:hAnsi="Times New Roman"/>
          <w:i/>
          <w:szCs w:val="24"/>
        </w:rPr>
        <w:t>olonial and</w:t>
      </w:r>
      <w:r>
        <w:rPr>
          <w:rFonts w:ascii="Times New Roman" w:hAnsi="Times New Roman"/>
          <w:i/>
          <w:szCs w:val="24"/>
        </w:rPr>
        <w:t xml:space="preserve"> </w:t>
      </w:r>
      <w:r w:rsidRPr="00DA1E36">
        <w:rPr>
          <w:rFonts w:ascii="Times New Roman" w:hAnsi="Times New Roman"/>
          <w:i/>
          <w:szCs w:val="24"/>
        </w:rPr>
        <w:t>Postcolonial Worlds</w:t>
      </w:r>
      <w:r w:rsidR="00E20CE7">
        <w:rPr>
          <w:rFonts w:ascii="Times New Roman" w:hAnsi="Times New Roman"/>
          <w:szCs w:val="24"/>
        </w:rPr>
        <w:t xml:space="preserve">, 87-103. </w:t>
      </w:r>
      <w:r w:rsidRPr="00DA1E36">
        <w:rPr>
          <w:rFonts w:ascii="Times New Roman" w:hAnsi="Times New Roman"/>
          <w:szCs w:val="24"/>
        </w:rPr>
        <w:t>Berkley: University of</w:t>
      </w:r>
      <w:r w:rsidR="00D10327">
        <w:rPr>
          <w:rFonts w:ascii="Times New Roman" w:hAnsi="Times New Roman"/>
          <w:szCs w:val="24"/>
        </w:rPr>
        <w:t xml:space="preserve"> </w:t>
      </w:r>
      <w:r w:rsidRPr="00DA1E36">
        <w:rPr>
          <w:rFonts w:ascii="Times New Roman" w:hAnsi="Times New Roman"/>
          <w:szCs w:val="24"/>
        </w:rPr>
        <w:t>California</w:t>
      </w:r>
      <w:r w:rsidR="00D10327">
        <w:rPr>
          <w:rFonts w:ascii="Times New Roman" w:hAnsi="Times New Roman"/>
          <w:szCs w:val="24"/>
        </w:rPr>
        <w:tab/>
      </w:r>
      <w:r w:rsidRPr="00DA1E36">
        <w:rPr>
          <w:rFonts w:ascii="Times New Roman" w:hAnsi="Times New Roman"/>
          <w:szCs w:val="24"/>
        </w:rPr>
        <w:t>Press,</w:t>
      </w:r>
      <w:r w:rsidRPr="003D6433">
        <w:rPr>
          <w:rFonts w:asciiTheme="majorHAnsi" w:hAnsiTheme="majorHAnsi" w:cstheme="majorHAnsi"/>
          <w:szCs w:val="24"/>
        </w:rPr>
        <w:t>1999.</w:t>
      </w:r>
    </w:p>
    <w:p w14:paraId="1EF8DAF8" w14:textId="6D562EB8" w:rsidR="00B129C4" w:rsidRDefault="00B129C4" w:rsidP="00186DCC">
      <w:pPr>
        <w:pStyle w:val="NoSpacing"/>
        <w:rPr>
          <w:rFonts w:asciiTheme="majorHAnsi" w:hAnsiTheme="majorHAnsi" w:cstheme="majorHAnsi"/>
          <w:szCs w:val="24"/>
        </w:rPr>
      </w:pPr>
    </w:p>
    <w:p w14:paraId="7EFDF373" w14:textId="0AE6AB02" w:rsidR="00186DCC" w:rsidRPr="003D6433" w:rsidRDefault="00186DCC" w:rsidP="00186DCC">
      <w:pPr>
        <w:pStyle w:val="NoSpacing"/>
        <w:rPr>
          <w:rFonts w:asciiTheme="majorHAnsi" w:hAnsiTheme="majorHAnsi" w:cstheme="majorHAnsi"/>
          <w:szCs w:val="24"/>
        </w:rPr>
      </w:pPr>
      <w:r w:rsidRPr="003D6433">
        <w:rPr>
          <w:rFonts w:asciiTheme="majorHAnsi" w:hAnsiTheme="majorHAnsi" w:cstheme="majorHAnsi"/>
          <w:szCs w:val="24"/>
        </w:rPr>
        <w:t>Stillman, Amy Ku’uleialoha. “Of the People Who Love the Land: Vernacular History in</w:t>
      </w:r>
      <w:r w:rsidR="00E67EF2" w:rsidRPr="003D6433">
        <w:rPr>
          <w:rFonts w:asciiTheme="majorHAnsi" w:hAnsiTheme="majorHAnsi" w:cstheme="majorHAnsi"/>
          <w:szCs w:val="24"/>
        </w:rPr>
        <w:tab/>
      </w:r>
      <w:r w:rsidRPr="003D6433">
        <w:rPr>
          <w:rFonts w:asciiTheme="majorHAnsi" w:hAnsiTheme="majorHAnsi" w:cstheme="majorHAnsi"/>
          <w:szCs w:val="24"/>
        </w:rPr>
        <w:t>the Poetry of</w:t>
      </w:r>
      <w:r w:rsidR="00E67EF2" w:rsidRPr="003D6433">
        <w:rPr>
          <w:rFonts w:asciiTheme="majorHAnsi" w:hAnsiTheme="majorHAnsi" w:cstheme="majorHAnsi"/>
          <w:szCs w:val="24"/>
        </w:rPr>
        <w:t xml:space="preserve"> </w:t>
      </w:r>
      <w:r w:rsidR="00E20CE7">
        <w:rPr>
          <w:rFonts w:asciiTheme="majorHAnsi" w:hAnsiTheme="majorHAnsi" w:cstheme="majorHAnsi"/>
          <w:szCs w:val="24"/>
        </w:rPr>
        <w:t>Modern Hawaiian Hula.</w:t>
      </w:r>
      <w:r w:rsidRPr="003D6433">
        <w:rPr>
          <w:rFonts w:asciiTheme="majorHAnsi" w:hAnsiTheme="majorHAnsi" w:cstheme="majorHAnsi"/>
          <w:szCs w:val="24"/>
        </w:rPr>
        <w:t xml:space="preserve">” </w:t>
      </w:r>
      <w:r w:rsidRPr="003D6433">
        <w:rPr>
          <w:rFonts w:asciiTheme="majorHAnsi" w:hAnsiTheme="majorHAnsi" w:cstheme="majorHAnsi"/>
          <w:i/>
          <w:szCs w:val="24"/>
        </w:rPr>
        <w:t>Amerasian Journal</w:t>
      </w:r>
      <w:r w:rsidRPr="003D6433">
        <w:rPr>
          <w:rFonts w:asciiTheme="majorHAnsi" w:hAnsiTheme="majorHAnsi" w:cstheme="majorHAnsi"/>
          <w:szCs w:val="24"/>
        </w:rPr>
        <w:t xml:space="preserve"> 28 3 (2002): 85-108.</w:t>
      </w:r>
    </w:p>
    <w:p w14:paraId="1739B8C1" w14:textId="6701E3EE" w:rsidR="003D6433" w:rsidRPr="003D6433" w:rsidRDefault="003D6433" w:rsidP="00186DCC">
      <w:pPr>
        <w:pStyle w:val="NoSpacing"/>
        <w:rPr>
          <w:rFonts w:asciiTheme="majorHAnsi" w:hAnsiTheme="majorHAnsi" w:cstheme="majorHAnsi"/>
          <w:szCs w:val="24"/>
        </w:rPr>
      </w:pPr>
    </w:p>
    <w:p w14:paraId="05BEC9FF" w14:textId="473CB053" w:rsidR="00C529DE" w:rsidRDefault="00C529DE" w:rsidP="003D6433">
      <w:pPr>
        <w:pStyle w:val="NoSpacing"/>
        <w:rPr>
          <w:rFonts w:asciiTheme="majorHAnsi" w:hAnsiTheme="majorHAnsi" w:cstheme="majorHAnsi"/>
          <w:bCs/>
        </w:rPr>
      </w:pPr>
      <w:r>
        <w:rPr>
          <w:rFonts w:asciiTheme="majorHAnsi" w:hAnsiTheme="majorHAnsi" w:cstheme="majorHAnsi"/>
          <w:bCs/>
        </w:rPr>
        <w:t>Sumida, S. “Reevaluating Mark Twain’s Novel of Hawaii</w:t>
      </w:r>
      <w:r w:rsidR="00625D31">
        <w:rPr>
          <w:rFonts w:asciiTheme="majorHAnsi" w:hAnsiTheme="majorHAnsi" w:cstheme="majorHAnsi"/>
          <w:bCs/>
        </w:rPr>
        <w:t>.”</w:t>
      </w:r>
      <w:r>
        <w:rPr>
          <w:rFonts w:asciiTheme="majorHAnsi" w:hAnsiTheme="majorHAnsi" w:cstheme="majorHAnsi"/>
          <w:bCs/>
        </w:rPr>
        <w:t xml:space="preserve"> </w:t>
      </w:r>
      <w:r>
        <w:rPr>
          <w:rFonts w:asciiTheme="majorHAnsi" w:hAnsiTheme="majorHAnsi" w:cstheme="majorHAnsi"/>
          <w:bCs/>
          <w:i/>
        </w:rPr>
        <w:t>American Literature</w:t>
      </w:r>
      <w:r w:rsidR="00625D31">
        <w:rPr>
          <w:rFonts w:asciiTheme="majorHAnsi" w:hAnsiTheme="majorHAnsi" w:cstheme="majorHAnsi"/>
          <w:bCs/>
          <w:i/>
        </w:rPr>
        <w:tab/>
      </w:r>
      <w:r w:rsidR="00625D31">
        <w:rPr>
          <w:rFonts w:asciiTheme="majorHAnsi" w:hAnsiTheme="majorHAnsi" w:cstheme="majorHAnsi"/>
          <w:bCs/>
          <w:i/>
        </w:rPr>
        <w:tab/>
      </w:r>
      <w:r>
        <w:rPr>
          <w:rFonts w:asciiTheme="majorHAnsi" w:hAnsiTheme="majorHAnsi" w:cstheme="majorHAnsi"/>
          <w:bCs/>
          <w:i/>
        </w:rPr>
        <w:t>Review</w:t>
      </w:r>
      <w:r>
        <w:rPr>
          <w:rFonts w:asciiTheme="majorHAnsi" w:hAnsiTheme="majorHAnsi" w:cstheme="majorHAnsi"/>
          <w:bCs/>
        </w:rPr>
        <w:t xml:space="preserve"> 61, no. 4 (1989): 586-609.</w:t>
      </w:r>
    </w:p>
    <w:p w14:paraId="2E280DF5" w14:textId="77777777" w:rsidR="00C529DE" w:rsidRPr="00C529DE" w:rsidRDefault="00C529DE" w:rsidP="003D6433">
      <w:pPr>
        <w:pStyle w:val="NoSpacing"/>
        <w:rPr>
          <w:rFonts w:asciiTheme="majorHAnsi" w:hAnsiTheme="majorHAnsi" w:cstheme="majorHAnsi"/>
          <w:bCs/>
        </w:rPr>
      </w:pPr>
    </w:p>
    <w:p w14:paraId="590E6500" w14:textId="23D40711" w:rsidR="00186DCC" w:rsidRPr="00D45E52" w:rsidRDefault="00186DCC" w:rsidP="00186DCC">
      <w:pPr>
        <w:pStyle w:val="NoSpacing"/>
        <w:rPr>
          <w:rFonts w:ascii="Times New Roman" w:hAnsi="Times New Roman"/>
          <w:szCs w:val="24"/>
        </w:rPr>
      </w:pPr>
      <w:r w:rsidRPr="00D45E52">
        <w:rPr>
          <w:rFonts w:ascii="Times New Roman" w:hAnsi="Times New Roman"/>
          <w:szCs w:val="24"/>
        </w:rPr>
        <w:t xml:space="preserve">Taft, Robert. </w:t>
      </w:r>
      <w:r w:rsidRPr="00D45E52">
        <w:rPr>
          <w:rFonts w:ascii="Times New Roman" w:hAnsi="Times New Roman"/>
          <w:i/>
          <w:szCs w:val="24"/>
        </w:rPr>
        <w:t>Artists and Illustrators of the Old West</w:t>
      </w:r>
      <w:r w:rsidR="002D6CAC">
        <w:rPr>
          <w:rFonts w:ascii="Times New Roman" w:hAnsi="Times New Roman"/>
          <w:szCs w:val="24"/>
        </w:rPr>
        <w:t>. New York: Scribner’s, 1953.</w:t>
      </w:r>
    </w:p>
    <w:p w14:paraId="18459EFF" w14:textId="0C087E40" w:rsidR="00186DCC" w:rsidRPr="00D45E52" w:rsidRDefault="00186DCC" w:rsidP="00186DCC">
      <w:pPr>
        <w:pStyle w:val="NoSpacing"/>
        <w:rPr>
          <w:rFonts w:ascii="Times New Roman" w:hAnsi="Times New Roman"/>
          <w:szCs w:val="24"/>
        </w:rPr>
      </w:pPr>
    </w:p>
    <w:p w14:paraId="656ED5ED" w14:textId="4A27A669" w:rsidR="000A5E09" w:rsidRDefault="00FE6EB2" w:rsidP="00FE6EB2">
      <w:pPr>
        <w:pStyle w:val="FootnoteText"/>
        <w:ind w:left="180" w:hanging="180"/>
        <w:rPr>
          <w:sz w:val="24"/>
          <w:szCs w:val="24"/>
        </w:rPr>
      </w:pPr>
      <w:r w:rsidRPr="00440285">
        <w:rPr>
          <w:sz w:val="24"/>
          <w:szCs w:val="24"/>
        </w:rPr>
        <w:t xml:space="preserve">Tangarō, Taupōuri. “Preface to the 2005 Edition,” In </w:t>
      </w:r>
      <w:r w:rsidR="00496AD3">
        <w:rPr>
          <w:sz w:val="24"/>
          <w:szCs w:val="24"/>
        </w:rPr>
        <w:t xml:space="preserve">Nathanial B. </w:t>
      </w:r>
      <w:r w:rsidR="00496AD3" w:rsidRPr="00440285">
        <w:rPr>
          <w:sz w:val="24"/>
          <w:szCs w:val="24"/>
        </w:rPr>
        <w:t xml:space="preserve">Emerson, </w:t>
      </w:r>
      <w:r w:rsidRPr="00440285">
        <w:rPr>
          <w:i/>
          <w:sz w:val="24"/>
          <w:szCs w:val="24"/>
        </w:rPr>
        <w:t>Pele and</w:t>
      </w:r>
      <w:r w:rsidR="00496AD3">
        <w:rPr>
          <w:i/>
          <w:sz w:val="24"/>
          <w:szCs w:val="24"/>
        </w:rPr>
        <w:tab/>
      </w:r>
      <w:r w:rsidRPr="00440285">
        <w:rPr>
          <w:i/>
          <w:sz w:val="24"/>
          <w:szCs w:val="24"/>
        </w:rPr>
        <w:t>Hiiaka, A Myth</w:t>
      </w:r>
      <w:r w:rsidR="00D45E52" w:rsidRPr="00440285">
        <w:rPr>
          <w:i/>
          <w:sz w:val="24"/>
          <w:szCs w:val="24"/>
        </w:rPr>
        <w:t xml:space="preserve"> </w:t>
      </w:r>
      <w:r w:rsidRPr="00440285">
        <w:rPr>
          <w:i/>
          <w:sz w:val="24"/>
          <w:szCs w:val="24"/>
        </w:rPr>
        <w:t>from</w:t>
      </w:r>
      <w:r w:rsidR="00496AD3">
        <w:rPr>
          <w:i/>
          <w:sz w:val="24"/>
          <w:szCs w:val="24"/>
        </w:rPr>
        <w:t xml:space="preserve"> </w:t>
      </w:r>
      <w:r w:rsidRPr="00440285">
        <w:rPr>
          <w:i/>
          <w:sz w:val="24"/>
          <w:szCs w:val="24"/>
        </w:rPr>
        <w:t>Hawai’i</w:t>
      </w:r>
      <w:r w:rsidRPr="00440285">
        <w:rPr>
          <w:sz w:val="24"/>
          <w:szCs w:val="24"/>
        </w:rPr>
        <w:t xml:space="preserve">, </w:t>
      </w:r>
      <w:r w:rsidR="00E20CE7">
        <w:rPr>
          <w:sz w:val="24"/>
          <w:szCs w:val="24"/>
        </w:rPr>
        <w:t>iii-iv</w:t>
      </w:r>
      <w:r w:rsidR="00E20CE7" w:rsidRPr="00440285">
        <w:rPr>
          <w:sz w:val="24"/>
          <w:szCs w:val="24"/>
        </w:rPr>
        <w:t>.</w:t>
      </w:r>
      <w:r w:rsidR="00E20CE7">
        <w:rPr>
          <w:sz w:val="24"/>
          <w:szCs w:val="24"/>
        </w:rPr>
        <w:t xml:space="preserve"> </w:t>
      </w:r>
      <w:r w:rsidRPr="00440285">
        <w:rPr>
          <w:sz w:val="24"/>
          <w:szCs w:val="24"/>
        </w:rPr>
        <w:t>Hilo, HI: Edith Kanaka‘ole Foundation,</w:t>
      </w:r>
      <w:r w:rsidR="000B5404">
        <w:rPr>
          <w:sz w:val="24"/>
          <w:szCs w:val="24"/>
        </w:rPr>
        <w:tab/>
      </w:r>
      <w:r w:rsidRPr="00440285">
        <w:rPr>
          <w:sz w:val="24"/>
          <w:szCs w:val="24"/>
        </w:rPr>
        <w:t>1993</w:t>
      </w:r>
      <w:r w:rsidR="000B5404">
        <w:rPr>
          <w:sz w:val="24"/>
          <w:szCs w:val="24"/>
        </w:rPr>
        <w:t>.</w:t>
      </w:r>
      <w:r w:rsidR="000A5E09">
        <w:rPr>
          <w:sz w:val="24"/>
          <w:szCs w:val="24"/>
        </w:rPr>
        <w:t xml:space="preserve"> </w:t>
      </w:r>
    </w:p>
    <w:p w14:paraId="10878237" w14:textId="2A2B97E4" w:rsidR="00FE6EB2" w:rsidRPr="00D45E52" w:rsidRDefault="00D45E52" w:rsidP="00FE6EB2">
      <w:pPr>
        <w:pStyle w:val="FootnoteText"/>
        <w:ind w:left="180" w:hanging="180"/>
        <w:rPr>
          <w:sz w:val="24"/>
          <w:szCs w:val="24"/>
        </w:rPr>
      </w:pPr>
      <w:r>
        <w:rPr>
          <w:sz w:val="24"/>
          <w:szCs w:val="24"/>
        </w:rPr>
        <w:tab/>
      </w:r>
    </w:p>
    <w:p w14:paraId="4622190D" w14:textId="41F6346D" w:rsidR="00411284" w:rsidRPr="006A42FC" w:rsidRDefault="00411284" w:rsidP="00411284">
      <w:pPr>
        <w:pStyle w:val="FootnoteText"/>
        <w:rPr>
          <w:rFonts w:cs="Times New Roman"/>
          <w:sz w:val="24"/>
          <w:szCs w:val="24"/>
        </w:rPr>
      </w:pPr>
      <w:r w:rsidRPr="006A42FC">
        <w:rPr>
          <w:rFonts w:cs="Times New Roman"/>
          <w:sz w:val="24"/>
          <w:szCs w:val="24"/>
        </w:rPr>
        <w:t>Taylor, Bradley F. “Albert Lujan: Entrepreneurial Pueblo Painter of Tourist Art 1892</w:t>
      </w:r>
      <w:r>
        <w:rPr>
          <w:rFonts w:cs="Times New Roman"/>
          <w:sz w:val="24"/>
          <w:szCs w:val="24"/>
        </w:rPr>
        <w:t>-</w:t>
      </w:r>
      <w:r>
        <w:rPr>
          <w:rFonts w:cs="Times New Roman"/>
          <w:sz w:val="24"/>
          <w:szCs w:val="24"/>
        </w:rPr>
        <w:tab/>
      </w:r>
      <w:r w:rsidRPr="006A42FC">
        <w:rPr>
          <w:rFonts w:cs="Times New Roman"/>
          <w:sz w:val="24"/>
          <w:szCs w:val="24"/>
        </w:rPr>
        <w:t xml:space="preserve">1948,” </w:t>
      </w:r>
      <w:r w:rsidRPr="00411284">
        <w:rPr>
          <w:rFonts w:cs="Times New Roman"/>
          <w:i/>
          <w:sz w:val="24"/>
          <w:szCs w:val="24"/>
        </w:rPr>
        <w:t>American Indian Art Magazine</w:t>
      </w:r>
      <w:r w:rsidRPr="006A42FC">
        <w:rPr>
          <w:rFonts w:cs="Times New Roman"/>
          <w:sz w:val="24"/>
          <w:szCs w:val="24"/>
        </w:rPr>
        <w:t xml:space="preserve"> 25</w:t>
      </w:r>
      <w:r>
        <w:rPr>
          <w:rFonts w:cs="Times New Roman"/>
          <w:sz w:val="24"/>
          <w:szCs w:val="24"/>
        </w:rPr>
        <w:t xml:space="preserve">, no. </w:t>
      </w:r>
      <w:r w:rsidRPr="006A42FC">
        <w:rPr>
          <w:rFonts w:cs="Times New Roman"/>
          <w:sz w:val="24"/>
          <w:szCs w:val="24"/>
        </w:rPr>
        <w:t xml:space="preserve">4 (Autumn 2000): </w:t>
      </w:r>
      <w:r>
        <w:rPr>
          <w:rFonts w:cs="Times New Roman"/>
          <w:sz w:val="24"/>
          <w:szCs w:val="24"/>
        </w:rPr>
        <w:t>56-</w:t>
      </w:r>
      <w:r w:rsidR="0010132D">
        <w:rPr>
          <w:rFonts w:cs="Times New Roman"/>
          <w:sz w:val="24"/>
          <w:szCs w:val="24"/>
        </w:rPr>
        <w:t>65</w:t>
      </w:r>
      <w:r w:rsidR="00404EFD">
        <w:rPr>
          <w:rFonts w:cs="Times New Roman"/>
          <w:sz w:val="24"/>
          <w:szCs w:val="24"/>
        </w:rPr>
        <w:t>.</w:t>
      </w:r>
    </w:p>
    <w:p w14:paraId="4A8CE2A2" w14:textId="77777777" w:rsidR="00411284" w:rsidRDefault="00411284" w:rsidP="00186DCC">
      <w:pPr>
        <w:pStyle w:val="NoSpacing"/>
        <w:rPr>
          <w:rFonts w:ascii="Times New Roman" w:hAnsi="Times New Roman"/>
          <w:szCs w:val="24"/>
        </w:rPr>
      </w:pPr>
    </w:p>
    <w:p w14:paraId="41F168FD" w14:textId="5165D443" w:rsidR="00186DCC" w:rsidRPr="00D45E52" w:rsidRDefault="00186DCC" w:rsidP="00186DCC">
      <w:pPr>
        <w:pStyle w:val="NoSpacing"/>
        <w:rPr>
          <w:rFonts w:ascii="Times New Roman" w:hAnsi="Times New Roman"/>
          <w:szCs w:val="24"/>
        </w:rPr>
      </w:pPr>
      <w:r w:rsidRPr="00D45E52">
        <w:rPr>
          <w:rFonts w:ascii="Times New Roman" w:hAnsi="Times New Roman"/>
          <w:szCs w:val="24"/>
        </w:rPr>
        <w:t xml:space="preserve">Theroux, Joseph. </w:t>
      </w:r>
      <w:r w:rsidRPr="00D45E52">
        <w:rPr>
          <w:rStyle w:val="title-link-wrapper"/>
          <w:szCs w:val="24"/>
        </w:rPr>
        <w:t xml:space="preserve">“Genius Displayed: Jules Tavernier.” </w:t>
      </w:r>
      <w:r w:rsidRPr="00D45E52">
        <w:rPr>
          <w:rStyle w:val="medium-font"/>
          <w:rFonts w:ascii="Times New Roman" w:hAnsi="Times New Roman"/>
          <w:i/>
          <w:szCs w:val="24"/>
        </w:rPr>
        <w:t>Hawaiian Journal of History</w:t>
      </w:r>
      <w:r w:rsidRPr="00D45E52">
        <w:rPr>
          <w:rStyle w:val="medium-font"/>
          <w:rFonts w:ascii="Times New Roman" w:hAnsi="Times New Roman"/>
          <w:szCs w:val="24"/>
        </w:rPr>
        <w:t xml:space="preserve"> 39</w:t>
      </w:r>
      <w:r w:rsidR="00E67EF2" w:rsidRPr="00D45E52">
        <w:rPr>
          <w:rStyle w:val="medium-font"/>
          <w:rFonts w:ascii="Times New Roman" w:hAnsi="Times New Roman"/>
          <w:szCs w:val="24"/>
        </w:rPr>
        <w:tab/>
      </w:r>
      <w:r w:rsidRPr="00D45E52">
        <w:rPr>
          <w:rStyle w:val="medium-font"/>
          <w:rFonts w:ascii="Times New Roman" w:hAnsi="Times New Roman"/>
          <w:szCs w:val="24"/>
        </w:rPr>
        <w:t>(2005): 1-18.</w:t>
      </w:r>
    </w:p>
    <w:p w14:paraId="6771381E" w14:textId="77777777" w:rsidR="003D6433" w:rsidRDefault="003D6433" w:rsidP="00186DCC">
      <w:pPr>
        <w:pStyle w:val="NoSpacing"/>
        <w:rPr>
          <w:rFonts w:ascii="Times New Roman" w:hAnsi="Times New Roman"/>
          <w:szCs w:val="24"/>
        </w:rPr>
      </w:pPr>
    </w:p>
    <w:p w14:paraId="1E663059" w14:textId="14A70B82"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Thomas, Nicholas. </w:t>
      </w:r>
      <w:r w:rsidRPr="00DA1E36">
        <w:rPr>
          <w:rFonts w:ascii="Times New Roman" w:hAnsi="Times New Roman"/>
          <w:i/>
          <w:szCs w:val="24"/>
        </w:rPr>
        <w:t>Possessions: Indigenous Art, Colonial Culture</w:t>
      </w:r>
      <w:r w:rsidRPr="00DA1E36">
        <w:rPr>
          <w:rFonts w:ascii="Times New Roman" w:hAnsi="Times New Roman"/>
          <w:szCs w:val="24"/>
        </w:rPr>
        <w:t>. London: Thames</w:t>
      </w:r>
      <w:r w:rsidR="00E67EF2">
        <w:rPr>
          <w:rFonts w:ascii="Times New Roman" w:hAnsi="Times New Roman"/>
          <w:szCs w:val="24"/>
        </w:rPr>
        <w:tab/>
      </w:r>
      <w:r w:rsidRPr="00DA1E36">
        <w:rPr>
          <w:rFonts w:ascii="Times New Roman" w:hAnsi="Times New Roman"/>
          <w:szCs w:val="24"/>
        </w:rPr>
        <w:t>and Hudson, 1999.</w:t>
      </w:r>
    </w:p>
    <w:p w14:paraId="5159777C" w14:textId="09C9D257" w:rsidR="00186DCC" w:rsidRDefault="00186DCC" w:rsidP="00186DCC">
      <w:pPr>
        <w:pStyle w:val="NoSpacing"/>
        <w:rPr>
          <w:rStyle w:val="st"/>
          <w:rFonts w:ascii="Times New Roman" w:hAnsi="Times New Roman"/>
          <w:szCs w:val="24"/>
        </w:rPr>
      </w:pPr>
    </w:p>
    <w:p w14:paraId="06D2C750" w14:textId="68CADB36" w:rsidR="00625D31" w:rsidRDefault="00625D31" w:rsidP="00625D31">
      <w:pPr>
        <w:pStyle w:val="NoSpacing"/>
        <w:rPr>
          <w:rFonts w:ascii="Times New Roman" w:hAnsi="Times New Roman"/>
          <w:szCs w:val="24"/>
        </w:rPr>
      </w:pPr>
      <w:r>
        <w:rPr>
          <w:rFonts w:ascii="Times New Roman" w:hAnsi="Times New Roman"/>
          <w:szCs w:val="24"/>
        </w:rPr>
        <w:t>_____</w:t>
      </w:r>
      <w:r w:rsidRPr="00DA1E36">
        <w:rPr>
          <w:rFonts w:ascii="Times New Roman" w:hAnsi="Times New Roman"/>
          <w:szCs w:val="24"/>
        </w:rPr>
        <w:t>.</w:t>
      </w:r>
      <w:r>
        <w:rPr>
          <w:rFonts w:ascii="Times New Roman" w:hAnsi="Times New Roman"/>
          <w:szCs w:val="24"/>
        </w:rPr>
        <w:t xml:space="preserve"> “Partial Texts: Representation, Colonialism, and Agency in Pacific</w:t>
      </w:r>
      <w:r>
        <w:rPr>
          <w:rFonts w:ascii="Times New Roman" w:hAnsi="Times New Roman"/>
          <w:szCs w:val="24"/>
        </w:rPr>
        <w:tab/>
        <w:t>History.”</w:t>
      </w:r>
      <w:r>
        <w:rPr>
          <w:rFonts w:ascii="Times New Roman" w:hAnsi="Times New Roman"/>
          <w:szCs w:val="24"/>
        </w:rPr>
        <w:tab/>
      </w:r>
      <w:r w:rsidRPr="00625D31">
        <w:rPr>
          <w:rFonts w:ascii="Times New Roman" w:hAnsi="Times New Roman"/>
          <w:i/>
          <w:szCs w:val="24"/>
        </w:rPr>
        <w:t>The Journal of Pacific History</w:t>
      </w:r>
      <w:r>
        <w:rPr>
          <w:rFonts w:ascii="Times New Roman" w:hAnsi="Times New Roman"/>
          <w:szCs w:val="24"/>
        </w:rPr>
        <w:t xml:space="preserve"> 25, </w:t>
      </w:r>
      <w:r w:rsidR="00404EFD">
        <w:rPr>
          <w:rFonts w:ascii="Times New Roman" w:hAnsi="Times New Roman"/>
          <w:szCs w:val="24"/>
        </w:rPr>
        <w:t>no. 2 (December 1990), 139-158.</w:t>
      </w:r>
    </w:p>
    <w:p w14:paraId="5C1FC4B4" w14:textId="77777777" w:rsidR="00625D31" w:rsidRDefault="00625D31" w:rsidP="00625D31">
      <w:pPr>
        <w:pStyle w:val="NoSpacing"/>
        <w:rPr>
          <w:rFonts w:ascii="Times New Roman" w:hAnsi="Times New Roman"/>
          <w:szCs w:val="24"/>
        </w:rPr>
      </w:pPr>
    </w:p>
    <w:p w14:paraId="47E4BAF1" w14:textId="6FC4D3A6" w:rsidR="00C7519B" w:rsidRPr="00C7519B" w:rsidRDefault="00C7519B" w:rsidP="00186DCC">
      <w:pPr>
        <w:pStyle w:val="NoSpacing"/>
        <w:rPr>
          <w:szCs w:val="24"/>
        </w:rPr>
      </w:pPr>
      <w:r>
        <w:rPr>
          <w:szCs w:val="24"/>
        </w:rPr>
        <w:t xml:space="preserve">Torgovnick, Marianna. </w:t>
      </w:r>
      <w:r>
        <w:rPr>
          <w:i/>
          <w:szCs w:val="24"/>
        </w:rPr>
        <w:t>Gone Primitive: Savage Intellects, Modern Lives</w:t>
      </w:r>
      <w:r>
        <w:rPr>
          <w:szCs w:val="24"/>
        </w:rPr>
        <w:t>. Chicago and</w:t>
      </w:r>
      <w:r>
        <w:rPr>
          <w:szCs w:val="24"/>
        </w:rPr>
        <w:tab/>
        <w:t>London: The Uni</w:t>
      </w:r>
      <w:r w:rsidR="00404EFD">
        <w:rPr>
          <w:szCs w:val="24"/>
        </w:rPr>
        <w:t>versity of Chicago Press, 1990.</w:t>
      </w:r>
    </w:p>
    <w:p w14:paraId="5C1AE850" w14:textId="77777777" w:rsidR="00C7519B" w:rsidRDefault="00C7519B" w:rsidP="00186DCC">
      <w:pPr>
        <w:pStyle w:val="NoSpacing"/>
        <w:rPr>
          <w:szCs w:val="24"/>
        </w:rPr>
      </w:pPr>
    </w:p>
    <w:p w14:paraId="1E970DC1" w14:textId="783983C7" w:rsidR="003D6433" w:rsidRDefault="003D6433" w:rsidP="00186DCC">
      <w:pPr>
        <w:pStyle w:val="NoSpacing"/>
        <w:rPr>
          <w:szCs w:val="24"/>
        </w:rPr>
      </w:pPr>
      <w:r>
        <w:rPr>
          <w:szCs w:val="24"/>
        </w:rPr>
        <w:t xml:space="preserve">Traugott, Joseph. </w:t>
      </w:r>
      <w:r>
        <w:rPr>
          <w:i/>
          <w:szCs w:val="24"/>
        </w:rPr>
        <w:t>The Art of New Mexico: How the West Was One</w:t>
      </w:r>
      <w:r>
        <w:rPr>
          <w:szCs w:val="24"/>
        </w:rPr>
        <w:t>. Santa Fe, NM:</w:t>
      </w:r>
      <w:r>
        <w:rPr>
          <w:szCs w:val="24"/>
        </w:rPr>
        <w:tab/>
      </w:r>
      <w:r>
        <w:rPr>
          <w:szCs w:val="24"/>
        </w:rPr>
        <w:tab/>
        <w:t>Museum of New Mexico Press, 2007.</w:t>
      </w:r>
    </w:p>
    <w:p w14:paraId="25E2149A" w14:textId="77777777" w:rsidR="003D6433" w:rsidRPr="00DA1E36" w:rsidRDefault="003D6433" w:rsidP="00186DCC">
      <w:pPr>
        <w:pStyle w:val="NoSpacing"/>
        <w:rPr>
          <w:rStyle w:val="st"/>
          <w:rFonts w:ascii="Times New Roman" w:hAnsi="Times New Roman"/>
          <w:szCs w:val="24"/>
        </w:rPr>
      </w:pPr>
    </w:p>
    <w:p w14:paraId="1CC8E650" w14:textId="1C7FB12B" w:rsidR="007459C4" w:rsidRDefault="007459C4" w:rsidP="00186DCC">
      <w:pPr>
        <w:pStyle w:val="NoSpacing"/>
        <w:rPr>
          <w:rFonts w:asciiTheme="majorHAnsi" w:hAnsiTheme="majorHAnsi" w:cstheme="majorHAnsi"/>
          <w:szCs w:val="24"/>
        </w:rPr>
      </w:pPr>
      <w:r>
        <w:rPr>
          <w:szCs w:val="24"/>
        </w:rPr>
        <w:t>Troccoli Joan Carpenter.</w:t>
      </w:r>
      <w:r w:rsidRPr="00767553">
        <w:rPr>
          <w:szCs w:val="24"/>
        </w:rPr>
        <w:t xml:space="preserve"> F</w:t>
      </w:r>
      <w:r w:rsidRPr="00767553">
        <w:rPr>
          <w:i/>
          <w:szCs w:val="24"/>
        </w:rPr>
        <w:t>irst Artist of the West: George Catlin Paintings and</w:t>
      </w:r>
      <w:r>
        <w:rPr>
          <w:i/>
          <w:szCs w:val="24"/>
        </w:rPr>
        <w:tab/>
      </w:r>
      <w:r>
        <w:rPr>
          <w:i/>
          <w:szCs w:val="24"/>
        </w:rPr>
        <w:tab/>
      </w:r>
      <w:r w:rsidRPr="00767553">
        <w:rPr>
          <w:i/>
          <w:szCs w:val="24"/>
        </w:rPr>
        <w:t>Watercolors</w:t>
      </w:r>
      <w:r w:rsidRPr="00767553">
        <w:rPr>
          <w:szCs w:val="24"/>
        </w:rPr>
        <w:t>. Tul</w:t>
      </w:r>
      <w:r>
        <w:rPr>
          <w:szCs w:val="24"/>
        </w:rPr>
        <w:t>sa, OK: Gilcrease Museum, 1993.</w:t>
      </w:r>
    </w:p>
    <w:p w14:paraId="7EDD7457" w14:textId="77777777" w:rsidR="007459C4" w:rsidRDefault="007459C4" w:rsidP="00186DCC">
      <w:pPr>
        <w:pStyle w:val="NoSpacing"/>
        <w:rPr>
          <w:rFonts w:ascii="Times New Roman" w:hAnsi="Times New Roman"/>
          <w:szCs w:val="24"/>
        </w:rPr>
      </w:pPr>
    </w:p>
    <w:p w14:paraId="7049AFE1" w14:textId="269E583D" w:rsidR="00186DCC" w:rsidRPr="00C12047" w:rsidRDefault="00186DCC" w:rsidP="00186DCC">
      <w:pPr>
        <w:pStyle w:val="NoSpacing"/>
        <w:rPr>
          <w:rFonts w:ascii="Times New Roman" w:hAnsi="Times New Roman"/>
          <w:szCs w:val="24"/>
        </w:rPr>
      </w:pPr>
      <w:r w:rsidRPr="00DA1E36">
        <w:rPr>
          <w:rFonts w:ascii="Times New Roman" w:hAnsi="Times New Roman"/>
          <w:szCs w:val="24"/>
        </w:rPr>
        <w:t xml:space="preserve">Truettner, William H., ed. </w:t>
      </w:r>
      <w:r w:rsidR="000B5404">
        <w:rPr>
          <w:rFonts w:ascii="Times New Roman" w:hAnsi="Times New Roman"/>
          <w:i/>
          <w:szCs w:val="24"/>
        </w:rPr>
        <w:t>The West a</w:t>
      </w:r>
      <w:r w:rsidRPr="00DA1E36">
        <w:rPr>
          <w:rFonts w:ascii="Times New Roman" w:hAnsi="Times New Roman"/>
          <w:i/>
          <w:szCs w:val="24"/>
        </w:rPr>
        <w:t>s America: Reinterpreting Images of the Frontier,</w:t>
      </w:r>
      <w:r w:rsidR="00E67EF2">
        <w:rPr>
          <w:rFonts w:ascii="Times New Roman" w:hAnsi="Times New Roman"/>
          <w:i/>
          <w:szCs w:val="24"/>
        </w:rPr>
        <w:tab/>
      </w:r>
      <w:r w:rsidRPr="00DA1E36">
        <w:rPr>
          <w:rFonts w:ascii="Times New Roman" w:hAnsi="Times New Roman"/>
          <w:i/>
          <w:szCs w:val="24"/>
        </w:rPr>
        <w:t>1820-1920</w:t>
      </w:r>
      <w:r w:rsidRPr="00DA1E36">
        <w:rPr>
          <w:rFonts w:ascii="Times New Roman" w:hAnsi="Times New Roman"/>
          <w:szCs w:val="24"/>
        </w:rPr>
        <w:t>. Washington and London: National Museum of American Art</w:t>
      </w:r>
      <w:r w:rsidR="00E67EF2">
        <w:rPr>
          <w:rFonts w:ascii="Times New Roman" w:hAnsi="Times New Roman"/>
          <w:szCs w:val="24"/>
        </w:rPr>
        <w:t xml:space="preserve">: </w:t>
      </w:r>
      <w:r w:rsidR="00E67EF2">
        <w:rPr>
          <w:rFonts w:ascii="Times New Roman" w:hAnsi="Times New Roman"/>
          <w:szCs w:val="24"/>
        </w:rPr>
        <w:tab/>
      </w:r>
      <w:r w:rsidRPr="00DA1E36">
        <w:rPr>
          <w:rFonts w:ascii="Times New Roman" w:hAnsi="Times New Roman"/>
          <w:szCs w:val="24"/>
        </w:rPr>
        <w:t>Smithsonian Institu</w:t>
      </w:r>
      <w:r w:rsidRPr="00C12047">
        <w:rPr>
          <w:rFonts w:ascii="Times New Roman" w:hAnsi="Times New Roman"/>
          <w:szCs w:val="24"/>
        </w:rPr>
        <w:t>tion Press,</w:t>
      </w:r>
      <w:r w:rsidR="00E67EF2" w:rsidRPr="00C12047">
        <w:rPr>
          <w:rFonts w:ascii="Times New Roman" w:hAnsi="Times New Roman"/>
          <w:szCs w:val="24"/>
        </w:rPr>
        <w:t xml:space="preserve"> </w:t>
      </w:r>
      <w:r w:rsidRPr="00C12047">
        <w:rPr>
          <w:rFonts w:ascii="Times New Roman" w:hAnsi="Times New Roman"/>
          <w:szCs w:val="24"/>
        </w:rPr>
        <w:t>1991.</w:t>
      </w:r>
    </w:p>
    <w:p w14:paraId="55ED30CA" w14:textId="71B6E192" w:rsidR="00E67EF2" w:rsidRPr="00C12047" w:rsidRDefault="00E67EF2" w:rsidP="00186DCC">
      <w:pPr>
        <w:pStyle w:val="NoSpacing"/>
        <w:rPr>
          <w:rFonts w:ascii="Times New Roman" w:hAnsi="Times New Roman"/>
          <w:szCs w:val="24"/>
        </w:rPr>
      </w:pPr>
    </w:p>
    <w:p w14:paraId="0FF88EA9" w14:textId="12D2CD90" w:rsidR="00D45E52" w:rsidRDefault="00C12047" w:rsidP="00186DCC">
      <w:pPr>
        <w:pStyle w:val="NoSpacing"/>
        <w:rPr>
          <w:rFonts w:ascii="Times New Roman" w:hAnsi="Times New Roman"/>
          <w:szCs w:val="24"/>
          <w:shd w:val="clear" w:color="auto" w:fill="FFFFFF"/>
        </w:rPr>
      </w:pPr>
      <w:r w:rsidRPr="00C12047">
        <w:rPr>
          <w:rFonts w:ascii="Times New Roman" w:hAnsi="Times New Roman"/>
          <w:szCs w:val="24"/>
          <w:shd w:val="clear" w:color="auto" w:fill="FFFFFF"/>
        </w:rPr>
        <w:t xml:space="preserve">Turner, </w:t>
      </w:r>
      <w:r w:rsidR="00D45E52" w:rsidRPr="00C12047">
        <w:rPr>
          <w:rFonts w:ascii="Times New Roman" w:hAnsi="Times New Roman"/>
          <w:szCs w:val="24"/>
          <w:shd w:val="clear" w:color="auto" w:fill="FFFFFF"/>
        </w:rPr>
        <w:t>Frederick Jackson</w:t>
      </w:r>
      <w:r w:rsidRPr="00C12047">
        <w:rPr>
          <w:rFonts w:ascii="Times New Roman" w:hAnsi="Times New Roman"/>
          <w:szCs w:val="24"/>
          <w:shd w:val="clear" w:color="auto" w:fill="FFFFFF"/>
        </w:rPr>
        <w:t>.</w:t>
      </w:r>
      <w:r w:rsidR="000B5404">
        <w:rPr>
          <w:rFonts w:ascii="Times New Roman" w:hAnsi="Times New Roman"/>
          <w:szCs w:val="24"/>
          <w:shd w:val="clear" w:color="auto" w:fill="FFFFFF"/>
        </w:rPr>
        <w:t xml:space="preserve"> </w:t>
      </w:r>
      <w:r w:rsidR="00D45E52" w:rsidRPr="00C12047">
        <w:rPr>
          <w:rFonts w:ascii="Times New Roman" w:hAnsi="Times New Roman"/>
          <w:i/>
          <w:szCs w:val="24"/>
          <w:shd w:val="clear" w:color="auto" w:fill="FFFFFF"/>
        </w:rPr>
        <w:t>The Frontier in American History</w:t>
      </w:r>
      <w:r w:rsidR="00D45E52" w:rsidRPr="00C12047">
        <w:rPr>
          <w:rFonts w:ascii="Times New Roman" w:hAnsi="Times New Roman"/>
          <w:szCs w:val="24"/>
          <w:shd w:val="clear" w:color="auto" w:fill="FFFFFF"/>
        </w:rPr>
        <w:t>, New York: Holt and Co,</w:t>
      </w:r>
      <w:r w:rsidR="000B5404">
        <w:rPr>
          <w:rFonts w:ascii="Times New Roman" w:hAnsi="Times New Roman"/>
          <w:szCs w:val="24"/>
          <w:shd w:val="clear" w:color="auto" w:fill="FFFFFF"/>
        </w:rPr>
        <w:tab/>
      </w:r>
      <w:r w:rsidR="00D45E52" w:rsidRPr="00C12047">
        <w:rPr>
          <w:rFonts w:ascii="Times New Roman" w:hAnsi="Times New Roman"/>
          <w:szCs w:val="24"/>
          <w:shd w:val="clear" w:color="auto" w:fill="FFFFFF"/>
        </w:rPr>
        <w:t>1920.</w:t>
      </w:r>
    </w:p>
    <w:p w14:paraId="3C24D146" w14:textId="77777777" w:rsidR="008A5A08" w:rsidRPr="00C12047" w:rsidRDefault="008A5A08" w:rsidP="00186DCC">
      <w:pPr>
        <w:pStyle w:val="NoSpacing"/>
        <w:rPr>
          <w:rFonts w:ascii="Times New Roman" w:hAnsi="Times New Roman"/>
          <w:szCs w:val="24"/>
          <w:shd w:val="clear" w:color="auto" w:fill="FFFFFF"/>
        </w:rPr>
      </w:pPr>
    </w:p>
    <w:p w14:paraId="165C748A" w14:textId="25E89D6A" w:rsidR="008A5A08" w:rsidRPr="004418C2" w:rsidRDefault="008A5A08" w:rsidP="008A5A08">
      <w:pPr>
        <w:spacing w:line="240" w:lineRule="auto"/>
        <w:rPr>
          <w:rFonts w:eastAsia="Cambria"/>
          <w:lang w:bidi="ar-SA"/>
        </w:rPr>
      </w:pPr>
      <w:r>
        <w:rPr>
          <w:rFonts w:ascii="Times New Roman" w:hAnsi="Times New Roman"/>
        </w:rPr>
        <w:t xml:space="preserve">Twain, Mark. </w:t>
      </w:r>
      <w:r w:rsidRPr="004418C2">
        <w:rPr>
          <w:rFonts w:eastAsia="Cambria"/>
          <w:i/>
          <w:lang w:bidi="ar-SA"/>
        </w:rPr>
        <w:t>Rough</w:t>
      </w:r>
      <w:r>
        <w:rPr>
          <w:rFonts w:eastAsia="Cambria"/>
          <w:i/>
          <w:lang w:bidi="ar-SA"/>
        </w:rPr>
        <w:t>ing It</w:t>
      </w:r>
      <w:r>
        <w:rPr>
          <w:rFonts w:eastAsia="Cambria"/>
          <w:lang w:bidi="ar-SA"/>
        </w:rPr>
        <w:t>. Hartford</w:t>
      </w:r>
      <w:r w:rsidR="00803CC1">
        <w:rPr>
          <w:rFonts w:eastAsia="Cambria"/>
          <w:lang w:bidi="ar-SA"/>
        </w:rPr>
        <w:t>: American Publishing Co, 1873.</w:t>
      </w:r>
    </w:p>
    <w:p w14:paraId="03F0A357" w14:textId="75F3105D" w:rsidR="00D45E52" w:rsidRPr="00C12047" w:rsidRDefault="00D45E52" w:rsidP="00186DCC">
      <w:pPr>
        <w:pStyle w:val="NoSpacing"/>
        <w:rPr>
          <w:rFonts w:ascii="Times New Roman" w:hAnsi="Times New Roman"/>
          <w:szCs w:val="24"/>
        </w:rPr>
      </w:pPr>
    </w:p>
    <w:p w14:paraId="07759E83" w14:textId="5DCB243E" w:rsidR="00186DCC" w:rsidRPr="00DA1E36" w:rsidRDefault="00186DCC" w:rsidP="00186DCC">
      <w:pPr>
        <w:pStyle w:val="NoSpacing"/>
        <w:rPr>
          <w:rFonts w:ascii="Times New Roman" w:hAnsi="Times New Roman"/>
          <w:szCs w:val="24"/>
        </w:rPr>
      </w:pPr>
      <w:r w:rsidRPr="00C12047">
        <w:rPr>
          <w:rFonts w:ascii="Times New Roman" w:hAnsi="Times New Roman"/>
          <w:szCs w:val="24"/>
        </w:rPr>
        <w:t>Twain, Mark, and A. Grov</w:t>
      </w:r>
      <w:r w:rsidRPr="00DA1E36">
        <w:rPr>
          <w:rFonts w:ascii="Times New Roman" w:hAnsi="Times New Roman"/>
          <w:szCs w:val="24"/>
        </w:rPr>
        <w:t xml:space="preserve">e Day. </w:t>
      </w:r>
      <w:r w:rsidRPr="00DA1E36">
        <w:rPr>
          <w:rFonts w:ascii="Times New Roman" w:hAnsi="Times New Roman"/>
          <w:i/>
          <w:iCs/>
          <w:szCs w:val="24"/>
        </w:rPr>
        <w:t>Mark Twain's Letters from Hawaii</w:t>
      </w:r>
      <w:r w:rsidRPr="00DA1E36">
        <w:rPr>
          <w:rFonts w:ascii="Times New Roman" w:hAnsi="Times New Roman"/>
          <w:szCs w:val="24"/>
        </w:rPr>
        <w:t>. New York:</w:t>
      </w:r>
      <w:r w:rsidR="00E67EF2">
        <w:rPr>
          <w:rFonts w:ascii="Times New Roman" w:hAnsi="Times New Roman"/>
          <w:szCs w:val="24"/>
        </w:rPr>
        <w:tab/>
      </w:r>
      <w:r w:rsidRPr="00DA1E36">
        <w:rPr>
          <w:rFonts w:ascii="Times New Roman" w:hAnsi="Times New Roman"/>
          <w:szCs w:val="24"/>
        </w:rPr>
        <w:t>Appleton</w:t>
      </w:r>
      <w:r w:rsidR="00E67EF2">
        <w:rPr>
          <w:rFonts w:ascii="Times New Roman" w:hAnsi="Times New Roman"/>
          <w:szCs w:val="24"/>
        </w:rPr>
        <w:t xml:space="preserve"> </w:t>
      </w:r>
      <w:r w:rsidRPr="00DA1E36">
        <w:rPr>
          <w:rFonts w:ascii="Times New Roman" w:hAnsi="Times New Roman"/>
          <w:szCs w:val="24"/>
        </w:rPr>
        <w:t>Century,1966.</w:t>
      </w:r>
    </w:p>
    <w:p w14:paraId="464EB4FF" w14:textId="77777777" w:rsidR="00186DCC" w:rsidRPr="00DA1E36" w:rsidRDefault="00186DCC" w:rsidP="00186DCC">
      <w:pPr>
        <w:pStyle w:val="NoSpacing"/>
        <w:rPr>
          <w:rFonts w:ascii="Times New Roman" w:hAnsi="Times New Roman"/>
          <w:szCs w:val="24"/>
        </w:rPr>
      </w:pPr>
    </w:p>
    <w:p w14:paraId="74D6B1D0" w14:textId="3BB05CF5" w:rsidR="007E00CC" w:rsidRDefault="007E00CC" w:rsidP="00782412">
      <w:pPr>
        <w:pStyle w:val="NoSpacing"/>
        <w:rPr>
          <w:szCs w:val="24"/>
        </w:rPr>
      </w:pPr>
      <w:r>
        <w:rPr>
          <w:szCs w:val="24"/>
        </w:rPr>
        <w:t>Udall, Sharyn. “The Irresistible Other: Hopi Ritual Dra</w:t>
      </w:r>
      <w:r w:rsidR="00BA2470">
        <w:rPr>
          <w:szCs w:val="24"/>
        </w:rPr>
        <w:t>ma and Euro-American</w:t>
      </w:r>
      <w:r w:rsidR="00BA2470">
        <w:rPr>
          <w:szCs w:val="24"/>
        </w:rPr>
        <w:tab/>
        <w:t>Audiences.</w:t>
      </w:r>
      <w:r>
        <w:rPr>
          <w:szCs w:val="24"/>
        </w:rPr>
        <w:t xml:space="preserve">” </w:t>
      </w:r>
      <w:r>
        <w:rPr>
          <w:i/>
          <w:szCs w:val="24"/>
        </w:rPr>
        <w:t xml:space="preserve">TDR </w:t>
      </w:r>
      <w:r>
        <w:rPr>
          <w:szCs w:val="24"/>
        </w:rPr>
        <w:t>36, no. 2 (Summer 1992): 23-43.</w:t>
      </w:r>
    </w:p>
    <w:p w14:paraId="552AFDEB" w14:textId="335E78FE" w:rsidR="00782412" w:rsidRDefault="00782412" w:rsidP="00782412">
      <w:pPr>
        <w:pStyle w:val="NoSpacing"/>
        <w:rPr>
          <w:szCs w:val="24"/>
        </w:rPr>
      </w:pPr>
    </w:p>
    <w:p w14:paraId="7105B0AE" w14:textId="16FAFA16" w:rsidR="00782412" w:rsidRPr="00E7312B" w:rsidRDefault="00782412" w:rsidP="00782412">
      <w:pPr>
        <w:spacing w:line="240" w:lineRule="auto"/>
      </w:pPr>
      <w:r w:rsidRPr="00E7312B">
        <w:t xml:space="preserve">Udall, Sharon. </w:t>
      </w:r>
      <w:r w:rsidRPr="00E7312B">
        <w:rPr>
          <w:i/>
        </w:rPr>
        <w:t>Contested Terrain: Myth and Meaning in Southwest Art</w:t>
      </w:r>
      <w:r w:rsidRPr="00E7312B">
        <w:t>. Albuquerque:</w:t>
      </w:r>
      <w:r>
        <w:tab/>
      </w:r>
      <w:r w:rsidRPr="00E7312B">
        <w:t>University of</w:t>
      </w:r>
      <w:r>
        <w:t xml:space="preserve"> </w:t>
      </w:r>
      <w:r w:rsidR="00803CC1">
        <w:t>New Mexico Press, 1996.</w:t>
      </w:r>
    </w:p>
    <w:p w14:paraId="0258000C" w14:textId="77777777" w:rsidR="00782412" w:rsidRPr="00E7312B" w:rsidRDefault="00782412" w:rsidP="00782412">
      <w:pPr>
        <w:spacing w:line="240" w:lineRule="auto"/>
      </w:pPr>
    </w:p>
    <w:p w14:paraId="54827752" w14:textId="5F7120FB" w:rsidR="00186DCC" w:rsidRPr="00DA1E36" w:rsidRDefault="00186DCC" w:rsidP="00186DCC">
      <w:pPr>
        <w:pStyle w:val="NoSpacing"/>
        <w:rPr>
          <w:rFonts w:ascii="Times New Roman" w:hAnsi="Times New Roman"/>
          <w:bCs/>
          <w:szCs w:val="24"/>
        </w:rPr>
      </w:pPr>
      <w:r w:rsidRPr="00DA1E36">
        <w:rPr>
          <w:rFonts w:ascii="Times New Roman" w:hAnsi="Times New Roman"/>
          <w:bCs/>
          <w:i/>
          <w:szCs w:val="24"/>
        </w:rPr>
        <w:t>Ufer in Retrospective</w:t>
      </w:r>
      <w:r w:rsidRPr="00DA1E36">
        <w:rPr>
          <w:rFonts w:ascii="Times New Roman" w:hAnsi="Times New Roman"/>
          <w:bCs/>
          <w:szCs w:val="24"/>
        </w:rPr>
        <w:t>. Phoenix, AZ: Phoenix Art Museum, 1970.</w:t>
      </w:r>
    </w:p>
    <w:p w14:paraId="2C287914" w14:textId="129B2DF4" w:rsidR="00186DCC" w:rsidRDefault="00186DCC" w:rsidP="00186DCC">
      <w:pPr>
        <w:pStyle w:val="NoSpacing"/>
        <w:rPr>
          <w:rStyle w:val="st"/>
          <w:rFonts w:ascii="Times New Roman" w:hAnsi="Times New Roman"/>
          <w:szCs w:val="24"/>
        </w:rPr>
      </w:pPr>
    </w:p>
    <w:p w14:paraId="353C3BDB" w14:textId="77777777" w:rsidR="007E00CC" w:rsidRDefault="007E00CC" w:rsidP="007E00CC">
      <w:pPr>
        <w:pStyle w:val="NoSpacing"/>
      </w:pPr>
      <w:r>
        <w:rPr>
          <w:szCs w:val="24"/>
        </w:rPr>
        <w:t>“</w:t>
      </w:r>
      <w:hyperlink r:id="rId92" w:history="1">
        <w:r>
          <w:rPr>
            <w:szCs w:val="24"/>
          </w:rPr>
          <w:t>Ufer, Painter of Southwest, dies at Taos</w:t>
        </w:r>
      </w:hyperlink>
      <w:r>
        <w:rPr>
          <w:szCs w:val="24"/>
        </w:rPr>
        <w:t xml:space="preserve">.” </w:t>
      </w:r>
      <w:r>
        <w:rPr>
          <w:i/>
          <w:szCs w:val="24"/>
        </w:rPr>
        <w:t>Art Digest</w:t>
      </w:r>
      <w:r>
        <w:rPr>
          <w:szCs w:val="24"/>
        </w:rPr>
        <w:t xml:space="preserve"> 10 (September 1936): 13.</w:t>
      </w:r>
    </w:p>
    <w:p w14:paraId="7B94F187" w14:textId="77777777" w:rsidR="000B5404" w:rsidRDefault="000B5404" w:rsidP="0016471F">
      <w:pPr>
        <w:pStyle w:val="EndnoteText"/>
        <w:rPr>
          <w:rFonts w:ascii="Times New Roman" w:hAnsi="Times New Roman" w:cs="Times New Roman"/>
          <w:color w:val="000000"/>
          <w:kern w:val="0"/>
          <w:sz w:val="24"/>
          <w:szCs w:val="24"/>
          <w:lang w:bidi="ar-SA"/>
        </w:rPr>
      </w:pPr>
    </w:p>
    <w:p w14:paraId="42438385" w14:textId="5269986D" w:rsidR="0016471F" w:rsidRPr="00FE6EB2" w:rsidRDefault="007E00CC" w:rsidP="0016471F">
      <w:pPr>
        <w:pStyle w:val="EndnoteText"/>
        <w:rPr>
          <w:rFonts w:ascii="Times New Roman" w:hAnsi="Times New Roman" w:cs="Times New Roman"/>
          <w:sz w:val="24"/>
          <w:szCs w:val="24"/>
        </w:rPr>
      </w:pPr>
      <w:r>
        <w:rPr>
          <w:rFonts w:ascii="Times New Roman" w:hAnsi="Times New Roman" w:cs="Times New Roman"/>
          <w:color w:val="000000"/>
          <w:kern w:val="0"/>
          <w:sz w:val="24"/>
          <w:szCs w:val="24"/>
          <w:lang w:bidi="ar-SA"/>
        </w:rPr>
        <w:t>“</w:t>
      </w:r>
      <w:r w:rsidR="00BA2470">
        <w:rPr>
          <w:rFonts w:ascii="Times New Roman" w:hAnsi="Times New Roman" w:cs="Times New Roman"/>
          <w:color w:val="000000"/>
          <w:kern w:val="0"/>
          <w:sz w:val="24"/>
          <w:szCs w:val="24"/>
          <w:lang w:bidi="ar-SA"/>
        </w:rPr>
        <w:t>Untitled Article.</w:t>
      </w:r>
      <w:r>
        <w:rPr>
          <w:rFonts w:ascii="Times New Roman" w:hAnsi="Times New Roman" w:cs="Times New Roman"/>
          <w:color w:val="000000"/>
          <w:kern w:val="0"/>
          <w:sz w:val="24"/>
          <w:szCs w:val="24"/>
          <w:lang w:bidi="ar-SA"/>
        </w:rPr>
        <w:t>”</w:t>
      </w:r>
      <w:r w:rsidR="0016471F">
        <w:rPr>
          <w:rFonts w:ascii="Times New Roman" w:hAnsi="Times New Roman" w:cs="Times New Roman"/>
          <w:color w:val="000000"/>
          <w:kern w:val="0"/>
          <w:sz w:val="24"/>
          <w:szCs w:val="24"/>
          <w:lang w:bidi="ar-SA"/>
        </w:rPr>
        <w:t xml:space="preserve"> </w:t>
      </w:r>
      <w:r w:rsidR="0016471F" w:rsidRPr="00FE6EB2">
        <w:rPr>
          <w:rFonts w:ascii="Times New Roman" w:hAnsi="Times New Roman" w:cs="Times New Roman"/>
          <w:i/>
          <w:color w:val="000000"/>
          <w:kern w:val="0"/>
          <w:sz w:val="24"/>
          <w:szCs w:val="24"/>
          <w:lang w:bidi="ar-SA"/>
        </w:rPr>
        <w:t>Saturday Press</w:t>
      </w:r>
      <w:r w:rsidR="00496AD3">
        <w:rPr>
          <w:rFonts w:ascii="Times New Roman" w:hAnsi="Times New Roman" w:cs="Times New Roman"/>
          <w:i/>
          <w:color w:val="000000"/>
          <w:kern w:val="0"/>
          <w:sz w:val="24"/>
          <w:szCs w:val="24"/>
          <w:lang w:bidi="ar-SA"/>
        </w:rPr>
        <w:t xml:space="preserve"> </w:t>
      </w:r>
      <w:r w:rsidR="00496AD3">
        <w:rPr>
          <w:rFonts w:ascii="Times New Roman" w:hAnsi="Times New Roman" w:cs="Times New Roman"/>
          <w:color w:val="000000"/>
          <w:kern w:val="0"/>
          <w:sz w:val="24"/>
          <w:szCs w:val="24"/>
          <w:lang w:bidi="ar-SA"/>
        </w:rPr>
        <w:t>(Honolulu)</w:t>
      </w:r>
      <w:r w:rsidR="0016471F" w:rsidRPr="00FE6EB2">
        <w:rPr>
          <w:rFonts w:ascii="Times New Roman" w:hAnsi="Times New Roman" w:cs="Times New Roman"/>
          <w:color w:val="000000"/>
          <w:kern w:val="0"/>
          <w:sz w:val="24"/>
          <w:szCs w:val="24"/>
          <w:lang w:bidi="ar-SA"/>
        </w:rPr>
        <w:t>, February 7, 1885.</w:t>
      </w:r>
    </w:p>
    <w:p w14:paraId="33196FB7" w14:textId="77777777" w:rsidR="0016471F" w:rsidRDefault="0016471F" w:rsidP="0016471F">
      <w:pPr>
        <w:pStyle w:val="EndnoteText"/>
        <w:rPr>
          <w:rFonts w:ascii="Times New Roman" w:hAnsi="Times New Roman" w:cs="Times New Roman"/>
          <w:i/>
          <w:sz w:val="24"/>
          <w:szCs w:val="24"/>
        </w:rPr>
      </w:pPr>
    </w:p>
    <w:p w14:paraId="71DF969F" w14:textId="017550FC" w:rsidR="0016471F" w:rsidRPr="00FE6EB2" w:rsidRDefault="007E00CC" w:rsidP="0016471F">
      <w:pPr>
        <w:pStyle w:val="EndnoteText"/>
        <w:rPr>
          <w:rFonts w:ascii="Times New Roman" w:hAnsi="Times New Roman" w:cs="Times New Roman"/>
          <w:sz w:val="24"/>
          <w:szCs w:val="24"/>
        </w:rPr>
      </w:pPr>
      <w:r>
        <w:rPr>
          <w:rFonts w:ascii="Times New Roman" w:hAnsi="Times New Roman" w:cs="Times New Roman"/>
          <w:color w:val="000000"/>
          <w:kern w:val="0"/>
          <w:sz w:val="24"/>
          <w:szCs w:val="24"/>
          <w:lang w:bidi="ar-SA"/>
        </w:rPr>
        <w:t>“</w:t>
      </w:r>
      <w:r w:rsidR="00BA2470">
        <w:rPr>
          <w:rFonts w:ascii="Times New Roman" w:hAnsi="Times New Roman" w:cs="Times New Roman"/>
          <w:color w:val="000000"/>
          <w:kern w:val="0"/>
          <w:sz w:val="24"/>
          <w:szCs w:val="24"/>
          <w:lang w:bidi="ar-SA"/>
        </w:rPr>
        <w:t>Untitled Article.</w:t>
      </w:r>
      <w:r>
        <w:rPr>
          <w:rFonts w:ascii="Times New Roman" w:hAnsi="Times New Roman" w:cs="Times New Roman"/>
          <w:color w:val="000000"/>
          <w:kern w:val="0"/>
          <w:sz w:val="24"/>
          <w:szCs w:val="24"/>
          <w:lang w:bidi="ar-SA"/>
        </w:rPr>
        <w:t>”</w:t>
      </w:r>
      <w:r w:rsidR="0016471F">
        <w:rPr>
          <w:rFonts w:ascii="Times New Roman" w:hAnsi="Times New Roman" w:cs="Times New Roman"/>
          <w:color w:val="000000"/>
          <w:kern w:val="0"/>
          <w:sz w:val="24"/>
          <w:szCs w:val="24"/>
          <w:lang w:bidi="ar-SA"/>
        </w:rPr>
        <w:t xml:space="preserve"> </w:t>
      </w:r>
      <w:r w:rsidR="0016471F" w:rsidRPr="00FE6EB2">
        <w:rPr>
          <w:rFonts w:ascii="Times New Roman" w:hAnsi="Times New Roman" w:cs="Times New Roman"/>
          <w:i/>
          <w:sz w:val="24"/>
          <w:szCs w:val="24"/>
        </w:rPr>
        <w:t>Hawaiian Gazette</w:t>
      </w:r>
      <w:r w:rsidR="0016471F" w:rsidRPr="00FE6EB2">
        <w:rPr>
          <w:rFonts w:ascii="Times New Roman" w:hAnsi="Times New Roman" w:cs="Times New Roman"/>
          <w:sz w:val="24"/>
          <w:szCs w:val="24"/>
        </w:rPr>
        <w:t>, October 27, 1891.</w:t>
      </w:r>
    </w:p>
    <w:p w14:paraId="29A2351E" w14:textId="77777777" w:rsidR="0016471F" w:rsidRDefault="0016471F" w:rsidP="0016471F">
      <w:pPr>
        <w:pStyle w:val="FootnoteText"/>
        <w:ind w:left="180" w:hanging="180"/>
        <w:rPr>
          <w:i/>
          <w:sz w:val="24"/>
          <w:szCs w:val="24"/>
        </w:rPr>
      </w:pPr>
    </w:p>
    <w:p w14:paraId="4EDC9458" w14:textId="2AEBDC3D" w:rsidR="0016471F" w:rsidRPr="00FE6EB2" w:rsidRDefault="007E00CC" w:rsidP="0016471F">
      <w:pPr>
        <w:pStyle w:val="EndnoteText"/>
        <w:rPr>
          <w:rFonts w:ascii="Times New Roman" w:hAnsi="Times New Roman" w:cs="Times New Roman"/>
          <w:sz w:val="24"/>
          <w:szCs w:val="24"/>
        </w:rPr>
      </w:pPr>
      <w:r>
        <w:rPr>
          <w:rFonts w:ascii="Times New Roman" w:hAnsi="Times New Roman" w:cs="Times New Roman"/>
          <w:color w:val="000000"/>
          <w:kern w:val="0"/>
          <w:sz w:val="24"/>
          <w:szCs w:val="24"/>
          <w:lang w:bidi="ar-SA"/>
        </w:rPr>
        <w:t>“</w:t>
      </w:r>
      <w:r w:rsidR="00BA2470">
        <w:rPr>
          <w:rFonts w:ascii="Times New Roman" w:hAnsi="Times New Roman" w:cs="Times New Roman"/>
          <w:color w:val="000000"/>
          <w:kern w:val="0"/>
          <w:sz w:val="24"/>
          <w:szCs w:val="24"/>
          <w:lang w:bidi="ar-SA"/>
        </w:rPr>
        <w:t>Untitled Article.</w:t>
      </w:r>
      <w:r>
        <w:rPr>
          <w:rFonts w:ascii="Times New Roman" w:hAnsi="Times New Roman" w:cs="Times New Roman"/>
          <w:color w:val="000000"/>
          <w:kern w:val="0"/>
          <w:sz w:val="24"/>
          <w:szCs w:val="24"/>
          <w:lang w:bidi="ar-SA"/>
        </w:rPr>
        <w:t>”</w:t>
      </w:r>
      <w:r w:rsidR="0016471F">
        <w:rPr>
          <w:rFonts w:ascii="Times New Roman" w:hAnsi="Times New Roman" w:cs="Times New Roman"/>
          <w:color w:val="000000"/>
          <w:kern w:val="0"/>
          <w:sz w:val="24"/>
          <w:szCs w:val="24"/>
          <w:lang w:bidi="ar-SA"/>
        </w:rPr>
        <w:t xml:space="preserve"> </w:t>
      </w:r>
      <w:r w:rsidR="0016471F" w:rsidRPr="00FE6EB2">
        <w:rPr>
          <w:rFonts w:ascii="Times New Roman" w:hAnsi="Times New Roman" w:cs="Times New Roman"/>
          <w:i/>
          <w:color w:val="000000"/>
          <w:kern w:val="0"/>
          <w:sz w:val="24"/>
          <w:szCs w:val="24"/>
          <w:lang w:bidi="ar-SA"/>
        </w:rPr>
        <w:t>The Morning Call</w:t>
      </w:r>
      <w:r w:rsidR="0016471F" w:rsidRPr="00FE6EB2">
        <w:rPr>
          <w:rFonts w:ascii="Times New Roman" w:hAnsi="Times New Roman" w:cs="Times New Roman"/>
          <w:color w:val="000000"/>
          <w:kern w:val="0"/>
          <w:sz w:val="24"/>
          <w:szCs w:val="24"/>
          <w:lang w:bidi="ar-SA"/>
        </w:rPr>
        <w:t xml:space="preserve"> </w:t>
      </w:r>
      <w:r w:rsidR="00496AD3">
        <w:rPr>
          <w:rFonts w:ascii="Times New Roman" w:hAnsi="Times New Roman" w:cs="Times New Roman"/>
          <w:color w:val="000000"/>
          <w:kern w:val="0"/>
          <w:sz w:val="24"/>
          <w:szCs w:val="24"/>
          <w:lang w:bidi="ar-SA"/>
        </w:rPr>
        <w:t>(</w:t>
      </w:r>
      <w:r w:rsidR="0016471F" w:rsidRPr="00FE6EB2">
        <w:rPr>
          <w:rFonts w:ascii="Times New Roman" w:hAnsi="Times New Roman" w:cs="Times New Roman"/>
          <w:color w:val="000000"/>
          <w:kern w:val="0"/>
          <w:sz w:val="24"/>
          <w:szCs w:val="24"/>
          <w:lang w:bidi="ar-SA"/>
        </w:rPr>
        <w:t>San Francisco</w:t>
      </w:r>
      <w:r w:rsidR="00496AD3">
        <w:rPr>
          <w:rFonts w:ascii="Times New Roman" w:hAnsi="Times New Roman" w:cs="Times New Roman"/>
          <w:color w:val="000000"/>
          <w:kern w:val="0"/>
          <w:sz w:val="24"/>
          <w:szCs w:val="24"/>
          <w:lang w:bidi="ar-SA"/>
        </w:rPr>
        <w:t>)</w:t>
      </w:r>
      <w:r w:rsidR="0016471F" w:rsidRPr="00FE6EB2">
        <w:rPr>
          <w:rFonts w:ascii="Times New Roman" w:hAnsi="Times New Roman" w:cs="Times New Roman"/>
          <w:color w:val="000000"/>
          <w:kern w:val="0"/>
          <w:sz w:val="24"/>
          <w:szCs w:val="24"/>
          <w:lang w:bidi="ar-SA"/>
        </w:rPr>
        <w:t>, September 6, 1893, p. 1.</w:t>
      </w:r>
    </w:p>
    <w:p w14:paraId="7F33C2A4" w14:textId="77777777" w:rsidR="0016471F" w:rsidRDefault="0016471F" w:rsidP="0016471F">
      <w:pPr>
        <w:pStyle w:val="FootnoteText"/>
        <w:ind w:left="180" w:hanging="180"/>
        <w:rPr>
          <w:i/>
          <w:sz w:val="24"/>
          <w:szCs w:val="24"/>
        </w:rPr>
      </w:pPr>
    </w:p>
    <w:p w14:paraId="22F591CA" w14:textId="6FFA4D80" w:rsidR="0016471F" w:rsidRDefault="007E00CC" w:rsidP="0016471F">
      <w:pPr>
        <w:pStyle w:val="NoSpacing"/>
        <w:rPr>
          <w:szCs w:val="24"/>
        </w:rPr>
      </w:pPr>
      <w:r>
        <w:rPr>
          <w:rFonts w:ascii="Times New Roman" w:hAnsi="Times New Roman"/>
          <w:color w:val="000000"/>
          <w:szCs w:val="24"/>
          <w:lang w:bidi="ar-SA"/>
        </w:rPr>
        <w:t>“</w:t>
      </w:r>
      <w:r w:rsidR="00BA2470">
        <w:rPr>
          <w:rFonts w:ascii="Times New Roman" w:hAnsi="Times New Roman"/>
          <w:color w:val="000000"/>
          <w:szCs w:val="24"/>
          <w:lang w:bidi="ar-SA"/>
        </w:rPr>
        <w:t>Untitled Article.</w:t>
      </w:r>
      <w:r>
        <w:rPr>
          <w:rFonts w:ascii="Times New Roman" w:hAnsi="Times New Roman"/>
          <w:color w:val="000000"/>
          <w:szCs w:val="24"/>
          <w:lang w:bidi="ar-SA"/>
        </w:rPr>
        <w:t>”</w:t>
      </w:r>
      <w:r w:rsidR="0016471F">
        <w:rPr>
          <w:color w:val="000000"/>
          <w:szCs w:val="24"/>
          <w:lang w:bidi="ar-SA"/>
        </w:rPr>
        <w:t xml:space="preserve"> </w:t>
      </w:r>
      <w:r w:rsidR="0016471F" w:rsidRPr="00FE6EB2">
        <w:rPr>
          <w:i/>
          <w:szCs w:val="24"/>
        </w:rPr>
        <w:t>The Hawaiian Holomua</w:t>
      </w:r>
      <w:r w:rsidR="00496AD3">
        <w:rPr>
          <w:szCs w:val="24"/>
        </w:rPr>
        <w:t xml:space="preserve"> (Honolulu), </w:t>
      </w:r>
      <w:r w:rsidR="0016471F" w:rsidRPr="00FE6EB2">
        <w:rPr>
          <w:szCs w:val="24"/>
        </w:rPr>
        <w:t>January 20, 1894.</w:t>
      </w:r>
    </w:p>
    <w:p w14:paraId="13A9D979" w14:textId="77777777" w:rsidR="0016471F" w:rsidRDefault="0016471F" w:rsidP="0016471F">
      <w:pPr>
        <w:pStyle w:val="NoSpacing"/>
        <w:rPr>
          <w:rStyle w:val="st"/>
          <w:rFonts w:ascii="Times New Roman" w:hAnsi="Times New Roman"/>
          <w:szCs w:val="24"/>
        </w:rPr>
      </w:pPr>
    </w:p>
    <w:p w14:paraId="27B9CA83" w14:textId="31AFECEA" w:rsidR="00186DCC" w:rsidRPr="00DA1E36" w:rsidRDefault="00186DCC" w:rsidP="00186DCC">
      <w:pPr>
        <w:pStyle w:val="NoSpacing"/>
        <w:rPr>
          <w:rStyle w:val="st"/>
          <w:rFonts w:ascii="Times New Roman" w:hAnsi="Times New Roman"/>
          <w:szCs w:val="24"/>
        </w:rPr>
      </w:pPr>
      <w:r w:rsidRPr="00DA1E36">
        <w:rPr>
          <w:rStyle w:val="st"/>
          <w:rFonts w:ascii="Times New Roman" w:hAnsi="Times New Roman"/>
          <w:szCs w:val="24"/>
        </w:rPr>
        <w:t>Viola, Herman, and Carolyn Margolis, eds.</w:t>
      </w:r>
      <w:r w:rsidRPr="00DA1E36">
        <w:rPr>
          <w:rStyle w:val="st"/>
          <w:rFonts w:ascii="Times New Roman" w:hAnsi="Times New Roman"/>
          <w:i/>
          <w:szCs w:val="24"/>
        </w:rPr>
        <w:t xml:space="preserve"> Magnificent Voyagers: The U.S.</w:t>
      </w:r>
      <w:r w:rsidR="00E67EF2">
        <w:rPr>
          <w:rStyle w:val="st"/>
          <w:rFonts w:ascii="Times New Roman" w:hAnsi="Times New Roman"/>
          <w:i/>
          <w:szCs w:val="24"/>
        </w:rPr>
        <w:tab/>
      </w:r>
      <w:r w:rsidRPr="00DA1E36">
        <w:rPr>
          <w:rStyle w:val="st"/>
          <w:rFonts w:ascii="Times New Roman" w:hAnsi="Times New Roman"/>
          <w:i/>
          <w:szCs w:val="24"/>
        </w:rPr>
        <w:t>Exploratory Expedition,</w:t>
      </w:r>
      <w:r w:rsidR="00E67EF2">
        <w:rPr>
          <w:rStyle w:val="st"/>
          <w:rFonts w:ascii="Times New Roman" w:hAnsi="Times New Roman"/>
          <w:i/>
          <w:szCs w:val="24"/>
        </w:rPr>
        <w:t xml:space="preserve"> </w:t>
      </w:r>
      <w:r w:rsidRPr="00DA1E36">
        <w:rPr>
          <w:rStyle w:val="st"/>
          <w:rFonts w:ascii="Times New Roman" w:hAnsi="Times New Roman"/>
          <w:i/>
          <w:szCs w:val="24"/>
        </w:rPr>
        <w:t>1838-1842</w:t>
      </w:r>
      <w:r w:rsidR="000B5404">
        <w:rPr>
          <w:rStyle w:val="st"/>
          <w:rFonts w:ascii="Times New Roman" w:hAnsi="Times New Roman"/>
          <w:szCs w:val="24"/>
        </w:rPr>
        <w:t>.</w:t>
      </w:r>
      <w:r w:rsidRPr="00DA1E36">
        <w:rPr>
          <w:rStyle w:val="st"/>
          <w:rFonts w:ascii="Times New Roman" w:hAnsi="Times New Roman"/>
          <w:szCs w:val="24"/>
        </w:rPr>
        <w:t xml:space="preserve"> </w:t>
      </w:r>
      <w:r w:rsidR="000B5404">
        <w:rPr>
          <w:rStyle w:val="st"/>
          <w:rFonts w:ascii="Times New Roman" w:hAnsi="Times New Roman"/>
          <w:szCs w:val="24"/>
        </w:rPr>
        <w:t xml:space="preserve">Washington, DC: </w:t>
      </w:r>
      <w:r w:rsidRPr="00DA1E36">
        <w:rPr>
          <w:rStyle w:val="st"/>
          <w:rFonts w:ascii="Times New Roman" w:hAnsi="Times New Roman"/>
          <w:szCs w:val="24"/>
        </w:rPr>
        <w:t>Smithsonian Press, 1985.</w:t>
      </w:r>
    </w:p>
    <w:p w14:paraId="1D9AB9B1" w14:textId="77777777" w:rsidR="00186DCC" w:rsidRPr="00DA1E36" w:rsidRDefault="00186DCC" w:rsidP="00186DCC">
      <w:pPr>
        <w:pStyle w:val="NoSpacing"/>
        <w:rPr>
          <w:rStyle w:val="st"/>
          <w:rFonts w:ascii="Times New Roman" w:hAnsi="Times New Roman"/>
          <w:szCs w:val="24"/>
        </w:rPr>
      </w:pPr>
    </w:p>
    <w:p w14:paraId="53D27452" w14:textId="7AE6B568" w:rsidR="00E67EF2" w:rsidRDefault="00186DCC" w:rsidP="00E67EF2">
      <w:pPr>
        <w:pStyle w:val="NoSpacing"/>
        <w:rPr>
          <w:rFonts w:ascii="Times New Roman" w:hAnsi="Times New Roman"/>
          <w:color w:val="252525"/>
          <w:shd w:val="clear" w:color="auto" w:fill="FFFFFF"/>
        </w:rPr>
      </w:pPr>
      <w:r w:rsidRPr="00DA1E36">
        <w:rPr>
          <w:rFonts w:ascii="Times New Roman" w:hAnsi="Times New Roman"/>
          <w:color w:val="252525"/>
          <w:shd w:val="clear" w:color="auto" w:fill="FFFFFF"/>
        </w:rPr>
        <w:t>Vizenor,</w:t>
      </w:r>
      <w:r w:rsidR="00803CC1">
        <w:rPr>
          <w:rStyle w:val="apple-converted-space"/>
          <w:rFonts w:ascii="Times New Roman" w:hAnsi="Times New Roman"/>
          <w:color w:val="252525"/>
          <w:shd w:val="clear" w:color="auto" w:fill="FFFFFF"/>
        </w:rPr>
        <w:t xml:space="preserve"> </w:t>
      </w:r>
      <w:r w:rsidRPr="00DA1E36">
        <w:rPr>
          <w:rStyle w:val="apple-converted-space"/>
          <w:rFonts w:ascii="Times New Roman" w:hAnsi="Times New Roman"/>
          <w:color w:val="252525"/>
          <w:shd w:val="clear" w:color="auto" w:fill="FFFFFF"/>
        </w:rPr>
        <w:t>Gerald</w:t>
      </w:r>
      <w:r w:rsidRPr="00E67EF2">
        <w:rPr>
          <w:rStyle w:val="NoSpacingChar"/>
        </w:rPr>
        <w:t xml:space="preserve">. </w:t>
      </w:r>
      <w:r w:rsidRPr="000B5404">
        <w:rPr>
          <w:rStyle w:val="NoSpacingChar"/>
          <w:i/>
        </w:rPr>
        <w:t>Manifest Manners: Narratives on Postindian Survivance</w:t>
      </w:r>
      <w:r w:rsidRPr="00E67EF2">
        <w:rPr>
          <w:rStyle w:val="NoSpacingChar"/>
        </w:rPr>
        <w:t>. Lincoln:</w:t>
      </w:r>
      <w:r w:rsidR="00E67EF2">
        <w:rPr>
          <w:rStyle w:val="NoSpacingChar"/>
        </w:rPr>
        <w:tab/>
      </w:r>
      <w:r w:rsidRPr="00E67EF2">
        <w:rPr>
          <w:rStyle w:val="NoSpacingChar"/>
        </w:rPr>
        <w:t>Nebraska, 1999</w:t>
      </w:r>
      <w:r w:rsidRPr="00DA1E36">
        <w:rPr>
          <w:rFonts w:ascii="Times New Roman" w:hAnsi="Times New Roman"/>
          <w:color w:val="252525"/>
          <w:shd w:val="clear" w:color="auto" w:fill="FFFFFF"/>
        </w:rPr>
        <w:t>.</w:t>
      </w:r>
    </w:p>
    <w:p w14:paraId="4BC55065" w14:textId="77777777" w:rsidR="00186DCC" w:rsidRPr="00DA1E36" w:rsidRDefault="00186DCC" w:rsidP="00E67EF2">
      <w:pPr>
        <w:pStyle w:val="NoSpacing"/>
        <w:rPr>
          <w:rFonts w:ascii="Times New Roman" w:hAnsi="Times New Roman"/>
          <w:color w:val="252525"/>
          <w:shd w:val="clear" w:color="auto" w:fill="FFFFFF"/>
        </w:rPr>
      </w:pPr>
      <w:r w:rsidRPr="00DA1E36">
        <w:rPr>
          <w:rFonts w:ascii="Times New Roman" w:hAnsi="Times New Roman"/>
          <w:color w:val="252525"/>
          <w:shd w:val="clear" w:color="auto" w:fill="FFFFFF"/>
        </w:rPr>
        <w:t xml:space="preserve"> </w:t>
      </w:r>
    </w:p>
    <w:p w14:paraId="6BAA0E07" w14:textId="77777777" w:rsidR="00186DCC" w:rsidRDefault="00186DCC" w:rsidP="00E67EF2">
      <w:pPr>
        <w:pStyle w:val="NoSpacing"/>
        <w:rPr>
          <w:rStyle w:val="NoSpacingChar"/>
        </w:rPr>
      </w:pPr>
      <w:r w:rsidRPr="00E67EF2">
        <w:rPr>
          <w:rFonts w:ascii="Times New Roman" w:hAnsi="Times New Roman"/>
          <w:color w:val="000000"/>
        </w:rPr>
        <w:t>Volcano</w:t>
      </w:r>
      <w:r w:rsidRPr="00E67EF2">
        <w:rPr>
          <w:rStyle w:val="NoSpacingChar"/>
        </w:rPr>
        <w:t xml:space="preserve"> House Register, Volume 3, 1885-1891. Hawai'i Volcanoes National Park</w:t>
      </w:r>
      <w:r w:rsidR="00E67EF2">
        <w:rPr>
          <w:rStyle w:val="NoSpacingChar"/>
        </w:rPr>
        <w:tab/>
      </w:r>
      <w:r w:rsidR="00E67EF2">
        <w:rPr>
          <w:rStyle w:val="NoSpacingChar"/>
        </w:rPr>
        <w:tab/>
      </w:r>
      <w:r w:rsidRPr="00E67EF2">
        <w:rPr>
          <w:rStyle w:val="NoSpacingChar"/>
        </w:rPr>
        <w:t>Archive.</w:t>
      </w:r>
    </w:p>
    <w:p w14:paraId="75E90C7D" w14:textId="77777777" w:rsidR="00E67EF2" w:rsidRPr="00DA1E36" w:rsidRDefault="00E67EF2" w:rsidP="00E67EF2">
      <w:pPr>
        <w:pStyle w:val="NoSpacing"/>
        <w:rPr>
          <w:rFonts w:ascii="Times New Roman" w:hAnsi="Times New Roman"/>
          <w:color w:val="252525"/>
          <w:shd w:val="clear" w:color="auto" w:fill="FFFFFF"/>
        </w:rPr>
      </w:pPr>
    </w:p>
    <w:p w14:paraId="2221619B" w14:textId="551F9B1F" w:rsidR="00782412" w:rsidRDefault="00782412" w:rsidP="007E00CC">
      <w:pPr>
        <w:pStyle w:val="NoSpacing"/>
      </w:pPr>
      <w:r w:rsidRPr="00E7312B">
        <w:t xml:space="preserve">Walter, Paul A.F. “The Santa Fe – Taos Art Movement.” </w:t>
      </w:r>
      <w:r w:rsidRPr="00E7312B">
        <w:rPr>
          <w:i/>
        </w:rPr>
        <w:t>Art and Archaeology</w:t>
      </w:r>
      <w:r w:rsidRPr="00E7312B">
        <w:t xml:space="preserve"> 4</w:t>
      </w:r>
      <w:r>
        <w:tab/>
      </w:r>
      <w:r w:rsidRPr="00E7312B">
        <w:t>(December 1916):</w:t>
      </w:r>
      <w:r>
        <w:t xml:space="preserve"> </w:t>
      </w:r>
      <w:r w:rsidRPr="00E7312B">
        <w:t>330-338.</w:t>
      </w:r>
    </w:p>
    <w:p w14:paraId="2B48B175" w14:textId="77777777" w:rsidR="00782412" w:rsidRDefault="00782412" w:rsidP="007E00CC">
      <w:pPr>
        <w:pStyle w:val="NoSpacing"/>
      </w:pPr>
    </w:p>
    <w:p w14:paraId="2262D393" w14:textId="1E8D3C22" w:rsidR="007E00CC" w:rsidRDefault="007E00CC" w:rsidP="007E00CC">
      <w:pPr>
        <w:pStyle w:val="NoSpacing"/>
      </w:pPr>
      <w:r>
        <w:rPr>
          <w:bCs/>
          <w:i/>
          <w:szCs w:val="24"/>
        </w:rPr>
        <w:t>Walter Ufer: Sixteen Paintings</w:t>
      </w:r>
      <w:r>
        <w:rPr>
          <w:szCs w:val="24"/>
        </w:rPr>
        <w:t>. New York: Christie, Manson &amp; Woods International,</w:t>
      </w:r>
      <w:r>
        <w:rPr>
          <w:szCs w:val="24"/>
        </w:rPr>
        <w:tab/>
        <w:t>1982.</w:t>
      </w:r>
    </w:p>
    <w:p w14:paraId="46F15718" w14:textId="77777777" w:rsidR="00782412" w:rsidRDefault="00782412" w:rsidP="00186DCC">
      <w:pPr>
        <w:pStyle w:val="NoSpacing"/>
        <w:rPr>
          <w:szCs w:val="24"/>
        </w:rPr>
      </w:pPr>
    </w:p>
    <w:p w14:paraId="3E91BA7A" w14:textId="55B124A2" w:rsidR="003D6433" w:rsidRDefault="003D6433" w:rsidP="00186DCC">
      <w:pPr>
        <w:pStyle w:val="NoSpacing"/>
        <w:rPr>
          <w:rFonts w:ascii="Times New Roman" w:hAnsi="Times New Roman"/>
          <w:szCs w:val="24"/>
        </w:rPr>
      </w:pPr>
      <w:r>
        <w:rPr>
          <w:szCs w:val="24"/>
        </w:rPr>
        <w:t xml:space="preserve">Watkins, Lisa M. </w:t>
      </w:r>
      <w:r>
        <w:rPr>
          <w:i/>
          <w:szCs w:val="24"/>
        </w:rPr>
        <w:t>Painting the American Indian at the Turn of the Century: Joseph</w:t>
      </w:r>
      <w:r>
        <w:rPr>
          <w:i/>
          <w:szCs w:val="24"/>
        </w:rPr>
        <w:tab/>
        <w:t>Henry Sharp and his Patrons, William H. Holmes, Phoebe A. Hearst, and</w:t>
      </w:r>
      <w:r>
        <w:rPr>
          <w:i/>
          <w:szCs w:val="24"/>
        </w:rPr>
        <w:tab/>
        <w:t xml:space="preserve">Joseph G. Butler, Jr. </w:t>
      </w:r>
      <w:r w:rsidR="000B5404" w:rsidRPr="000B5404">
        <w:rPr>
          <w:szCs w:val="24"/>
        </w:rPr>
        <w:t>Ph</w:t>
      </w:r>
      <w:r>
        <w:rPr>
          <w:szCs w:val="24"/>
        </w:rPr>
        <w:t>D</w:t>
      </w:r>
      <w:r w:rsidR="000B5404">
        <w:rPr>
          <w:szCs w:val="24"/>
        </w:rPr>
        <w:t xml:space="preserve"> diss., </w:t>
      </w:r>
      <w:r>
        <w:rPr>
          <w:szCs w:val="24"/>
        </w:rPr>
        <w:t>Florida State University, 2000.</w:t>
      </w:r>
    </w:p>
    <w:p w14:paraId="151A1189" w14:textId="77777777" w:rsidR="003D6433" w:rsidRDefault="003D6433" w:rsidP="00186DCC">
      <w:pPr>
        <w:pStyle w:val="NoSpacing"/>
        <w:rPr>
          <w:rFonts w:ascii="Times New Roman" w:hAnsi="Times New Roman"/>
          <w:szCs w:val="24"/>
        </w:rPr>
      </w:pPr>
    </w:p>
    <w:p w14:paraId="186BCA1F" w14:textId="77777777" w:rsidR="00C12047" w:rsidRDefault="00C12047" w:rsidP="00C12047">
      <w:pPr>
        <w:pStyle w:val="FootnoteText"/>
        <w:rPr>
          <w:rFonts w:cs="Times New Roman"/>
          <w:sz w:val="24"/>
          <w:szCs w:val="24"/>
        </w:rPr>
      </w:pPr>
      <w:r w:rsidRPr="006A42FC">
        <w:rPr>
          <w:rFonts w:cs="Times New Roman"/>
          <w:sz w:val="24"/>
          <w:szCs w:val="24"/>
        </w:rPr>
        <w:t xml:space="preserve">Watson III, Samuel E. </w:t>
      </w:r>
      <w:r w:rsidRPr="006A42FC">
        <w:rPr>
          <w:rFonts w:cs="Times New Roman"/>
          <w:i/>
          <w:sz w:val="24"/>
          <w:szCs w:val="24"/>
        </w:rPr>
        <w:t>Pueblo Indian Painting at Taos and the Art of Albert Looking</w:t>
      </w:r>
      <w:r>
        <w:rPr>
          <w:rFonts w:cs="Times New Roman"/>
          <w:i/>
          <w:sz w:val="24"/>
          <w:szCs w:val="24"/>
        </w:rPr>
        <w:tab/>
      </w:r>
      <w:r w:rsidRPr="006A42FC">
        <w:rPr>
          <w:rFonts w:cs="Times New Roman"/>
          <w:i/>
          <w:sz w:val="24"/>
          <w:szCs w:val="24"/>
        </w:rPr>
        <w:t>Elk</w:t>
      </w:r>
      <w:r>
        <w:rPr>
          <w:rFonts w:cs="Times New Roman"/>
          <w:sz w:val="24"/>
          <w:szCs w:val="24"/>
        </w:rPr>
        <w:t>.</w:t>
      </w:r>
      <w:r w:rsidRPr="006A42FC">
        <w:rPr>
          <w:rFonts w:cs="Times New Roman"/>
          <w:sz w:val="24"/>
          <w:szCs w:val="24"/>
        </w:rPr>
        <w:t xml:space="preserve"> M</w:t>
      </w:r>
      <w:r>
        <w:rPr>
          <w:rFonts w:cs="Times New Roman"/>
          <w:sz w:val="24"/>
          <w:szCs w:val="24"/>
        </w:rPr>
        <w:t xml:space="preserve">aster’s </w:t>
      </w:r>
      <w:r w:rsidRPr="006A42FC">
        <w:rPr>
          <w:rFonts w:cs="Times New Roman"/>
          <w:sz w:val="24"/>
          <w:szCs w:val="24"/>
        </w:rPr>
        <w:t>Thesis, University of New Mexico, 1994.</w:t>
      </w:r>
    </w:p>
    <w:p w14:paraId="38B8270D" w14:textId="77777777" w:rsidR="00C12047" w:rsidRDefault="00C12047" w:rsidP="00C12047">
      <w:pPr>
        <w:pStyle w:val="FootnoteText"/>
        <w:rPr>
          <w:rFonts w:cs="Times New Roman"/>
          <w:sz w:val="24"/>
          <w:szCs w:val="24"/>
        </w:rPr>
      </w:pPr>
    </w:p>
    <w:p w14:paraId="1D318840" w14:textId="161B5BA6" w:rsidR="00C12047" w:rsidRPr="007E00CC" w:rsidRDefault="000B5404" w:rsidP="00C12047">
      <w:pPr>
        <w:pStyle w:val="FootnoteText"/>
        <w:rPr>
          <w:rFonts w:asciiTheme="majorHAnsi" w:hAnsiTheme="majorHAnsi" w:cstheme="majorHAnsi"/>
          <w:sz w:val="24"/>
          <w:szCs w:val="24"/>
        </w:rPr>
      </w:pPr>
      <w:r>
        <w:rPr>
          <w:rFonts w:asciiTheme="majorHAnsi" w:hAnsiTheme="majorHAnsi" w:cstheme="majorHAnsi"/>
          <w:sz w:val="24"/>
          <w:szCs w:val="24"/>
        </w:rPr>
        <w:softHyphen/>
      </w:r>
      <w:r>
        <w:rPr>
          <w:rFonts w:asciiTheme="majorHAnsi" w:hAnsiTheme="majorHAnsi" w:cstheme="majorHAnsi"/>
          <w:sz w:val="24"/>
          <w:szCs w:val="24"/>
        </w:rPr>
        <w:softHyphen/>
      </w:r>
      <w:r>
        <w:rPr>
          <w:rFonts w:asciiTheme="majorHAnsi" w:hAnsiTheme="majorHAnsi" w:cstheme="majorHAnsi"/>
          <w:sz w:val="24"/>
          <w:szCs w:val="24"/>
        </w:rPr>
        <w:softHyphen/>
        <w:t>_____</w:t>
      </w:r>
      <w:r w:rsidR="00C12047" w:rsidRPr="007E00CC">
        <w:rPr>
          <w:rFonts w:asciiTheme="majorHAnsi" w:hAnsiTheme="majorHAnsi" w:cstheme="majorHAnsi"/>
          <w:sz w:val="24"/>
          <w:szCs w:val="24"/>
        </w:rPr>
        <w:t>. “Stylistic Plurality in the Pain</w:t>
      </w:r>
      <w:r>
        <w:rPr>
          <w:rFonts w:asciiTheme="majorHAnsi" w:hAnsiTheme="majorHAnsi" w:cstheme="majorHAnsi"/>
          <w:sz w:val="24"/>
          <w:szCs w:val="24"/>
        </w:rPr>
        <w:t xml:space="preserve">tings of Albert Looking Elk: An </w:t>
      </w:r>
      <w:r w:rsidR="00C12047" w:rsidRPr="007E00CC">
        <w:rPr>
          <w:rFonts w:asciiTheme="majorHAnsi" w:hAnsiTheme="majorHAnsi" w:cstheme="majorHAnsi"/>
          <w:sz w:val="24"/>
          <w:szCs w:val="24"/>
        </w:rPr>
        <w:t>Examination of</w:t>
      </w:r>
      <w:r>
        <w:rPr>
          <w:rFonts w:asciiTheme="majorHAnsi" w:hAnsiTheme="majorHAnsi" w:cstheme="majorHAnsi"/>
          <w:sz w:val="24"/>
          <w:szCs w:val="24"/>
        </w:rPr>
        <w:tab/>
      </w:r>
      <w:r w:rsidR="00C12047" w:rsidRPr="007E00CC">
        <w:rPr>
          <w:rFonts w:asciiTheme="majorHAnsi" w:hAnsiTheme="majorHAnsi" w:cstheme="majorHAnsi"/>
          <w:sz w:val="24"/>
          <w:szCs w:val="24"/>
        </w:rPr>
        <w:t xml:space="preserve">Patronage,” </w:t>
      </w:r>
      <w:r w:rsidR="00C12047" w:rsidRPr="007E00CC">
        <w:rPr>
          <w:rFonts w:asciiTheme="majorHAnsi" w:hAnsiTheme="majorHAnsi" w:cstheme="majorHAnsi"/>
          <w:i/>
          <w:sz w:val="24"/>
          <w:szCs w:val="24"/>
        </w:rPr>
        <w:t>American Indian Art Magazine</w:t>
      </w:r>
      <w:r w:rsidR="00C12047" w:rsidRPr="007E00CC">
        <w:rPr>
          <w:rFonts w:asciiTheme="majorHAnsi" w:hAnsiTheme="majorHAnsi" w:cstheme="majorHAnsi"/>
          <w:sz w:val="24"/>
          <w:szCs w:val="24"/>
        </w:rPr>
        <w:t xml:space="preserve"> 20, no. 1 (Winter</w:t>
      </w:r>
      <w:r>
        <w:rPr>
          <w:rFonts w:asciiTheme="majorHAnsi" w:hAnsiTheme="majorHAnsi" w:cstheme="majorHAnsi"/>
          <w:sz w:val="24"/>
          <w:szCs w:val="24"/>
        </w:rPr>
        <w:t xml:space="preserve"> </w:t>
      </w:r>
      <w:r w:rsidR="00C12047" w:rsidRPr="007E00CC">
        <w:rPr>
          <w:rFonts w:asciiTheme="majorHAnsi" w:hAnsiTheme="majorHAnsi" w:cstheme="majorHAnsi"/>
          <w:sz w:val="24"/>
          <w:szCs w:val="24"/>
        </w:rPr>
        <w:t>1994): 62-69.</w:t>
      </w:r>
    </w:p>
    <w:p w14:paraId="7B78B15E" w14:textId="77777777" w:rsidR="007E00CC" w:rsidRPr="007E00CC" w:rsidRDefault="007E00CC" w:rsidP="00186DCC">
      <w:pPr>
        <w:pStyle w:val="NoSpacing"/>
        <w:rPr>
          <w:rFonts w:asciiTheme="majorHAnsi" w:hAnsiTheme="majorHAnsi" w:cstheme="majorHAnsi"/>
          <w:szCs w:val="24"/>
        </w:rPr>
      </w:pPr>
    </w:p>
    <w:p w14:paraId="08AB9AC2" w14:textId="58954175" w:rsidR="00C7519B" w:rsidRDefault="00C7519B" w:rsidP="007E00CC">
      <w:pPr>
        <w:pStyle w:val="Standard"/>
        <w:rPr>
          <w:rFonts w:asciiTheme="majorHAnsi" w:hAnsiTheme="majorHAnsi" w:cstheme="majorHAnsi"/>
        </w:rPr>
      </w:pPr>
      <w:r>
        <w:rPr>
          <w:rFonts w:asciiTheme="majorHAnsi" w:hAnsiTheme="majorHAnsi" w:cstheme="majorHAnsi"/>
        </w:rPr>
        <w:t>Whitt, Laurie Anne. “Cultural Imperialism and the Marketing of Native America.”</w:t>
      </w:r>
      <w:r>
        <w:rPr>
          <w:rFonts w:asciiTheme="majorHAnsi" w:hAnsiTheme="majorHAnsi" w:cstheme="majorHAnsi"/>
        </w:rPr>
        <w:tab/>
      </w:r>
      <w:r w:rsidRPr="00C7519B">
        <w:rPr>
          <w:rFonts w:asciiTheme="majorHAnsi" w:hAnsiTheme="majorHAnsi" w:cstheme="majorHAnsi"/>
          <w:i/>
        </w:rPr>
        <w:t>American Indian Culture a</w:t>
      </w:r>
      <w:r>
        <w:rPr>
          <w:rFonts w:asciiTheme="majorHAnsi" w:hAnsiTheme="majorHAnsi" w:cstheme="majorHAnsi"/>
          <w:i/>
        </w:rPr>
        <w:t>n</w:t>
      </w:r>
      <w:r w:rsidRPr="00C7519B">
        <w:rPr>
          <w:rFonts w:asciiTheme="majorHAnsi" w:hAnsiTheme="majorHAnsi" w:cstheme="majorHAnsi"/>
          <w:i/>
        </w:rPr>
        <w:t>d Research Journal</w:t>
      </w:r>
      <w:r w:rsidR="00404EFD">
        <w:rPr>
          <w:rFonts w:asciiTheme="majorHAnsi" w:hAnsiTheme="majorHAnsi" w:cstheme="majorHAnsi"/>
        </w:rPr>
        <w:t xml:space="preserve"> 19, no. 3 (1995): 1-31.</w:t>
      </w:r>
    </w:p>
    <w:p w14:paraId="3EF739CD" w14:textId="77777777" w:rsidR="00C7519B" w:rsidRDefault="00C7519B" w:rsidP="007E00CC">
      <w:pPr>
        <w:pStyle w:val="Standard"/>
        <w:rPr>
          <w:rFonts w:asciiTheme="majorHAnsi" w:hAnsiTheme="majorHAnsi" w:cstheme="majorHAnsi"/>
        </w:rPr>
      </w:pPr>
    </w:p>
    <w:p w14:paraId="3A7EEC66" w14:textId="4BFB745B" w:rsidR="007E00CC" w:rsidRPr="007E00CC" w:rsidRDefault="007E00CC" w:rsidP="007E00CC">
      <w:pPr>
        <w:pStyle w:val="Standard"/>
        <w:rPr>
          <w:rFonts w:asciiTheme="majorHAnsi" w:hAnsiTheme="majorHAnsi" w:cstheme="majorHAnsi"/>
        </w:rPr>
      </w:pPr>
      <w:r w:rsidRPr="007E00CC">
        <w:rPr>
          <w:rFonts w:asciiTheme="majorHAnsi" w:hAnsiTheme="majorHAnsi" w:cstheme="majorHAnsi"/>
        </w:rPr>
        <w:t>White, Robert R.</w:t>
      </w:r>
      <w:r w:rsidRPr="007E00CC">
        <w:rPr>
          <w:rFonts w:asciiTheme="majorHAnsi" w:hAnsiTheme="majorHAnsi" w:cstheme="majorHAnsi"/>
          <w:bCs/>
        </w:rPr>
        <w:t xml:space="preserve"> </w:t>
      </w:r>
      <w:r w:rsidRPr="007E00CC">
        <w:rPr>
          <w:rFonts w:asciiTheme="majorHAnsi" w:hAnsiTheme="majorHAnsi" w:cstheme="majorHAnsi"/>
          <w:bCs/>
          <w:i/>
        </w:rPr>
        <w:t>The Taos Society of Artists</w:t>
      </w:r>
      <w:r w:rsidRPr="007E00CC">
        <w:rPr>
          <w:rFonts w:asciiTheme="majorHAnsi" w:hAnsiTheme="majorHAnsi" w:cstheme="majorHAnsi"/>
          <w:bCs/>
        </w:rPr>
        <w:t>.</w:t>
      </w:r>
      <w:r w:rsidRPr="007E00CC">
        <w:rPr>
          <w:rFonts w:asciiTheme="majorHAnsi" w:hAnsiTheme="majorHAnsi" w:cstheme="majorHAnsi"/>
          <w:i/>
        </w:rPr>
        <w:t xml:space="preserve"> </w:t>
      </w:r>
      <w:r w:rsidRPr="007E00CC">
        <w:rPr>
          <w:rFonts w:asciiTheme="majorHAnsi" w:hAnsiTheme="majorHAnsi" w:cstheme="majorHAnsi"/>
        </w:rPr>
        <w:t>Albuquerque: Historical Society of New</w:t>
      </w:r>
      <w:r>
        <w:rPr>
          <w:rFonts w:asciiTheme="majorHAnsi" w:hAnsiTheme="majorHAnsi" w:cstheme="majorHAnsi"/>
        </w:rPr>
        <w:tab/>
      </w:r>
      <w:r w:rsidRPr="007E00CC">
        <w:rPr>
          <w:rFonts w:asciiTheme="majorHAnsi" w:hAnsiTheme="majorHAnsi" w:cstheme="majorHAnsi"/>
        </w:rPr>
        <w:t>Mexico by</w:t>
      </w:r>
      <w:r>
        <w:rPr>
          <w:rFonts w:asciiTheme="majorHAnsi" w:hAnsiTheme="majorHAnsi" w:cstheme="majorHAnsi"/>
        </w:rPr>
        <w:t xml:space="preserve"> </w:t>
      </w:r>
      <w:r w:rsidRPr="007E00CC">
        <w:rPr>
          <w:rFonts w:asciiTheme="majorHAnsi" w:hAnsiTheme="majorHAnsi" w:cstheme="majorHAnsi"/>
        </w:rPr>
        <w:t>University of New Mexico Press, 1983.</w:t>
      </w:r>
    </w:p>
    <w:p w14:paraId="764DE0E7" w14:textId="77777777" w:rsidR="007E00CC" w:rsidRPr="007E00CC" w:rsidRDefault="007E00CC" w:rsidP="00186DCC">
      <w:pPr>
        <w:pStyle w:val="NoSpacing"/>
        <w:rPr>
          <w:rFonts w:asciiTheme="majorHAnsi" w:hAnsiTheme="majorHAnsi" w:cstheme="majorHAnsi"/>
          <w:szCs w:val="24"/>
        </w:rPr>
      </w:pPr>
    </w:p>
    <w:p w14:paraId="6753C8C2" w14:textId="6374F298" w:rsidR="00186DCC" w:rsidRPr="00DA1E36" w:rsidRDefault="00186DCC" w:rsidP="00186DCC">
      <w:pPr>
        <w:pStyle w:val="NoSpacing"/>
        <w:rPr>
          <w:rFonts w:ascii="Times New Roman" w:hAnsi="Times New Roman"/>
          <w:szCs w:val="24"/>
        </w:rPr>
      </w:pPr>
      <w:r w:rsidRPr="007E00CC">
        <w:rPr>
          <w:rFonts w:asciiTheme="majorHAnsi" w:hAnsiTheme="majorHAnsi" w:cstheme="majorHAnsi"/>
          <w:szCs w:val="24"/>
        </w:rPr>
        <w:t xml:space="preserve">Wilkes, Charles. </w:t>
      </w:r>
      <w:r w:rsidRPr="007E00CC">
        <w:rPr>
          <w:rFonts w:asciiTheme="majorHAnsi" w:hAnsiTheme="majorHAnsi" w:cstheme="majorHAnsi"/>
          <w:i/>
          <w:szCs w:val="24"/>
        </w:rPr>
        <w:t>Narrative of the Unite</w:t>
      </w:r>
      <w:r w:rsidR="00496AD3">
        <w:rPr>
          <w:rFonts w:asciiTheme="majorHAnsi" w:hAnsiTheme="majorHAnsi" w:cstheme="majorHAnsi"/>
          <w:i/>
          <w:szCs w:val="24"/>
        </w:rPr>
        <w:t>d States Exploring Expedition, D</w:t>
      </w:r>
      <w:r w:rsidRPr="007E00CC">
        <w:rPr>
          <w:rFonts w:asciiTheme="majorHAnsi" w:hAnsiTheme="majorHAnsi" w:cstheme="majorHAnsi"/>
          <w:i/>
          <w:szCs w:val="24"/>
        </w:rPr>
        <w:t>uring the Years</w:t>
      </w:r>
      <w:r w:rsidR="00E67EF2">
        <w:rPr>
          <w:rFonts w:ascii="Times New Roman" w:hAnsi="Times New Roman"/>
          <w:i/>
          <w:szCs w:val="24"/>
        </w:rPr>
        <w:tab/>
      </w:r>
      <w:r w:rsidRPr="00DA1E36">
        <w:rPr>
          <w:rFonts w:ascii="Times New Roman" w:hAnsi="Times New Roman"/>
          <w:i/>
          <w:szCs w:val="24"/>
        </w:rPr>
        <w:t>1838-1842</w:t>
      </w:r>
      <w:r w:rsidRPr="00DA1E36">
        <w:rPr>
          <w:rFonts w:ascii="Times New Roman" w:hAnsi="Times New Roman"/>
          <w:szCs w:val="24"/>
        </w:rPr>
        <w:t>.</w:t>
      </w:r>
      <w:r w:rsidR="00E67EF2">
        <w:rPr>
          <w:rFonts w:ascii="Times New Roman" w:hAnsi="Times New Roman"/>
          <w:szCs w:val="24"/>
        </w:rPr>
        <w:t xml:space="preserve"> </w:t>
      </w:r>
      <w:r w:rsidRPr="00DA1E36">
        <w:rPr>
          <w:rFonts w:ascii="Times New Roman" w:hAnsi="Times New Roman"/>
          <w:szCs w:val="24"/>
        </w:rPr>
        <w:t>London: Ingra</w:t>
      </w:r>
      <w:r w:rsidR="00404EFD">
        <w:rPr>
          <w:rFonts w:ascii="Times New Roman" w:hAnsi="Times New Roman"/>
          <w:szCs w:val="24"/>
        </w:rPr>
        <w:t>ham and Cooke, 1852, vols. 1-4.</w:t>
      </w:r>
    </w:p>
    <w:p w14:paraId="4776BD1A" w14:textId="77777777" w:rsidR="007459C4" w:rsidRDefault="007459C4" w:rsidP="00186DCC">
      <w:pPr>
        <w:pStyle w:val="NoSpacing"/>
        <w:rPr>
          <w:rFonts w:ascii="Times New Roman" w:hAnsi="Times New Roman"/>
          <w:szCs w:val="24"/>
        </w:rPr>
      </w:pPr>
    </w:p>
    <w:p w14:paraId="7C7B626D" w14:textId="5634ED0C" w:rsidR="004F51BA" w:rsidRDefault="004F51BA" w:rsidP="00186DCC">
      <w:pPr>
        <w:pStyle w:val="NoSpacing"/>
        <w:rPr>
          <w:rFonts w:ascii="Times New Roman" w:hAnsi="Times New Roman"/>
          <w:szCs w:val="24"/>
        </w:rPr>
      </w:pPr>
      <w:r w:rsidRPr="004817B9">
        <w:rPr>
          <w:rFonts w:ascii="Times New Roman" w:hAnsi="Times New Roman"/>
          <w:szCs w:val="24"/>
        </w:rPr>
        <w:t>Wilkins, Thurman</w:t>
      </w:r>
      <w:r>
        <w:rPr>
          <w:rFonts w:ascii="Times New Roman" w:hAnsi="Times New Roman"/>
          <w:szCs w:val="24"/>
        </w:rPr>
        <w:t>.</w:t>
      </w:r>
      <w:r w:rsidRPr="004817B9">
        <w:rPr>
          <w:rFonts w:ascii="Times New Roman" w:hAnsi="Times New Roman"/>
          <w:szCs w:val="24"/>
        </w:rPr>
        <w:t xml:space="preserve"> </w:t>
      </w:r>
      <w:r w:rsidRPr="00ED0730">
        <w:rPr>
          <w:rFonts w:ascii="Times New Roman" w:hAnsi="Times New Roman"/>
          <w:i/>
          <w:szCs w:val="24"/>
        </w:rPr>
        <w:t>The Cherokee Tragedy: The Ridge Family and the Decimation of a</w:t>
      </w:r>
      <w:r>
        <w:rPr>
          <w:rFonts w:ascii="Times New Roman" w:hAnsi="Times New Roman"/>
          <w:i/>
          <w:szCs w:val="24"/>
        </w:rPr>
        <w:tab/>
      </w:r>
      <w:r w:rsidRPr="00ED0730">
        <w:rPr>
          <w:rFonts w:ascii="Times New Roman" w:hAnsi="Times New Roman"/>
          <w:i/>
          <w:szCs w:val="24"/>
        </w:rPr>
        <w:t>People</w:t>
      </w:r>
      <w:r w:rsidRPr="004817B9">
        <w:rPr>
          <w:rFonts w:ascii="Times New Roman" w:hAnsi="Times New Roman"/>
          <w:szCs w:val="24"/>
        </w:rPr>
        <w:t>. Norman, OK: University of Oklahoma Press, 1986.</w:t>
      </w:r>
    </w:p>
    <w:p w14:paraId="515718A1" w14:textId="170A6865" w:rsidR="004F51BA" w:rsidRDefault="004F51BA" w:rsidP="00186DCC">
      <w:pPr>
        <w:pStyle w:val="NoSpacing"/>
        <w:rPr>
          <w:rFonts w:ascii="Times New Roman" w:hAnsi="Times New Roman"/>
          <w:szCs w:val="24"/>
        </w:rPr>
      </w:pPr>
    </w:p>
    <w:p w14:paraId="05539960" w14:textId="52A8CED8" w:rsidR="00F92FF1" w:rsidRPr="00A464EF" w:rsidRDefault="00F92FF1" w:rsidP="00186DCC">
      <w:pPr>
        <w:pStyle w:val="NoSpacing"/>
        <w:rPr>
          <w:rFonts w:asciiTheme="majorHAnsi" w:hAnsiTheme="majorHAnsi" w:cstheme="majorHAnsi"/>
          <w:szCs w:val="24"/>
        </w:rPr>
      </w:pPr>
      <w:r w:rsidRPr="006A42FC">
        <w:rPr>
          <w:rFonts w:ascii="Times New Roman" w:hAnsi="Times New Roman"/>
          <w:szCs w:val="24"/>
        </w:rPr>
        <w:t>Witt</w:t>
      </w:r>
      <w:r>
        <w:rPr>
          <w:szCs w:val="24"/>
        </w:rPr>
        <w:t xml:space="preserve">, </w:t>
      </w:r>
      <w:r w:rsidRPr="006A42FC">
        <w:rPr>
          <w:rFonts w:ascii="Times New Roman" w:hAnsi="Times New Roman"/>
          <w:szCs w:val="24"/>
        </w:rPr>
        <w:t>David</w:t>
      </w:r>
      <w:r>
        <w:rPr>
          <w:szCs w:val="24"/>
        </w:rPr>
        <w:t>,</w:t>
      </w:r>
      <w:r w:rsidRPr="006A42FC">
        <w:rPr>
          <w:rFonts w:ascii="Times New Roman" w:hAnsi="Times New Roman"/>
          <w:szCs w:val="24"/>
        </w:rPr>
        <w:t xml:space="preserve"> et al, </w:t>
      </w:r>
      <w:r w:rsidRPr="006A42FC">
        <w:rPr>
          <w:rFonts w:ascii="Times New Roman" w:hAnsi="Times New Roman"/>
          <w:i/>
          <w:szCs w:val="24"/>
        </w:rPr>
        <w:t>Three Taos Painters: Albert Looking Elk Martinez – Albert Lujan –</w:t>
      </w:r>
      <w:r w:rsidRPr="00A464EF">
        <w:rPr>
          <w:rFonts w:asciiTheme="majorHAnsi" w:hAnsiTheme="majorHAnsi" w:cstheme="majorHAnsi"/>
          <w:i/>
          <w:szCs w:val="24"/>
        </w:rPr>
        <w:tab/>
        <w:t>Juan Mirabal</w:t>
      </w:r>
      <w:r w:rsidRPr="00A464EF">
        <w:rPr>
          <w:rFonts w:asciiTheme="majorHAnsi" w:hAnsiTheme="majorHAnsi" w:cstheme="majorHAnsi"/>
          <w:szCs w:val="24"/>
        </w:rPr>
        <w:t>. Santa Fe: Harwoood Museum of Art, 2003.</w:t>
      </w:r>
    </w:p>
    <w:p w14:paraId="19D27C7E" w14:textId="77777777" w:rsidR="00F92FF1" w:rsidRPr="00A464EF" w:rsidRDefault="00F92FF1" w:rsidP="00186DCC">
      <w:pPr>
        <w:pStyle w:val="NoSpacing"/>
        <w:rPr>
          <w:rFonts w:asciiTheme="majorHAnsi" w:hAnsiTheme="majorHAnsi" w:cstheme="majorHAnsi"/>
          <w:szCs w:val="24"/>
        </w:rPr>
      </w:pPr>
    </w:p>
    <w:p w14:paraId="6A71C38E" w14:textId="02ECA8B5" w:rsidR="00186DCC" w:rsidRPr="00A464EF" w:rsidRDefault="00186DCC" w:rsidP="00186DCC">
      <w:pPr>
        <w:pStyle w:val="NoSpacing"/>
        <w:rPr>
          <w:rFonts w:asciiTheme="majorHAnsi" w:hAnsiTheme="majorHAnsi" w:cstheme="majorHAnsi"/>
          <w:szCs w:val="24"/>
        </w:rPr>
      </w:pPr>
      <w:r w:rsidRPr="00A464EF">
        <w:rPr>
          <w:rFonts w:asciiTheme="majorHAnsi" w:hAnsiTheme="majorHAnsi" w:cstheme="majorHAnsi"/>
          <w:szCs w:val="24"/>
        </w:rPr>
        <w:t xml:space="preserve">Womack, Craig S. </w:t>
      </w:r>
      <w:r w:rsidRPr="00A464EF">
        <w:rPr>
          <w:rFonts w:asciiTheme="majorHAnsi" w:hAnsiTheme="majorHAnsi" w:cstheme="majorHAnsi"/>
          <w:i/>
          <w:szCs w:val="24"/>
        </w:rPr>
        <w:t>Red on Red: Native American Literary Separatism</w:t>
      </w:r>
      <w:r w:rsidRPr="00A464EF">
        <w:rPr>
          <w:rFonts w:asciiTheme="majorHAnsi" w:hAnsiTheme="majorHAnsi" w:cstheme="majorHAnsi"/>
          <w:szCs w:val="24"/>
        </w:rPr>
        <w:t>. Minneapolis and</w:t>
      </w:r>
      <w:r w:rsidR="00E67EF2" w:rsidRPr="00A464EF">
        <w:rPr>
          <w:rFonts w:asciiTheme="majorHAnsi" w:hAnsiTheme="majorHAnsi" w:cstheme="majorHAnsi"/>
          <w:szCs w:val="24"/>
        </w:rPr>
        <w:tab/>
      </w:r>
      <w:r w:rsidRPr="00A464EF">
        <w:rPr>
          <w:rFonts w:asciiTheme="majorHAnsi" w:hAnsiTheme="majorHAnsi" w:cstheme="majorHAnsi"/>
          <w:szCs w:val="24"/>
        </w:rPr>
        <w:t>London:</w:t>
      </w:r>
      <w:r w:rsidR="00E67EF2" w:rsidRPr="00A464EF">
        <w:rPr>
          <w:rFonts w:asciiTheme="majorHAnsi" w:hAnsiTheme="majorHAnsi" w:cstheme="majorHAnsi"/>
          <w:szCs w:val="24"/>
        </w:rPr>
        <w:t xml:space="preserve"> </w:t>
      </w:r>
      <w:r w:rsidRPr="00A464EF">
        <w:rPr>
          <w:rFonts w:asciiTheme="majorHAnsi" w:hAnsiTheme="majorHAnsi" w:cstheme="majorHAnsi"/>
          <w:szCs w:val="24"/>
        </w:rPr>
        <w:t>Unive</w:t>
      </w:r>
      <w:r w:rsidR="00404EFD">
        <w:rPr>
          <w:rFonts w:asciiTheme="majorHAnsi" w:hAnsiTheme="majorHAnsi" w:cstheme="majorHAnsi"/>
          <w:szCs w:val="24"/>
        </w:rPr>
        <w:t>rsity of Minnesota Press, 1999.</w:t>
      </w:r>
    </w:p>
    <w:p w14:paraId="29680C35" w14:textId="57F31C34" w:rsidR="00186DCC" w:rsidRDefault="00186DCC" w:rsidP="00186DCC">
      <w:pPr>
        <w:pStyle w:val="NoSpacing"/>
        <w:rPr>
          <w:rFonts w:ascii="Times New Roman" w:hAnsi="Times New Roman"/>
          <w:szCs w:val="24"/>
        </w:rPr>
      </w:pPr>
    </w:p>
    <w:p w14:paraId="248DCCAF" w14:textId="33094403" w:rsidR="00BA2470" w:rsidRDefault="00BA2470" w:rsidP="00186DCC">
      <w:pPr>
        <w:pStyle w:val="NoSpacing"/>
        <w:rPr>
          <w:rFonts w:ascii="Times New Roman" w:hAnsi="Times New Roman"/>
          <w:szCs w:val="24"/>
        </w:rPr>
      </w:pPr>
      <w:r>
        <w:rPr>
          <w:rFonts w:ascii="Times New Roman" w:hAnsi="Times New Roman"/>
          <w:szCs w:val="24"/>
        </w:rPr>
        <w:t xml:space="preserve">“World’s Fair Doings.” </w:t>
      </w:r>
      <w:r w:rsidRPr="00BA2470">
        <w:rPr>
          <w:rFonts w:ascii="Times New Roman" w:hAnsi="Times New Roman"/>
          <w:i/>
          <w:szCs w:val="24"/>
        </w:rPr>
        <w:t>Daily Inter Ocean</w:t>
      </w:r>
      <w:r w:rsidR="00404EFD">
        <w:rPr>
          <w:rFonts w:ascii="Times New Roman" w:hAnsi="Times New Roman"/>
          <w:szCs w:val="24"/>
        </w:rPr>
        <w:t xml:space="preserve"> (Chicago), March 1, 1893.</w:t>
      </w:r>
    </w:p>
    <w:p w14:paraId="0DAF3E7D" w14:textId="7B490C32" w:rsidR="00BA2470" w:rsidRDefault="00BA2470" w:rsidP="00186DCC">
      <w:pPr>
        <w:pStyle w:val="NoSpacing"/>
        <w:rPr>
          <w:rFonts w:ascii="Times New Roman" w:hAnsi="Times New Roman"/>
          <w:szCs w:val="24"/>
        </w:rPr>
      </w:pPr>
    </w:p>
    <w:p w14:paraId="17A91D21" w14:textId="48ED92AE"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Wood, Houston. </w:t>
      </w:r>
      <w:r w:rsidRPr="00DA1E36">
        <w:rPr>
          <w:rFonts w:ascii="Times New Roman" w:hAnsi="Times New Roman"/>
          <w:i/>
          <w:iCs/>
          <w:szCs w:val="24"/>
        </w:rPr>
        <w:t xml:space="preserve">Displacing Natives: The Rhetorical Production of </w:t>
      </w:r>
      <w:r w:rsidR="00E67EF2" w:rsidRPr="00DA1E36">
        <w:rPr>
          <w:rFonts w:ascii="Times New Roman" w:hAnsi="Times New Roman"/>
          <w:i/>
          <w:iCs/>
          <w:szCs w:val="24"/>
        </w:rPr>
        <w:t>Hawai’i</w:t>
      </w:r>
      <w:r w:rsidRPr="00DA1E36">
        <w:rPr>
          <w:rFonts w:ascii="Times New Roman" w:hAnsi="Times New Roman"/>
          <w:szCs w:val="24"/>
        </w:rPr>
        <w:t>. Lanham</w:t>
      </w:r>
      <w:r w:rsidR="00496AD3">
        <w:rPr>
          <w:rFonts w:ascii="Times New Roman" w:hAnsi="Times New Roman"/>
          <w:szCs w:val="24"/>
        </w:rPr>
        <w:t>:</w:t>
      </w:r>
      <w:r w:rsidR="00496AD3">
        <w:rPr>
          <w:rFonts w:ascii="Times New Roman" w:hAnsi="Times New Roman"/>
          <w:szCs w:val="24"/>
        </w:rPr>
        <w:tab/>
      </w:r>
      <w:r w:rsidRPr="00DA1E36">
        <w:rPr>
          <w:rFonts w:ascii="Times New Roman" w:hAnsi="Times New Roman"/>
          <w:szCs w:val="24"/>
        </w:rPr>
        <w:t>Rowman</w:t>
      </w:r>
      <w:r w:rsidR="00E67EF2">
        <w:rPr>
          <w:rFonts w:ascii="Times New Roman" w:hAnsi="Times New Roman"/>
          <w:szCs w:val="24"/>
        </w:rPr>
        <w:t xml:space="preserve"> </w:t>
      </w:r>
      <w:r w:rsidRPr="00DA1E36">
        <w:rPr>
          <w:rFonts w:ascii="Times New Roman" w:hAnsi="Times New Roman"/>
          <w:szCs w:val="24"/>
        </w:rPr>
        <w:t>and Littlefield</w:t>
      </w:r>
      <w:r w:rsidR="00496AD3">
        <w:rPr>
          <w:rFonts w:ascii="Times New Roman" w:hAnsi="Times New Roman"/>
          <w:szCs w:val="24"/>
        </w:rPr>
        <w:t xml:space="preserve"> </w:t>
      </w:r>
      <w:r w:rsidRPr="00DA1E36">
        <w:rPr>
          <w:rFonts w:ascii="Times New Roman" w:hAnsi="Times New Roman"/>
          <w:szCs w:val="24"/>
        </w:rPr>
        <w:t>Publishers, 1999.</w:t>
      </w:r>
    </w:p>
    <w:p w14:paraId="4DCF4697" w14:textId="77777777" w:rsidR="00186DCC" w:rsidRPr="00DA1E36" w:rsidRDefault="00186DCC" w:rsidP="00186DCC">
      <w:pPr>
        <w:pStyle w:val="NoSpacing"/>
        <w:rPr>
          <w:rFonts w:ascii="Times New Roman" w:hAnsi="Times New Roman"/>
          <w:szCs w:val="24"/>
        </w:rPr>
      </w:pPr>
    </w:p>
    <w:p w14:paraId="7EF6C014" w14:textId="3DA0B92F" w:rsidR="004F51BA" w:rsidRPr="004F51BA" w:rsidRDefault="004F51BA" w:rsidP="004F51BA">
      <w:pPr>
        <w:pStyle w:val="NoSpacing"/>
        <w:rPr>
          <w:rFonts w:ascii="Times New Roman" w:hAnsi="Times New Roman"/>
          <w:szCs w:val="24"/>
        </w:rPr>
      </w:pPr>
      <w:r w:rsidRPr="004817B9">
        <w:rPr>
          <w:rFonts w:ascii="Times New Roman" w:hAnsi="Times New Roman"/>
          <w:szCs w:val="24"/>
        </w:rPr>
        <w:t>Wright, Jordan</w:t>
      </w:r>
      <w:r>
        <w:rPr>
          <w:rFonts w:ascii="Times New Roman" w:hAnsi="Times New Roman"/>
          <w:szCs w:val="24"/>
        </w:rPr>
        <w:t>.</w:t>
      </w:r>
      <w:r w:rsidRPr="004817B9">
        <w:rPr>
          <w:rFonts w:ascii="Times New Roman" w:hAnsi="Times New Roman"/>
          <w:szCs w:val="24"/>
        </w:rPr>
        <w:t xml:space="preserve"> “</w:t>
      </w:r>
      <w:r w:rsidRPr="004817B9">
        <w:rPr>
          <w:rFonts w:ascii="Times New Roman" w:hAnsi="Times New Roman"/>
          <w:color w:val="000000"/>
          <w:szCs w:val="24"/>
        </w:rPr>
        <w:t>Discovery of Long-Lost Silent Film with All-Indian Cast Has</w:t>
      </w:r>
      <w:r>
        <w:rPr>
          <w:rFonts w:ascii="Times New Roman" w:hAnsi="Times New Roman"/>
          <w:color w:val="000000"/>
          <w:szCs w:val="24"/>
        </w:rPr>
        <w:tab/>
      </w:r>
      <w:r w:rsidRPr="004817B9">
        <w:rPr>
          <w:rFonts w:ascii="Times New Roman" w:hAnsi="Times New Roman"/>
          <w:color w:val="000000"/>
          <w:szCs w:val="24"/>
        </w:rPr>
        <w:t xml:space="preserve">Historians Reeling,” </w:t>
      </w:r>
      <w:r w:rsidRPr="004F51BA">
        <w:rPr>
          <w:rFonts w:ascii="Times New Roman" w:hAnsi="Times New Roman"/>
          <w:i/>
          <w:szCs w:val="24"/>
        </w:rPr>
        <w:t>Indian Country Today</w:t>
      </w:r>
      <w:r>
        <w:rPr>
          <w:rFonts w:ascii="Times New Roman" w:hAnsi="Times New Roman"/>
          <w:szCs w:val="24"/>
        </w:rPr>
        <w:t>.</w:t>
      </w:r>
      <w:r w:rsidRPr="004817B9">
        <w:rPr>
          <w:rFonts w:ascii="Times New Roman" w:hAnsi="Times New Roman"/>
          <w:szCs w:val="24"/>
        </w:rPr>
        <w:t xml:space="preserve"> </w:t>
      </w:r>
      <w:r>
        <w:rPr>
          <w:rFonts w:ascii="Times New Roman" w:hAnsi="Times New Roman"/>
          <w:szCs w:val="24"/>
        </w:rPr>
        <w:t xml:space="preserve">Accessed </w:t>
      </w:r>
      <w:r w:rsidRPr="004817B9">
        <w:rPr>
          <w:rFonts w:ascii="Times New Roman" w:hAnsi="Times New Roman"/>
          <w:szCs w:val="24"/>
        </w:rPr>
        <w:t>August 8, 2012.</w:t>
      </w:r>
      <w:r w:rsidRPr="004F51BA">
        <w:rPr>
          <w:rFonts w:ascii="Times New Roman" w:hAnsi="Times New Roman"/>
          <w:szCs w:val="24"/>
        </w:rPr>
        <w:tab/>
      </w:r>
      <w:hyperlink r:id="rId93" w:history="1">
        <w:r w:rsidRPr="004F51BA">
          <w:rPr>
            <w:rStyle w:val="Hyperlink"/>
            <w:rFonts w:ascii="Times New Roman" w:hAnsi="Times New Roman"/>
            <w:color w:val="auto"/>
            <w:u w:val="none"/>
            <w:bdr w:val="none" w:sz="0" w:space="0" w:color="auto" w:frame="1"/>
          </w:rPr>
          <w:t>http://indiancountrytodaymedianetwork.com/2012/08/28/discovery-long-lost</w:t>
        </w:r>
        <w:r w:rsidRPr="004F51BA">
          <w:rPr>
            <w:rStyle w:val="Hyperlink"/>
            <w:rFonts w:ascii="Times New Roman" w:hAnsi="Times New Roman"/>
            <w:color w:val="auto"/>
            <w:u w:val="none"/>
            <w:bdr w:val="none" w:sz="0" w:space="0" w:color="auto" w:frame="1"/>
          </w:rPr>
          <w:tab/>
          <w:t>-silent-film-all-indian-cast-has-historians-reeling-131494</w:t>
        </w:r>
      </w:hyperlink>
      <w:r w:rsidRPr="004F51BA">
        <w:rPr>
          <w:rFonts w:ascii="Times New Roman" w:hAnsi="Times New Roman"/>
          <w:szCs w:val="24"/>
          <w:bdr w:val="none" w:sz="0" w:space="0" w:color="auto" w:frame="1"/>
        </w:rPr>
        <w:t>.</w:t>
      </w:r>
    </w:p>
    <w:p w14:paraId="659DC2FA" w14:textId="618DBFDA" w:rsidR="004F51BA" w:rsidRDefault="004F51BA" w:rsidP="00186DCC">
      <w:pPr>
        <w:pStyle w:val="NoSpacing"/>
        <w:rPr>
          <w:rFonts w:ascii="Times New Roman" w:hAnsi="Times New Roman"/>
          <w:szCs w:val="24"/>
        </w:rPr>
      </w:pPr>
    </w:p>
    <w:p w14:paraId="1605E890" w14:textId="7DA1141D" w:rsidR="00375B6E" w:rsidRPr="00375B6E" w:rsidRDefault="00375B6E" w:rsidP="00186DCC">
      <w:pPr>
        <w:pStyle w:val="NoSpacing"/>
        <w:rPr>
          <w:rFonts w:ascii="Times New Roman" w:hAnsi="Times New Roman"/>
          <w:szCs w:val="24"/>
        </w:rPr>
      </w:pPr>
      <w:r>
        <w:rPr>
          <w:rFonts w:ascii="Times New Roman" w:hAnsi="Times New Roman"/>
          <w:szCs w:val="24"/>
        </w:rPr>
        <w:t>Wright, Thomas</w:t>
      </w:r>
      <w:r w:rsidR="001404C4">
        <w:rPr>
          <w:rFonts w:ascii="Times New Roman" w:hAnsi="Times New Roman"/>
          <w:szCs w:val="24"/>
        </w:rPr>
        <w:t xml:space="preserve"> L.</w:t>
      </w:r>
      <w:r w:rsidR="000B5404">
        <w:rPr>
          <w:rFonts w:ascii="Times New Roman" w:hAnsi="Times New Roman"/>
          <w:szCs w:val="24"/>
        </w:rPr>
        <w:t xml:space="preserve">, Taeko Takahashi, </w:t>
      </w:r>
      <w:r>
        <w:rPr>
          <w:rFonts w:ascii="Times New Roman" w:hAnsi="Times New Roman"/>
          <w:szCs w:val="24"/>
        </w:rPr>
        <w:t xml:space="preserve">and </w:t>
      </w:r>
      <w:r w:rsidR="000B5404">
        <w:rPr>
          <w:rFonts w:ascii="Times New Roman" w:hAnsi="Times New Roman"/>
          <w:szCs w:val="24"/>
        </w:rPr>
        <w:t>J.D. Griggs.</w:t>
      </w:r>
      <w:r>
        <w:rPr>
          <w:rFonts w:ascii="Times New Roman" w:hAnsi="Times New Roman"/>
          <w:szCs w:val="24"/>
        </w:rPr>
        <w:t xml:space="preserve"> </w:t>
      </w:r>
      <w:r>
        <w:rPr>
          <w:rFonts w:ascii="Times New Roman" w:hAnsi="Times New Roman"/>
          <w:i/>
          <w:szCs w:val="24"/>
        </w:rPr>
        <w:t>Hawai’i Volcano Watch: A</w:t>
      </w:r>
      <w:r w:rsidR="005B1CB9">
        <w:rPr>
          <w:rFonts w:ascii="Times New Roman" w:hAnsi="Times New Roman"/>
          <w:i/>
          <w:szCs w:val="24"/>
        </w:rPr>
        <w:tab/>
      </w:r>
      <w:r>
        <w:rPr>
          <w:rFonts w:ascii="Times New Roman" w:hAnsi="Times New Roman"/>
          <w:i/>
          <w:szCs w:val="24"/>
        </w:rPr>
        <w:t>Pictorial History1779-1991</w:t>
      </w:r>
      <w:r>
        <w:rPr>
          <w:rFonts w:ascii="Times New Roman" w:hAnsi="Times New Roman"/>
          <w:szCs w:val="24"/>
        </w:rPr>
        <w:t xml:space="preserve">. </w:t>
      </w:r>
      <w:r w:rsidR="001404C4">
        <w:rPr>
          <w:rFonts w:ascii="Times New Roman" w:hAnsi="Times New Roman"/>
          <w:szCs w:val="24"/>
        </w:rPr>
        <w:t>Honolulu: Un</w:t>
      </w:r>
      <w:r w:rsidR="00404EFD">
        <w:rPr>
          <w:rFonts w:ascii="Times New Roman" w:hAnsi="Times New Roman"/>
          <w:szCs w:val="24"/>
        </w:rPr>
        <w:t>iversity of Hawai</w:t>
      </w:r>
      <w:r w:rsidR="00496AD3">
        <w:rPr>
          <w:rFonts w:ascii="Times New Roman" w:hAnsi="Times New Roman"/>
          <w:szCs w:val="24"/>
        </w:rPr>
        <w:t>’</w:t>
      </w:r>
      <w:r w:rsidR="00404EFD">
        <w:rPr>
          <w:rFonts w:ascii="Times New Roman" w:hAnsi="Times New Roman"/>
          <w:szCs w:val="24"/>
        </w:rPr>
        <w:t>i Press, 1992.</w:t>
      </w:r>
    </w:p>
    <w:p w14:paraId="6BCB36A9" w14:textId="77777777" w:rsidR="00375B6E" w:rsidRPr="004F51BA" w:rsidRDefault="00375B6E" w:rsidP="00186DCC">
      <w:pPr>
        <w:pStyle w:val="NoSpacing"/>
        <w:rPr>
          <w:rFonts w:ascii="Times New Roman" w:hAnsi="Times New Roman"/>
          <w:szCs w:val="24"/>
        </w:rPr>
      </w:pPr>
    </w:p>
    <w:p w14:paraId="23D3F343" w14:textId="32C6E662" w:rsidR="00186DCC" w:rsidRPr="00DA1E36" w:rsidRDefault="00186DCC" w:rsidP="00186DCC">
      <w:pPr>
        <w:pStyle w:val="NoSpacing"/>
        <w:rPr>
          <w:rFonts w:ascii="Times New Roman" w:hAnsi="Times New Roman"/>
          <w:szCs w:val="24"/>
        </w:rPr>
      </w:pPr>
      <w:r w:rsidRPr="00DA1E36">
        <w:rPr>
          <w:rFonts w:ascii="Times New Roman" w:hAnsi="Times New Roman"/>
          <w:szCs w:val="24"/>
        </w:rPr>
        <w:t xml:space="preserve">Wrobel, David. </w:t>
      </w:r>
      <w:r w:rsidRPr="00DA1E36">
        <w:rPr>
          <w:rFonts w:ascii="Times New Roman" w:hAnsi="Times New Roman"/>
          <w:i/>
          <w:szCs w:val="24"/>
        </w:rPr>
        <w:t>Promised Lands: Promotion, Memory, and the Creation of the</w:t>
      </w:r>
      <w:r w:rsidR="00E67EF2">
        <w:rPr>
          <w:rFonts w:ascii="Times New Roman" w:hAnsi="Times New Roman"/>
          <w:i/>
          <w:szCs w:val="24"/>
        </w:rPr>
        <w:tab/>
      </w:r>
      <w:r w:rsidRPr="00DA1E36">
        <w:rPr>
          <w:rFonts w:ascii="Times New Roman" w:hAnsi="Times New Roman"/>
          <w:i/>
          <w:szCs w:val="24"/>
        </w:rPr>
        <w:t>American West</w:t>
      </w:r>
      <w:r w:rsidR="00E67EF2">
        <w:rPr>
          <w:rFonts w:ascii="Times New Roman" w:hAnsi="Times New Roman"/>
          <w:szCs w:val="24"/>
        </w:rPr>
        <w:t xml:space="preserve">. </w:t>
      </w:r>
      <w:r w:rsidRPr="00DA1E36">
        <w:rPr>
          <w:rFonts w:ascii="Times New Roman" w:hAnsi="Times New Roman"/>
          <w:szCs w:val="24"/>
        </w:rPr>
        <w:t>Lawrence, KS: Un</w:t>
      </w:r>
      <w:r w:rsidR="00404EFD">
        <w:rPr>
          <w:rFonts w:ascii="Times New Roman" w:hAnsi="Times New Roman"/>
          <w:szCs w:val="24"/>
        </w:rPr>
        <w:t>iversity Press of Kansas, 2002.</w:t>
      </w:r>
    </w:p>
    <w:p w14:paraId="155B48AD" w14:textId="77777777" w:rsidR="00FC202C" w:rsidRDefault="00FC202C" w:rsidP="00FC202C">
      <w:pPr>
        <w:pStyle w:val="FootnoteText"/>
        <w:rPr>
          <w:rFonts w:cs="Times New Roman"/>
          <w:sz w:val="24"/>
          <w:szCs w:val="24"/>
        </w:rPr>
      </w:pPr>
    </w:p>
    <w:p w14:paraId="19DA6500" w14:textId="1F4A32C0" w:rsidR="00FC202C" w:rsidRPr="006A42FC" w:rsidRDefault="00FC202C" w:rsidP="00FC202C">
      <w:pPr>
        <w:pStyle w:val="FootnoteText"/>
        <w:rPr>
          <w:rFonts w:cs="Times New Roman"/>
          <w:sz w:val="24"/>
          <w:szCs w:val="24"/>
        </w:rPr>
      </w:pPr>
      <w:r w:rsidRPr="006A42FC">
        <w:rPr>
          <w:rFonts w:cs="Times New Roman"/>
          <w:sz w:val="24"/>
          <w:szCs w:val="24"/>
        </w:rPr>
        <w:t>Wyckoff,</w:t>
      </w:r>
      <w:r>
        <w:rPr>
          <w:rFonts w:cs="Times New Roman"/>
          <w:sz w:val="24"/>
          <w:szCs w:val="24"/>
        </w:rPr>
        <w:t xml:space="preserve"> </w:t>
      </w:r>
      <w:r w:rsidRPr="006A42FC">
        <w:rPr>
          <w:rFonts w:cs="Times New Roman"/>
          <w:sz w:val="24"/>
          <w:szCs w:val="24"/>
        </w:rPr>
        <w:t>Lydia</w:t>
      </w:r>
      <w:r>
        <w:rPr>
          <w:rFonts w:cs="Times New Roman"/>
          <w:sz w:val="24"/>
          <w:szCs w:val="24"/>
        </w:rPr>
        <w:t>,</w:t>
      </w:r>
      <w:r w:rsidRPr="006A42FC">
        <w:rPr>
          <w:rFonts w:cs="Times New Roman"/>
          <w:sz w:val="24"/>
          <w:szCs w:val="24"/>
        </w:rPr>
        <w:t xml:space="preserve"> ed. </w:t>
      </w:r>
      <w:r w:rsidRPr="006A42FC">
        <w:rPr>
          <w:rFonts w:cs="Times New Roman"/>
          <w:i/>
          <w:sz w:val="24"/>
          <w:szCs w:val="24"/>
        </w:rPr>
        <w:t>Visions and Vo</w:t>
      </w:r>
      <w:r>
        <w:rPr>
          <w:rFonts w:cs="Times New Roman"/>
          <w:i/>
          <w:sz w:val="24"/>
          <w:szCs w:val="24"/>
        </w:rPr>
        <w:t>ices: Native American Painting f</w:t>
      </w:r>
      <w:r w:rsidRPr="006A42FC">
        <w:rPr>
          <w:rFonts w:cs="Times New Roman"/>
          <w:i/>
          <w:sz w:val="24"/>
          <w:szCs w:val="24"/>
        </w:rPr>
        <w:t>rom the Philbrook</w:t>
      </w:r>
      <w:r>
        <w:rPr>
          <w:rFonts w:cs="Times New Roman"/>
          <w:i/>
          <w:sz w:val="24"/>
          <w:szCs w:val="24"/>
        </w:rPr>
        <w:tab/>
      </w:r>
      <w:r w:rsidRPr="006A42FC">
        <w:rPr>
          <w:rFonts w:cs="Times New Roman"/>
          <w:i/>
          <w:sz w:val="24"/>
          <w:szCs w:val="24"/>
        </w:rPr>
        <w:t>Museum of Art</w:t>
      </w:r>
      <w:r w:rsidR="000B5404">
        <w:rPr>
          <w:rFonts w:cs="Times New Roman"/>
          <w:sz w:val="24"/>
          <w:szCs w:val="24"/>
        </w:rPr>
        <w:t xml:space="preserve">, Tulsa </w:t>
      </w:r>
      <w:r w:rsidRPr="006A42FC">
        <w:rPr>
          <w:rFonts w:cs="Times New Roman"/>
          <w:sz w:val="24"/>
          <w:szCs w:val="24"/>
        </w:rPr>
        <w:t>and Santa Fe: Philbrook Museum of</w:t>
      </w:r>
      <w:r w:rsidR="000B5404">
        <w:rPr>
          <w:rFonts w:cs="Times New Roman"/>
          <w:sz w:val="24"/>
          <w:szCs w:val="24"/>
        </w:rPr>
        <w:t xml:space="preserve"> </w:t>
      </w:r>
      <w:r w:rsidRPr="006A42FC">
        <w:rPr>
          <w:rFonts w:cs="Times New Roman"/>
          <w:sz w:val="24"/>
          <w:szCs w:val="24"/>
        </w:rPr>
        <w:t>Art</w:t>
      </w:r>
      <w:r w:rsidR="000B5404">
        <w:rPr>
          <w:rFonts w:cs="Times New Roman"/>
          <w:sz w:val="24"/>
          <w:szCs w:val="24"/>
        </w:rPr>
        <w:t xml:space="preserve"> </w:t>
      </w:r>
      <w:r w:rsidRPr="006A42FC">
        <w:rPr>
          <w:rFonts w:cs="Times New Roman"/>
          <w:sz w:val="24"/>
          <w:szCs w:val="24"/>
        </w:rPr>
        <w:t>/</w:t>
      </w:r>
      <w:r w:rsidR="000B5404">
        <w:rPr>
          <w:rFonts w:cs="Times New Roman"/>
          <w:sz w:val="24"/>
          <w:szCs w:val="24"/>
        </w:rPr>
        <w:t xml:space="preserve"> </w:t>
      </w:r>
      <w:r w:rsidRPr="006A42FC">
        <w:rPr>
          <w:rFonts w:cs="Times New Roman"/>
          <w:sz w:val="24"/>
          <w:szCs w:val="24"/>
        </w:rPr>
        <w:t>University of</w:t>
      </w:r>
      <w:r w:rsidR="000B5404">
        <w:rPr>
          <w:rFonts w:cs="Times New Roman"/>
          <w:sz w:val="24"/>
          <w:szCs w:val="24"/>
        </w:rPr>
        <w:tab/>
      </w:r>
      <w:r w:rsidRPr="006A42FC">
        <w:rPr>
          <w:rFonts w:cs="Times New Roman"/>
          <w:sz w:val="24"/>
          <w:szCs w:val="24"/>
        </w:rPr>
        <w:t>New Mexico Press, 1996.</w:t>
      </w:r>
    </w:p>
    <w:p w14:paraId="405DEFEE" w14:textId="74A54BB8" w:rsidR="004F2423" w:rsidRDefault="004F2423">
      <w:pPr>
        <w:spacing w:line="240" w:lineRule="auto"/>
      </w:pPr>
    </w:p>
    <w:sectPr w:rsidR="004F2423" w:rsidSect="00F10FF4">
      <w:footnotePr>
        <w:numRestart w:val="eachSect"/>
      </w:footnotePr>
      <w:endnotePr>
        <w:numFmt w:val="decimal"/>
      </w:endnotePr>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23ACC" w14:textId="77777777" w:rsidR="00B31D83" w:rsidRDefault="00B31D83" w:rsidP="008E1C26">
      <w:pPr>
        <w:spacing w:line="240" w:lineRule="auto"/>
      </w:pPr>
      <w:r>
        <w:separator/>
      </w:r>
    </w:p>
  </w:endnote>
  <w:endnote w:type="continuationSeparator" w:id="0">
    <w:p w14:paraId="26596BE1" w14:textId="77777777" w:rsidR="00B31D83" w:rsidRDefault="00B31D83"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tarSymbol">
    <w:charset w:val="02"/>
    <w:family w:val="auto"/>
    <w:pitch w:val="variable"/>
  </w:font>
  <w:font w:name="OpenSymbol">
    <w:charset w:val="00"/>
    <w:family w:val="auto"/>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obe Garamond Pro">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Gautami">
    <w:panose1 w:val="02000500000000000000"/>
    <w:charset w:val="01"/>
    <w:family w:val="roman"/>
    <w:pitch w:val="variable"/>
    <w:sig w:usb0="00000001"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3139857"/>
      <w:docPartObj>
        <w:docPartGallery w:val="Page Numbers (Bottom of Page)"/>
        <w:docPartUnique/>
      </w:docPartObj>
    </w:sdtPr>
    <w:sdtEndPr>
      <w:rPr>
        <w:noProof/>
      </w:rPr>
    </w:sdtEndPr>
    <w:sdtContent>
      <w:p w14:paraId="1150ABB9" w14:textId="53F0B6D1" w:rsidR="005B1CB9" w:rsidRDefault="005B1CB9">
        <w:pPr>
          <w:pStyle w:val="Footer"/>
          <w:jc w:val="center"/>
        </w:pPr>
        <w:r>
          <w:fldChar w:fldCharType="begin"/>
        </w:r>
        <w:r>
          <w:instrText xml:space="preserve"> PAGE   \* MERGEFORMAT </w:instrText>
        </w:r>
        <w:r>
          <w:fldChar w:fldCharType="separate"/>
        </w:r>
        <w:r w:rsidR="00FE5897">
          <w:rPr>
            <w:noProof/>
          </w:rPr>
          <w:t>193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F03881" w14:textId="77777777" w:rsidR="00B31D83" w:rsidRDefault="00B31D83" w:rsidP="008E1C26">
      <w:pPr>
        <w:spacing w:line="240" w:lineRule="auto"/>
      </w:pPr>
      <w:r>
        <w:separator/>
      </w:r>
    </w:p>
  </w:footnote>
  <w:footnote w:type="continuationSeparator" w:id="0">
    <w:p w14:paraId="7E44262D" w14:textId="77777777" w:rsidR="00B31D83" w:rsidRDefault="00B31D83" w:rsidP="008E1C26">
      <w:pPr>
        <w:spacing w:line="240" w:lineRule="auto"/>
      </w:pPr>
      <w:r>
        <w:continuationSeparator/>
      </w:r>
    </w:p>
  </w:footnote>
  <w:footnote w:id="1">
    <w:p w14:paraId="56328A69" w14:textId="653F39FE" w:rsidR="005B1CB9" w:rsidRPr="00BC4FAB" w:rsidRDefault="005B1CB9" w:rsidP="008B6C93">
      <w:pPr>
        <w:spacing w:line="240" w:lineRule="auto"/>
        <w:ind w:firstLine="720"/>
      </w:pPr>
      <w:r w:rsidRPr="00BC4FAB">
        <w:rPr>
          <w:rStyle w:val="FootnoteReference"/>
          <w:rFonts w:asciiTheme="majorHAnsi" w:hAnsiTheme="majorHAnsi" w:cstheme="majorHAnsi"/>
        </w:rPr>
        <w:footnoteRef/>
      </w:r>
      <w:r w:rsidRPr="00BC4FAB">
        <w:t xml:space="preserve"> See John Barrell, </w:t>
      </w:r>
      <w:r w:rsidRPr="00BC4FAB">
        <w:rPr>
          <w:i/>
        </w:rPr>
        <w:t xml:space="preserve">The Dark Side of the Landscape: The Rural Poor in English Paintings, 1730-1840 </w:t>
      </w:r>
      <w:r w:rsidRPr="00BC4FAB">
        <w:t>(</w:t>
      </w:r>
      <w:r w:rsidRPr="00BC4FAB">
        <w:rPr>
          <w:rFonts w:ascii="Times New Roman" w:hAnsi="Times New Roman"/>
        </w:rPr>
        <w:t xml:space="preserve">Cambridge: Cambridge University Press, 1983), 1-34. </w:t>
      </w:r>
      <w:r w:rsidRPr="00BC4FAB">
        <w:t>Barrell suggests that how the agricultural / rural poor were represented, or not represented, in eighteenth-century landscapes and genre paintings was indicative of the social relationship between the rich and the poor in English society at that time. Barrel argues that artistic constraints, i.e., what the artist could or could not represent, helps the viewer see how imagery is organized. Barrell’s argument rests on the importance of displacement; what a painter does not, or cannot, picture is as important to our understanding of a painting as what is pictured.</w:t>
      </w:r>
    </w:p>
  </w:footnote>
  <w:footnote w:id="2">
    <w:p w14:paraId="29342E56" w14:textId="6ADE0270" w:rsidR="005B1CB9" w:rsidRPr="00BC4FAB" w:rsidRDefault="005B1CB9" w:rsidP="00151CC9">
      <w:pPr>
        <w:spacing w:line="240" w:lineRule="auto"/>
        <w:ind w:firstLine="720"/>
      </w:pPr>
      <w:r w:rsidRPr="00BC4FAB">
        <w:rPr>
          <w:rStyle w:val="FootnoteReference"/>
          <w:rFonts w:asciiTheme="majorHAnsi" w:hAnsiTheme="majorHAnsi" w:cstheme="majorHAnsi"/>
        </w:rPr>
        <w:footnoteRef/>
      </w:r>
      <w:r w:rsidRPr="00BC4FAB">
        <w:t xml:space="preserve"> The ethnographic present, according to David McKnight, is “the present which existed in the traditional past and not the period when the ethnographer was in the field.” See David McKnight, “The Australian Aborigines in Anthropology,” in R. Fardon, ed., </w:t>
      </w:r>
      <w:r w:rsidRPr="00BC4FAB">
        <w:rPr>
          <w:i/>
        </w:rPr>
        <w:t>Localizing Strategies: Regional Traditions of Ethnographic Writing</w:t>
      </w:r>
      <w:r w:rsidRPr="00BC4FAB">
        <w:t xml:space="preserve"> (Washington DC: Smithsonian Institution Press, 1990), 58. Roger Sanjek</w:t>
      </w:r>
      <w:r w:rsidRPr="00BC4FAB">
        <w:rPr>
          <w:rStyle w:val="NoSpacingChar"/>
          <w:rFonts w:asciiTheme="majorHAnsi" w:hAnsiTheme="majorHAnsi" w:cstheme="majorHAnsi"/>
          <w:szCs w:val="24"/>
        </w:rPr>
        <w:t xml:space="preserve">, clarifying McKnight, explains that the danger of the ethnographic present is that “certain aspects of the present may be ignored, while other aspects of the present [may] be taken to represent 'traditional' life . . . but then written about in the present tense.” See Roger Sanjek, “The Ethnographic Present,” </w:t>
      </w:r>
      <w:r w:rsidRPr="00BC4FAB">
        <w:rPr>
          <w:rStyle w:val="NoSpacingChar"/>
          <w:rFonts w:asciiTheme="majorHAnsi" w:hAnsiTheme="majorHAnsi" w:cstheme="majorHAnsi"/>
          <w:i/>
          <w:szCs w:val="24"/>
        </w:rPr>
        <w:t>Man</w:t>
      </w:r>
      <w:r w:rsidRPr="00BC4FAB">
        <w:rPr>
          <w:rStyle w:val="NoSpacingChar"/>
          <w:rFonts w:asciiTheme="majorHAnsi" w:hAnsiTheme="majorHAnsi" w:cstheme="majorHAnsi"/>
          <w:szCs w:val="24"/>
        </w:rPr>
        <w:t xml:space="preserve"> 26, no. 4 (December 1991), 612.</w:t>
      </w:r>
    </w:p>
  </w:footnote>
  <w:footnote w:id="3">
    <w:p w14:paraId="767FC8A5" w14:textId="662BF315"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Jennifer R Greeson, “Exploring </w:t>
      </w:r>
      <w:r w:rsidRPr="00BC4FAB">
        <w:rPr>
          <w:i/>
        </w:rPr>
        <w:t>The Great South</w:t>
      </w:r>
      <w:r w:rsidRPr="00BC4FAB">
        <w:t xml:space="preserve"> and Exporting ‘Local Color’: Global and Hemispheric Imaginaries of the First Reconstruction,” </w:t>
      </w:r>
      <w:r w:rsidRPr="00BC4FAB">
        <w:rPr>
          <w:rStyle w:val="medium-font"/>
          <w:rFonts w:asciiTheme="majorHAnsi" w:hAnsiTheme="majorHAnsi" w:cstheme="majorHAnsi"/>
          <w:i/>
        </w:rPr>
        <w:t>American Literary History</w:t>
      </w:r>
      <w:r w:rsidRPr="00BC4FAB">
        <w:rPr>
          <w:rStyle w:val="medium-font"/>
          <w:rFonts w:asciiTheme="majorHAnsi" w:hAnsiTheme="majorHAnsi" w:cstheme="majorHAnsi"/>
        </w:rPr>
        <w:t xml:space="preserve"> 18 (Fall 2006), 496-520.</w:t>
      </w:r>
    </w:p>
  </w:footnote>
  <w:footnote w:id="4">
    <w:p w14:paraId="1F41521D" w14:textId="4D9A1648"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Ibid, 499.</w:t>
      </w:r>
    </w:p>
  </w:footnote>
  <w:footnote w:id="5">
    <w:p w14:paraId="27F7D2DE" w14:textId="77777777"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Ibid.</w:t>
      </w:r>
    </w:p>
  </w:footnote>
  <w:footnote w:id="6">
    <w:p w14:paraId="69614831" w14:textId="36F8A3D6"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Both Haltman and Nemerov practice a method of </w:t>
      </w:r>
      <w:r w:rsidRPr="00BC4FAB">
        <w:rPr>
          <w:rStyle w:val="BlockQuotationChar"/>
          <w:rFonts w:asciiTheme="majorHAnsi" w:hAnsiTheme="majorHAnsi" w:cstheme="majorHAnsi"/>
        </w:rPr>
        <w:t xml:space="preserve">close looking and analysis championed by their teacher, Jules Prown, sometimes called the Prownian or Yale school of visual analysis. See Kenneth Haltman, </w:t>
      </w:r>
      <w:r w:rsidRPr="00BC4FAB">
        <w:rPr>
          <w:rStyle w:val="BlockQuotationChar"/>
          <w:rFonts w:asciiTheme="majorHAnsi" w:hAnsiTheme="majorHAnsi" w:cstheme="majorHAnsi"/>
          <w:i/>
        </w:rPr>
        <w:t>Looking Close and Seeing Far: Samuel Seymour, Titian Ramsay Peale, and</w:t>
      </w:r>
      <w:r w:rsidRPr="00BC4FAB">
        <w:rPr>
          <w:i/>
        </w:rPr>
        <w:t xml:space="preserve"> the Art of the Long Expedition, 1818-1823</w:t>
      </w:r>
      <w:r w:rsidRPr="00BC4FAB">
        <w:t xml:space="preserve"> (Penn State University Press, 2008); Alexander Nemerov, </w:t>
      </w:r>
      <w:r w:rsidRPr="00BC4FAB">
        <w:rPr>
          <w:i/>
        </w:rPr>
        <w:t>The Body of Raphaelle Peale: Still Life and Selfhood, 1812-1824</w:t>
      </w:r>
      <w:r w:rsidRPr="00BC4FAB">
        <w:t xml:space="preserve"> (University of California Press, 2001); and idem, </w:t>
      </w:r>
      <w:r w:rsidRPr="00BC4FAB">
        <w:rPr>
          <w:i/>
        </w:rPr>
        <w:t>Frederic Remington and Turn-of-The-Century America</w:t>
      </w:r>
      <w:r w:rsidRPr="00BC4FAB">
        <w:t xml:space="preserve"> (Yale University Press, 1995).</w:t>
      </w:r>
    </w:p>
  </w:footnote>
  <w:footnote w:id="7">
    <w:p w14:paraId="3B2A9925" w14:textId="7AA6F9C5" w:rsidR="005B1CB9" w:rsidRPr="00BC4FAB" w:rsidRDefault="005B1CB9" w:rsidP="00151CC9">
      <w:pPr>
        <w:spacing w:line="240" w:lineRule="auto"/>
        <w:ind w:firstLine="720"/>
      </w:pPr>
      <w:r w:rsidRPr="00BC4FAB">
        <w:rPr>
          <w:rStyle w:val="FootnoteReference"/>
          <w:rFonts w:asciiTheme="majorHAnsi" w:hAnsiTheme="majorHAnsi" w:cstheme="majorHAnsi"/>
        </w:rPr>
        <w:footnoteRef/>
      </w:r>
      <w:r w:rsidRPr="00BC4FAB">
        <w:t xml:space="preserve"> Edward Said, </w:t>
      </w:r>
      <w:r w:rsidRPr="00BC4FAB">
        <w:rPr>
          <w:i/>
        </w:rPr>
        <w:t>Orientalism</w:t>
      </w:r>
      <w:r w:rsidRPr="00BC4FAB">
        <w:t xml:space="preserve"> (New York: Vintage Books, 2003), 1-2.</w:t>
      </w:r>
    </w:p>
  </w:footnote>
  <w:footnote w:id="8">
    <w:p w14:paraId="373A4FB6" w14:textId="64AF69B6"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Louisa Schein, “Gender and Internal Orientalism in China,” </w:t>
      </w:r>
      <w:r w:rsidRPr="00BC4FAB">
        <w:rPr>
          <w:i/>
        </w:rPr>
        <w:t>Modern China</w:t>
      </w:r>
      <w:r w:rsidRPr="00BC4FAB">
        <w:t xml:space="preserve"> 23, no. 1 (January 1997), 72. For more on the perceived shortcomings of Said’s model, see also Derek Gregory, “Imaginative Geographies,” </w:t>
      </w:r>
      <w:r w:rsidRPr="00BC4FAB">
        <w:rPr>
          <w:i/>
        </w:rPr>
        <w:t>Progress in Human Geography</w:t>
      </w:r>
      <w:r w:rsidRPr="00BC4FAB">
        <w:t xml:space="preserve"> 19, no. 4 (1995), 447-485; Gayatri Chakravorty Spivak, </w:t>
      </w:r>
      <w:r w:rsidRPr="00BC4FAB">
        <w:rPr>
          <w:i/>
        </w:rPr>
        <w:t>In Other Worlds: Essays in Cultural Politics</w:t>
      </w:r>
      <w:r w:rsidRPr="00BC4FAB">
        <w:t xml:space="preserve"> (London &amp; New York: Methuen, 1987); James Carrier, “Occidentalism: The World Turned Upside-Down,” </w:t>
      </w:r>
      <w:r w:rsidRPr="00BC4FAB">
        <w:rPr>
          <w:i/>
        </w:rPr>
        <w:t>American Ethnologist</w:t>
      </w:r>
      <w:r w:rsidRPr="00BC4FAB">
        <w:t xml:space="preserve"> 19, no. 2 (1992), 195–212.</w:t>
      </w:r>
    </w:p>
  </w:footnote>
  <w:footnote w:id="9">
    <w:p w14:paraId="483D49E2" w14:textId="6F0E8CC3"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Jennifer Robertson, "Mon Japon: The Revue Theater as a Technology of Japanese Imperialism,” </w:t>
      </w:r>
      <w:r w:rsidRPr="00BC4FAB">
        <w:rPr>
          <w:i/>
        </w:rPr>
        <w:t>American Ethnologist</w:t>
      </w:r>
      <w:r w:rsidRPr="00BC4FAB">
        <w:t xml:space="preserve"> 22, no. 4 (November 1995), 973.</w:t>
      </w:r>
    </w:p>
  </w:footnote>
  <w:footnote w:id="10">
    <w:p w14:paraId="724830CD" w14:textId="5F8B5C3C"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David R. Jansson, “Internal Orientalism in America: W.J. Cash’s ‘The Mind of the South’ and the Spatial Construction of American National Identity,” </w:t>
      </w:r>
      <w:r w:rsidRPr="00BC4FAB">
        <w:rPr>
          <w:i/>
        </w:rPr>
        <w:t xml:space="preserve">Political Geography </w:t>
      </w:r>
      <w:r w:rsidRPr="00BC4FAB">
        <w:t>22 (2003), 296.</w:t>
      </w:r>
    </w:p>
  </w:footnote>
  <w:footnote w:id="11">
    <w:p w14:paraId="49CA50CF" w14:textId="6FCACF9A"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Ibid, 297.</w:t>
      </w:r>
    </w:p>
  </w:footnote>
  <w:footnote w:id="12">
    <w:p w14:paraId="718AF375" w14:textId="5C89E813"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Mary Louise Pratt, </w:t>
      </w:r>
      <w:r w:rsidRPr="00BC4FAB">
        <w:rPr>
          <w:rStyle w:val="Emphasis"/>
          <w:rFonts w:asciiTheme="majorHAnsi" w:hAnsiTheme="majorHAnsi" w:cstheme="majorHAnsi"/>
          <w:b w:val="0"/>
        </w:rPr>
        <w:t>Imperial Eyes: Travel Writing and Transculturation</w:t>
      </w:r>
      <w:r w:rsidRPr="00BC4FAB">
        <w:rPr>
          <w:rStyle w:val="Emphasis"/>
          <w:rFonts w:asciiTheme="majorHAnsi" w:hAnsiTheme="majorHAnsi" w:cstheme="majorHAnsi"/>
          <w:b w:val="0"/>
          <w:i w:val="0"/>
        </w:rPr>
        <w:t xml:space="preserve"> (London: Routledge, 2008), 8.</w:t>
      </w:r>
    </w:p>
  </w:footnote>
  <w:footnote w:id="13">
    <w:p w14:paraId="7AAABCAC" w14:textId="77777777"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Ibid.</w:t>
      </w:r>
    </w:p>
  </w:footnote>
  <w:footnote w:id="14">
    <w:p w14:paraId="0315055A" w14:textId="77777777"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Ibid.</w:t>
      </w:r>
    </w:p>
  </w:footnote>
  <w:footnote w:id="15">
    <w:p w14:paraId="04896866" w14:textId="50F8E4EE"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Ibid.</w:t>
      </w:r>
    </w:p>
  </w:footnote>
  <w:footnote w:id="16">
    <w:p w14:paraId="37F66934" w14:textId="39864A14"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John Lukavic, </w:t>
      </w:r>
      <w:r w:rsidRPr="00BC4FAB">
        <w:rPr>
          <w:i/>
        </w:rPr>
        <w:t>Southern Cheyenne Orthodoxy; A Study in Materiality</w:t>
      </w:r>
      <w:r w:rsidRPr="00BC4FAB">
        <w:t xml:space="preserve">, Doctoral Dissertation (Norman: University of Oklahoma, 2012), xvi-xviii. Lukavic relies heavily on interviews with living Southern Cheyenne consultants to demonstrate, however, for instance, “moccasins serve as the material manifestation of religious ideology and actively circulate within an orthodox Cheyenne system of cultural values.” Lukavic’s research depends on contemporary consultants to reflect on Cheyenne beliefs system, past and present. </w:t>
      </w:r>
    </w:p>
  </w:footnote>
  <w:footnote w:id="17">
    <w:p w14:paraId="032ED067" w14:textId="31E836E3"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Walter L. Adamson, </w:t>
      </w:r>
      <w:r w:rsidRPr="00BC4FAB">
        <w:rPr>
          <w:i/>
        </w:rPr>
        <w:t>Hegemony and Revolution: A Study of Antonio Gramsci’s Political and Cultural Theory</w:t>
      </w:r>
      <w:r w:rsidRPr="00BC4FAB">
        <w:t xml:space="preserve"> (Berkley: University of California Press, 1980), 170-172. The pro-colonization stance taken by the authors of </w:t>
      </w:r>
      <w:r w:rsidRPr="00BC4FAB">
        <w:rPr>
          <w:i/>
        </w:rPr>
        <w:t xml:space="preserve">Oklahoma! </w:t>
      </w:r>
      <w:r w:rsidRPr="00BC4FAB">
        <w:t xml:space="preserve">is not surprising - historically, the dominant / colonizing class has transmitted their ideas through cultural outlets in an attempt to realize cultural hegemony. </w:t>
      </w:r>
    </w:p>
  </w:footnote>
  <w:footnote w:id="18">
    <w:p w14:paraId="35FDB119" w14:textId="20D62D08"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Edward Said, </w:t>
      </w:r>
      <w:r w:rsidRPr="00BC4FAB">
        <w:rPr>
          <w:i/>
        </w:rPr>
        <w:t>Culture and Imperialism</w:t>
      </w:r>
      <w:r w:rsidRPr="00BC4FAB">
        <w:t xml:space="preserve"> (New York: Random House, 1993), xii.</w:t>
      </w:r>
    </w:p>
  </w:footnote>
  <w:footnote w:id="19">
    <w:p w14:paraId="607FCFF8" w14:textId="50FAF89C"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Ibid, xiii.</w:t>
      </w:r>
    </w:p>
  </w:footnote>
  <w:footnote w:id="20">
    <w:p w14:paraId="7FB97FDF" w14:textId="5EBC3128"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A.P. Jackson &amp; E.C. Cole, </w:t>
      </w:r>
      <w:r w:rsidRPr="00BC4FAB">
        <w:rPr>
          <w:i/>
        </w:rPr>
        <w:t>Oklahoma! Politically and Topographically Described: History and Guide to the Indian Territory: Biographical Sketches of Capt. David L. Payne, W.L. Couch, WM. H. Osborn, and Others</w:t>
      </w:r>
      <w:r w:rsidRPr="00BC4FAB">
        <w:t xml:space="preserve"> (Kansas City: Ramsey, Millett &amp; Hudson, 1885), 5.</w:t>
      </w:r>
    </w:p>
  </w:footnote>
  <w:footnote w:id="21">
    <w:p w14:paraId="0A6B9304" w14:textId="457AA7AC" w:rsidR="005B1CB9" w:rsidRPr="00BC4FAB" w:rsidRDefault="005B1CB9" w:rsidP="0076376C">
      <w:pPr>
        <w:pStyle w:val="NoSpacing"/>
        <w:ind w:firstLine="720"/>
      </w:pPr>
      <w:r w:rsidRPr="00BC4FAB">
        <w:rPr>
          <w:rStyle w:val="FootnoteReference"/>
          <w:rFonts w:asciiTheme="majorHAnsi" w:hAnsiTheme="majorHAnsi" w:cstheme="majorHAnsi"/>
        </w:rPr>
        <w:footnoteRef/>
      </w:r>
      <w:r w:rsidRPr="00BC4FAB">
        <w:t xml:space="preserve"> </w:t>
      </w:r>
      <w:r w:rsidRPr="00BC4FAB">
        <w:rPr>
          <w:i/>
        </w:rPr>
        <w:t>English Ranch in Oklahoma</w:t>
      </w:r>
      <w:r w:rsidRPr="00BC4FAB">
        <w:t xml:space="preserve"> was first published in Joseph G. McCoy, </w:t>
      </w:r>
      <w:r w:rsidRPr="00BC4FAB">
        <w:rPr>
          <w:i/>
        </w:rPr>
        <w:t>Historic</w:t>
      </w:r>
      <w:r w:rsidRPr="00BC4FAB">
        <w:t xml:space="preserve"> </w:t>
      </w:r>
      <w:r w:rsidRPr="00BC4FAB">
        <w:rPr>
          <w:i/>
        </w:rPr>
        <w:t>Sketches from the Cattle Trade of the West and Southwest</w:t>
      </w:r>
      <w:r w:rsidRPr="00BC4FAB">
        <w:t xml:space="preserve"> (Kansas City: Ramsey, Millett, and Hudson, 1874), 367. For a full list of prints appearing first in </w:t>
      </w:r>
      <w:r w:rsidRPr="00BC4FAB">
        <w:rPr>
          <w:i/>
        </w:rPr>
        <w:t>Cattle Trade</w:t>
      </w:r>
      <w:r w:rsidRPr="00BC4FAB">
        <w:t xml:space="preserve"> (1874) and subsequently in </w:t>
      </w:r>
      <w:r w:rsidRPr="00BC4FAB">
        <w:rPr>
          <w:i/>
        </w:rPr>
        <w:t>Oklahoma!</w:t>
      </w:r>
      <w:r w:rsidRPr="00BC4FAB">
        <w:t xml:space="preserve">, see note 38. </w:t>
      </w:r>
    </w:p>
  </w:footnote>
  <w:footnote w:id="22">
    <w:p w14:paraId="2DA6D604" w14:textId="2CCDD841"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Walter L. Adamson, </w:t>
      </w:r>
      <w:r w:rsidRPr="00BC4FAB">
        <w:rPr>
          <w:i/>
        </w:rPr>
        <w:t>Hegemony and Revolution: A Study of Antonio Gramsci’s Political and Cultural Theory</w:t>
      </w:r>
      <w:r w:rsidRPr="00BC4FAB">
        <w:t xml:space="preserve"> (Berkley: University of California Press, 1980), 170-172. According to Gamsci, the dominant / colonizing class tends to transmit their ideas through cultural outlets in an attempt to realize cultural hegemony. Accordingly, </w:t>
      </w:r>
      <w:r w:rsidRPr="00BC4FAB">
        <w:rPr>
          <w:i/>
        </w:rPr>
        <w:t xml:space="preserve">Oklahoma </w:t>
      </w:r>
      <w:r w:rsidRPr="00BC4FAB">
        <w:t>codifies, promotes and transmits the ideas of the dominant/colonizing culture.</w:t>
      </w:r>
    </w:p>
  </w:footnote>
  <w:footnote w:id="23">
    <w:p w14:paraId="3CB42248" w14:textId="2BA55D58"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Edward Said, </w:t>
      </w:r>
      <w:r w:rsidRPr="00BC4FAB">
        <w:rPr>
          <w:i/>
        </w:rPr>
        <w:t>Culture and Imperialism</w:t>
      </w:r>
      <w:r w:rsidRPr="00BC4FAB">
        <w:t xml:space="preserve"> (New York: Random House, 1993), xii.</w:t>
      </w:r>
    </w:p>
  </w:footnote>
  <w:footnote w:id="24">
    <w:p w14:paraId="6593E7BD" w14:textId="7D2760EC"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Ibid, xiii. Said’s theory of cultural resistance posits that although cultural products made by members of the colonizing class help maintain the colonial narrative, the cultural products made by members of the colonized class typically have offered active resistance to colonization.</w:t>
      </w:r>
    </w:p>
  </w:footnote>
  <w:footnote w:id="25">
    <w:p w14:paraId="6A245D5B" w14:textId="2573B4DE"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Eyewitness to History. “Massacre at Wounded Knee, 1890,” www.eyewitness tohistory.com/knee.htm (accessed September 12, 2016).</w:t>
      </w:r>
    </w:p>
  </w:footnote>
  <w:footnote w:id="26">
    <w:p w14:paraId="7993BEDD" w14:textId="4B41F02A"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Craig S. Womack, </w:t>
      </w:r>
      <w:r w:rsidRPr="00BC4FAB">
        <w:rPr>
          <w:i/>
        </w:rPr>
        <w:t>Red on Red: Native American Literary Separatism</w:t>
      </w:r>
      <w:r w:rsidRPr="00BC4FAB">
        <w:t xml:space="preserve"> (Minneapolis and London: University of Minnesota Press, 1999), 11. I read these editorials and articles in sympathy with Craig Womak’s theory of Native American Literary Separatism, which “emphasizes Native resistance movements against colonialism, confronts racism, discusses sovereignty and Native nationalism,” and seeks to connect American Indian cultural production with struggles for liberation and land.</w:t>
      </w:r>
    </w:p>
  </w:footnote>
  <w:footnote w:id="27">
    <w:p w14:paraId="243C3675" w14:textId="3B88B73F" w:rsidR="005B1CB9" w:rsidRPr="00BC4FAB" w:rsidRDefault="005B1CB9" w:rsidP="00151CC9">
      <w:pPr>
        <w:spacing w:line="240" w:lineRule="auto"/>
        <w:ind w:firstLine="720"/>
        <w:rPr>
          <w:rFonts w:asciiTheme="majorHAnsi" w:hAnsiTheme="majorHAnsi" w:cstheme="majorHAnsi"/>
          <w:lang w:bidi="ar-SA"/>
        </w:rPr>
      </w:pPr>
      <w:r w:rsidRPr="00BC4FAB">
        <w:rPr>
          <w:rStyle w:val="FootnoteReference"/>
          <w:rFonts w:asciiTheme="majorHAnsi" w:hAnsiTheme="majorHAnsi" w:cstheme="majorHAnsi"/>
        </w:rPr>
        <w:footnoteRef/>
      </w:r>
      <w:r w:rsidRPr="00BC4FAB">
        <w:rPr>
          <w:rFonts w:asciiTheme="majorHAnsi" w:hAnsiTheme="majorHAnsi" w:cstheme="majorHAnsi"/>
        </w:rPr>
        <w:t xml:space="preserve"> A version of the proceeding analysis of paintings by George Catlin and John Mix Stanley first appeared in James Peck, “Indian Territory, 1819-1861: Romance and the Spirit of Discovery,” in Byron Price, ed., </w:t>
      </w:r>
      <w:r w:rsidRPr="00BC4FAB">
        <w:rPr>
          <w:rStyle w:val="a-size-large"/>
          <w:rFonts w:asciiTheme="majorHAnsi" w:hAnsiTheme="majorHAnsi" w:cstheme="majorHAnsi"/>
          <w:i/>
        </w:rPr>
        <w:t>Picturing Indian Territory: Portraits of the Land That Became Oklahoma, 1819–1907</w:t>
      </w:r>
      <w:r w:rsidRPr="00BC4FAB">
        <w:rPr>
          <w:rStyle w:val="a-size-large"/>
          <w:rFonts w:asciiTheme="majorHAnsi" w:hAnsiTheme="majorHAnsi" w:cstheme="majorHAnsi"/>
        </w:rPr>
        <w:t xml:space="preserve"> (Norman: University of Oklahoma Press, 2016), 3-26.</w:t>
      </w:r>
    </w:p>
  </w:footnote>
  <w:footnote w:id="28">
    <w:p w14:paraId="3C6588FE" w14:textId="485CE95F"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Joan Carpenter Troccoli, </w:t>
      </w:r>
      <w:r w:rsidRPr="00BC4FAB">
        <w:rPr>
          <w:i/>
        </w:rPr>
        <w:t>First Artist of the West: George Catlin Paintings and Watercolors</w:t>
      </w:r>
      <w:r w:rsidRPr="00BC4FAB">
        <w:t xml:space="preserve"> (Tulsa, OK: Gilcrease Museum, 1993), 135.</w:t>
      </w:r>
    </w:p>
  </w:footnote>
  <w:footnote w:id="29">
    <w:p w14:paraId="4F27434E" w14:textId="5FB9874C" w:rsidR="005B1CB9" w:rsidRPr="00BC4FAB" w:rsidRDefault="005B1CB9" w:rsidP="0035388D">
      <w:pPr>
        <w:pStyle w:val="FootnoteText"/>
        <w:ind w:firstLine="720"/>
        <w:rPr>
          <w:rFonts w:asciiTheme="majorHAnsi" w:hAnsiTheme="majorHAnsi" w:cstheme="majorHAnsi"/>
          <w:sz w:val="24"/>
          <w:szCs w:val="24"/>
        </w:rPr>
      </w:pPr>
      <w:r w:rsidRPr="00BC4FAB">
        <w:rPr>
          <w:rStyle w:val="FootnoteReference"/>
          <w:sz w:val="24"/>
          <w:szCs w:val="24"/>
        </w:rPr>
        <w:footnoteRef/>
      </w:r>
      <w:r w:rsidRPr="00BC4FAB">
        <w:rPr>
          <w:sz w:val="24"/>
          <w:szCs w:val="24"/>
        </w:rPr>
        <w:t xml:space="preserve"> Ibi</w:t>
      </w:r>
      <w:r w:rsidRPr="00BC4FAB">
        <w:rPr>
          <w:rFonts w:asciiTheme="majorHAnsi" w:hAnsiTheme="majorHAnsi" w:cstheme="majorHAnsi"/>
          <w:sz w:val="24"/>
          <w:szCs w:val="24"/>
        </w:rPr>
        <w:t>d.</w:t>
      </w:r>
    </w:p>
  </w:footnote>
  <w:footnote w:id="30">
    <w:p w14:paraId="068313F5" w14:textId="01C9886E" w:rsidR="005B1CB9" w:rsidRPr="00BC4FAB" w:rsidRDefault="005B1CB9" w:rsidP="0035388D">
      <w:pPr>
        <w:pStyle w:val="FootnoteText"/>
        <w:ind w:firstLine="720"/>
      </w:pPr>
      <w:r w:rsidRPr="00BC4FAB">
        <w:rPr>
          <w:rStyle w:val="FootnoteReference"/>
          <w:rFonts w:asciiTheme="majorHAnsi" w:hAnsiTheme="majorHAnsi" w:cstheme="majorHAnsi"/>
          <w:sz w:val="24"/>
          <w:szCs w:val="24"/>
        </w:rPr>
        <w:footnoteRef/>
      </w:r>
      <w:r w:rsidRPr="00BC4FAB">
        <w:rPr>
          <w:rFonts w:asciiTheme="majorHAnsi" w:hAnsiTheme="majorHAnsi" w:cstheme="majorHAnsi"/>
          <w:sz w:val="24"/>
          <w:szCs w:val="24"/>
        </w:rPr>
        <w:t xml:space="preserve"> George Catlin. </w:t>
      </w:r>
      <w:r w:rsidRPr="00BC4FAB">
        <w:rPr>
          <w:rFonts w:asciiTheme="majorHAnsi" w:hAnsiTheme="majorHAnsi" w:cstheme="majorHAnsi"/>
          <w:i/>
          <w:sz w:val="24"/>
          <w:szCs w:val="24"/>
        </w:rPr>
        <w:t>Letters and Notes on the Manners, Customs, and Traditions of the North American Indians</w:t>
      </w:r>
      <w:r w:rsidRPr="00BC4FAB">
        <w:rPr>
          <w:rFonts w:asciiTheme="majorHAnsi" w:hAnsiTheme="majorHAnsi" w:cstheme="majorHAnsi"/>
          <w:sz w:val="24"/>
          <w:szCs w:val="24"/>
        </w:rPr>
        <w:t>. London: Egyptian Hall, Piccadilly, 1841, and New York: Dover, 1973, vol. 2, 56-57.</w:t>
      </w:r>
    </w:p>
  </w:footnote>
  <w:footnote w:id="31">
    <w:p w14:paraId="6218EEFA" w14:textId="7A0953ED"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w:t>
      </w:r>
      <w:r w:rsidRPr="00BC4FAB">
        <w:rPr>
          <w:color w:val="252525"/>
        </w:rPr>
        <w:t>W. Vernon Kinietz, </w:t>
      </w:r>
      <w:r w:rsidRPr="00BC4FAB">
        <w:rPr>
          <w:i/>
          <w:iCs/>
          <w:color w:val="252525"/>
        </w:rPr>
        <w:t>John Mix Stanley and His Indian Paintings</w:t>
      </w:r>
      <w:r w:rsidRPr="00BC4FAB">
        <w:rPr>
          <w:color w:val="252525"/>
        </w:rPr>
        <w:t xml:space="preserve"> (Ann Arbor: University of Michigan Press, 1942), 31.</w:t>
      </w:r>
    </w:p>
  </w:footnote>
  <w:footnote w:id="32">
    <w:p w14:paraId="74E0A431" w14:textId="509B491B"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Thurman Wilkins, </w:t>
      </w:r>
      <w:r w:rsidRPr="00BC4FAB">
        <w:rPr>
          <w:i/>
        </w:rPr>
        <w:t>The Cherokee Tragedy: The Ridge Family and the Decimation of a People</w:t>
      </w:r>
      <w:r w:rsidRPr="00BC4FAB">
        <w:t xml:space="preserve"> (Norman, OK: University of Oklahoma Press, 1986), 316-328.</w:t>
      </w:r>
    </w:p>
  </w:footnote>
  <w:footnote w:id="33">
    <w:p w14:paraId="6907DE10" w14:textId="47791B7C"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For an account of the political differences between Cherokee factions at this time, see Tim Garrison, “</w:t>
      </w:r>
      <w:r w:rsidRPr="00BC4FAB">
        <w:rPr>
          <w:shd w:val="clear" w:color="auto" w:fill="FFFFFF"/>
        </w:rPr>
        <w:t xml:space="preserve">Pan-Nationalism as a Crisis Management Strategy: John Ross and the Tahlequah Conference of 1843,” in Lisa Ford, Tim Rowse, Anna Yeatman eds., </w:t>
      </w:r>
      <w:r w:rsidRPr="00BC4FAB">
        <w:rPr>
          <w:i/>
          <w:shd w:val="clear" w:color="auto" w:fill="FFFFFF"/>
        </w:rPr>
        <w:t xml:space="preserve">Between </w:t>
      </w:r>
      <w:r w:rsidRPr="00BC4FAB">
        <w:rPr>
          <w:i/>
        </w:rPr>
        <w:t>Indigenous and Settler Governance</w:t>
      </w:r>
      <w:r w:rsidRPr="00BC4FAB">
        <w:t xml:space="preserve"> (London, Routlege, 2012), 49-50.</w:t>
      </w:r>
    </w:p>
  </w:footnote>
  <w:footnote w:id="34">
    <w:p w14:paraId="2D5CC3CC" w14:textId="29C7BBC3"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The Frontier Thesis, which argued that America was formed by the existence of its Western frontier, was first codified and fully articulated by historian William Jackson Turner in his paper, “The Significance of the Frontier in American History” </w:t>
      </w:r>
      <w:r w:rsidRPr="00BC4FAB">
        <w:rPr>
          <w:color w:val="252525"/>
          <w:shd w:val="clear" w:color="auto" w:fill="FFFFFF"/>
        </w:rPr>
        <w:t xml:space="preserve">delivered to the American Historical Association in 1893 in Chicago. See Frederick Jackson Turner, “The Significance of the Frontier in American History,” </w:t>
      </w:r>
      <w:r w:rsidRPr="00BC4FAB">
        <w:rPr>
          <w:i/>
          <w:color w:val="252525"/>
          <w:shd w:val="clear" w:color="auto" w:fill="FFFFFF"/>
        </w:rPr>
        <w:t>The Frontier in America History</w:t>
      </w:r>
      <w:r w:rsidRPr="00BC4FAB">
        <w:rPr>
          <w:color w:val="252525"/>
          <w:shd w:val="clear" w:color="auto" w:fill="FFFFFF"/>
        </w:rPr>
        <w:t xml:space="preserve"> (New York: Hot and Co, 1920), 293. </w:t>
      </w:r>
    </w:p>
  </w:footnote>
  <w:footnote w:id="35">
    <w:p w14:paraId="5AD03815" w14:textId="73E99F5F" w:rsidR="005B1CB9" w:rsidRPr="00BC4FAB" w:rsidRDefault="005B1CB9" w:rsidP="007A5905">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Arial" w:hAnsi="Arial" w:cs="Arial"/>
          <w:color w:val="5F584F"/>
          <w:sz w:val="19"/>
          <w:szCs w:val="19"/>
          <w:shd w:val="clear" w:color="auto" w:fill="FFFFFF"/>
        </w:rPr>
        <w:t xml:space="preserve"> </w:t>
      </w:r>
      <w:r w:rsidRPr="00BC4FAB">
        <w:rPr>
          <w:rFonts w:asciiTheme="majorHAnsi" w:hAnsiTheme="majorHAnsi" w:cstheme="majorHAnsi"/>
          <w:shd w:val="clear" w:color="auto" w:fill="FFFFFF"/>
        </w:rPr>
        <w:t>Stan Hoig, "Boomer Movement," Encyclopedia of Oklahoma History and Culture, www.okhistory.org (accessed October 15, 2016).</w:t>
      </w:r>
    </w:p>
  </w:footnote>
  <w:footnote w:id="36">
    <w:p w14:paraId="21318A86" w14:textId="2338A830" w:rsidR="005B1CB9" w:rsidRPr="00BC4FAB" w:rsidRDefault="005B1CB9" w:rsidP="007A5905">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shd w:val="clear" w:color="auto" w:fill="FFFFFF"/>
        </w:rPr>
        <w:t>Dianna Everett, "Springer Amendment," Encyclopedia of Oklahoma History and Culture, www.okhistory.org (accessed October 15, 2016).</w:t>
      </w:r>
    </w:p>
  </w:footnote>
  <w:footnote w:id="37">
    <w:p w14:paraId="7831B514" w14:textId="4CDCBC38" w:rsidR="005B1CB9" w:rsidRPr="00BC4FAB" w:rsidRDefault="005B1CB9" w:rsidP="00EA4769">
      <w:pPr>
        <w:pStyle w:val="FootnoteText"/>
        <w:ind w:firstLine="720"/>
      </w:pPr>
      <w:r w:rsidRPr="00BC4FAB">
        <w:rPr>
          <w:rStyle w:val="FootnoteReference"/>
        </w:rPr>
        <w:footnoteRef/>
      </w:r>
      <w:r w:rsidRPr="00BC4FAB">
        <w:t xml:space="preserve"> </w:t>
      </w:r>
      <w:r w:rsidRPr="00BC4FAB">
        <w:rPr>
          <w:rFonts w:asciiTheme="majorHAnsi" w:hAnsiTheme="majorHAnsi" w:cstheme="majorHAnsi"/>
          <w:sz w:val="24"/>
          <w:szCs w:val="24"/>
          <w:shd w:val="clear" w:color="auto" w:fill="FFFFFF"/>
        </w:rPr>
        <w:t>Dianna Everett, "Indian Territory," Encyclopedia of Oklahoma History and Culture, www.okhistory.org (accessed October 15, 2016).</w:t>
      </w:r>
    </w:p>
  </w:footnote>
  <w:footnote w:id="38">
    <w:p w14:paraId="049BF4F3" w14:textId="696F92D0"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rPr>
          <w:color w:val="00000A"/>
        </w:rPr>
        <w:t xml:space="preserve"> William Willard Howard, “The Rush to Oklahoma,” </w:t>
      </w:r>
      <w:r w:rsidRPr="00BC4FAB">
        <w:rPr>
          <w:i/>
          <w:color w:val="00000A"/>
        </w:rPr>
        <w:t>Harper's Weekly</w:t>
      </w:r>
      <w:r w:rsidRPr="00BC4FAB">
        <w:rPr>
          <w:color w:val="00000A"/>
        </w:rPr>
        <w:t xml:space="preserve"> 33 (May 18, 1889), 391-94.</w:t>
      </w:r>
    </w:p>
  </w:footnote>
  <w:footnote w:id="39">
    <w:p w14:paraId="154BBAB0" w14:textId="5F925552"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President Thomas Jefferson referred to the area as an “immense and trackless desert” and the expedition leader Zebulon Pike wrote </w:t>
      </w:r>
      <w:r w:rsidRPr="00BC4FAB">
        <w:rPr>
          <w:shd w:val="clear" w:color="auto" w:fill="FFFFFF"/>
        </w:rPr>
        <w:t xml:space="preserve">"these vast plains of the western hemisphere, may become in time equally celebrated as the sandy deserts of Africa".  See D.W. Meinig, </w:t>
      </w:r>
      <w:r w:rsidRPr="00BC4FAB">
        <w:rPr>
          <w:i/>
          <w:shd w:val="clear" w:color="auto" w:fill="FFFFFF"/>
        </w:rPr>
        <w:t>The Shaping of America: A Geographical Perspective on 500 Years of History, Volume 2: Continental America, 1800-1867</w:t>
      </w:r>
      <w:r w:rsidRPr="00BC4FAB">
        <w:rPr>
          <w:shd w:val="clear" w:color="auto" w:fill="FFFFFF"/>
        </w:rPr>
        <w:t xml:space="preserve"> (New Haven: Yale University Press, 1993), 76.</w:t>
      </w:r>
    </w:p>
  </w:footnote>
  <w:footnote w:id="40">
    <w:p w14:paraId="2C941D6C" w14:textId="552CA875"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Oklahoma was a desert place because, in Long’s estimation, it was “</w:t>
      </w:r>
      <w:r w:rsidRPr="00BC4FAB">
        <w:rPr>
          <w:shd w:val="clear" w:color="auto" w:fill="FFFFFF"/>
        </w:rPr>
        <w:t>almost wholly unfit for cultivation, and of course uninhabitable by a people depending upon agriculture for their subsistence.</w:t>
      </w:r>
      <w:r w:rsidRPr="00BC4FAB">
        <w:t xml:space="preserve">” See </w:t>
      </w:r>
      <w:r w:rsidRPr="00BC4FAB">
        <w:rPr>
          <w:color w:val="000000"/>
          <w:shd w:val="clear" w:color="auto" w:fill="FFFFFF"/>
        </w:rPr>
        <w:t xml:space="preserve">James, Edwin, Long, Stephen H, Say, Thomas, and United States, </w:t>
      </w:r>
      <w:r w:rsidRPr="00BC4FAB">
        <w:rPr>
          <w:i/>
          <w:color w:val="000000"/>
          <w:shd w:val="clear" w:color="auto" w:fill="FFFFFF"/>
        </w:rPr>
        <w:t>Account of an Expedition from Pittsburgh to the Rocky Mountains, Performed in the Years 1819, 1820</w:t>
      </w:r>
      <w:r w:rsidRPr="00BC4FAB">
        <w:rPr>
          <w:color w:val="000000"/>
          <w:shd w:val="clear" w:color="auto" w:fill="FFFFFF"/>
        </w:rPr>
        <w:t xml:space="preserve"> (London: </w:t>
      </w:r>
      <w:r w:rsidRPr="00BC4FAB">
        <w:t>Longman, Hurst, Rees, Orme, and Brown,</w:t>
      </w:r>
      <w:r w:rsidRPr="00BC4FAB">
        <w:rPr>
          <w:color w:val="000000"/>
          <w:shd w:val="clear" w:color="auto" w:fill="FFFFFF"/>
        </w:rPr>
        <w:t xml:space="preserve">1823), vol. III, </w:t>
      </w:r>
      <w:r w:rsidRPr="00BC4FAB">
        <w:t xml:space="preserve">236. Long’s view was not, however, completely representative of early descriptions of Indian Territory. For example, Samuel Woodhouse, who traveled through the Indian Territory in 1849-1850, generally describes the land as lush and bountiful. See John S. Tomer and Michael J. Brodhead, ed., </w:t>
      </w:r>
      <w:r w:rsidRPr="00BC4FAB">
        <w:rPr>
          <w:i/>
        </w:rPr>
        <w:t>A Naturalist in Indian Territory, The Journals of S.W. Woodhouse, 1849-50</w:t>
      </w:r>
      <w:r w:rsidRPr="00BC4FAB">
        <w:t>, Norman: University of Oklahoma Press, 1992.</w:t>
      </w:r>
    </w:p>
  </w:footnote>
  <w:footnote w:id="41">
    <w:p w14:paraId="63B07A60" w14:textId="320A88E7"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w:t>
      </w:r>
      <w:r w:rsidRPr="00BC4FAB">
        <w:rPr>
          <w:bCs/>
        </w:rPr>
        <w:t xml:space="preserve">Champney Sketches MSS,” </w:t>
      </w:r>
      <w:r w:rsidRPr="00BC4FAB">
        <w:rPr>
          <w:bCs/>
          <w:kern w:val="36"/>
        </w:rPr>
        <w:t>Lilly Library Manuscript Collections, http://www.indiana.edu/</w:t>
      </w:r>
      <w:hyperlink w:history="1">
        <w:r w:rsidRPr="00BC4FAB">
          <w:rPr>
            <w:rStyle w:val="Hyperlink"/>
            <w:rFonts w:asciiTheme="majorHAnsi" w:hAnsiTheme="majorHAnsi" w:cstheme="majorHAnsi"/>
            <w:color w:val="auto"/>
            <w:u w:val="none"/>
          </w:rPr>
          <w:t>~liblilly/lilly/mss/html/champnsk.html</w:t>
        </w:r>
      </w:hyperlink>
      <w:r w:rsidRPr="00BC4FAB">
        <w:rPr>
          <w:rFonts w:asciiTheme="majorHAnsi" w:hAnsiTheme="majorHAnsi" w:cstheme="majorHAnsi"/>
        </w:rPr>
        <w:t xml:space="preserve"> </w:t>
      </w:r>
      <w:r w:rsidRPr="00BC4FAB">
        <w:rPr>
          <w:rFonts w:asciiTheme="majorHAnsi" w:hAnsiTheme="majorHAnsi" w:cstheme="majorHAnsi"/>
          <w:shd w:val="clear" w:color="auto" w:fill="FFFFFF"/>
        </w:rPr>
        <w:t>(accessed October 15, 2016). From the website: “</w:t>
      </w:r>
      <w:r w:rsidRPr="00BC4FAB">
        <w:t>The Champney sketches are drawings of the post-Civil War South by James Wells Champney, 1843-1903, painter and illustrator, who accompanied Edward Smith King on a trip of more than 25,000 miles through the South in 1873-1874 to make drawings for a series of articles for which King was collecting material.”</w:t>
      </w:r>
    </w:p>
  </w:footnote>
  <w:footnote w:id="42">
    <w:p w14:paraId="0DDD8EB7" w14:textId="73A10E1B" w:rsidR="005B1CB9" w:rsidRPr="00BC4FAB" w:rsidRDefault="005B1CB9" w:rsidP="00E64DF5">
      <w:pPr>
        <w:pStyle w:val="FootnoteText"/>
        <w:ind w:firstLine="720"/>
        <w:rPr>
          <w:sz w:val="24"/>
          <w:szCs w:val="24"/>
        </w:rPr>
      </w:pPr>
      <w:r w:rsidRPr="00BC4FAB">
        <w:rPr>
          <w:rStyle w:val="FootnoteReference"/>
          <w:sz w:val="24"/>
          <w:szCs w:val="24"/>
        </w:rPr>
        <w:footnoteRef/>
      </w:r>
      <w:r w:rsidRPr="00BC4FAB">
        <w:rPr>
          <w:sz w:val="24"/>
          <w:szCs w:val="24"/>
        </w:rPr>
        <w:t xml:space="preserve"> See Introduction, page 4, for a more complete rehearsal of this argument.</w:t>
      </w:r>
    </w:p>
  </w:footnote>
  <w:footnote w:id="43">
    <w:p w14:paraId="4584BC1A" w14:textId="66301CD0" w:rsidR="005B1CB9" w:rsidRPr="00BC4FAB" w:rsidRDefault="005B1CB9" w:rsidP="005975DA">
      <w:pPr>
        <w:spacing w:line="240" w:lineRule="auto"/>
        <w:ind w:firstLine="720"/>
        <w:rPr>
          <w:rStyle w:val="NoSpacingChar"/>
        </w:rPr>
      </w:pPr>
      <w:r w:rsidRPr="00BC4FAB">
        <w:rPr>
          <w:rStyle w:val="FootnoteReference"/>
        </w:rPr>
        <w:footnoteRef/>
      </w:r>
      <w:r w:rsidRPr="00BC4FAB">
        <w:t xml:space="preserve"> If, however, the settler pictured is an Indian, the au</w:t>
      </w:r>
      <w:r w:rsidRPr="00BC4FAB">
        <w:rPr>
          <w:rStyle w:val="NoSpacingChar"/>
        </w:rPr>
        <w:t>thor / artist could be making fun of Indians by exploiting the irony between the grandeur of the word “mansion” used in the title and the backward, primitive appearance of the house.</w:t>
      </w:r>
    </w:p>
  </w:footnote>
  <w:footnote w:id="44">
    <w:p w14:paraId="52FBFCBB" w14:textId="2EA42CC0" w:rsidR="005B1CB9" w:rsidRPr="00BC4FAB" w:rsidRDefault="005B1CB9" w:rsidP="005975DA">
      <w:pPr>
        <w:pStyle w:val="FootnoteText"/>
        <w:ind w:firstLine="720"/>
        <w:rPr>
          <w:sz w:val="24"/>
          <w:szCs w:val="24"/>
        </w:rPr>
      </w:pPr>
      <w:r w:rsidRPr="00BC4FAB">
        <w:rPr>
          <w:rStyle w:val="FootnoteReference"/>
          <w:sz w:val="24"/>
          <w:szCs w:val="24"/>
        </w:rPr>
        <w:footnoteRef/>
      </w:r>
      <w:r w:rsidRPr="00BC4FAB">
        <w:rPr>
          <w:sz w:val="24"/>
          <w:szCs w:val="24"/>
        </w:rPr>
        <w:t xml:space="preserve"> This image is based on a photograph by Robert Benecke. See Price, </w:t>
      </w:r>
      <w:r w:rsidRPr="00BC4FAB">
        <w:rPr>
          <w:i/>
          <w:sz w:val="24"/>
          <w:szCs w:val="24"/>
        </w:rPr>
        <w:t>Painting Indian Territory</w:t>
      </w:r>
      <w:r w:rsidRPr="00BC4FAB">
        <w:rPr>
          <w:sz w:val="24"/>
          <w:szCs w:val="24"/>
        </w:rPr>
        <w:t>, 37-38.</w:t>
      </w:r>
    </w:p>
  </w:footnote>
  <w:footnote w:id="45">
    <w:p w14:paraId="5F309DAE" w14:textId="3D32A346"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Text panel, Chickasaw Cultural Center. Visited August 4, 2014.</w:t>
      </w:r>
    </w:p>
  </w:footnote>
  <w:footnote w:id="46">
    <w:p w14:paraId="0640E232" w14:textId="6D0B028A"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W. Magruder Drake and Robert R. Jones, eds., </w:t>
      </w:r>
      <w:r w:rsidRPr="00BC4FAB">
        <w:rPr>
          <w:i/>
        </w:rPr>
        <w:t>Edward King, The Great South</w:t>
      </w:r>
      <w:r w:rsidRPr="00BC4FAB">
        <w:t xml:space="preserve"> (Baton Rouge: Louisiana State Press, 1972), 205, 213.</w:t>
      </w:r>
    </w:p>
  </w:footnote>
  <w:footnote w:id="47">
    <w:p w14:paraId="113769F2" w14:textId="77777777" w:rsidR="005B1CB9" w:rsidRPr="00BC4FAB" w:rsidRDefault="005B1CB9" w:rsidP="00E64DF5">
      <w:pPr>
        <w:spacing w:line="240" w:lineRule="auto"/>
        <w:ind w:firstLine="720"/>
      </w:pPr>
      <w:r w:rsidRPr="00BC4FAB">
        <w:rPr>
          <w:rStyle w:val="FootnoteReference"/>
          <w:rFonts w:asciiTheme="majorHAnsi" w:hAnsiTheme="majorHAnsi" w:cstheme="majorHAnsi"/>
        </w:rPr>
        <w:footnoteRef/>
      </w:r>
      <w:r w:rsidRPr="00BC4FAB">
        <w:t xml:space="preserve"> Richard Slotkin, </w:t>
      </w:r>
      <w:r w:rsidRPr="00BC4FAB">
        <w:rPr>
          <w:i/>
        </w:rPr>
        <w:t>The Gunfighter Nation: Myth of the Frontier in Twentieth Century America</w:t>
      </w:r>
      <w:r w:rsidRPr="00BC4FAB">
        <w:t xml:space="preserve"> (Norman, OK, 1998), 10-12.</w:t>
      </w:r>
    </w:p>
  </w:footnote>
  <w:footnote w:id="48">
    <w:p w14:paraId="286DE0F7" w14:textId="77777777" w:rsidR="005B1CB9" w:rsidRPr="00BC4FAB" w:rsidRDefault="005B1CB9" w:rsidP="00142D91">
      <w:pPr>
        <w:pStyle w:val="FootnoteText"/>
        <w:ind w:firstLine="720"/>
        <w:rPr>
          <w:sz w:val="24"/>
          <w:szCs w:val="24"/>
        </w:rPr>
      </w:pPr>
      <w:r w:rsidRPr="00BC4FAB">
        <w:rPr>
          <w:rStyle w:val="FootnoteReference"/>
          <w:sz w:val="24"/>
          <w:szCs w:val="24"/>
        </w:rPr>
        <w:footnoteRef/>
      </w:r>
      <w:r w:rsidRPr="00BC4FAB">
        <w:rPr>
          <w:sz w:val="24"/>
          <w:szCs w:val="24"/>
        </w:rPr>
        <w:t xml:space="preserve"> Ibid. </w:t>
      </w:r>
    </w:p>
  </w:footnote>
  <w:footnote w:id="49">
    <w:p w14:paraId="010CFE47" w14:textId="31ED6755"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David Wrobel, </w:t>
      </w:r>
      <w:r w:rsidRPr="00BC4FAB">
        <w:rPr>
          <w:i/>
        </w:rPr>
        <w:t>Promised Lands: Promotion, Memory, and The Creation of the American West</w:t>
      </w:r>
      <w:r w:rsidRPr="00BC4FAB">
        <w:t xml:space="preserve"> (Lawrence: University Press of Kansas, 2002), 52-53.</w:t>
      </w:r>
    </w:p>
  </w:footnote>
  <w:footnote w:id="50">
    <w:p w14:paraId="6A838DC2" w14:textId="33F21AAF" w:rsidR="005B1CB9" w:rsidRPr="00BC4FAB" w:rsidRDefault="005B1CB9" w:rsidP="00142D91">
      <w:pPr>
        <w:pStyle w:val="NoSpacing"/>
        <w:ind w:firstLine="720"/>
      </w:pPr>
      <w:r w:rsidRPr="00BC4FAB">
        <w:rPr>
          <w:rStyle w:val="FootnoteReference"/>
          <w:rFonts w:asciiTheme="majorHAnsi" w:hAnsiTheme="majorHAnsi" w:cstheme="majorHAnsi"/>
        </w:rPr>
        <w:footnoteRef/>
      </w:r>
      <w:r w:rsidRPr="00BC4FAB">
        <w:t xml:space="preserve"> “Photo of Camp Alice,” Oklahoma Historical Society Archives Catalog, https://okhistory.cuadra.com/ starweb3/l.skca-catalog/servlet.starweb3 (accessed October 15, 2016).</w:t>
      </w:r>
    </w:p>
  </w:footnote>
  <w:footnote w:id="51">
    <w:p w14:paraId="036BD5A9" w14:textId="2C53729C" w:rsidR="005B1CB9" w:rsidRPr="00BC4FAB" w:rsidRDefault="005B1CB9" w:rsidP="00040362">
      <w:pPr>
        <w:spacing w:line="240" w:lineRule="auto"/>
        <w:ind w:firstLine="720"/>
      </w:pPr>
      <w:r w:rsidRPr="00BC4FAB">
        <w:rPr>
          <w:rStyle w:val="FootnoteReference"/>
          <w:rFonts w:asciiTheme="majorHAnsi" w:hAnsiTheme="majorHAnsi" w:cstheme="majorHAnsi"/>
        </w:rPr>
        <w:footnoteRef/>
      </w:r>
      <w:r w:rsidRPr="00BC4FAB">
        <w:t xml:space="preserve"> Martha Sanweiss, </w:t>
      </w:r>
      <w:r w:rsidRPr="00BC4FAB">
        <w:rPr>
          <w:i/>
        </w:rPr>
        <w:t>Print the Legend: Photography and the American West</w:t>
      </w:r>
      <w:r w:rsidRPr="00BC4FAB">
        <w:t xml:space="preserve"> (New Haven and London: Yale University Press, 2002), 285.</w:t>
      </w:r>
    </w:p>
  </w:footnote>
  <w:footnote w:id="52">
    <w:p w14:paraId="59359AEB" w14:textId="369B006A"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Jackson &amp; Cole, </w:t>
      </w:r>
      <w:r w:rsidRPr="00BC4FAB">
        <w:rPr>
          <w:i/>
        </w:rPr>
        <w:t>Oklahoma!</w:t>
      </w:r>
      <w:r w:rsidRPr="00BC4FAB">
        <w:t>, 5.</w:t>
      </w:r>
    </w:p>
  </w:footnote>
  <w:footnote w:id="53">
    <w:p w14:paraId="5F153C80" w14:textId="51917F14"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Jonathan E. Schroeder and Janet L. Borgerson, “Packaging Paradise: Organizing Representations of Hawaii,”</w:t>
      </w:r>
      <w:r w:rsidRPr="00BC4FAB">
        <w:rPr>
          <w:i/>
        </w:rPr>
        <w:t xml:space="preserve"> </w:t>
      </w:r>
      <w:r w:rsidRPr="00BC4FAB">
        <w:t>from A. Prasad, ed.</w:t>
      </w:r>
      <w:r w:rsidRPr="00BC4FAB">
        <w:rPr>
          <w:i/>
        </w:rPr>
        <w:t xml:space="preserve">, Against The Grain: Advances in Postcolonial Organization Studies </w:t>
      </w:r>
      <w:r w:rsidRPr="00BC4FAB">
        <w:t xml:space="preserve">(Liber &amp; Copenhagen Business School Press, 2009), 1. </w:t>
      </w:r>
      <w:hyperlink r:id="rId1" w:history="1">
        <w:r w:rsidRPr="00BC4FAB">
          <w:rPr>
            <w:rStyle w:val="Hyperlink"/>
            <w:rFonts w:asciiTheme="majorHAnsi" w:hAnsiTheme="majorHAnsi" w:cstheme="majorHAnsi"/>
            <w:color w:val="auto"/>
            <w:u w:val="none"/>
          </w:rPr>
          <w:t>http://papers.ssrn.com/sol3/papers.cfm?abstract_id=1312015</w:t>
        </w:r>
      </w:hyperlink>
      <w:r w:rsidRPr="00BC4FAB">
        <w:rPr>
          <w:rFonts w:asciiTheme="majorHAnsi" w:hAnsiTheme="majorHAnsi" w:cstheme="majorHAnsi"/>
        </w:rPr>
        <w:t xml:space="preserve">, </w:t>
      </w:r>
      <w:r w:rsidRPr="00BC4FAB">
        <w:t>(accessed April 13, 2009). Schroeder and Borgerson’s central thesis is summed up in the first line of the abstract: “</w:t>
      </w:r>
      <w:r w:rsidRPr="00BC4FAB">
        <w:rPr>
          <w:color w:val="000000"/>
        </w:rPr>
        <w:t>This chapter focuses [on] . . . how representation(s) by dominant groups enables colonialist processes of organizing objectification, and ontological othering.”</w:t>
      </w:r>
    </w:p>
  </w:footnote>
  <w:footnote w:id="54">
    <w:p w14:paraId="4CBEF190" w14:textId="77777777"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The etymology of “Poor Lo Indian” derives, indirectly, from Alexander Pope’s “Essay on Man” (1734), which includes the lines: “</w:t>
      </w:r>
      <w:r w:rsidRPr="00BC4FAB">
        <w:rPr>
          <w:i/>
          <w:shd w:val="clear" w:color="auto" w:fill="FFFFFF"/>
        </w:rPr>
        <w:t>Lo, the poor Indian! whose untutor'd mind / Sees God in clouds, or hears him in the wind</w:t>
      </w:r>
      <w:r w:rsidRPr="00BC4FAB">
        <w:rPr>
          <w:shd w:val="clear" w:color="auto" w:fill="FFFFFF"/>
        </w:rPr>
        <w:t>.” In 1859, Horace Greely titled a letter “Lo, the poor Indian” and derivation thereof became derisive shorthand for American Indians. Greely characterizing Indians as “c</w:t>
      </w:r>
      <w:r w:rsidRPr="00BC4FAB">
        <w:rPr>
          <w:color w:val="000000"/>
          <w:shd w:val="clear" w:color="auto" w:fill="FFFFFF"/>
        </w:rPr>
        <w:t>hildren”, belonging “to the very lowest and rudest ages of human existence,” who were “utterly incompetent to cope in any way with the European or Caucasian race.” He continues, “a truly Christian community would treat [Indians as] a band of orphan children,” and opines, “thrown on its hands, the aborigines of this country will be practically extinct within the next fifty years.”</w:t>
      </w:r>
    </w:p>
  </w:footnote>
  <w:footnote w:id="55">
    <w:p w14:paraId="25C4B145" w14:textId="7E437FF0" w:rsidR="005B1CB9" w:rsidRPr="00BC4FAB" w:rsidRDefault="005B1CB9" w:rsidP="007A5905">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 drew this conclusion after an extensive search of the </w:t>
      </w:r>
      <w:r w:rsidRPr="00BC4FAB">
        <w:rPr>
          <w:rFonts w:asciiTheme="majorHAnsi" w:hAnsiTheme="majorHAnsi" w:cstheme="majorHAnsi"/>
          <w:i/>
        </w:rPr>
        <w:t>Picturing Indian Territory</w:t>
      </w:r>
      <w:r w:rsidRPr="00BC4FAB">
        <w:rPr>
          <w:rFonts w:asciiTheme="majorHAnsi" w:hAnsiTheme="majorHAnsi" w:cstheme="majorHAnsi"/>
        </w:rPr>
        <w:t xml:space="preserve"> database, housed at the </w:t>
      </w:r>
      <w:r w:rsidRPr="00BC4FAB">
        <w:rPr>
          <w:rFonts w:asciiTheme="majorHAnsi" w:hAnsiTheme="majorHAnsi" w:cstheme="majorHAnsi"/>
          <w:shd w:val="clear" w:color="auto" w:fill="FFFFFF"/>
        </w:rPr>
        <w:t xml:space="preserve">Charles M. Russell Center for the Study of Art of the American West at the </w:t>
      </w:r>
      <w:r w:rsidRPr="00BC4FAB">
        <w:rPr>
          <w:rFonts w:asciiTheme="majorHAnsi" w:hAnsiTheme="majorHAnsi" w:cstheme="majorHAnsi"/>
        </w:rPr>
        <w:t>University of Oklahoma,</w:t>
      </w:r>
      <w:r w:rsidRPr="00BC4FAB">
        <w:rPr>
          <w:rStyle w:val="apple-converted-space"/>
          <w:rFonts w:asciiTheme="majorHAnsi" w:hAnsiTheme="majorHAnsi" w:cstheme="majorHAnsi"/>
          <w:shd w:val="clear" w:color="auto" w:fill="FFFFFF"/>
        </w:rPr>
        <w:t> </w:t>
      </w:r>
      <w:r w:rsidRPr="00BC4FAB">
        <w:rPr>
          <w:rFonts w:asciiTheme="majorHAnsi" w:hAnsiTheme="majorHAnsi" w:cstheme="majorHAnsi"/>
          <w:shd w:val="clear" w:color="auto" w:fill="FFFFFF"/>
        </w:rPr>
        <w:t>Norman, OK. This database consists of almost 700 images of Indian Territory and Oklahoma Territory made circa 1819 to 1906.</w:t>
      </w:r>
    </w:p>
  </w:footnote>
  <w:footnote w:id="56">
    <w:p w14:paraId="09C28862" w14:textId="2EF5EF30"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rPr>
          <w:rFonts w:asciiTheme="majorHAnsi" w:hAnsiTheme="majorHAnsi" w:cstheme="majorHAnsi"/>
        </w:rPr>
        <w:t xml:space="preserve"> For biography of Cole, see </w:t>
      </w:r>
      <w:r w:rsidRPr="00BC4FAB">
        <w:rPr>
          <w:rFonts w:asciiTheme="majorHAnsi" w:hAnsiTheme="majorHAnsi" w:cstheme="majorHAnsi"/>
          <w:bCs/>
          <w:i/>
        </w:rPr>
        <w:t>Biographical History of Barton County, Kansas</w:t>
      </w:r>
      <w:r w:rsidRPr="00BC4FAB">
        <w:rPr>
          <w:rFonts w:asciiTheme="majorHAnsi" w:hAnsiTheme="majorHAnsi" w:cstheme="majorHAnsi"/>
          <w:bCs/>
        </w:rPr>
        <w:t xml:space="preserve"> (Barton County: Great Bend Tribune, 1912), 75. See also </w:t>
      </w:r>
      <w:r w:rsidRPr="00BC4FAB">
        <w:rPr>
          <w:rFonts w:asciiTheme="majorHAnsi" w:hAnsiTheme="majorHAnsi" w:cstheme="majorHAnsi"/>
        </w:rPr>
        <w:t xml:space="preserve">James Clark Fifield, ed., </w:t>
      </w:r>
      <w:r w:rsidRPr="00BC4FAB">
        <w:rPr>
          <w:rFonts w:asciiTheme="majorHAnsi" w:hAnsiTheme="majorHAnsi" w:cstheme="majorHAnsi"/>
          <w:i/>
        </w:rPr>
        <w:t>Americ</w:t>
      </w:r>
      <w:r w:rsidRPr="00BC4FAB">
        <w:rPr>
          <w:i/>
        </w:rPr>
        <w:t>an Bar: A Biographical Directory of Contemporary Lawyers of the United I States and Canada</w:t>
      </w:r>
      <w:r w:rsidRPr="00BC4FAB">
        <w:t xml:space="preserve"> (Minneapolis and New York: The James C. Fifield Company, 1922), 333; and </w:t>
      </w:r>
      <w:r w:rsidRPr="00BC4FAB">
        <w:rPr>
          <w:i/>
        </w:rPr>
        <w:t xml:space="preserve">The Pacific Reporter, Volume 35, Containing all the Decisions of the Supreme Courts of California, Kansas, Oregon, Colorado, Washington, Montana, Arizona, Nevada, Idaho Wyoming, Utah, New Mexico, Oklahoma and Court of Appeals Colorado </w:t>
      </w:r>
      <w:r w:rsidRPr="00BC4FAB">
        <w:t>(St. Paul, MN, West Publishing Co., 1894), 828.</w:t>
      </w:r>
    </w:p>
  </w:footnote>
  <w:footnote w:id="57">
    <w:p w14:paraId="43E25B0F" w14:textId="23DA0F48" w:rsidR="005B1CB9" w:rsidRPr="00BC4FAB" w:rsidRDefault="005B1CB9" w:rsidP="007A5905">
      <w:pPr>
        <w:spacing w:line="240" w:lineRule="auto"/>
        <w:ind w:firstLine="720"/>
      </w:pPr>
      <w:r w:rsidRPr="00BC4FAB">
        <w:rPr>
          <w:rStyle w:val="FootnoteReference"/>
          <w:rFonts w:asciiTheme="majorHAnsi" w:hAnsiTheme="majorHAnsi" w:cstheme="majorHAnsi"/>
        </w:rPr>
        <w:footnoteRef/>
      </w:r>
      <w:r w:rsidRPr="00BC4FAB">
        <w:t xml:space="preserve"> The following images appear first in </w:t>
      </w:r>
      <w:r w:rsidRPr="00BC4FAB">
        <w:rPr>
          <w:i/>
        </w:rPr>
        <w:t>Historic</w:t>
      </w:r>
      <w:r w:rsidRPr="00BC4FAB">
        <w:t xml:space="preserve"> </w:t>
      </w:r>
      <w:r w:rsidRPr="00BC4FAB">
        <w:rPr>
          <w:i/>
        </w:rPr>
        <w:t>Sketches from the Cattle Trade</w:t>
      </w:r>
      <w:r w:rsidRPr="00BC4FAB">
        <w:t xml:space="preserve"> (1874) and then </w:t>
      </w:r>
      <w:r w:rsidRPr="00BC4FAB">
        <w:rPr>
          <w:i/>
        </w:rPr>
        <w:t>Oklahoma! Politically and Topographically Described</w:t>
      </w:r>
      <w:r w:rsidRPr="00BC4FAB">
        <w:t xml:space="preserve"> (1885): </w:t>
      </w:r>
      <w:r w:rsidRPr="00BC4FAB">
        <w:rPr>
          <w:i/>
        </w:rPr>
        <w:t>Oklahoma!</w:t>
      </w:r>
      <w:r w:rsidRPr="00BC4FAB">
        <w:t xml:space="preserve"> (p. 47): Uncle Sam Feeding “Poor Lo” Indian / </w:t>
      </w:r>
      <w:r w:rsidRPr="00BC4FAB">
        <w:rPr>
          <w:i/>
        </w:rPr>
        <w:t>Historic Sketches Cattle</w:t>
      </w:r>
      <w:r w:rsidRPr="00BC4FAB">
        <w:t xml:space="preserve"> (p. 68): Uncle Sam Feeding Po Lo and Family; 2. </w:t>
      </w:r>
      <w:r w:rsidRPr="00BC4FAB">
        <w:rPr>
          <w:i/>
        </w:rPr>
        <w:t>Oklahoma!</w:t>
      </w:r>
      <w:r w:rsidRPr="00BC4FAB">
        <w:t xml:space="preserve"> (p. 61): English Ranch in Oklahoma / </w:t>
      </w:r>
      <w:r w:rsidRPr="00BC4FAB">
        <w:rPr>
          <w:i/>
        </w:rPr>
        <w:t>Historic Sketches Cattle</w:t>
      </w:r>
      <w:r w:rsidRPr="00BC4FAB">
        <w:t xml:space="preserve"> (p. 367): Wm. Shaffer’s Ranch; 3. </w:t>
      </w:r>
      <w:r w:rsidRPr="00BC4FAB">
        <w:rPr>
          <w:i/>
        </w:rPr>
        <w:t>Oklahoma!</w:t>
      </w:r>
      <w:r w:rsidRPr="00BC4FAB">
        <w:t xml:space="preserve"> (p. 78): Untitled / Historic Sketches Cattle (p. 170): “Corn Feeding” on John T. Alexander’s Farm, Morgan Co., Illinois; 4. </w:t>
      </w:r>
      <w:r w:rsidRPr="00BC4FAB">
        <w:rPr>
          <w:i/>
        </w:rPr>
        <w:t>Oklahoma!</w:t>
      </w:r>
      <w:r w:rsidRPr="00BC4FAB">
        <w:t xml:space="preserve"> (p.117): Royal Ranch in Oklahoma / </w:t>
      </w:r>
      <w:r w:rsidRPr="00BC4FAB">
        <w:rPr>
          <w:i/>
        </w:rPr>
        <w:t>Historic Sketches Cattle</w:t>
      </w:r>
      <w:r w:rsidRPr="00BC4FAB">
        <w:t xml:space="preserve"> (p. 347): John Hittson’s Ranch on the Bijou, Colorado (cuts out RR!); 5. </w:t>
      </w:r>
      <w:r w:rsidRPr="00BC4FAB">
        <w:rPr>
          <w:i/>
        </w:rPr>
        <w:t xml:space="preserve">Oklahoma! </w:t>
      </w:r>
      <w:r w:rsidRPr="00BC4FAB">
        <w:t xml:space="preserve">(p.118): Winter Quarters in Oklahoma / </w:t>
      </w:r>
      <w:r w:rsidRPr="00BC4FAB">
        <w:rPr>
          <w:i/>
        </w:rPr>
        <w:t xml:space="preserve">Historic Sketches Cattle </w:t>
      </w:r>
      <w:r w:rsidRPr="00BC4FAB">
        <w:t xml:space="preserve">(p. 267): Winter Quarters of W. Wheeler’s Cowboys on the Solomon River; 6. </w:t>
      </w:r>
      <w:r w:rsidRPr="00BC4FAB">
        <w:rPr>
          <w:i/>
        </w:rPr>
        <w:t>Oklahoma!</w:t>
      </w:r>
      <w:r w:rsidRPr="00BC4FAB">
        <w:t xml:space="preserve"> (p.123): Winter Herding Camp in Southern Oklahoma / </w:t>
      </w:r>
      <w:r w:rsidRPr="00BC4FAB">
        <w:rPr>
          <w:i/>
        </w:rPr>
        <w:t>Historic Sketches Cattle</w:t>
      </w:r>
      <w:r w:rsidRPr="00BC4FAB">
        <w:t xml:space="preserve"> (p. 394): Winter Herding on Upper Arkansas River Dennis Sheely’s Camp; 7. </w:t>
      </w:r>
      <w:r w:rsidRPr="00BC4FAB">
        <w:rPr>
          <w:i/>
        </w:rPr>
        <w:t>Oklahoma!</w:t>
      </w:r>
      <w:r w:rsidRPr="00BC4FAB">
        <w:t xml:space="preserve"> (p.138): Ranch Branding in Oklahoma / </w:t>
      </w:r>
      <w:r w:rsidRPr="00BC4FAB">
        <w:rPr>
          <w:i/>
        </w:rPr>
        <w:t>Historic Sketches Cattle</w:t>
      </w:r>
      <w:r w:rsidRPr="00BC4FAB">
        <w:t xml:space="preserve"> (p. 222): Ranch Banding – Road Branding; 8. </w:t>
      </w:r>
      <w:r w:rsidRPr="00BC4FAB">
        <w:rPr>
          <w:i/>
        </w:rPr>
        <w:t>Oklahoma!</w:t>
      </w:r>
      <w:r w:rsidRPr="00BC4FAB">
        <w:t xml:space="preserve"> (p.144): Oklahoma Cattle Drive for Chicago Market / </w:t>
      </w:r>
      <w:r w:rsidRPr="00BC4FAB">
        <w:rPr>
          <w:i/>
        </w:rPr>
        <w:t>Historic Sketches Cattle</w:t>
      </w:r>
      <w:r w:rsidRPr="00BC4FAB">
        <w:t xml:space="preserve"> (p. 94): Col. O. W. Wheeler’s Herd, on Route for Kansas Pacific Railway in 1867.</w:t>
      </w:r>
    </w:p>
  </w:footnote>
  <w:footnote w:id="58">
    <w:p w14:paraId="1D66D7F0" w14:textId="02F90059" w:rsidR="005B1CB9" w:rsidRPr="00BC4FAB" w:rsidRDefault="005B1CB9" w:rsidP="00FD7ADC">
      <w:pPr>
        <w:pStyle w:val="FootnoteText"/>
        <w:ind w:firstLine="720"/>
        <w:rPr>
          <w:sz w:val="24"/>
          <w:szCs w:val="24"/>
        </w:rPr>
      </w:pPr>
      <w:r w:rsidRPr="00BC4FAB">
        <w:rPr>
          <w:rStyle w:val="FootnoteReference"/>
          <w:sz w:val="24"/>
          <w:szCs w:val="24"/>
        </w:rPr>
        <w:footnoteRef/>
      </w:r>
      <w:r w:rsidRPr="00BC4FAB">
        <w:rPr>
          <w:sz w:val="24"/>
          <w:szCs w:val="24"/>
        </w:rPr>
        <w:t xml:space="preserve"> In this image title, the use of the word “royal” may be a </w:t>
      </w:r>
      <w:r w:rsidRPr="00BC4FAB">
        <w:rPr>
          <w:rStyle w:val="NoSpacingChar"/>
          <w:szCs w:val="24"/>
        </w:rPr>
        <w:t>veiled reference to ranchers leasing land in the Cherokee strip, many of whom were Englishmen or Scotts. All such ranchers were resented by Boomers, who coveted the land but could not yet colonize the area.</w:t>
      </w:r>
    </w:p>
  </w:footnote>
  <w:footnote w:id="59">
    <w:p w14:paraId="5DCC30FA" w14:textId="4FE71261" w:rsidR="005B1CB9" w:rsidRPr="00BC4FAB" w:rsidRDefault="005B1CB9" w:rsidP="007A5905">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David Chang, </w:t>
      </w:r>
      <w:r w:rsidRPr="00BC4FAB">
        <w:rPr>
          <w:rFonts w:asciiTheme="majorHAnsi" w:hAnsiTheme="majorHAnsi" w:cstheme="majorHAnsi"/>
          <w:i/>
        </w:rPr>
        <w:t>The Color of the Land: Race, Nation, and the Politics of Landownership in Oklahoma, 1832-1929</w:t>
      </w:r>
      <w:r w:rsidRPr="00BC4FAB">
        <w:rPr>
          <w:rFonts w:asciiTheme="majorHAnsi" w:hAnsiTheme="majorHAnsi" w:cstheme="majorHAnsi"/>
        </w:rPr>
        <w:t xml:space="preserve"> (University of North Carolina Press, 2010), 71.</w:t>
      </w:r>
    </w:p>
  </w:footnote>
  <w:footnote w:id="60">
    <w:p w14:paraId="2DFCCC4B" w14:textId="750B3D44" w:rsidR="005B1CB9" w:rsidRPr="00BC4FAB" w:rsidRDefault="005B1CB9" w:rsidP="007A5905">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Daniel Heath Justice, </w:t>
      </w:r>
      <w:r w:rsidRPr="00BC4FAB">
        <w:rPr>
          <w:rFonts w:asciiTheme="majorHAnsi" w:hAnsiTheme="majorHAnsi" w:cstheme="majorHAnsi"/>
          <w:i/>
        </w:rPr>
        <w:t>Our Fire Survives the Storm: A Cherokee Literary History</w:t>
      </w:r>
      <w:r w:rsidRPr="00BC4FAB">
        <w:rPr>
          <w:rFonts w:asciiTheme="majorHAnsi" w:hAnsiTheme="majorHAnsi" w:cstheme="majorHAnsi"/>
        </w:rPr>
        <w:t xml:space="preserve"> (Minneapolis; University of Minnesota Press, 2006), 203.</w:t>
      </w:r>
    </w:p>
  </w:footnote>
  <w:footnote w:id="61">
    <w:p w14:paraId="775B6FC8" w14:textId="59450FDB" w:rsidR="005B1CB9" w:rsidRPr="00BC4FAB" w:rsidRDefault="005B1CB9" w:rsidP="007A5905">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Theda Perdue, Michael D. Green. </w:t>
      </w:r>
      <w:r w:rsidRPr="00BC4FAB">
        <w:rPr>
          <w:rFonts w:asciiTheme="majorHAnsi" w:hAnsiTheme="majorHAnsi" w:cstheme="majorHAnsi"/>
          <w:i/>
        </w:rPr>
        <w:t>The Cherokee Removal: A Brief History with Documents</w:t>
      </w:r>
      <w:r w:rsidRPr="00BC4FAB">
        <w:rPr>
          <w:rFonts w:asciiTheme="majorHAnsi" w:hAnsiTheme="majorHAnsi" w:cstheme="majorHAnsi"/>
        </w:rPr>
        <w:t xml:space="preserve">. Boston: </w:t>
      </w:r>
      <w:r w:rsidRPr="00BC4FAB">
        <w:rPr>
          <w:rFonts w:asciiTheme="majorHAnsi" w:hAnsiTheme="majorHAnsi" w:cstheme="majorHAnsi"/>
          <w:color w:val="333333"/>
          <w:shd w:val="clear" w:color="auto" w:fill="FFFFFF"/>
        </w:rPr>
        <w:t>Bedford/St. Martin's; 2nd edition, 2005</w:t>
      </w:r>
      <w:r w:rsidRPr="00BC4FAB">
        <w:rPr>
          <w:rFonts w:asciiTheme="majorHAnsi" w:hAnsiTheme="majorHAnsi" w:cstheme="majorHAnsi"/>
        </w:rPr>
        <w:t>.</w:t>
      </w:r>
    </w:p>
  </w:footnote>
  <w:footnote w:id="62">
    <w:p w14:paraId="14DC63CC" w14:textId="318D6A64" w:rsidR="005B1CB9" w:rsidRPr="00BC4FAB" w:rsidRDefault="005B1CB9" w:rsidP="007A5905">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Round, </w:t>
      </w:r>
      <w:r w:rsidRPr="00BC4FAB">
        <w:rPr>
          <w:rFonts w:asciiTheme="majorHAnsi" w:hAnsiTheme="majorHAnsi" w:cstheme="majorHAnsi"/>
          <w:i/>
        </w:rPr>
        <w:t>Removable Type</w:t>
      </w:r>
      <w:r w:rsidRPr="00BC4FAB">
        <w:rPr>
          <w:rFonts w:asciiTheme="majorHAnsi" w:hAnsiTheme="majorHAnsi" w:cstheme="majorHAnsi"/>
        </w:rPr>
        <w:t>, 129. Sequoyah taught the syllabary to Cherokee in the Arkansas diaspora who then communicated in Cherokee to other Cherokee back east.</w:t>
      </w:r>
    </w:p>
  </w:footnote>
  <w:footnote w:id="63">
    <w:p w14:paraId="65ED584E" w14:textId="05776A4F" w:rsidR="005B1CB9" w:rsidRPr="00BC4FAB" w:rsidRDefault="005B1CB9" w:rsidP="007A5905">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“Nearly 100 Years Later: The Cherokee Advocate Newspaper Printing Press Returns to Cherokee Nati</w:t>
      </w:r>
      <w:r w:rsidRPr="00342000">
        <w:rPr>
          <w:rFonts w:asciiTheme="majorHAnsi" w:hAnsiTheme="majorHAnsi" w:cstheme="majorHAnsi"/>
        </w:rPr>
        <w:t xml:space="preserve">on,” </w:t>
      </w:r>
      <w:r w:rsidR="00342000" w:rsidRPr="00342000">
        <w:rPr>
          <w:rFonts w:asciiTheme="majorHAnsi" w:hAnsiTheme="majorHAnsi" w:cstheme="majorHAnsi"/>
        </w:rPr>
        <w:t xml:space="preserve">accessed August 16, 2016,  </w:t>
      </w:r>
      <w:hyperlink r:id="rId2" w:history="1">
        <w:r w:rsidR="00342000" w:rsidRPr="00342000">
          <w:rPr>
            <w:rStyle w:val="Hyperlink"/>
            <w:rFonts w:asciiTheme="majorHAnsi" w:hAnsiTheme="majorHAnsi" w:cstheme="majorHAnsi"/>
            <w:color w:val="auto"/>
            <w:u w:val="none"/>
          </w:rPr>
          <w:t>http://www.cherokee.org/ News/Stories/24204.aspx</w:t>
        </w:r>
      </w:hyperlink>
      <w:r w:rsidR="00342000">
        <w:rPr>
          <w:rFonts w:asciiTheme="majorHAnsi" w:hAnsiTheme="majorHAnsi" w:cstheme="majorHAnsi"/>
        </w:rPr>
        <w:t xml:space="preserve">. </w:t>
      </w:r>
    </w:p>
  </w:footnote>
  <w:footnote w:id="64">
    <w:p w14:paraId="0682E832" w14:textId="06B5F4D2" w:rsidR="005B1CB9" w:rsidRPr="00BC4FAB" w:rsidRDefault="005B1CB9" w:rsidP="007A5905">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Round, </w:t>
      </w:r>
      <w:r w:rsidRPr="00BC4FAB">
        <w:rPr>
          <w:rFonts w:asciiTheme="majorHAnsi" w:hAnsiTheme="majorHAnsi" w:cstheme="majorHAnsi"/>
          <w:i/>
        </w:rPr>
        <w:t>Removable Type</w:t>
      </w:r>
      <w:r w:rsidRPr="00BC4FAB">
        <w:rPr>
          <w:rFonts w:asciiTheme="majorHAnsi" w:hAnsiTheme="majorHAnsi" w:cstheme="majorHAnsi"/>
        </w:rPr>
        <w:t>, 136-137.</w:t>
      </w:r>
    </w:p>
  </w:footnote>
  <w:footnote w:id="65">
    <w:p w14:paraId="4C9A65B0" w14:textId="47333A47" w:rsidR="005B1CB9" w:rsidRPr="00BC4FAB" w:rsidRDefault="005B1CB9" w:rsidP="007A5905">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 139.</w:t>
      </w:r>
    </w:p>
  </w:footnote>
  <w:footnote w:id="66">
    <w:p w14:paraId="47238C0B" w14:textId="53ED6902"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 5.</w:t>
      </w:r>
    </w:p>
  </w:footnote>
  <w:footnote w:id="67">
    <w:p w14:paraId="23C68FF5" w14:textId="121F521B"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 A. Duncan, "Things as They Are," </w:t>
      </w:r>
      <w:r w:rsidRPr="00BC4FAB">
        <w:rPr>
          <w:rFonts w:asciiTheme="majorHAnsi" w:hAnsiTheme="majorHAnsi" w:cstheme="majorHAnsi"/>
          <w:i/>
          <w:iCs/>
        </w:rPr>
        <w:t>Cherokee Advocate</w:t>
      </w:r>
      <w:r w:rsidR="00342000">
        <w:rPr>
          <w:rFonts w:asciiTheme="majorHAnsi" w:hAnsiTheme="majorHAnsi" w:cstheme="majorHAnsi"/>
        </w:rPr>
        <w:t>, January 9, 1885: n.p.</w:t>
      </w:r>
    </w:p>
  </w:footnote>
  <w:footnote w:id="68">
    <w:p w14:paraId="36BA2AA2" w14:textId="634187BD"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w:t>
      </w:r>
    </w:p>
  </w:footnote>
  <w:footnote w:id="69">
    <w:p w14:paraId="5099A935" w14:textId="77777777" w:rsidR="005B1CB9" w:rsidRPr="00BC4FAB" w:rsidRDefault="005B1CB9" w:rsidP="00DD4FA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i/>
        </w:rPr>
        <w:t>The Cherokee Advocate</w:t>
      </w:r>
      <w:r w:rsidRPr="00BC4FAB">
        <w:rPr>
          <w:rFonts w:asciiTheme="majorHAnsi" w:hAnsiTheme="majorHAnsi" w:cstheme="majorHAnsi"/>
        </w:rPr>
        <w:t>, January 26, 1883</w:t>
      </w:r>
    </w:p>
  </w:footnote>
  <w:footnote w:id="70">
    <w:p w14:paraId="36389580" w14:textId="7D07E5E5"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bCs/>
          <w:i/>
          <w:iCs/>
        </w:rPr>
        <w:t>The Cherokee Advocate</w:t>
      </w:r>
      <w:r w:rsidRPr="00BC4FAB">
        <w:rPr>
          <w:rFonts w:asciiTheme="majorHAnsi" w:hAnsiTheme="majorHAnsi" w:cstheme="majorHAnsi"/>
          <w:bCs/>
        </w:rPr>
        <w:t>, February 16, 1883.</w:t>
      </w:r>
    </w:p>
  </w:footnote>
  <w:footnote w:id="71">
    <w:p w14:paraId="39974912" w14:textId="0E8E255C"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bCs/>
          <w:i/>
          <w:iCs/>
        </w:rPr>
        <w:t xml:space="preserve">The Cherokee Advocate, </w:t>
      </w:r>
      <w:r w:rsidRPr="00BC4FAB">
        <w:rPr>
          <w:rFonts w:asciiTheme="majorHAnsi" w:hAnsiTheme="majorHAnsi" w:cstheme="majorHAnsi"/>
          <w:bCs/>
        </w:rPr>
        <w:t>May 5, 1882.</w:t>
      </w:r>
    </w:p>
  </w:footnote>
  <w:footnote w:id="72">
    <w:p w14:paraId="1FE5B483" w14:textId="77777777"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 </w:t>
      </w:r>
    </w:p>
  </w:footnote>
  <w:footnote w:id="73">
    <w:p w14:paraId="34B258E9" w14:textId="30E28B07"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bCs/>
          <w:i/>
          <w:iCs/>
        </w:rPr>
        <w:t>The Cherokee Advocate</w:t>
      </w:r>
      <w:r w:rsidRPr="00BC4FAB">
        <w:rPr>
          <w:rFonts w:asciiTheme="majorHAnsi" w:hAnsiTheme="majorHAnsi" w:cstheme="majorHAnsi"/>
          <w:bCs/>
        </w:rPr>
        <w:t>, May 12, 1882.</w:t>
      </w:r>
    </w:p>
  </w:footnote>
  <w:footnote w:id="74">
    <w:p w14:paraId="486973E0" w14:textId="6EEF7E3E" w:rsidR="005B1CB9" w:rsidRPr="00BC4FAB" w:rsidRDefault="005B1CB9" w:rsidP="00C751F0">
      <w:pPr>
        <w:pStyle w:val="FootnoteText"/>
        <w:ind w:firstLine="720"/>
        <w:rPr>
          <w:sz w:val="24"/>
          <w:szCs w:val="24"/>
        </w:rPr>
      </w:pPr>
      <w:r w:rsidRPr="00BC4FAB">
        <w:rPr>
          <w:rStyle w:val="FootnoteReference"/>
          <w:sz w:val="24"/>
          <w:szCs w:val="24"/>
        </w:rPr>
        <w:footnoteRef/>
      </w:r>
      <w:r w:rsidRPr="00BC4FAB">
        <w:rPr>
          <w:sz w:val="24"/>
          <w:szCs w:val="24"/>
        </w:rPr>
        <w:t xml:space="preserve"> Search completed using </w:t>
      </w:r>
      <w:r w:rsidRPr="00BC4FAB">
        <w:rPr>
          <w:i/>
          <w:sz w:val="24"/>
          <w:szCs w:val="24"/>
        </w:rPr>
        <w:t>Nineteenth Century American Newspapers</w:t>
      </w:r>
      <w:r w:rsidRPr="00BC4FAB">
        <w:rPr>
          <w:sz w:val="24"/>
          <w:szCs w:val="24"/>
        </w:rPr>
        <w:t xml:space="preserve"> database resulted in 338 articles using “Boomer” and “1885-1886” as search terms.</w:t>
      </w:r>
    </w:p>
  </w:footnote>
  <w:footnote w:id="75">
    <w:p w14:paraId="44C77BC6" w14:textId="39157621"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"Moving on Oklahoma Boomers." </w:t>
      </w:r>
      <w:r w:rsidRPr="00BC4FAB">
        <w:rPr>
          <w:rFonts w:asciiTheme="majorHAnsi" w:hAnsiTheme="majorHAnsi" w:cstheme="majorHAnsi"/>
          <w:i/>
          <w:iCs/>
        </w:rPr>
        <w:t>Cherokee Advocate</w:t>
      </w:r>
      <w:r w:rsidRPr="00BC4FAB">
        <w:rPr>
          <w:rFonts w:asciiTheme="majorHAnsi" w:hAnsiTheme="majorHAnsi" w:cstheme="majorHAnsi"/>
        </w:rPr>
        <w:t>, January 8, 1885: n.p.</w:t>
      </w:r>
    </w:p>
  </w:footnote>
  <w:footnote w:id="76">
    <w:p w14:paraId="51F4DBD4" w14:textId="6086D5D0"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T.S. Gilliland, “Oklahoma Land Question,” </w:t>
      </w:r>
      <w:r w:rsidRPr="00BC4FAB">
        <w:rPr>
          <w:rFonts w:asciiTheme="majorHAnsi" w:hAnsiTheme="majorHAnsi" w:cstheme="majorHAnsi"/>
          <w:i/>
        </w:rPr>
        <w:t>Cherokee Advocate</w:t>
      </w:r>
      <w:r w:rsidRPr="00BC4FAB">
        <w:rPr>
          <w:rFonts w:asciiTheme="majorHAnsi" w:hAnsiTheme="majorHAnsi" w:cstheme="majorHAnsi"/>
        </w:rPr>
        <w:t>, February 20, 1885: n.p.</w:t>
      </w:r>
    </w:p>
  </w:footnote>
  <w:footnote w:id="77">
    <w:p w14:paraId="1E1C385A" w14:textId="06CED88D" w:rsidR="005B1CB9" w:rsidRPr="00BC4FAB" w:rsidRDefault="005B1CB9" w:rsidP="00676C03">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color w:val="000000"/>
        </w:rPr>
        <w:t>W. A. Duncan, “</w:t>
      </w:r>
      <w:r w:rsidRPr="00BC4FAB">
        <w:rPr>
          <w:rFonts w:asciiTheme="majorHAnsi" w:hAnsiTheme="majorHAnsi" w:cstheme="majorHAnsi"/>
          <w:bCs/>
          <w:color w:val="000000"/>
        </w:rPr>
        <w:t>The Great Question,”</w:t>
      </w:r>
      <w:r w:rsidRPr="00BC4FAB">
        <w:rPr>
          <w:rFonts w:asciiTheme="majorHAnsi" w:hAnsiTheme="majorHAnsi" w:cstheme="majorHAnsi"/>
          <w:color w:val="000000"/>
        </w:rPr>
        <w:t xml:space="preserve"> </w:t>
      </w:r>
      <w:r w:rsidRPr="00BC4FAB">
        <w:rPr>
          <w:rFonts w:asciiTheme="majorHAnsi" w:hAnsiTheme="majorHAnsi" w:cstheme="majorHAnsi"/>
          <w:bCs/>
          <w:i/>
          <w:iCs/>
          <w:color w:val="000000"/>
        </w:rPr>
        <w:t>Cherokee Advocate</w:t>
      </w:r>
      <w:r w:rsidRPr="00BC4FAB">
        <w:rPr>
          <w:rFonts w:asciiTheme="majorHAnsi" w:hAnsiTheme="majorHAnsi" w:cstheme="majorHAnsi"/>
          <w:color w:val="000000"/>
        </w:rPr>
        <w:t>, April 03, 1885: n.p.</w:t>
      </w:r>
    </w:p>
  </w:footnote>
  <w:footnote w:id="78">
    <w:p w14:paraId="1C9D9EF7" w14:textId="77777777"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Round, </w:t>
      </w:r>
      <w:r w:rsidRPr="00BC4FAB">
        <w:rPr>
          <w:rFonts w:asciiTheme="majorHAnsi" w:hAnsiTheme="majorHAnsi" w:cstheme="majorHAnsi"/>
          <w:i/>
        </w:rPr>
        <w:t>Removable Type</w:t>
      </w:r>
      <w:r w:rsidRPr="00BC4FAB">
        <w:rPr>
          <w:rFonts w:asciiTheme="majorHAnsi" w:hAnsiTheme="majorHAnsi" w:cstheme="majorHAnsi"/>
        </w:rPr>
        <w:t xml:space="preserve">, 146-147. </w:t>
      </w:r>
    </w:p>
  </w:footnote>
  <w:footnote w:id="79">
    <w:p w14:paraId="140313F2" w14:textId="24C1D30F"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 142, 145.</w:t>
      </w:r>
    </w:p>
  </w:footnote>
  <w:footnote w:id="80">
    <w:p w14:paraId="6CBAC910" w14:textId="661642FA"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Creeks opposition to allotment dates to at least 1878. Chang, </w:t>
      </w:r>
      <w:r w:rsidRPr="00BC4FAB">
        <w:rPr>
          <w:rFonts w:asciiTheme="majorHAnsi" w:hAnsiTheme="majorHAnsi" w:cstheme="majorHAnsi"/>
          <w:i/>
        </w:rPr>
        <w:t>The Color of the Land</w:t>
      </w:r>
      <w:r w:rsidRPr="00BC4FAB">
        <w:rPr>
          <w:rFonts w:asciiTheme="majorHAnsi" w:hAnsiTheme="majorHAnsi" w:cstheme="majorHAnsi"/>
        </w:rPr>
        <w:t>, 84.</w:t>
      </w:r>
    </w:p>
  </w:footnote>
  <w:footnote w:id="81">
    <w:p w14:paraId="54C05117" w14:textId="27ECDD30"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Style w:val="apple-converted-space"/>
          <w:rFonts w:asciiTheme="majorHAnsi" w:hAnsiTheme="majorHAnsi" w:cstheme="majorHAnsi"/>
          <w:color w:val="252525"/>
          <w:shd w:val="clear" w:color="auto" w:fill="FFFFFF"/>
        </w:rPr>
        <w:t> “Dawes Act (1887),” </w:t>
      </w:r>
      <w:r w:rsidR="00342000" w:rsidRPr="00BC4FAB">
        <w:rPr>
          <w:rStyle w:val="HTMLCite"/>
          <w:rFonts w:asciiTheme="majorHAnsi" w:hAnsiTheme="majorHAnsi" w:cstheme="majorHAnsi"/>
          <w:color w:val="252525"/>
          <w:shd w:val="clear" w:color="auto" w:fill="FFFFFF"/>
        </w:rPr>
        <w:t>National Archives and Records Administration</w:t>
      </w:r>
      <w:r w:rsidR="00342000">
        <w:rPr>
          <w:rStyle w:val="reference-accessdate"/>
          <w:rFonts w:asciiTheme="majorHAnsi" w:hAnsiTheme="majorHAnsi" w:cstheme="majorHAnsi"/>
          <w:iCs/>
          <w:color w:val="252525"/>
          <w:shd w:val="clear" w:color="auto" w:fill="FFFFFF"/>
        </w:rPr>
        <w:t>, a</w:t>
      </w:r>
      <w:r w:rsidR="00342000" w:rsidRPr="00BC4FAB">
        <w:rPr>
          <w:rStyle w:val="reference-accessdate"/>
          <w:rFonts w:asciiTheme="majorHAnsi" w:hAnsiTheme="majorHAnsi" w:cstheme="majorHAnsi"/>
          <w:iCs/>
          <w:color w:val="252525"/>
          <w:shd w:val="clear" w:color="auto" w:fill="FFFFFF"/>
        </w:rPr>
        <w:t>ccessed</w:t>
      </w:r>
      <w:r w:rsidR="00342000" w:rsidRPr="00BC4FAB">
        <w:rPr>
          <w:rStyle w:val="apple-converted-space"/>
          <w:rFonts w:asciiTheme="majorHAnsi" w:hAnsiTheme="majorHAnsi" w:cstheme="majorHAnsi"/>
          <w:color w:val="252525"/>
          <w:shd w:val="clear" w:color="auto" w:fill="FFFFFF"/>
        </w:rPr>
        <w:t xml:space="preserve"> July 27, </w:t>
      </w:r>
      <w:r w:rsidR="00342000">
        <w:rPr>
          <w:rStyle w:val="nowrap"/>
          <w:rFonts w:asciiTheme="majorHAnsi" w:hAnsiTheme="majorHAnsi" w:cstheme="majorHAnsi"/>
          <w:iCs/>
          <w:color w:val="252525"/>
          <w:shd w:val="clear" w:color="auto" w:fill="FFFFFF"/>
        </w:rPr>
        <w:t xml:space="preserve">2016, </w:t>
      </w:r>
      <w:r w:rsidRPr="00BC4FAB">
        <w:rPr>
          <w:rStyle w:val="HTMLCite"/>
          <w:rFonts w:asciiTheme="majorHAnsi" w:hAnsiTheme="majorHAnsi" w:cstheme="majorHAnsi"/>
          <w:color w:val="252525"/>
          <w:shd w:val="clear" w:color="auto" w:fill="FFFFFF"/>
        </w:rPr>
        <w:t>OurDocuments.Gov.</w:t>
      </w:r>
    </w:p>
  </w:footnote>
  <w:footnote w:id="82">
    <w:p w14:paraId="50BE48B7" w14:textId="5DD352E4"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Chang, </w:t>
      </w:r>
      <w:r w:rsidRPr="00BC4FAB">
        <w:rPr>
          <w:rFonts w:asciiTheme="majorHAnsi" w:hAnsiTheme="majorHAnsi" w:cstheme="majorHAnsi"/>
          <w:i/>
        </w:rPr>
        <w:t>The Color of the Land</w:t>
      </w:r>
      <w:r w:rsidRPr="00BC4FAB">
        <w:rPr>
          <w:rFonts w:asciiTheme="majorHAnsi" w:hAnsiTheme="majorHAnsi" w:cstheme="majorHAnsi"/>
        </w:rPr>
        <w:t>, 74.</w:t>
      </w:r>
    </w:p>
  </w:footnote>
  <w:footnote w:id="83">
    <w:p w14:paraId="26011F04" w14:textId="03C266D9" w:rsidR="005B1CB9" w:rsidRPr="00BC4FAB" w:rsidRDefault="005B1CB9" w:rsidP="00356EA7">
      <w:pPr>
        <w:pStyle w:val="FootnoteText"/>
        <w:ind w:firstLine="720"/>
      </w:pPr>
      <w:r w:rsidRPr="00BC4FAB">
        <w:rPr>
          <w:rStyle w:val="FootnoteReference"/>
          <w:sz w:val="24"/>
          <w:szCs w:val="24"/>
        </w:rPr>
        <w:footnoteRef/>
      </w:r>
      <w:r w:rsidRPr="00BC4FAB">
        <w:rPr>
          <w:sz w:val="24"/>
          <w:szCs w:val="24"/>
        </w:rPr>
        <w:t xml:space="preserve"> Ibid.</w:t>
      </w:r>
    </w:p>
  </w:footnote>
  <w:footnote w:id="84">
    <w:p w14:paraId="0CE3837F" w14:textId="0D5B1344"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w:t>
      </w:r>
    </w:p>
  </w:footnote>
  <w:footnote w:id="85">
    <w:p w14:paraId="00FF491B" w14:textId="288B9551"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 7.</w:t>
      </w:r>
    </w:p>
  </w:footnote>
  <w:footnote w:id="86">
    <w:p w14:paraId="0EC3B22E" w14:textId="4FD41693" w:rsidR="005B1CB9" w:rsidRPr="00BC4FAB" w:rsidRDefault="005B1CB9" w:rsidP="00DE76A3">
      <w:pPr>
        <w:pStyle w:val="FootnoteText"/>
        <w:ind w:firstLine="720"/>
        <w:rPr>
          <w:sz w:val="24"/>
          <w:szCs w:val="24"/>
        </w:rPr>
      </w:pPr>
      <w:r w:rsidRPr="00BC4FAB">
        <w:rPr>
          <w:rStyle w:val="FootnoteReference"/>
          <w:sz w:val="24"/>
          <w:szCs w:val="24"/>
        </w:rPr>
        <w:footnoteRef/>
      </w:r>
      <w:r w:rsidRPr="00BC4FAB">
        <w:rPr>
          <w:sz w:val="24"/>
          <w:szCs w:val="24"/>
        </w:rPr>
        <w:t xml:space="preserve"> The concept of survivance is explored at length by </w:t>
      </w:r>
      <w:r w:rsidRPr="00BC4FAB">
        <w:rPr>
          <w:rFonts w:asciiTheme="majorHAnsi" w:hAnsiTheme="majorHAnsi" w:cstheme="majorHAnsi"/>
          <w:sz w:val="24"/>
          <w:szCs w:val="24"/>
          <w:shd w:val="clear" w:color="auto" w:fill="FFFFFF"/>
        </w:rPr>
        <w:t>Gerald Vizenor,</w:t>
      </w:r>
      <w:r w:rsidRPr="00BC4FAB">
        <w:rPr>
          <w:rStyle w:val="apple-converted-space"/>
          <w:rFonts w:asciiTheme="majorHAnsi" w:hAnsiTheme="majorHAnsi" w:cstheme="majorHAnsi"/>
          <w:sz w:val="24"/>
          <w:szCs w:val="24"/>
          <w:shd w:val="clear" w:color="auto" w:fill="FFFFFF"/>
        </w:rPr>
        <w:t xml:space="preserve"> </w:t>
      </w:r>
      <w:r w:rsidRPr="00BC4FAB">
        <w:rPr>
          <w:rFonts w:asciiTheme="majorHAnsi" w:hAnsiTheme="majorHAnsi" w:cstheme="majorHAnsi"/>
          <w:i/>
          <w:iCs/>
          <w:sz w:val="24"/>
          <w:szCs w:val="24"/>
          <w:shd w:val="clear" w:color="auto" w:fill="FFFFFF"/>
        </w:rPr>
        <w:t>Manifest Manners: Narratives on Postindian Survivance</w:t>
      </w:r>
      <w:r w:rsidRPr="00BC4FAB">
        <w:rPr>
          <w:rStyle w:val="apple-converted-space"/>
          <w:rFonts w:asciiTheme="majorHAnsi" w:hAnsiTheme="majorHAnsi" w:cstheme="majorHAnsi"/>
          <w:sz w:val="24"/>
          <w:szCs w:val="24"/>
          <w:shd w:val="clear" w:color="auto" w:fill="FFFFFF"/>
        </w:rPr>
        <w:t xml:space="preserve"> (</w:t>
      </w:r>
      <w:r w:rsidRPr="00BC4FAB">
        <w:rPr>
          <w:rFonts w:asciiTheme="majorHAnsi" w:hAnsiTheme="majorHAnsi" w:cstheme="majorHAnsi"/>
          <w:sz w:val="24"/>
          <w:szCs w:val="24"/>
          <w:shd w:val="clear" w:color="auto" w:fill="FFFFFF"/>
        </w:rPr>
        <w:t>Lincoln: Nebraska, 1999).</w:t>
      </w:r>
    </w:p>
  </w:footnote>
  <w:footnote w:id="87">
    <w:p w14:paraId="6B36B111" w14:textId="2C47085F" w:rsidR="005B1CB9" w:rsidRPr="00BC4FAB" w:rsidRDefault="005B1CB9" w:rsidP="00DE76A3">
      <w:pPr>
        <w:pStyle w:val="FootnoteText"/>
        <w:ind w:firstLine="720"/>
      </w:pPr>
      <w:r w:rsidRPr="00BC4FAB">
        <w:rPr>
          <w:rStyle w:val="FootnoteReference"/>
          <w:sz w:val="24"/>
          <w:szCs w:val="24"/>
        </w:rPr>
        <w:footnoteRef/>
      </w:r>
      <w:r w:rsidRPr="00BC4FAB">
        <w:rPr>
          <w:sz w:val="24"/>
          <w:szCs w:val="24"/>
        </w:rPr>
        <w:t xml:space="preserve"> </w:t>
      </w:r>
      <w:r w:rsidR="00A81375" w:rsidRPr="00BC4FAB">
        <w:rPr>
          <w:sz w:val="24"/>
          <w:szCs w:val="24"/>
        </w:rPr>
        <w:t>Jorda</w:t>
      </w:r>
      <w:r w:rsidR="00A81375">
        <w:rPr>
          <w:sz w:val="24"/>
          <w:szCs w:val="24"/>
        </w:rPr>
        <w:t xml:space="preserve">n </w:t>
      </w:r>
      <w:r w:rsidRPr="00BC4FAB">
        <w:rPr>
          <w:sz w:val="24"/>
          <w:szCs w:val="24"/>
        </w:rPr>
        <w:t>Wright, “</w:t>
      </w:r>
      <w:r w:rsidRPr="00BC4FAB">
        <w:rPr>
          <w:color w:val="000000"/>
          <w:sz w:val="24"/>
          <w:szCs w:val="24"/>
        </w:rPr>
        <w:t>Discovery of Long-Lost S</w:t>
      </w:r>
      <w:r w:rsidRPr="005617CE">
        <w:rPr>
          <w:sz w:val="24"/>
          <w:szCs w:val="24"/>
        </w:rPr>
        <w:t xml:space="preserve">ilent Film with All-Indian Cast Has Historians Reeling,” </w:t>
      </w:r>
      <w:r w:rsidRPr="005617CE">
        <w:rPr>
          <w:i/>
          <w:sz w:val="24"/>
          <w:szCs w:val="24"/>
        </w:rPr>
        <w:t>Indian Country Today</w:t>
      </w:r>
      <w:r w:rsidR="00342000" w:rsidRPr="005617CE">
        <w:rPr>
          <w:sz w:val="24"/>
          <w:szCs w:val="24"/>
        </w:rPr>
        <w:t>, a</w:t>
      </w:r>
      <w:r w:rsidRPr="005617CE">
        <w:rPr>
          <w:sz w:val="24"/>
          <w:szCs w:val="24"/>
        </w:rPr>
        <w:t>ccessed August 8, 2012.</w:t>
      </w:r>
      <w:r w:rsidR="00342000" w:rsidRPr="005617CE">
        <w:rPr>
          <w:sz w:val="24"/>
          <w:szCs w:val="24"/>
        </w:rPr>
        <w:t xml:space="preserve"> </w:t>
      </w:r>
      <w:hyperlink r:id="rId3" w:history="1">
        <w:r w:rsidR="00342000" w:rsidRPr="005617CE">
          <w:rPr>
            <w:rStyle w:val="Hyperlink"/>
            <w:color w:val="auto"/>
            <w:sz w:val="24"/>
            <w:szCs w:val="24"/>
            <w:u w:val="none"/>
          </w:rPr>
          <w:t>http://indiancountrytodaymedianetork.com</w:t>
        </w:r>
      </w:hyperlink>
      <w:r w:rsidR="00342000" w:rsidRPr="005617CE">
        <w:rPr>
          <w:sz w:val="24"/>
          <w:szCs w:val="24"/>
        </w:rPr>
        <w:t>/2012/08/28/discovery</w:t>
      </w:r>
      <w:hyperlink w:history="1">
        <w:r w:rsidR="00342000" w:rsidRPr="005617CE">
          <w:rPr>
            <w:rStyle w:val="Hyperlink"/>
            <w:color w:val="auto"/>
            <w:sz w:val="24"/>
            <w:szCs w:val="24"/>
            <w:u w:val="none"/>
            <w:bdr w:val="none" w:sz="0" w:space="0" w:color="auto" w:frame="1"/>
          </w:rPr>
          <w:t>-long-lost-silent-film-all-indian-cast-has-historians-reeling-131494</w:t>
        </w:r>
      </w:hyperlink>
      <w:r w:rsidR="00342000">
        <w:rPr>
          <w:sz w:val="24"/>
          <w:szCs w:val="24"/>
        </w:rPr>
        <w:t xml:space="preserve"> </w:t>
      </w:r>
    </w:p>
  </w:footnote>
  <w:footnote w:id="88">
    <w:p w14:paraId="65284629" w14:textId="215EBEA6" w:rsidR="005B1CB9" w:rsidRPr="00BC4FAB" w:rsidRDefault="005B1CB9" w:rsidP="00D22BD0">
      <w:pPr>
        <w:pStyle w:val="FootnoteText"/>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sz w:val="24"/>
          <w:szCs w:val="24"/>
        </w:rPr>
        <w:t xml:space="preserve">George Catlin. </w:t>
      </w:r>
      <w:r w:rsidRPr="00BC4FAB">
        <w:rPr>
          <w:rFonts w:asciiTheme="majorHAnsi" w:hAnsiTheme="majorHAnsi" w:cstheme="majorHAnsi"/>
          <w:i/>
          <w:sz w:val="24"/>
          <w:szCs w:val="24"/>
        </w:rPr>
        <w:t>Letters and Notes/ North American Indians</w:t>
      </w:r>
      <w:r w:rsidRPr="00BC4FAB">
        <w:rPr>
          <w:rFonts w:asciiTheme="majorHAnsi" w:hAnsiTheme="majorHAnsi" w:cstheme="majorHAnsi"/>
          <w:sz w:val="24"/>
          <w:szCs w:val="24"/>
        </w:rPr>
        <w:t>, 74.</w:t>
      </w:r>
    </w:p>
  </w:footnote>
  <w:footnote w:id="89">
    <w:p w14:paraId="55186ED5" w14:textId="3492E414" w:rsidR="005B1CB9" w:rsidRPr="00BC4FAB" w:rsidRDefault="005B1CB9" w:rsidP="00D22BD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“Dohasan,” </w:t>
      </w:r>
      <w:r w:rsidRPr="00BC4FAB">
        <w:rPr>
          <w:rFonts w:asciiTheme="majorHAnsi" w:hAnsiTheme="majorHAnsi" w:cstheme="majorHAnsi"/>
          <w:i/>
        </w:rPr>
        <w:t>Texas History Online</w:t>
      </w:r>
      <w:r w:rsidRPr="00BC4FAB">
        <w:rPr>
          <w:rFonts w:asciiTheme="majorHAnsi" w:hAnsiTheme="majorHAnsi" w:cstheme="majorHAnsi"/>
        </w:rPr>
        <w:t xml:space="preserve">, </w:t>
      </w:r>
      <w:r w:rsidR="005617CE" w:rsidRPr="00BC4FAB">
        <w:rPr>
          <w:rFonts w:asciiTheme="majorHAnsi" w:hAnsiTheme="majorHAnsi" w:cstheme="majorHAnsi"/>
        </w:rPr>
        <w:t>accessed October 15, 2016</w:t>
      </w:r>
      <w:r w:rsidR="005617CE">
        <w:rPr>
          <w:rFonts w:asciiTheme="majorHAnsi" w:hAnsiTheme="majorHAnsi" w:cstheme="majorHAnsi"/>
        </w:rPr>
        <w:t xml:space="preserve">,  </w:t>
      </w:r>
      <w:hyperlink w:history="1">
        <w:r w:rsidRPr="00BC4FAB">
          <w:rPr>
            <w:rStyle w:val="Hyperlink"/>
            <w:rFonts w:asciiTheme="majorHAnsi" w:hAnsiTheme="majorHAnsi" w:cstheme="majorHAnsi"/>
            <w:color w:val="auto"/>
            <w:u w:val="none"/>
          </w:rPr>
          <w:t>https://</w:t>
        </w:r>
      </w:hyperlink>
      <w:r w:rsidRPr="00BC4FAB">
        <w:rPr>
          <w:rFonts w:asciiTheme="majorHAnsi" w:hAnsiTheme="majorHAnsi" w:cstheme="majorHAnsi"/>
        </w:rPr>
        <w:t>tshaonline.org /h</w:t>
      </w:r>
      <w:r w:rsidR="005617CE">
        <w:rPr>
          <w:rFonts w:asciiTheme="majorHAnsi" w:hAnsiTheme="majorHAnsi" w:cstheme="majorHAnsi"/>
        </w:rPr>
        <w:t>andbook/online/ articles/fdo47</w:t>
      </w:r>
    </w:p>
  </w:footnote>
  <w:footnote w:id="90">
    <w:p w14:paraId="2560B659" w14:textId="2A8E46DF" w:rsidR="005B1CB9" w:rsidRPr="00BC4FAB" w:rsidRDefault="005B1CB9" w:rsidP="00D22BD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00A81375">
        <w:rPr>
          <w:rFonts w:asciiTheme="majorHAnsi" w:hAnsiTheme="majorHAnsi" w:cstheme="majorHAnsi"/>
        </w:rPr>
        <w:t xml:space="preserve"> </w:t>
      </w:r>
      <w:r w:rsidRPr="00BC4FAB">
        <w:rPr>
          <w:rFonts w:asciiTheme="majorHAnsi" w:hAnsiTheme="majorHAnsi" w:cstheme="majorHAnsi"/>
        </w:rPr>
        <w:t>Wright, “Discovery of Long-Lost Silent Film</w:t>
      </w:r>
      <w:r w:rsidR="00A81375">
        <w:rPr>
          <w:rFonts w:asciiTheme="majorHAnsi" w:hAnsiTheme="majorHAnsi" w:cstheme="majorHAnsi"/>
        </w:rPr>
        <w:t>,” 2012.</w:t>
      </w:r>
    </w:p>
  </w:footnote>
  <w:footnote w:id="91">
    <w:p w14:paraId="5D5A6A93" w14:textId="77777777" w:rsidR="005B1CB9" w:rsidRPr="00BC4FAB" w:rsidRDefault="005B1CB9" w:rsidP="00FE462C">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Mary Louise Pratt, </w:t>
      </w:r>
      <w:r w:rsidRPr="00BC4FAB">
        <w:rPr>
          <w:rStyle w:val="Emphasis"/>
          <w:rFonts w:asciiTheme="majorHAnsi" w:hAnsiTheme="majorHAnsi" w:cstheme="majorHAnsi"/>
          <w:b w:val="0"/>
        </w:rPr>
        <w:t>Imperial Eyes</w:t>
      </w:r>
      <w:r w:rsidRPr="00BC4FAB">
        <w:rPr>
          <w:rStyle w:val="Emphasis"/>
          <w:rFonts w:asciiTheme="majorHAnsi" w:hAnsiTheme="majorHAnsi" w:cstheme="majorHAnsi"/>
          <w:b w:val="0"/>
          <w:i w:val="0"/>
        </w:rPr>
        <w:t>, 8.</w:t>
      </w:r>
    </w:p>
  </w:footnote>
  <w:footnote w:id="92">
    <w:p w14:paraId="70B7810F" w14:textId="06AFAC45" w:rsidR="005B1CB9" w:rsidRPr="00BC4FAB" w:rsidRDefault="005B1CB9" w:rsidP="00FE462C">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shd w:val="clear" w:color="auto" w:fill="FFFFFF"/>
        </w:rPr>
        <w:t>Vizenor,</w:t>
      </w:r>
      <w:r w:rsidRPr="00BC4FAB">
        <w:rPr>
          <w:rStyle w:val="apple-converted-space"/>
          <w:rFonts w:asciiTheme="majorHAnsi" w:hAnsiTheme="majorHAnsi" w:cstheme="majorHAnsi"/>
          <w:shd w:val="clear" w:color="auto" w:fill="FFFFFF"/>
        </w:rPr>
        <w:t xml:space="preserve"> </w:t>
      </w:r>
      <w:r w:rsidRPr="00BC4FAB">
        <w:rPr>
          <w:rFonts w:asciiTheme="majorHAnsi" w:hAnsiTheme="majorHAnsi" w:cstheme="majorHAnsi"/>
          <w:i/>
          <w:iCs/>
          <w:shd w:val="clear" w:color="auto" w:fill="FFFFFF"/>
        </w:rPr>
        <w:t>Manifest Manners</w:t>
      </w:r>
      <w:r w:rsidRPr="00BC4FAB">
        <w:rPr>
          <w:rFonts w:asciiTheme="majorHAnsi" w:hAnsiTheme="majorHAnsi" w:cstheme="majorHAnsi"/>
          <w:shd w:val="clear" w:color="auto" w:fill="FFFFFF"/>
        </w:rPr>
        <w:t xml:space="preserve">, vii. </w:t>
      </w:r>
      <w:r w:rsidRPr="00BC4FAB">
        <w:t>Silver Horn’s meeting with Burbank, and his subsequent brief adaptation of an illusionistic style shows that he was flexible as an artist and could adapt to meet the needs of the market or his community.</w:t>
      </w:r>
    </w:p>
  </w:footnote>
  <w:footnote w:id="93">
    <w:p w14:paraId="4ADF1FB9" w14:textId="77777777" w:rsidR="005B1CB9" w:rsidRPr="00BC4FAB" w:rsidRDefault="005B1CB9" w:rsidP="00FE462C">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Candice S. Greene, </w:t>
      </w:r>
      <w:r w:rsidRPr="00BC4FAB">
        <w:rPr>
          <w:rFonts w:asciiTheme="majorHAnsi" w:hAnsiTheme="majorHAnsi" w:cstheme="majorHAnsi"/>
          <w:i/>
        </w:rPr>
        <w:t>Silver Horn: Master Illustrator of the Kiowas</w:t>
      </w:r>
      <w:r w:rsidRPr="00BC4FAB">
        <w:rPr>
          <w:rFonts w:asciiTheme="majorHAnsi" w:hAnsiTheme="majorHAnsi" w:cstheme="majorHAnsi"/>
        </w:rPr>
        <w:t xml:space="preserve"> (Norman, OK: University of Oklahoma Press, 2001), 33.</w:t>
      </w:r>
    </w:p>
  </w:footnote>
  <w:footnote w:id="94">
    <w:p w14:paraId="6CD0DF09" w14:textId="77777777" w:rsidR="005B1CB9" w:rsidRPr="00BC4FAB" w:rsidRDefault="005B1CB9" w:rsidP="00FE462C">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Greene, </w:t>
      </w:r>
      <w:r w:rsidRPr="00BC4FAB">
        <w:rPr>
          <w:rFonts w:asciiTheme="majorHAnsi" w:hAnsiTheme="majorHAnsi" w:cstheme="majorHAnsi"/>
          <w:i/>
        </w:rPr>
        <w:t>Silver Horn</w:t>
      </w:r>
      <w:r w:rsidRPr="00BC4FAB">
        <w:rPr>
          <w:rFonts w:asciiTheme="majorHAnsi" w:hAnsiTheme="majorHAnsi" w:cstheme="majorHAnsi"/>
        </w:rPr>
        <w:t>, 36.</w:t>
      </w:r>
    </w:p>
  </w:footnote>
  <w:footnote w:id="95">
    <w:p w14:paraId="275E2CB4" w14:textId="77777777" w:rsidR="005B1CB9" w:rsidRPr="00BC4FAB" w:rsidRDefault="005B1CB9" w:rsidP="008F3AAA">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 11. </w:t>
      </w:r>
    </w:p>
  </w:footnote>
  <w:footnote w:id="96">
    <w:p w14:paraId="1EE6DF39" w14:textId="77777777" w:rsidR="005B1CB9" w:rsidRPr="00BC4FAB" w:rsidRDefault="005B1CB9" w:rsidP="00CB3789">
      <w:pPr>
        <w:pStyle w:val="FootnoteText"/>
        <w:ind w:firstLine="720"/>
      </w:pPr>
      <w:r w:rsidRPr="00BC4FAB">
        <w:rPr>
          <w:rStyle w:val="FootnoteReference"/>
          <w:sz w:val="24"/>
          <w:szCs w:val="24"/>
        </w:rPr>
        <w:footnoteRef/>
      </w:r>
      <w:r w:rsidRPr="00BC4FAB">
        <w:rPr>
          <w:sz w:val="24"/>
          <w:szCs w:val="24"/>
        </w:rPr>
        <w:t xml:space="preserve"> Ibid, 54, 58.</w:t>
      </w:r>
    </w:p>
  </w:footnote>
  <w:footnote w:id="97">
    <w:p w14:paraId="7CB24EB5" w14:textId="77777777" w:rsidR="005B1CB9" w:rsidRPr="00BC4FAB" w:rsidRDefault="005B1CB9" w:rsidP="00CB3789">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 12-13.</w:t>
      </w:r>
    </w:p>
  </w:footnote>
  <w:footnote w:id="98">
    <w:p w14:paraId="5F82701C" w14:textId="77777777" w:rsidR="005B1CB9" w:rsidRPr="00BC4FAB" w:rsidRDefault="005B1CB9" w:rsidP="00CB3789">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w:t>
      </w:r>
    </w:p>
  </w:footnote>
  <w:footnote w:id="99">
    <w:p w14:paraId="2A13D3D7" w14:textId="58B00838" w:rsidR="005B1CB9" w:rsidRPr="00BC4FAB" w:rsidRDefault="005B1CB9" w:rsidP="00CB3789">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 51</w:t>
      </w:r>
    </w:p>
  </w:footnote>
  <w:footnote w:id="100">
    <w:p w14:paraId="24094C84" w14:textId="280D9D06" w:rsidR="005B1CB9" w:rsidRPr="00BC4FAB" w:rsidRDefault="005B1CB9" w:rsidP="00FE462C">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 6</w:t>
      </w:r>
    </w:p>
  </w:footnote>
  <w:footnote w:id="101">
    <w:p w14:paraId="78630ED4" w14:textId="44641180" w:rsidR="005B1CB9" w:rsidRPr="00BC4FAB" w:rsidRDefault="005B1CB9" w:rsidP="00654C9B">
      <w:pPr>
        <w:pStyle w:val="FootnoteText"/>
        <w:ind w:firstLine="720"/>
        <w:rPr>
          <w:sz w:val="24"/>
          <w:szCs w:val="24"/>
        </w:rPr>
      </w:pPr>
      <w:r w:rsidRPr="00BC4FAB">
        <w:rPr>
          <w:rStyle w:val="FootnoteReference"/>
          <w:sz w:val="24"/>
          <w:szCs w:val="24"/>
        </w:rPr>
        <w:footnoteRef/>
      </w:r>
      <w:r w:rsidRPr="00BC4FAB">
        <w:rPr>
          <w:sz w:val="24"/>
          <w:szCs w:val="24"/>
        </w:rPr>
        <w:t xml:space="preserve"> Ibid, 67</w:t>
      </w:r>
    </w:p>
  </w:footnote>
  <w:footnote w:id="102">
    <w:p w14:paraId="20438853" w14:textId="3652EED6" w:rsidR="005B1CB9" w:rsidRPr="00BC4FAB" w:rsidRDefault="005B1CB9" w:rsidP="00654C9B">
      <w:pPr>
        <w:pStyle w:val="FootnoteText"/>
        <w:ind w:firstLine="720"/>
      </w:pPr>
      <w:r w:rsidRPr="00BC4FAB">
        <w:rPr>
          <w:rStyle w:val="FootnoteReference"/>
          <w:sz w:val="24"/>
          <w:szCs w:val="24"/>
        </w:rPr>
        <w:footnoteRef/>
      </w:r>
      <w:r w:rsidRPr="00BC4FAB">
        <w:rPr>
          <w:sz w:val="24"/>
          <w:szCs w:val="24"/>
        </w:rPr>
        <w:t xml:space="preserve"> Ibid, 21</w:t>
      </w:r>
    </w:p>
  </w:footnote>
  <w:footnote w:id="103">
    <w:p w14:paraId="0B3CC977" w14:textId="77777777" w:rsidR="005B1CB9" w:rsidRPr="00BC4FAB" w:rsidRDefault="005B1CB9" w:rsidP="00654C9B">
      <w:pPr>
        <w:pStyle w:val="FootnoteText"/>
        <w:ind w:firstLine="720"/>
        <w:rPr>
          <w:sz w:val="24"/>
          <w:szCs w:val="24"/>
        </w:rPr>
      </w:pPr>
      <w:r w:rsidRPr="00BC4FAB">
        <w:rPr>
          <w:rStyle w:val="FootnoteReference"/>
          <w:sz w:val="24"/>
          <w:szCs w:val="24"/>
        </w:rPr>
        <w:footnoteRef/>
      </w:r>
      <w:r w:rsidRPr="00BC4FAB">
        <w:rPr>
          <w:sz w:val="24"/>
          <w:szCs w:val="24"/>
        </w:rPr>
        <w:t xml:space="preserve"> Ibid, 42-44</w:t>
      </w:r>
    </w:p>
  </w:footnote>
  <w:footnote w:id="104">
    <w:p w14:paraId="5ADCCE3F" w14:textId="30DA1355" w:rsidR="005B1CB9" w:rsidRPr="00BC4FAB" w:rsidRDefault="005B1CB9" w:rsidP="004427E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Houston Wood, </w:t>
      </w:r>
      <w:r w:rsidRPr="00BC4FAB">
        <w:rPr>
          <w:rFonts w:asciiTheme="majorHAnsi" w:hAnsiTheme="majorHAnsi" w:cstheme="majorHAnsi"/>
          <w:i/>
          <w:iCs/>
        </w:rPr>
        <w:t>Displacing Natives: The Rhetorical Production of Hawaiʻi</w:t>
      </w:r>
      <w:r w:rsidRPr="00BC4FAB">
        <w:rPr>
          <w:rFonts w:asciiTheme="majorHAnsi" w:hAnsiTheme="majorHAnsi" w:cstheme="majorHAnsi"/>
        </w:rPr>
        <w:t xml:space="preserve"> </w:t>
      </w:r>
      <w:r w:rsidR="00A81375">
        <w:rPr>
          <w:rFonts w:asciiTheme="majorHAnsi" w:hAnsiTheme="majorHAnsi" w:cstheme="majorHAnsi"/>
        </w:rPr>
        <w:t>(</w:t>
      </w:r>
      <w:r w:rsidRPr="00BC4FAB">
        <w:rPr>
          <w:rFonts w:asciiTheme="majorHAnsi" w:hAnsiTheme="majorHAnsi" w:cstheme="majorHAnsi"/>
        </w:rPr>
        <w:t>Lanham, MD: Rowman and Littlefield Publishers, 1999</w:t>
      </w:r>
      <w:r w:rsidR="00A81375">
        <w:rPr>
          <w:rFonts w:asciiTheme="majorHAnsi" w:hAnsiTheme="majorHAnsi" w:cstheme="majorHAnsi"/>
        </w:rPr>
        <w:t>)</w:t>
      </w:r>
      <w:r w:rsidRPr="00BC4FAB">
        <w:rPr>
          <w:rFonts w:asciiTheme="majorHAnsi" w:hAnsiTheme="majorHAnsi" w:cstheme="majorHAnsi"/>
        </w:rPr>
        <w:t>, 83.</w:t>
      </w:r>
    </w:p>
  </w:footnote>
  <w:footnote w:id="105">
    <w:p w14:paraId="5FD3C36A" w14:textId="636ACF88" w:rsidR="005B1CB9" w:rsidRPr="00BC4FAB" w:rsidRDefault="005B1CB9" w:rsidP="004427E0">
      <w:pPr>
        <w:pStyle w:val="FootnoteText"/>
        <w:ind w:firstLine="720"/>
      </w:pPr>
      <w:r w:rsidRPr="00BC4FAB">
        <w:rPr>
          <w:rStyle w:val="FootnoteReference"/>
          <w:rFonts w:asciiTheme="majorHAnsi" w:hAnsiTheme="majorHAnsi" w:cstheme="majorHAnsi"/>
          <w:sz w:val="24"/>
          <w:szCs w:val="24"/>
        </w:rPr>
        <w:footnoteRef/>
      </w:r>
      <w:r w:rsidRPr="00BC4FAB">
        <w:rPr>
          <w:rFonts w:asciiTheme="majorHAnsi" w:hAnsiTheme="majorHAnsi" w:cstheme="majorHAnsi"/>
          <w:sz w:val="24"/>
          <w:szCs w:val="24"/>
        </w:rPr>
        <w:t xml:space="preserve"> Throughout this dissertation, I use the spelling “Hawai’i” as the proper name of the island archipelago American state in the South Pacific, and “Hawaiian” as an adjective to describe someone or something from Hawai’i. This distinction is in keeping with best practices and reflects the </w:t>
      </w:r>
      <w:r w:rsidRPr="00BC4FAB">
        <w:rPr>
          <w:rFonts w:asciiTheme="majorHAnsi" w:hAnsiTheme="majorHAnsi" w:cstheme="majorHAnsi"/>
          <w:i/>
          <w:sz w:val="24"/>
          <w:szCs w:val="24"/>
        </w:rPr>
        <w:t>Style Guide of the University of Hawai’i System</w:t>
      </w:r>
      <w:r w:rsidRPr="00BC4FAB">
        <w:rPr>
          <w:rFonts w:asciiTheme="majorHAnsi" w:hAnsiTheme="majorHAnsi" w:cstheme="majorHAnsi"/>
          <w:sz w:val="24"/>
          <w:szCs w:val="24"/>
        </w:rPr>
        <w:t>, accessed October 16, 2016, seagrant.</w:t>
      </w:r>
      <w:r w:rsidRPr="00BC4FAB">
        <w:rPr>
          <w:rFonts w:asciiTheme="majorHAnsi" w:hAnsiTheme="majorHAnsi" w:cstheme="majorHAnsi"/>
          <w:sz w:val="24"/>
          <w:szCs w:val="24"/>
          <w:shd w:val="clear" w:color="auto" w:fill="FFFFFF"/>
        </w:rPr>
        <w:t>soest.</w:t>
      </w:r>
      <w:r w:rsidRPr="00BC4FAB">
        <w:rPr>
          <w:rFonts w:asciiTheme="majorHAnsi" w:hAnsiTheme="majorHAnsi" w:cstheme="majorHAnsi"/>
          <w:bCs/>
          <w:sz w:val="24"/>
          <w:szCs w:val="24"/>
          <w:shd w:val="clear" w:color="auto" w:fill="FFFFFF"/>
        </w:rPr>
        <w:t>hawaii</w:t>
      </w:r>
      <w:r w:rsidRPr="00BC4FAB">
        <w:rPr>
          <w:rFonts w:asciiTheme="majorHAnsi" w:hAnsiTheme="majorHAnsi" w:cstheme="majorHAnsi"/>
          <w:sz w:val="24"/>
          <w:szCs w:val="24"/>
          <w:shd w:val="clear" w:color="auto" w:fill="FFFFFF"/>
        </w:rPr>
        <w:t>.edu/sites/default/.../uh_</w:t>
      </w:r>
      <w:r w:rsidRPr="00BC4FAB">
        <w:rPr>
          <w:rFonts w:asciiTheme="majorHAnsi" w:hAnsiTheme="majorHAnsi" w:cstheme="majorHAnsi"/>
          <w:bCs/>
          <w:sz w:val="24"/>
          <w:szCs w:val="24"/>
          <w:shd w:val="clear" w:color="auto" w:fill="FFFFFF"/>
        </w:rPr>
        <w:t>style</w:t>
      </w:r>
      <w:r w:rsidRPr="00BC4FAB">
        <w:rPr>
          <w:rFonts w:asciiTheme="majorHAnsi" w:hAnsiTheme="majorHAnsi" w:cstheme="majorHAnsi"/>
          <w:sz w:val="24"/>
          <w:szCs w:val="24"/>
          <w:shd w:val="clear" w:color="auto" w:fill="FFFFFF"/>
        </w:rPr>
        <w:t>_</w:t>
      </w:r>
      <w:r w:rsidRPr="00BC4FAB">
        <w:rPr>
          <w:rFonts w:asciiTheme="majorHAnsi" w:hAnsiTheme="majorHAnsi" w:cstheme="majorHAnsi"/>
          <w:bCs/>
          <w:sz w:val="24"/>
          <w:szCs w:val="24"/>
          <w:shd w:val="clear" w:color="auto" w:fill="FFFFFF"/>
        </w:rPr>
        <w:t>guide</w:t>
      </w:r>
      <w:r w:rsidRPr="00BC4FAB">
        <w:rPr>
          <w:rFonts w:asciiTheme="majorHAnsi" w:hAnsiTheme="majorHAnsi" w:cstheme="majorHAnsi"/>
          <w:sz w:val="24"/>
          <w:szCs w:val="24"/>
          <w:shd w:val="clear" w:color="auto" w:fill="FFFFFF"/>
        </w:rPr>
        <w:t>_ 1_1.doc</w:t>
      </w:r>
      <w:r w:rsidRPr="00BC4FAB">
        <w:t>.</w:t>
      </w:r>
    </w:p>
  </w:footnote>
  <w:footnote w:id="106">
    <w:p w14:paraId="501E60D1" w14:textId="211BB917"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For the Volcano School, see David W. Forbes, </w:t>
      </w:r>
      <w:r w:rsidRPr="00BC4FAB">
        <w:rPr>
          <w:rFonts w:asciiTheme="majorHAnsi" w:hAnsiTheme="majorHAnsi" w:cstheme="majorHAnsi"/>
          <w:i/>
        </w:rPr>
        <w:t>Encounters with Paradise: Views of Hawai’i and its People, 1778-1941</w:t>
      </w:r>
      <w:r w:rsidRPr="00BC4FAB">
        <w:rPr>
          <w:rFonts w:asciiTheme="majorHAnsi" w:hAnsiTheme="majorHAnsi" w:cstheme="majorHAnsi"/>
        </w:rPr>
        <w:t xml:space="preserve"> (Honolulu: Honolulu Academy of Arts, 1992), 173-199; Don R. Severson, Michael D. Horikawa, and Jennifer Saville, </w:t>
      </w:r>
      <w:r w:rsidRPr="00BC4FAB">
        <w:rPr>
          <w:rFonts w:asciiTheme="majorHAnsi" w:hAnsiTheme="majorHAnsi" w:cstheme="majorHAnsi"/>
          <w:i/>
          <w:iCs/>
        </w:rPr>
        <w:t>Finding Paradise: Island Art in Private Collections, Honolulu Academy of Arts</w:t>
      </w:r>
      <w:r w:rsidRPr="00BC4FAB">
        <w:rPr>
          <w:rFonts w:asciiTheme="majorHAnsi" w:hAnsiTheme="majorHAnsi" w:cstheme="majorHAnsi"/>
        </w:rPr>
        <w:t xml:space="preserve"> (Honolulu: Honolulu Academy of Arts, University of Hawai’i Press, 2003), 89-95.</w:t>
      </w:r>
    </w:p>
  </w:footnote>
  <w:footnote w:id="107">
    <w:p w14:paraId="7F4DF8FB" w14:textId="7DDC848A" w:rsidR="005B1CB9" w:rsidRPr="00BC4FAB" w:rsidRDefault="005B1CB9" w:rsidP="00213EC6">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t xml:space="preserve">Robert Nichols Ewing, </w:t>
      </w:r>
      <w:r w:rsidRPr="00BC4FAB">
        <w:rPr>
          <w:rStyle w:val="matchterm0"/>
          <w:rFonts w:asciiTheme="majorHAnsi" w:hAnsiTheme="majorHAnsi" w:cstheme="majorHAnsi"/>
          <w:bCs/>
          <w:i/>
        </w:rPr>
        <w:t>Jules Tavernier</w:t>
      </w:r>
      <w:r w:rsidRPr="00BC4FAB">
        <w:rPr>
          <w:bCs/>
          <w:i/>
        </w:rPr>
        <w:t xml:space="preserve"> (1844-1889): Painter and Illustrator</w:t>
      </w:r>
      <w:r w:rsidRPr="00BC4FAB">
        <w:rPr>
          <w:bCs/>
        </w:rPr>
        <w:t xml:space="preserve"> </w:t>
      </w:r>
      <w:r w:rsidRPr="00BC4FAB">
        <w:t xml:space="preserve">Doctoral Dissertation (University of California, Los Angeles, 1978), 298-302. Other primary sources for Tavernier include: H.M. Lunquiens, “Jules Tavernier,” </w:t>
      </w:r>
      <w:r w:rsidRPr="00BC4FAB">
        <w:rPr>
          <w:i/>
        </w:rPr>
        <w:t>Honolulu Academy of Arts Annual Bulletin</w:t>
      </w:r>
      <w:r w:rsidRPr="00BC4FAB">
        <w:t xml:space="preserve"> 2 (1940), 29; Isobel Field, </w:t>
      </w:r>
      <w:r w:rsidRPr="00BC4FAB">
        <w:rPr>
          <w:i/>
        </w:rPr>
        <w:t>This Life I’ve Loved</w:t>
      </w:r>
      <w:r w:rsidRPr="00BC4FAB">
        <w:t xml:space="preserve"> (New York: Longmans, Green, and Co., 1941); Steven Maier, “Jules Tavernier: Hawai’i’s First Real Painter,” </w:t>
      </w:r>
      <w:r w:rsidRPr="00BC4FAB">
        <w:rPr>
          <w:i/>
        </w:rPr>
        <w:t>Honolulu</w:t>
      </w:r>
      <w:r w:rsidRPr="00BC4FAB">
        <w:t xml:space="preserve"> 31 (1996), 80-84, 93; Joseph Theroux, </w:t>
      </w:r>
      <w:r w:rsidRPr="00BC4FAB">
        <w:rPr>
          <w:rStyle w:val="title-link-wrapper"/>
          <w:rFonts w:asciiTheme="majorHAnsi" w:hAnsiTheme="majorHAnsi" w:cstheme="majorHAnsi"/>
        </w:rPr>
        <w:t xml:space="preserve">“Genius Displayed: Jules Tavernier,” </w:t>
      </w:r>
      <w:r w:rsidRPr="00BC4FAB">
        <w:rPr>
          <w:rStyle w:val="medium-font"/>
          <w:rFonts w:asciiTheme="majorHAnsi" w:hAnsiTheme="majorHAnsi" w:cstheme="majorHAnsi"/>
          <w:i/>
        </w:rPr>
        <w:t>Hawaiian Journal of History</w:t>
      </w:r>
      <w:r w:rsidRPr="00BC4FAB">
        <w:rPr>
          <w:rStyle w:val="medium-font"/>
          <w:rFonts w:asciiTheme="majorHAnsi" w:hAnsiTheme="majorHAnsi" w:cstheme="majorHAnsi"/>
        </w:rPr>
        <w:t xml:space="preserve"> 39 (2005), 1-18; Scott A. </w:t>
      </w:r>
      <w:r w:rsidRPr="00BC4FAB">
        <w:rPr>
          <w:rFonts w:ascii="Times New Roman" w:hAnsi="Times New Roman"/>
        </w:rPr>
        <w:t>Shields, Claudine Chalmers, and Alfred C. Harrison, Jr</w:t>
      </w:r>
      <w:r w:rsidR="00A81375">
        <w:rPr>
          <w:rFonts w:ascii="Times New Roman" w:hAnsi="Times New Roman"/>
        </w:rPr>
        <w:t>.</w:t>
      </w:r>
      <w:r w:rsidRPr="00BC4FAB">
        <w:rPr>
          <w:rFonts w:ascii="Times New Roman" w:hAnsi="Times New Roman"/>
        </w:rPr>
        <w:t xml:space="preserve">, </w:t>
      </w:r>
      <w:r w:rsidRPr="00BC4FAB">
        <w:rPr>
          <w:rFonts w:ascii="Times New Roman" w:hAnsi="Times New Roman"/>
          <w:i/>
        </w:rPr>
        <w:t>Jules Tavernier: Artist and Adventurer</w:t>
      </w:r>
      <w:r w:rsidRPr="00BC4FAB">
        <w:rPr>
          <w:rFonts w:ascii="Times New Roman" w:hAnsi="Times New Roman"/>
        </w:rPr>
        <w:t xml:space="preserve"> (Portland: Pomegranate, 2013).</w:t>
      </w:r>
    </w:p>
  </w:footnote>
  <w:footnote w:id="108">
    <w:p w14:paraId="0BF70A79" w14:textId="158CA4F5"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For more on the trip west and a list of illustrations made by Tavernier and his artistic partner, Paul Frenzeny, see Robert Taft, </w:t>
      </w:r>
      <w:r w:rsidRPr="00BC4FAB">
        <w:rPr>
          <w:rFonts w:asciiTheme="majorHAnsi" w:hAnsiTheme="majorHAnsi" w:cstheme="majorHAnsi"/>
          <w:i/>
        </w:rPr>
        <w:t>Artists and Illustrators of the Old West</w:t>
      </w:r>
      <w:r w:rsidRPr="00BC4FAB">
        <w:rPr>
          <w:rFonts w:asciiTheme="majorHAnsi" w:hAnsiTheme="majorHAnsi" w:cstheme="majorHAnsi"/>
        </w:rPr>
        <w:t xml:space="preserve"> (New York: Scribner’s, 1953), 94-116. Regarding the Western expedition, Ewing, </w:t>
      </w:r>
      <w:r w:rsidRPr="00BC4FAB">
        <w:rPr>
          <w:rFonts w:asciiTheme="majorHAnsi" w:hAnsiTheme="majorHAnsi" w:cstheme="majorHAnsi"/>
          <w:i/>
        </w:rPr>
        <w:t>Jules Tavernier</w:t>
      </w:r>
      <w:r w:rsidRPr="00BC4FAB">
        <w:rPr>
          <w:rFonts w:asciiTheme="majorHAnsi" w:hAnsiTheme="majorHAnsi" w:cstheme="majorHAnsi"/>
        </w:rPr>
        <w:t>, “The Trip West,” 47-90, largely follows Taft, while providing some clarifications.</w:t>
      </w:r>
    </w:p>
  </w:footnote>
  <w:footnote w:id="109">
    <w:p w14:paraId="44D7BF8D" w14:textId="5387DB65"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Isobel Field, </w:t>
      </w:r>
      <w:r w:rsidRPr="00BC4FAB">
        <w:rPr>
          <w:rFonts w:asciiTheme="majorHAnsi" w:hAnsiTheme="majorHAnsi" w:cstheme="majorHAnsi"/>
          <w:i/>
        </w:rPr>
        <w:t>This Life I’ve Loved</w:t>
      </w:r>
      <w:r w:rsidRPr="00BC4FAB">
        <w:rPr>
          <w:rFonts w:asciiTheme="majorHAnsi" w:hAnsiTheme="majorHAnsi" w:cstheme="majorHAnsi"/>
        </w:rPr>
        <w:t xml:space="preserve">, 126-127, 136-149. Isobel </w:t>
      </w:r>
      <w:r w:rsidRPr="00BC4FAB">
        <w:rPr>
          <w:rFonts w:asciiTheme="majorHAnsi" w:hAnsiTheme="majorHAnsi" w:cstheme="majorHAnsi"/>
          <w:bCs/>
        </w:rPr>
        <w:t>Osbourne Strong Field</w:t>
      </w:r>
      <w:r w:rsidRPr="00BC4FAB">
        <w:rPr>
          <w:rFonts w:asciiTheme="majorHAnsi" w:hAnsiTheme="majorHAnsi" w:cstheme="majorHAnsi"/>
        </w:rPr>
        <w:t xml:space="preserve"> (1858-1953) was married to Joseph Strong in 1879. They divorced in 1892.</w:t>
      </w:r>
    </w:p>
  </w:footnote>
  <w:footnote w:id="110">
    <w:p w14:paraId="56902ED0" w14:textId="5CAED33D"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For more biography on Joseph Strong, see Barbara Lekisch, </w:t>
      </w:r>
      <w:r w:rsidRPr="00BC4FAB">
        <w:rPr>
          <w:rFonts w:asciiTheme="majorHAnsi" w:hAnsiTheme="majorHAnsi" w:cstheme="majorHAnsi"/>
          <w:i/>
        </w:rPr>
        <w:t>Embracing Scenes About Lakes Tahoe and Donner: Painters, Illustrators, and Sketch-Artists, 1855-1915</w:t>
      </w:r>
      <w:r w:rsidRPr="00BC4FAB">
        <w:rPr>
          <w:rFonts w:asciiTheme="majorHAnsi" w:hAnsiTheme="majorHAnsi" w:cstheme="majorHAnsi"/>
        </w:rPr>
        <w:t xml:space="preserve"> (Lafayette, CA: 2003), 159-160; Edan Milton Hughes, </w:t>
      </w:r>
      <w:r w:rsidRPr="00BC4FAB">
        <w:rPr>
          <w:rFonts w:asciiTheme="majorHAnsi" w:hAnsiTheme="majorHAnsi" w:cstheme="majorHAnsi"/>
          <w:i/>
          <w:iCs/>
        </w:rPr>
        <w:t>Artists in California, 1786-1940, L-Z</w:t>
      </w:r>
      <w:r w:rsidRPr="00BC4FAB">
        <w:rPr>
          <w:rFonts w:asciiTheme="majorHAnsi" w:hAnsiTheme="majorHAnsi" w:cstheme="majorHAnsi"/>
        </w:rPr>
        <w:t xml:space="preserve"> (Sacramento, CA: Crocker Art Museum, 2002), 1074.</w:t>
      </w:r>
    </w:p>
  </w:footnote>
  <w:footnote w:id="111">
    <w:p w14:paraId="403596BE" w14:textId="4ABB67D3"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i/>
        </w:rPr>
        <w:t xml:space="preserve"> Pacific Commercial Advisor</w:t>
      </w:r>
      <w:r w:rsidRPr="00BC4FAB">
        <w:rPr>
          <w:rFonts w:asciiTheme="majorHAnsi" w:hAnsiTheme="majorHAnsi" w:cstheme="majorHAnsi"/>
        </w:rPr>
        <w:t>, November 11, 1884.</w:t>
      </w:r>
    </w:p>
  </w:footnote>
  <w:footnote w:id="112">
    <w:p w14:paraId="7ED18418" w14:textId="238A22A1"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Ewing, </w:t>
      </w:r>
      <w:r w:rsidRPr="00BC4FAB">
        <w:rPr>
          <w:rFonts w:asciiTheme="majorHAnsi" w:hAnsiTheme="majorHAnsi" w:cstheme="majorHAnsi"/>
          <w:i/>
        </w:rPr>
        <w:t>Jules Tavernier</w:t>
      </w:r>
      <w:r w:rsidRPr="00BC4FAB">
        <w:rPr>
          <w:rFonts w:asciiTheme="majorHAnsi" w:hAnsiTheme="majorHAnsi" w:cstheme="majorHAnsi"/>
        </w:rPr>
        <w:t>, 200-201, 301.</w:t>
      </w:r>
    </w:p>
  </w:footnote>
  <w:footnote w:id="113">
    <w:p w14:paraId="206EF181" w14:textId="45221539"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w:t>
      </w:r>
    </w:p>
  </w:footnote>
  <w:footnote w:id="114">
    <w:p w14:paraId="6947AA7C" w14:textId="4F0ECFA5"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i/>
        </w:rPr>
        <w:t xml:space="preserve"> Pacific Commercial Advertiser</w:t>
      </w:r>
      <w:r w:rsidRPr="00BC4FAB">
        <w:rPr>
          <w:rFonts w:asciiTheme="majorHAnsi" w:hAnsiTheme="majorHAnsi" w:cstheme="majorHAnsi"/>
        </w:rPr>
        <w:t>, November 11, 1884.</w:t>
      </w:r>
    </w:p>
  </w:footnote>
  <w:footnote w:id="115">
    <w:p w14:paraId="0B54BC5E" w14:textId="117D4716"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Joseph Theroux, </w:t>
      </w:r>
      <w:r w:rsidRPr="00BC4FAB">
        <w:rPr>
          <w:rStyle w:val="title-link-wrapper"/>
          <w:rFonts w:asciiTheme="majorHAnsi" w:hAnsiTheme="majorHAnsi" w:cstheme="majorHAnsi"/>
        </w:rPr>
        <w:t>“Genius Displayed: Jules Tavernier,” 4.</w:t>
      </w:r>
    </w:p>
  </w:footnote>
  <w:footnote w:id="116">
    <w:p w14:paraId="27B89966" w14:textId="5A5198CA"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Ewing, </w:t>
      </w:r>
      <w:r w:rsidRPr="00BC4FAB">
        <w:rPr>
          <w:rFonts w:asciiTheme="majorHAnsi" w:hAnsiTheme="majorHAnsi" w:cstheme="majorHAnsi"/>
          <w:i/>
        </w:rPr>
        <w:t>Jules Tavernier</w:t>
      </w:r>
      <w:r w:rsidRPr="00BC4FAB">
        <w:rPr>
          <w:rFonts w:asciiTheme="majorHAnsi" w:hAnsiTheme="majorHAnsi" w:cstheme="majorHAnsi"/>
        </w:rPr>
        <w:t>, 211.</w:t>
      </w:r>
    </w:p>
  </w:footnote>
  <w:footnote w:id="117">
    <w:p w14:paraId="54723E80" w14:textId="79B23210" w:rsidR="005B1CB9" w:rsidRPr="00BC4FAB" w:rsidRDefault="005B1CB9" w:rsidP="00A77641">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Mark Twain and A. Grove Day, ed.</w:t>
      </w:r>
      <w:r w:rsidR="00A81375">
        <w:rPr>
          <w:rFonts w:asciiTheme="majorHAnsi" w:hAnsiTheme="majorHAnsi" w:cstheme="majorHAnsi"/>
        </w:rPr>
        <w:t>,</w:t>
      </w:r>
      <w:r w:rsidRPr="00BC4FAB">
        <w:rPr>
          <w:rFonts w:asciiTheme="majorHAnsi" w:hAnsiTheme="majorHAnsi" w:cstheme="majorHAnsi"/>
        </w:rPr>
        <w:t xml:space="preserve"> </w:t>
      </w:r>
      <w:r w:rsidRPr="00BC4FAB">
        <w:rPr>
          <w:rFonts w:asciiTheme="majorHAnsi" w:hAnsiTheme="majorHAnsi" w:cstheme="majorHAnsi"/>
          <w:i/>
          <w:iCs/>
        </w:rPr>
        <w:t>Mark Twain's Letters from Hawai’i</w:t>
      </w:r>
      <w:r w:rsidR="00A81375">
        <w:rPr>
          <w:rFonts w:asciiTheme="majorHAnsi" w:hAnsiTheme="majorHAnsi" w:cstheme="majorHAnsi"/>
        </w:rPr>
        <w:t xml:space="preserve"> (</w:t>
      </w:r>
      <w:r w:rsidRPr="00BC4FAB">
        <w:rPr>
          <w:rFonts w:asciiTheme="majorHAnsi" w:hAnsiTheme="majorHAnsi" w:cstheme="majorHAnsi"/>
        </w:rPr>
        <w:t>New York: Appleton-Century,1966</w:t>
      </w:r>
      <w:r w:rsidR="00A81375">
        <w:rPr>
          <w:rFonts w:asciiTheme="majorHAnsi" w:hAnsiTheme="majorHAnsi" w:cstheme="majorHAnsi"/>
        </w:rPr>
        <w:t>)</w:t>
      </w:r>
      <w:r w:rsidRPr="00BC4FAB">
        <w:rPr>
          <w:rFonts w:asciiTheme="majorHAnsi" w:hAnsiTheme="majorHAnsi" w:cstheme="majorHAnsi"/>
        </w:rPr>
        <w:t>, 67-76.</w:t>
      </w:r>
    </w:p>
  </w:footnote>
  <w:footnote w:id="118">
    <w:p w14:paraId="2FA68F84" w14:textId="77777777" w:rsidR="005B1CB9" w:rsidRPr="00BC4FAB" w:rsidRDefault="005B1CB9" w:rsidP="00DE3EE9">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Twain and Day, </w:t>
      </w:r>
      <w:r w:rsidRPr="00BC4FAB">
        <w:rPr>
          <w:rFonts w:asciiTheme="majorHAnsi" w:hAnsiTheme="majorHAnsi" w:cstheme="majorHAnsi"/>
          <w:i/>
          <w:iCs/>
        </w:rPr>
        <w:t>Mark Twain's Letters from Hawai’i</w:t>
      </w:r>
      <w:r w:rsidRPr="00BC4FAB">
        <w:rPr>
          <w:rFonts w:asciiTheme="majorHAnsi" w:hAnsiTheme="majorHAnsi" w:cstheme="majorHAnsi"/>
          <w:iCs/>
        </w:rPr>
        <w:t>, 74-</w:t>
      </w:r>
      <w:r w:rsidRPr="00BC4FAB">
        <w:rPr>
          <w:rFonts w:asciiTheme="majorHAnsi" w:hAnsiTheme="majorHAnsi" w:cstheme="majorHAnsi"/>
        </w:rPr>
        <w:t>75.</w:t>
      </w:r>
    </w:p>
  </w:footnote>
  <w:footnote w:id="119">
    <w:p w14:paraId="44130625" w14:textId="513411B8"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w:t>
      </w:r>
      <w:r w:rsidRPr="00BC4FAB">
        <w:rPr>
          <w:rFonts w:asciiTheme="majorHAnsi" w:hAnsiTheme="majorHAnsi" w:cstheme="majorHAnsi"/>
          <w:iCs/>
        </w:rPr>
        <w:t xml:space="preserve">, </w:t>
      </w:r>
      <w:r w:rsidRPr="00BC4FAB">
        <w:rPr>
          <w:rFonts w:asciiTheme="majorHAnsi" w:hAnsiTheme="majorHAnsi" w:cstheme="majorHAnsi"/>
        </w:rPr>
        <w:t>75.</w:t>
      </w:r>
    </w:p>
  </w:footnote>
  <w:footnote w:id="120">
    <w:p w14:paraId="28DF863F" w14:textId="60694892"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00A81375">
        <w:rPr>
          <w:rFonts w:asciiTheme="majorHAnsi" w:hAnsiTheme="majorHAnsi" w:cstheme="majorHAnsi"/>
        </w:rPr>
        <w:t xml:space="preserve"> See </w:t>
      </w:r>
      <w:r w:rsidRPr="00BC4FAB">
        <w:rPr>
          <w:rFonts w:asciiTheme="majorHAnsi" w:hAnsiTheme="majorHAnsi" w:cstheme="majorHAnsi"/>
        </w:rPr>
        <w:t xml:space="preserve">Wood, </w:t>
      </w:r>
      <w:r w:rsidRPr="00BC4FAB">
        <w:rPr>
          <w:rFonts w:asciiTheme="majorHAnsi" w:hAnsiTheme="majorHAnsi" w:cstheme="majorHAnsi"/>
          <w:i/>
          <w:iCs/>
        </w:rPr>
        <w:t>Displacing Natives</w:t>
      </w:r>
      <w:r w:rsidRPr="00BC4FAB">
        <w:rPr>
          <w:rFonts w:asciiTheme="majorHAnsi" w:hAnsiTheme="majorHAnsi" w:cstheme="majorHAnsi"/>
          <w:iCs/>
        </w:rPr>
        <w:t xml:space="preserve">, </w:t>
      </w:r>
      <w:r w:rsidRPr="00BC4FAB">
        <w:rPr>
          <w:rFonts w:asciiTheme="majorHAnsi" w:hAnsiTheme="majorHAnsi" w:cstheme="majorHAnsi"/>
        </w:rPr>
        <w:t>182-185, for a bibliography of early tourists to the crater.</w:t>
      </w:r>
    </w:p>
  </w:footnote>
  <w:footnote w:id="121">
    <w:p w14:paraId="222DD955" w14:textId="3DC507C8"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“Explorers of the Pacific: European and American Discoveries in Polynesia: George Anson Byron,” New Zealand Electronic Text Centre, accessed May 3, 2011, </w:t>
      </w:r>
      <w:hyperlink r:id="rId4" w:history="1">
        <w:r w:rsidRPr="00BC4FAB">
          <w:rPr>
            <w:rFonts w:asciiTheme="majorHAnsi" w:hAnsiTheme="majorHAnsi" w:cstheme="majorHAnsi"/>
          </w:rPr>
          <w:t>http://www.nzetc.org/tm/scholarly/tei-BucExpl-t1-body-d20-d4.html</w:t>
        </w:r>
      </w:hyperlink>
    </w:p>
  </w:footnote>
  <w:footnote w:id="122">
    <w:p w14:paraId="5414D8B9" w14:textId="17C2974B"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Maria Callcott, George Anson Byron, and Richard Rowland Bloxam, </w:t>
      </w:r>
      <w:r w:rsidRPr="00BC4FAB">
        <w:rPr>
          <w:rFonts w:asciiTheme="majorHAnsi" w:hAnsiTheme="majorHAnsi" w:cstheme="majorHAnsi"/>
          <w:i/>
          <w:iCs/>
        </w:rPr>
        <w:t>Voyage of H.M.S. Blonde to the Sandwich Islands, in the Years 1824-1825</w:t>
      </w:r>
      <w:r w:rsidRPr="00BC4FAB">
        <w:rPr>
          <w:rFonts w:asciiTheme="majorHAnsi" w:hAnsiTheme="majorHAnsi" w:cstheme="majorHAnsi"/>
        </w:rPr>
        <w:t xml:space="preserve"> (London: J. Murray, 1826), preface and 175-189. </w:t>
      </w:r>
    </w:p>
  </w:footnote>
  <w:footnote w:id="123">
    <w:p w14:paraId="3ECB2246" w14:textId="31B0A812"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w:t>
      </w:r>
      <w:r w:rsidRPr="00BC4FAB">
        <w:rPr>
          <w:rFonts w:asciiTheme="majorHAnsi" w:hAnsiTheme="majorHAnsi" w:cstheme="majorHAnsi"/>
          <w:iCs/>
        </w:rPr>
        <w:t xml:space="preserve">, </w:t>
      </w:r>
      <w:r w:rsidRPr="00BC4FAB">
        <w:rPr>
          <w:rFonts w:asciiTheme="majorHAnsi" w:hAnsiTheme="majorHAnsi" w:cstheme="majorHAnsi"/>
        </w:rPr>
        <w:t>180.</w:t>
      </w:r>
    </w:p>
  </w:footnote>
  <w:footnote w:id="124">
    <w:p w14:paraId="11EEB4F1" w14:textId="04F75A38"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The story of Kapiolani was a popular and influential story, especially among missionaries and other non-Native settlers. The story i</w:t>
      </w:r>
      <w:r w:rsidR="00A81375">
        <w:rPr>
          <w:rFonts w:asciiTheme="majorHAnsi" w:hAnsiTheme="majorHAnsi" w:cstheme="majorHAnsi"/>
        </w:rPr>
        <w:t>s recounted at length by Laura F</w:t>
      </w:r>
      <w:r w:rsidRPr="00BC4FAB">
        <w:rPr>
          <w:rFonts w:asciiTheme="majorHAnsi" w:hAnsiTheme="majorHAnsi" w:cstheme="majorHAnsi"/>
        </w:rPr>
        <w:t xml:space="preserve">ish Judd, wife of missionary Dr. Gerrit P. Judd, in Laura Fish </w:t>
      </w:r>
      <w:r w:rsidRPr="00BC4FAB">
        <w:rPr>
          <w:rFonts w:asciiTheme="majorHAnsi" w:hAnsiTheme="majorHAnsi" w:cstheme="majorHAnsi"/>
          <w:bCs/>
        </w:rPr>
        <w:t xml:space="preserve">Judd </w:t>
      </w:r>
      <w:r w:rsidRPr="00BC4FAB">
        <w:rPr>
          <w:rFonts w:asciiTheme="majorHAnsi" w:hAnsiTheme="majorHAnsi" w:cstheme="majorHAnsi"/>
        </w:rPr>
        <w:t xml:space="preserve">and Dale Lowell </w:t>
      </w:r>
      <w:r w:rsidRPr="00BC4FAB">
        <w:rPr>
          <w:rFonts w:asciiTheme="majorHAnsi" w:hAnsiTheme="majorHAnsi" w:cstheme="majorHAnsi"/>
          <w:bCs/>
        </w:rPr>
        <w:t>Morgan</w:t>
      </w:r>
      <w:r w:rsidRPr="00BC4FAB">
        <w:rPr>
          <w:rFonts w:asciiTheme="majorHAnsi" w:hAnsiTheme="majorHAnsi" w:cstheme="majorHAnsi"/>
        </w:rPr>
        <w:t xml:space="preserve">. </w:t>
      </w:r>
      <w:r w:rsidRPr="00BC4FAB">
        <w:rPr>
          <w:rFonts w:asciiTheme="majorHAnsi" w:hAnsiTheme="majorHAnsi" w:cstheme="majorHAnsi"/>
          <w:bCs/>
          <w:i/>
        </w:rPr>
        <w:t>Honolulu:</w:t>
      </w:r>
      <w:r w:rsidRPr="00BC4FAB">
        <w:rPr>
          <w:rFonts w:asciiTheme="majorHAnsi" w:hAnsiTheme="majorHAnsi" w:cstheme="majorHAnsi"/>
          <w:i/>
        </w:rPr>
        <w:t xml:space="preserve"> S</w:t>
      </w:r>
      <w:r w:rsidRPr="00BC4FAB">
        <w:rPr>
          <w:rFonts w:asciiTheme="majorHAnsi" w:hAnsiTheme="majorHAnsi" w:cstheme="majorHAnsi"/>
          <w:bCs/>
          <w:i/>
        </w:rPr>
        <w:t>ketches of Life in the Hawaiian Islands from 1828 to1861</w:t>
      </w:r>
      <w:r w:rsidRPr="00BC4FAB">
        <w:rPr>
          <w:rFonts w:asciiTheme="majorHAnsi" w:hAnsiTheme="majorHAnsi" w:cstheme="majorHAnsi"/>
          <w:bCs/>
        </w:rPr>
        <w:t xml:space="preserve"> (</w:t>
      </w:r>
      <w:r w:rsidRPr="00BC4FAB">
        <w:rPr>
          <w:rFonts w:asciiTheme="majorHAnsi" w:hAnsiTheme="majorHAnsi" w:cstheme="majorHAnsi"/>
        </w:rPr>
        <w:t>Chicago, IL: Lakeside Press,1966), 143-147.</w:t>
      </w:r>
    </w:p>
  </w:footnote>
  <w:footnote w:id="125">
    <w:p w14:paraId="5A12F1B1" w14:textId="28EE6AFE"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 am using David Spurr’s interpretation of Mary Louis Pratt, who identifies three distinct rhetorical devices, for his clarity and concise wording. See David Spurr, </w:t>
      </w:r>
      <w:r w:rsidRPr="00BC4FAB">
        <w:rPr>
          <w:rFonts w:asciiTheme="majorHAnsi" w:hAnsiTheme="majorHAnsi" w:cstheme="majorHAnsi"/>
          <w:i/>
          <w:iCs/>
        </w:rPr>
        <w:t>The Rhetoric of Empire: Colonial Discourse in Journalism, Travel Writing, and Imperial Administration</w:t>
      </w:r>
      <w:r w:rsidRPr="00BC4FAB">
        <w:rPr>
          <w:rFonts w:asciiTheme="majorHAnsi" w:hAnsiTheme="majorHAnsi" w:cstheme="majorHAnsi"/>
        </w:rPr>
        <w:t xml:space="preserve"> (Durham: Duke University Press, 1993), 16-27; and Pratt, </w:t>
      </w:r>
      <w:r w:rsidRPr="00BC4FAB">
        <w:rPr>
          <w:rFonts w:asciiTheme="majorHAnsi" w:hAnsiTheme="majorHAnsi" w:cstheme="majorHAnsi"/>
          <w:i/>
        </w:rPr>
        <w:t>Imperial Eyes</w:t>
      </w:r>
      <w:r w:rsidR="00A81375">
        <w:rPr>
          <w:rFonts w:asciiTheme="majorHAnsi" w:hAnsiTheme="majorHAnsi" w:cstheme="majorHAnsi"/>
        </w:rPr>
        <w:t>, 2008</w:t>
      </w:r>
      <w:r w:rsidRPr="00BC4FAB">
        <w:rPr>
          <w:rFonts w:asciiTheme="majorHAnsi" w:hAnsiTheme="majorHAnsi" w:cstheme="majorHAnsi"/>
        </w:rPr>
        <w:t>, 204.</w:t>
      </w:r>
    </w:p>
  </w:footnote>
  <w:footnote w:id="126">
    <w:p w14:paraId="424990EE" w14:textId="5E427C6C" w:rsidR="005B1CB9" w:rsidRPr="00BC4FAB" w:rsidRDefault="005B1CB9" w:rsidP="00046E97">
      <w:pPr>
        <w:pStyle w:val="FootnoteText"/>
        <w:ind w:firstLine="720"/>
        <w:rPr>
          <w:sz w:val="24"/>
          <w:szCs w:val="24"/>
        </w:rPr>
      </w:pPr>
      <w:r w:rsidRPr="00BC4FAB">
        <w:rPr>
          <w:rStyle w:val="FootnoteReference"/>
          <w:sz w:val="24"/>
          <w:szCs w:val="24"/>
        </w:rPr>
        <w:footnoteRef/>
      </w:r>
      <w:r w:rsidRPr="00BC4FAB">
        <w:rPr>
          <w:sz w:val="24"/>
          <w:szCs w:val="24"/>
        </w:rPr>
        <w:t xml:space="preserve"> </w:t>
      </w:r>
      <w:r w:rsidRPr="00BC4FAB">
        <w:rPr>
          <w:rFonts w:asciiTheme="majorHAnsi" w:hAnsiTheme="majorHAnsi" w:cstheme="majorHAnsi"/>
          <w:sz w:val="24"/>
          <w:szCs w:val="24"/>
        </w:rPr>
        <w:t xml:space="preserve">Byron et al, </w:t>
      </w:r>
      <w:r w:rsidRPr="00BC4FAB">
        <w:rPr>
          <w:rFonts w:asciiTheme="majorHAnsi" w:hAnsiTheme="majorHAnsi" w:cstheme="majorHAnsi"/>
          <w:i/>
          <w:iCs/>
          <w:sz w:val="24"/>
          <w:szCs w:val="24"/>
        </w:rPr>
        <w:t>Voyage of H.M.S. Blonde</w:t>
      </w:r>
      <w:r w:rsidRPr="00BC4FAB">
        <w:rPr>
          <w:rFonts w:asciiTheme="majorHAnsi" w:hAnsiTheme="majorHAnsi" w:cstheme="majorHAnsi"/>
          <w:iCs/>
          <w:sz w:val="24"/>
          <w:szCs w:val="24"/>
        </w:rPr>
        <w:t xml:space="preserve">, </w:t>
      </w:r>
      <w:r w:rsidRPr="00BC4FAB">
        <w:rPr>
          <w:rFonts w:asciiTheme="majorHAnsi" w:hAnsiTheme="majorHAnsi" w:cstheme="majorHAnsi"/>
          <w:sz w:val="24"/>
          <w:szCs w:val="24"/>
        </w:rPr>
        <w:t>183</w:t>
      </w:r>
      <w:r w:rsidR="00A81375">
        <w:rPr>
          <w:rFonts w:asciiTheme="majorHAnsi" w:hAnsiTheme="majorHAnsi" w:cstheme="majorHAnsi"/>
          <w:sz w:val="24"/>
          <w:szCs w:val="24"/>
        </w:rPr>
        <w:t>.</w:t>
      </w:r>
    </w:p>
  </w:footnote>
  <w:footnote w:id="127">
    <w:p w14:paraId="7FFC2F8C" w14:textId="385D54F6"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Spurr, </w:t>
      </w:r>
      <w:r w:rsidRPr="00BC4FAB">
        <w:rPr>
          <w:rFonts w:asciiTheme="majorHAnsi" w:hAnsiTheme="majorHAnsi" w:cstheme="majorHAnsi"/>
          <w:i/>
        </w:rPr>
        <w:t>Rhetoric of Empire</w:t>
      </w:r>
      <w:r w:rsidRPr="00BC4FAB">
        <w:rPr>
          <w:rFonts w:asciiTheme="majorHAnsi" w:hAnsiTheme="majorHAnsi" w:cstheme="majorHAnsi"/>
        </w:rPr>
        <w:t xml:space="preserve">, 17. Spurr’s concept of the commanding view is drawn, ultimately, from Michel Foucault’s </w:t>
      </w:r>
      <w:r w:rsidRPr="00BC4FAB">
        <w:rPr>
          <w:rFonts w:asciiTheme="majorHAnsi" w:hAnsiTheme="majorHAnsi" w:cstheme="majorHAnsi"/>
          <w:bCs/>
          <w:i/>
          <w:iCs/>
        </w:rPr>
        <w:t>Discipline and Punish: The Birth of the Prison</w:t>
      </w:r>
      <w:r w:rsidRPr="00BC4FAB">
        <w:rPr>
          <w:rFonts w:asciiTheme="majorHAnsi" w:hAnsiTheme="majorHAnsi" w:cstheme="majorHAnsi"/>
          <w:bCs/>
          <w:iCs/>
        </w:rPr>
        <w:t xml:space="preserve">, particularly Foucault’s </w:t>
      </w:r>
      <w:r w:rsidRPr="00BC4FAB">
        <w:rPr>
          <w:rFonts w:asciiTheme="majorHAnsi" w:hAnsiTheme="majorHAnsi" w:cstheme="majorHAnsi"/>
        </w:rPr>
        <w:t>reflections on Jeremy Bentham’s panopticon. The panopticon offers non-corporeal vision and, by extension, panoptic vision creates differences and inequalities. The observer has the advantage of sight over the observed, and this power of observation creates a trap for the observed. “Like the supervisor in the Panopticon, the writer who engages this [commanding] view relies for authority on the analytic arrangement of space from a position of visual advantage.”</w:t>
      </w:r>
    </w:p>
  </w:footnote>
  <w:footnote w:id="128">
    <w:p w14:paraId="407F74FD" w14:textId="08A42F38"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Byron et al, </w:t>
      </w:r>
      <w:r w:rsidRPr="00BC4FAB">
        <w:rPr>
          <w:rFonts w:asciiTheme="majorHAnsi" w:hAnsiTheme="majorHAnsi" w:cstheme="majorHAnsi"/>
          <w:i/>
          <w:iCs/>
        </w:rPr>
        <w:t>Voyage of H.M.S. Blonde</w:t>
      </w:r>
      <w:r w:rsidRPr="00BC4FAB">
        <w:rPr>
          <w:rFonts w:asciiTheme="majorHAnsi" w:hAnsiTheme="majorHAnsi" w:cstheme="majorHAnsi"/>
          <w:iCs/>
        </w:rPr>
        <w:t>, 180-181</w:t>
      </w:r>
      <w:r w:rsidRPr="00BC4FAB">
        <w:rPr>
          <w:rFonts w:asciiTheme="majorHAnsi" w:hAnsiTheme="majorHAnsi" w:cstheme="majorHAnsi"/>
        </w:rPr>
        <w:t>.</w:t>
      </w:r>
    </w:p>
  </w:footnote>
  <w:footnote w:id="129">
    <w:p w14:paraId="4CE0F254" w14:textId="341C09A3" w:rsidR="005B1CB9" w:rsidRPr="00BC4FAB" w:rsidRDefault="005B1CB9" w:rsidP="00CC7403">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Byron et al, </w:t>
      </w:r>
      <w:r w:rsidRPr="00BC4FAB">
        <w:rPr>
          <w:rFonts w:asciiTheme="majorHAnsi" w:hAnsiTheme="majorHAnsi" w:cstheme="majorHAnsi"/>
          <w:i/>
          <w:iCs/>
        </w:rPr>
        <w:t>Voyage of H.M.S. Blonde</w:t>
      </w:r>
      <w:r w:rsidRPr="00BC4FAB">
        <w:rPr>
          <w:rFonts w:asciiTheme="majorHAnsi" w:hAnsiTheme="majorHAnsi" w:cstheme="majorHAnsi"/>
          <w:iCs/>
        </w:rPr>
        <w:t xml:space="preserve">, </w:t>
      </w:r>
      <w:r w:rsidRPr="00BC4FAB">
        <w:rPr>
          <w:rFonts w:asciiTheme="majorHAnsi" w:hAnsiTheme="majorHAnsi" w:cstheme="majorHAnsi"/>
        </w:rPr>
        <w:t>185-186. In one particularly eloquent passage, referring to both Defoe and the bible, the narrator writes, “Night increased the magnificence, perhaps the horror, of the scene. The volcano caused what Defoe calls “a terrible light in the air.” The roar occasioned by the escape of the pent up elements, and the fearful character of the surrounding scenery, suited with that light; and all impressed us with the sense of the present Deity [Peli], such as when from Sania he gave, with thundering and with lightning, the tablets of the law [the Ten Commandments].</w:t>
      </w:r>
    </w:p>
  </w:footnote>
  <w:footnote w:id="130">
    <w:p w14:paraId="1AE30759" w14:textId="6347DE95" w:rsidR="005B1CB9" w:rsidRPr="00BC4FAB" w:rsidRDefault="005B1CB9" w:rsidP="00CC7403">
      <w:pPr>
        <w:pStyle w:val="FootnoteText"/>
        <w:ind w:firstLine="720"/>
        <w:rPr>
          <w:sz w:val="24"/>
          <w:szCs w:val="24"/>
        </w:rPr>
      </w:pPr>
      <w:r w:rsidRPr="00BC4FAB">
        <w:rPr>
          <w:rStyle w:val="FootnoteReference"/>
          <w:sz w:val="24"/>
          <w:szCs w:val="24"/>
        </w:rPr>
        <w:footnoteRef/>
      </w:r>
      <w:r w:rsidRPr="00BC4FAB">
        <w:rPr>
          <w:sz w:val="24"/>
          <w:szCs w:val="24"/>
        </w:rPr>
        <w:t xml:space="preserve"> For more on the Pacific Expedition, see </w:t>
      </w:r>
      <w:r w:rsidRPr="00BC4FAB">
        <w:rPr>
          <w:rStyle w:val="st"/>
          <w:rFonts w:asciiTheme="majorHAnsi" w:hAnsiTheme="majorHAnsi" w:cstheme="majorHAnsi"/>
          <w:sz w:val="24"/>
          <w:szCs w:val="24"/>
        </w:rPr>
        <w:t xml:space="preserve">Nathanial Philbrick, </w:t>
      </w:r>
      <w:r w:rsidRPr="00BC4FAB">
        <w:rPr>
          <w:rStyle w:val="st"/>
          <w:rFonts w:asciiTheme="majorHAnsi" w:hAnsiTheme="majorHAnsi" w:cstheme="majorHAnsi"/>
          <w:i/>
          <w:sz w:val="24"/>
          <w:szCs w:val="24"/>
        </w:rPr>
        <w:t>Sea of Glory: America’s Voyage of Discovery, the U.S. Exploring Expedition, 1838-1842</w:t>
      </w:r>
      <w:r w:rsidRPr="00BC4FAB">
        <w:rPr>
          <w:rStyle w:val="st"/>
          <w:rFonts w:asciiTheme="majorHAnsi" w:hAnsiTheme="majorHAnsi" w:cstheme="majorHAnsi"/>
          <w:sz w:val="24"/>
          <w:szCs w:val="24"/>
        </w:rPr>
        <w:t xml:space="preserve"> (NY: Viking Press, 2003); and </w:t>
      </w:r>
      <w:r w:rsidRPr="00BC4FAB">
        <w:rPr>
          <w:rStyle w:val="st"/>
          <w:rFonts w:asciiTheme="majorHAnsi" w:hAnsiTheme="majorHAnsi" w:cstheme="majorHAnsi"/>
          <w:i/>
          <w:sz w:val="24"/>
          <w:szCs w:val="24"/>
        </w:rPr>
        <w:t>Magnificent Voyagers: The U.S. Exploratory Expedition, 1838-1842</w:t>
      </w:r>
      <w:r w:rsidRPr="00BC4FAB">
        <w:rPr>
          <w:rStyle w:val="st"/>
          <w:rFonts w:asciiTheme="majorHAnsi" w:hAnsiTheme="majorHAnsi" w:cstheme="majorHAnsi"/>
          <w:sz w:val="24"/>
          <w:szCs w:val="24"/>
        </w:rPr>
        <w:t>., Herman Viola and Carolyn Margolis, eds. (Washington, DC, Smithsonian Press, 1985).</w:t>
      </w:r>
    </w:p>
  </w:footnote>
  <w:footnote w:id="131">
    <w:p w14:paraId="7FB5B219" w14:textId="68F76877"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Wendy </w:t>
      </w:r>
      <w:r w:rsidRPr="00BC4FAB">
        <w:rPr>
          <w:rStyle w:val="titleauthoretc"/>
          <w:rFonts w:asciiTheme="majorHAnsi" w:hAnsiTheme="majorHAnsi" w:cstheme="majorHAnsi"/>
        </w:rPr>
        <w:t>Nalani Emiko Ikemoto</w:t>
      </w:r>
      <w:r w:rsidRPr="00BC4FAB">
        <w:rPr>
          <w:rFonts w:asciiTheme="majorHAnsi" w:hAnsiTheme="majorHAnsi" w:cstheme="majorHAnsi"/>
        </w:rPr>
        <w:t xml:space="preserve">, </w:t>
      </w:r>
      <w:r w:rsidRPr="00BC4FAB">
        <w:rPr>
          <w:rFonts w:asciiTheme="majorHAnsi" w:hAnsiTheme="majorHAnsi" w:cstheme="majorHAnsi"/>
          <w:i/>
        </w:rPr>
        <w:t>The Space Between: Paired Paintings in Antebellum America</w:t>
      </w:r>
      <w:r w:rsidRPr="00BC4FAB">
        <w:rPr>
          <w:rFonts w:asciiTheme="majorHAnsi" w:hAnsiTheme="majorHAnsi" w:cstheme="majorHAnsi"/>
        </w:rPr>
        <w:t>, Doctoral dissertation (Cambridge: Harvard University, 2009), 135-141.</w:t>
      </w:r>
    </w:p>
  </w:footnote>
  <w:footnote w:id="132">
    <w:p w14:paraId="250A024D" w14:textId="039B9BA2"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Charles Wilkes, </w:t>
      </w:r>
      <w:r w:rsidRPr="00BC4FAB">
        <w:rPr>
          <w:rFonts w:asciiTheme="majorHAnsi" w:hAnsiTheme="majorHAnsi" w:cstheme="majorHAnsi"/>
          <w:i/>
        </w:rPr>
        <w:t>Narrative of the United States Exploring Expedition, during the Years 1838-1842</w:t>
      </w:r>
      <w:r w:rsidRPr="00BC4FAB">
        <w:rPr>
          <w:rFonts w:asciiTheme="majorHAnsi" w:hAnsiTheme="majorHAnsi" w:cstheme="majorHAnsi"/>
        </w:rPr>
        <w:t xml:space="preserve"> (London: Ingraham and Cooke, 1852), vol. 4, 127. Peale’s paintings, besides their obvious purposes as topographical records for a government expedition, may have been made, in part, as stand ins for the landscape of Hawai’i in natural history settings. Peale frequently used expeditionary imagery as backgrounds for taxidermy animals, either in paintings of animals or in specimen boxes, which were displayed at his father’s Philadelphia Museum. See Kenneth Haltman, </w:t>
      </w:r>
      <w:r w:rsidRPr="00BC4FAB">
        <w:rPr>
          <w:rFonts w:asciiTheme="majorHAnsi" w:hAnsiTheme="majorHAnsi" w:cstheme="majorHAnsi"/>
          <w:i/>
        </w:rPr>
        <w:t>Looking Close and Seeing Far: Samuel Seymour, Titian Ramsay Peale, and the Art of the Long Expedition, 1818-1823</w:t>
      </w:r>
      <w:r w:rsidRPr="00BC4FAB">
        <w:rPr>
          <w:rFonts w:asciiTheme="majorHAnsi" w:hAnsiTheme="majorHAnsi" w:cstheme="majorHAnsi"/>
        </w:rPr>
        <w:t xml:space="preserve"> (Penn State University Press, 2008), 153-155. Haltman describes the “imagined” resurrection of a mule deer in Peale’s watercolor painting of 1822 as “Peale’s anticipation of the taxidermic mount he hoped it would one day become.”</w:t>
      </w:r>
    </w:p>
  </w:footnote>
  <w:footnote w:id="133">
    <w:p w14:paraId="03413D97" w14:textId="5897935E"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Forbes, </w:t>
      </w:r>
      <w:r w:rsidRPr="00BC4FAB">
        <w:rPr>
          <w:rFonts w:asciiTheme="majorHAnsi" w:hAnsiTheme="majorHAnsi" w:cstheme="majorHAnsi"/>
          <w:i/>
        </w:rPr>
        <w:t>Encounters with Paradise</w:t>
      </w:r>
      <w:r w:rsidRPr="00BC4FAB">
        <w:rPr>
          <w:rFonts w:asciiTheme="majorHAnsi" w:hAnsiTheme="majorHAnsi" w:cstheme="majorHAnsi"/>
        </w:rPr>
        <w:t>, 113-118 (Peale); 151 (Kern)</w:t>
      </w:r>
      <w:r w:rsidR="00076262">
        <w:rPr>
          <w:rFonts w:asciiTheme="majorHAnsi" w:hAnsiTheme="majorHAnsi" w:cstheme="majorHAnsi"/>
        </w:rPr>
        <w:t>.</w:t>
      </w:r>
    </w:p>
  </w:footnote>
  <w:footnote w:id="134">
    <w:p w14:paraId="707539E1" w14:textId="76356AC8"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For an introduction to the power and influence held in Hawai’i in the early and mid-nineteenth century by missionaries and merchants, see Jennifer Fish Kasay, “Agents of Imperialism: Missionaries and Merchants in Early-Nineteenth-Century Hawai’i.” </w:t>
      </w:r>
      <w:r w:rsidRPr="00BC4FAB">
        <w:rPr>
          <w:rFonts w:asciiTheme="majorHAnsi" w:hAnsiTheme="majorHAnsi" w:cstheme="majorHAnsi"/>
          <w:i/>
        </w:rPr>
        <w:t>The New England Quarterly</w:t>
      </w:r>
      <w:r w:rsidRPr="00BC4FAB">
        <w:rPr>
          <w:rFonts w:asciiTheme="majorHAnsi" w:hAnsiTheme="majorHAnsi" w:cstheme="majorHAnsi"/>
        </w:rPr>
        <w:t xml:space="preserve"> 80, no. 2 (June 2007), 280-298.</w:t>
      </w:r>
    </w:p>
  </w:footnote>
  <w:footnote w:id="135">
    <w:p w14:paraId="5C3A5AA8" w14:textId="59CBB371"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Stuart Banner, “Preparing to Be Colonized: Land Tenure and Legal Strategy in Nineteenth-Century Hawaii,” </w:t>
      </w:r>
      <w:r w:rsidRPr="00BC4FAB">
        <w:rPr>
          <w:rFonts w:asciiTheme="majorHAnsi" w:hAnsiTheme="majorHAnsi" w:cstheme="majorHAnsi"/>
          <w:i/>
        </w:rPr>
        <w:t>Law and Society Review</w:t>
      </w:r>
      <w:r w:rsidRPr="00BC4FAB">
        <w:rPr>
          <w:rFonts w:asciiTheme="majorHAnsi" w:hAnsiTheme="majorHAnsi" w:cstheme="majorHAnsi"/>
        </w:rPr>
        <w:t xml:space="preserve"> 39, no. 2 (June 2005), 273-314. Māhele, a series of land laws implemented from 1845 to 1855 under the rule of </w:t>
      </w:r>
      <w:r w:rsidRPr="00BC4FAB">
        <w:rPr>
          <w:rFonts w:asciiTheme="majorHAnsi" w:hAnsiTheme="majorHAnsi" w:cstheme="majorHAnsi"/>
          <w:bCs/>
        </w:rPr>
        <w:t xml:space="preserve">Kamehameha III, ended the communal, semi-feudal land-tenure system Hawaii had employed before contact. </w:t>
      </w:r>
      <w:r w:rsidRPr="00BC4FAB">
        <w:rPr>
          <w:rFonts w:asciiTheme="majorHAnsi" w:hAnsiTheme="majorHAnsi" w:cstheme="majorHAnsi"/>
        </w:rPr>
        <w:t>By modeling Hawaiian land laws closely after land laws in America and Europe, Kamehameha III and other Hawaiian elites hope to ensure that their eventual colonial rulers would recognize their land claims.</w:t>
      </w:r>
    </w:p>
  </w:footnote>
  <w:footnote w:id="136">
    <w:p w14:paraId="289A9CB9" w14:textId="136B954A"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In 1891, a new, larger building was constructed and the 1877 structure became an attached extension to the new hotel. During a 1991 campaign to expand and improve the Volcano House, the 1877 structure was moved back away from the crater, and today serves as the Volcano Art Center art gallery and gift shop. “Volcano Art Center, accessed June 14, 2012. </w:t>
      </w:r>
      <w:hyperlink r:id="rId5" w:history="1">
        <w:r w:rsidRPr="00BC4FAB">
          <w:rPr>
            <w:rStyle w:val="Hyperlink"/>
            <w:rFonts w:asciiTheme="majorHAnsi" w:hAnsiTheme="majorHAnsi" w:cstheme="majorHAnsi"/>
            <w:color w:val="auto"/>
            <w:u w:val="none"/>
          </w:rPr>
          <w:t>http://volcanoartcenter.org/</w:t>
        </w:r>
      </w:hyperlink>
      <w:r w:rsidRPr="00BC4FAB">
        <w:rPr>
          <w:rFonts w:asciiTheme="majorHAnsi" w:hAnsiTheme="majorHAnsi" w:cstheme="majorHAnsi"/>
        </w:rPr>
        <w:t>.</w:t>
      </w:r>
    </w:p>
  </w:footnote>
  <w:footnote w:id="137">
    <w:p w14:paraId="696ADE50" w14:textId="31766293"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Theroux, </w:t>
      </w:r>
      <w:r w:rsidRPr="00BC4FAB">
        <w:rPr>
          <w:rStyle w:val="title-link-wrapper"/>
          <w:rFonts w:asciiTheme="majorHAnsi" w:hAnsiTheme="majorHAnsi" w:cstheme="majorHAnsi"/>
        </w:rPr>
        <w:t xml:space="preserve">“Genius Displayed,”7-8; </w:t>
      </w:r>
      <w:r w:rsidRPr="00BC4FAB">
        <w:rPr>
          <w:rFonts w:asciiTheme="majorHAnsi" w:hAnsiTheme="majorHAnsi" w:cstheme="majorHAnsi"/>
        </w:rPr>
        <w:t xml:space="preserve">Forbes, </w:t>
      </w:r>
      <w:r w:rsidRPr="00BC4FAB">
        <w:rPr>
          <w:rFonts w:asciiTheme="majorHAnsi" w:hAnsiTheme="majorHAnsi" w:cstheme="majorHAnsi"/>
          <w:i/>
        </w:rPr>
        <w:t>Encounters with Paradise</w:t>
      </w:r>
      <w:r w:rsidRPr="00BC4FAB">
        <w:rPr>
          <w:rFonts w:asciiTheme="majorHAnsi" w:hAnsiTheme="majorHAnsi" w:cstheme="majorHAnsi"/>
        </w:rPr>
        <w:t>, 179. Charles Furneaux, another Volcano School painter, also had unrealized plans for such a book (176).</w:t>
      </w:r>
    </w:p>
  </w:footnote>
  <w:footnote w:id="138">
    <w:p w14:paraId="73FD6B17" w14:textId="50E6B556"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For sketching trip, see </w:t>
      </w:r>
      <w:r w:rsidRPr="00BC4FAB">
        <w:rPr>
          <w:rFonts w:asciiTheme="majorHAnsi" w:hAnsiTheme="majorHAnsi" w:cstheme="majorHAnsi"/>
          <w:i/>
        </w:rPr>
        <w:t>Daily Honolulu Press</w:t>
      </w:r>
      <w:r w:rsidRPr="00BC4FAB">
        <w:rPr>
          <w:rFonts w:asciiTheme="majorHAnsi" w:hAnsiTheme="majorHAnsi" w:cstheme="majorHAnsi"/>
        </w:rPr>
        <w:t xml:space="preserve">, September 18, 1885, 3; For Judge Ahahauo Fornanola’s participation, see </w:t>
      </w:r>
      <w:r w:rsidRPr="00BC4FAB">
        <w:rPr>
          <w:rFonts w:asciiTheme="majorHAnsi" w:hAnsiTheme="majorHAnsi" w:cstheme="majorHAnsi"/>
          <w:i/>
        </w:rPr>
        <w:t>The Daily Honolulu Press</w:t>
      </w:r>
      <w:r w:rsidRPr="00BC4FAB">
        <w:rPr>
          <w:rFonts w:asciiTheme="majorHAnsi" w:hAnsiTheme="majorHAnsi" w:cstheme="majorHAnsi"/>
        </w:rPr>
        <w:t>, September 22, 1885.</w:t>
      </w:r>
    </w:p>
  </w:footnote>
  <w:footnote w:id="139">
    <w:p w14:paraId="5C02463E" w14:textId="14CDC24B"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Theroux, </w:t>
      </w:r>
      <w:r w:rsidRPr="00BC4FAB">
        <w:rPr>
          <w:rStyle w:val="title-link-wrapper"/>
          <w:rFonts w:asciiTheme="majorHAnsi" w:hAnsiTheme="majorHAnsi" w:cstheme="majorHAnsi"/>
        </w:rPr>
        <w:t>“Genius Displayed,” 10.</w:t>
      </w:r>
    </w:p>
  </w:footnote>
  <w:footnote w:id="140">
    <w:p w14:paraId="6CCA3CC6" w14:textId="3B9B1AD5"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color w:val="000000"/>
          <w:lang w:bidi="ar-SA"/>
        </w:rPr>
        <w:t xml:space="preserve"> From “Hawai’i’s</w:t>
      </w:r>
      <w:r w:rsidRPr="00BC4FAB">
        <w:rPr>
          <w:rFonts w:asciiTheme="majorHAnsi" w:hAnsiTheme="majorHAnsi" w:cstheme="majorHAnsi"/>
        </w:rPr>
        <w:t xml:space="preserve"> Wonder – Jules Tavernier’s Great Panorama of Kilauea,” </w:t>
      </w:r>
      <w:r w:rsidRPr="00BC4FAB">
        <w:rPr>
          <w:rFonts w:asciiTheme="majorHAnsi" w:hAnsiTheme="majorHAnsi" w:cstheme="majorHAnsi"/>
          <w:i/>
        </w:rPr>
        <w:t>Pacific Commercial Advertiser</w:t>
      </w:r>
      <w:r w:rsidRPr="00BC4FAB">
        <w:rPr>
          <w:rFonts w:asciiTheme="majorHAnsi" w:hAnsiTheme="majorHAnsi" w:cstheme="majorHAnsi"/>
        </w:rPr>
        <w:t>, June 21, 1889</w:t>
      </w:r>
      <w:r w:rsidR="00076262">
        <w:rPr>
          <w:rFonts w:asciiTheme="majorHAnsi" w:hAnsiTheme="majorHAnsi" w:cstheme="majorHAnsi"/>
        </w:rPr>
        <w:t>.</w:t>
      </w:r>
    </w:p>
  </w:footnote>
  <w:footnote w:id="141">
    <w:p w14:paraId="258A64BA" w14:textId="4C26AE91"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i/>
          <w:color w:val="000000"/>
          <w:lang w:bidi="ar-SA"/>
        </w:rPr>
        <w:t>Pacific Commercial Advertiser</w:t>
      </w:r>
      <w:r w:rsidRPr="00BC4FAB">
        <w:rPr>
          <w:rFonts w:asciiTheme="majorHAnsi" w:hAnsiTheme="majorHAnsi" w:cstheme="majorHAnsi"/>
          <w:color w:val="000000"/>
          <w:lang w:bidi="ar-SA"/>
        </w:rPr>
        <w:t>, September 23, 1887. The reporter was commenting on a second, never realized Tavernier volcano panorama project.</w:t>
      </w:r>
    </w:p>
  </w:footnote>
  <w:footnote w:id="142">
    <w:p w14:paraId="445ED7E3" w14:textId="0B0D447A"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Writing about Native Americans living in the American Southwest at the turn of the twentieth century, Leah Dilworth has argued, “Artists, anthropologists, promoters of tourism, and writers . . . established an essentially colonial relationship with them [Native Americans]. Those who made representations of Indians used Native American cultures as a kind of raw material that they turned into art, scientific data, or dollars.” Leah Dilworth, </w:t>
      </w:r>
      <w:r w:rsidRPr="00BC4FAB">
        <w:rPr>
          <w:rFonts w:asciiTheme="majorHAnsi" w:hAnsiTheme="majorHAnsi" w:cstheme="majorHAnsi"/>
          <w:i/>
        </w:rPr>
        <w:t>Imagining Indians in the Southwest: Persistent Visions of a Primitive Past</w:t>
      </w:r>
      <w:r w:rsidRPr="00BC4FAB">
        <w:rPr>
          <w:rFonts w:asciiTheme="majorHAnsi" w:hAnsiTheme="majorHAnsi" w:cstheme="majorHAnsi"/>
        </w:rPr>
        <w:t xml:space="preserve"> (Washington and London: Smithsonian Institution Press, 1996), 6.</w:t>
      </w:r>
    </w:p>
  </w:footnote>
  <w:footnote w:id="143">
    <w:p w14:paraId="0D3C2BE4" w14:textId="338DF175"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i/>
          <w:color w:val="000000"/>
          <w:lang w:bidi="ar-SA"/>
        </w:rPr>
        <w:t>Saturday Press</w:t>
      </w:r>
      <w:r w:rsidRPr="00BC4FAB">
        <w:rPr>
          <w:rFonts w:asciiTheme="majorHAnsi" w:hAnsiTheme="majorHAnsi" w:cstheme="majorHAnsi"/>
          <w:color w:val="000000"/>
          <w:lang w:bidi="ar-SA"/>
        </w:rPr>
        <w:t>, February 7, 1885.</w:t>
      </w:r>
    </w:p>
  </w:footnote>
  <w:footnote w:id="144">
    <w:p w14:paraId="539FFB90" w14:textId="77777777" w:rsidR="005B1CB9" w:rsidRPr="00BC4FAB" w:rsidRDefault="005B1CB9" w:rsidP="007A5905">
      <w:pPr>
        <w:spacing w:line="240" w:lineRule="auto"/>
        <w:rPr>
          <w:rFonts w:asciiTheme="majorHAnsi" w:hAnsiTheme="majorHAnsi" w:cstheme="majorHAnsi"/>
        </w:rPr>
      </w:pPr>
    </w:p>
  </w:footnote>
  <w:footnote w:id="145">
    <w:p w14:paraId="3B82931D" w14:textId="0F72E7FA"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Darcy Bevins, ed., </w:t>
      </w:r>
      <w:r w:rsidRPr="00BC4FAB">
        <w:rPr>
          <w:rFonts w:asciiTheme="majorHAnsi" w:hAnsiTheme="majorHAnsi" w:cstheme="majorHAnsi"/>
          <w:i/>
        </w:rPr>
        <w:t>On the Rim of Kilauea: Excepts from the Volcano House Register, 1865-1955</w:t>
      </w:r>
      <w:r w:rsidRPr="00BC4FAB">
        <w:rPr>
          <w:rFonts w:asciiTheme="majorHAnsi" w:hAnsiTheme="majorHAnsi" w:cstheme="majorHAnsi"/>
        </w:rPr>
        <w:t xml:space="preserve"> (Hawai’i Natural History Association, 1992), 24, 27. The Wilder Steamship Company owned the Volcano House from 1885-1891.</w:t>
      </w:r>
    </w:p>
  </w:footnote>
  <w:footnote w:id="146">
    <w:p w14:paraId="47A54E25" w14:textId="77777777"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i/>
        </w:rPr>
        <w:t>Hawaiian Gazette</w:t>
      </w:r>
      <w:r w:rsidRPr="00BC4FAB">
        <w:rPr>
          <w:rFonts w:asciiTheme="majorHAnsi" w:hAnsiTheme="majorHAnsi" w:cstheme="majorHAnsi"/>
        </w:rPr>
        <w:t>, October 27, 1891.</w:t>
      </w:r>
    </w:p>
  </w:footnote>
  <w:footnote w:id="147">
    <w:p w14:paraId="2B609118" w14:textId="04A6F5BC"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William E. Cameron, Thomas W. Palmer, &amp; Frances E. Willard, </w:t>
      </w:r>
      <w:r w:rsidRPr="00BC4FAB">
        <w:rPr>
          <w:rFonts w:asciiTheme="majorHAnsi" w:hAnsiTheme="majorHAnsi" w:cstheme="majorHAnsi"/>
          <w:i/>
        </w:rPr>
        <w:t>The World’s Fair, Being a Pictorial History of the Columbian Exposition</w:t>
      </w:r>
      <w:r w:rsidRPr="00BC4FAB">
        <w:rPr>
          <w:rFonts w:asciiTheme="majorHAnsi" w:hAnsiTheme="majorHAnsi" w:cstheme="majorHAnsi"/>
        </w:rPr>
        <w:t xml:space="preserve"> (Grand Rapids, MI: P.D. Farrell &amp; Co., 1893), 675-676.</w:t>
      </w:r>
    </w:p>
  </w:footnote>
  <w:footnote w:id="148">
    <w:p w14:paraId="67AA7C5B" w14:textId="1E8D8BAE"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Tavernier’s ghost was a real presence in Chicago. Included in the California exhibit were 21 photographic views of the Hawaiian Islands, along with “four oil paintings, all exhibited by the Oceanic Steamship Company of San Francisco,” one of which was listed as </w:t>
      </w:r>
      <w:r w:rsidRPr="00BC4FAB">
        <w:rPr>
          <w:rFonts w:asciiTheme="majorHAnsi" w:hAnsiTheme="majorHAnsi" w:cstheme="majorHAnsi"/>
          <w:i/>
        </w:rPr>
        <w:t>Volcano of Kilauea-Hawaiian Islands</w:t>
      </w:r>
      <w:r w:rsidRPr="00BC4FAB">
        <w:rPr>
          <w:rFonts w:asciiTheme="majorHAnsi" w:hAnsiTheme="majorHAnsi" w:cstheme="majorHAnsi"/>
        </w:rPr>
        <w:t xml:space="preserve"> by Jules Tavernier.” See </w:t>
      </w:r>
      <w:r w:rsidRPr="00BC4FAB">
        <w:rPr>
          <w:rFonts w:asciiTheme="majorHAnsi" w:hAnsiTheme="majorHAnsi" w:cstheme="majorHAnsi"/>
          <w:i/>
        </w:rPr>
        <w:t>Final Report of the California World’s Fair Commission, Including a Description of All Exhibits from the State of California</w:t>
      </w:r>
      <w:r w:rsidRPr="00BC4FAB">
        <w:rPr>
          <w:rFonts w:asciiTheme="majorHAnsi" w:hAnsiTheme="majorHAnsi" w:cstheme="majorHAnsi"/>
        </w:rPr>
        <w:t xml:space="preserve">, </w:t>
      </w:r>
      <w:r w:rsidRPr="00BC4FAB">
        <w:rPr>
          <w:rFonts w:asciiTheme="majorHAnsi" w:hAnsiTheme="majorHAnsi" w:cstheme="majorHAnsi"/>
          <w:i/>
        </w:rPr>
        <w:t>Collected and Maintained Under Legislative Enactments, at the World’s Columbian Exposition Chicago, 1893</w:t>
      </w:r>
      <w:r w:rsidRPr="00BC4FAB">
        <w:rPr>
          <w:rFonts w:asciiTheme="majorHAnsi" w:hAnsiTheme="majorHAnsi" w:cstheme="majorHAnsi"/>
        </w:rPr>
        <w:t xml:space="preserve"> (Sacramento, CA: State Office, 1894), 54.</w:t>
      </w:r>
    </w:p>
  </w:footnote>
  <w:footnote w:id="149">
    <w:p w14:paraId="2AB7390B" w14:textId="230708D5"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Dean MacCannell, </w:t>
      </w:r>
      <w:r w:rsidRPr="00BC4FAB">
        <w:rPr>
          <w:rFonts w:asciiTheme="majorHAnsi" w:hAnsiTheme="majorHAnsi" w:cstheme="majorHAnsi"/>
          <w:i/>
        </w:rPr>
        <w:t>The Tourist: A New Theory of the Leisure Class</w:t>
      </w:r>
      <w:r w:rsidRPr="00BC4FAB">
        <w:rPr>
          <w:rFonts w:asciiTheme="majorHAnsi" w:hAnsiTheme="majorHAnsi" w:cstheme="majorHAnsi"/>
        </w:rPr>
        <w:t xml:space="preserve"> </w:t>
      </w:r>
      <w:r w:rsidR="00076262">
        <w:rPr>
          <w:rFonts w:asciiTheme="majorHAnsi" w:hAnsiTheme="majorHAnsi" w:cstheme="majorHAnsi"/>
        </w:rPr>
        <w:t>(</w:t>
      </w:r>
      <w:r w:rsidRPr="00BC4FAB">
        <w:rPr>
          <w:rFonts w:asciiTheme="majorHAnsi" w:hAnsiTheme="majorHAnsi" w:cstheme="majorHAnsi"/>
        </w:rPr>
        <w:t>Berkley: University of California Press, 1999</w:t>
      </w:r>
      <w:r w:rsidR="00076262">
        <w:rPr>
          <w:rFonts w:asciiTheme="majorHAnsi" w:hAnsiTheme="majorHAnsi" w:cstheme="majorHAnsi"/>
        </w:rPr>
        <w:t>)</w:t>
      </w:r>
      <w:r w:rsidRPr="00BC4FAB">
        <w:rPr>
          <w:rFonts w:asciiTheme="majorHAnsi" w:hAnsiTheme="majorHAnsi" w:cstheme="majorHAnsi"/>
        </w:rPr>
        <w:t>, 3, 7-8, 13.</w:t>
      </w:r>
    </w:p>
  </w:footnote>
  <w:footnote w:id="150">
    <w:p w14:paraId="21FBD023" w14:textId="68E2868D" w:rsidR="005B1CB9" w:rsidRPr="00BC4FAB" w:rsidRDefault="005B1CB9" w:rsidP="00D71E0D">
      <w:pPr>
        <w:pStyle w:val="FootnoteText"/>
        <w:ind w:firstLine="720"/>
      </w:pPr>
      <w:r w:rsidRPr="00BC4FAB">
        <w:rPr>
          <w:rStyle w:val="FootnoteReference"/>
          <w:sz w:val="24"/>
          <w:szCs w:val="24"/>
        </w:rPr>
        <w:footnoteRef/>
      </w:r>
      <w:r w:rsidRPr="00BC4FAB">
        <w:rPr>
          <w:sz w:val="24"/>
          <w:szCs w:val="24"/>
        </w:rPr>
        <w:t xml:space="preserve"> Ibid.</w:t>
      </w:r>
    </w:p>
  </w:footnote>
  <w:footnote w:id="151">
    <w:p w14:paraId="6BA92E02" w14:textId="57589BD2" w:rsidR="005B1CB9" w:rsidRPr="00BC4FAB" w:rsidRDefault="005B1CB9" w:rsidP="00D71E0D">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i/>
          <w:color w:val="000000"/>
          <w:lang w:bidi="ar-SA"/>
        </w:rPr>
        <w:t>The Morning Call</w:t>
      </w:r>
      <w:r w:rsidRPr="00BC4FAB">
        <w:rPr>
          <w:rFonts w:asciiTheme="majorHAnsi" w:hAnsiTheme="majorHAnsi" w:cstheme="majorHAnsi"/>
          <w:color w:val="000000"/>
          <w:lang w:bidi="ar-SA"/>
        </w:rPr>
        <w:t>, San Francisco, September 6, 1893, 1.</w:t>
      </w:r>
    </w:p>
  </w:footnote>
  <w:footnote w:id="152">
    <w:p w14:paraId="26077997" w14:textId="3AE11ACC"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i/>
        </w:rPr>
        <w:t>The Hawaiian Holomua</w:t>
      </w:r>
      <w:r w:rsidRPr="00BC4FAB">
        <w:rPr>
          <w:rFonts w:asciiTheme="majorHAnsi" w:hAnsiTheme="majorHAnsi" w:cstheme="majorHAnsi"/>
        </w:rPr>
        <w:t>, January 20, 1894.</w:t>
      </w:r>
    </w:p>
  </w:footnote>
  <w:footnote w:id="153">
    <w:p w14:paraId="607F86AC" w14:textId="071402A5"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imes New Roman" w:hAnsi="Times New Roman"/>
        </w:rPr>
        <w:t xml:space="preserve">Adria L. Imada, “Transnational Hula as Colonial Culture,” </w:t>
      </w:r>
      <w:r w:rsidRPr="00BC4FAB">
        <w:rPr>
          <w:rFonts w:ascii="Times New Roman" w:hAnsi="Times New Roman"/>
          <w:i/>
        </w:rPr>
        <w:t>The Journal of Pacific</w:t>
      </w:r>
      <w:r w:rsidRPr="00BC4FAB">
        <w:rPr>
          <w:rFonts w:ascii="Times New Roman" w:hAnsi="Times New Roman"/>
          <w:i/>
        </w:rPr>
        <w:tab/>
        <w:t>History</w:t>
      </w:r>
      <w:r w:rsidRPr="00BC4FAB">
        <w:rPr>
          <w:rFonts w:ascii="Times New Roman" w:hAnsi="Times New Roman"/>
        </w:rPr>
        <w:t xml:space="preserve"> 46, no. 2 (September 2011), 149</w:t>
      </w:r>
      <w:r w:rsidRPr="00BC4FAB">
        <w:rPr>
          <w:rFonts w:asciiTheme="majorHAnsi" w:hAnsiTheme="majorHAnsi" w:cstheme="majorHAnsi"/>
        </w:rPr>
        <w:t>.</w:t>
      </w:r>
    </w:p>
  </w:footnote>
  <w:footnote w:id="154">
    <w:p w14:paraId="18054D23" w14:textId="32F3F4E2"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 borrowed the phrase “destination image” from Kye-Sung Chon, “Tourism Destination Image Modification Process: Marketing Implications,” </w:t>
      </w:r>
      <w:r w:rsidRPr="00BC4FAB">
        <w:rPr>
          <w:rFonts w:asciiTheme="majorHAnsi" w:hAnsiTheme="majorHAnsi" w:cstheme="majorHAnsi"/>
          <w:i/>
        </w:rPr>
        <w:t xml:space="preserve">Tourism Management </w:t>
      </w:r>
      <w:r w:rsidRPr="00BC4FAB">
        <w:rPr>
          <w:rFonts w:asciiTheme="majorHAnsi" w:hAnsiTheme="majorHAnsi" w:cstheme="majorHAnsi"/>
        </w:rPr>
        <w:t xml:space="preserve">12, no. 1 (March 1991), 68-72. </w:t>
      </w:r>
      <w:r w:rsidRPr="00BC4FAB">
        <w:rPr>
          <w:rStyle w:val="matchterm0"/>
          <w:rFonts w:asciiTheme="majorHAnsi" w:hAnsiTheme="majorHAnsi" w:cstheme="majorHAnsi"/>
          <w:bCs/>
        </w:rPr>
        <w:t xml:space="preserve">Jane C. Desmond convincingly argues that during the first three decades of the twentieth century, the tourism industry in Hawai’i successfully substituted the hula girl for the volcano as the destination image of Hawai’i. See Jane C. Desmond, </w:t>
      </w:r>
      <w:r w:rsidRPr="00BC4FAB">
        <w:rPr>
          <w:rStyle w:val="matchterm0"/>
          <w:rFonts w:asciiTheme="majorHAnsi" w:hAnsiTheme="majorHAnsi" w:cstheme="majorHAnsi"/>
          <w:bCs/>
          <w:i/>
        </w:rPr>
        <w:t>Staging Tourism: Bodies on Display from Waikiki to Sea World</w:t>
      </w:r>
      <w:r w:rsidRPr="00BC4FAB">
        <w:rPr>
          <w:rStyle w:val="matchterm0"/>
          <w:rFonts w:asciiTheme="majorHAnsi" w:hAnsiTheme="majorHAnsi" w:cstheme="majorHAnsi"/>
          <w:bCs/>
        </w:rPr>
        <w:t xml:space="preserve"> (Chicago and London: University of Chicago Press, 1999), 2-78.</w:t>
      </w:r>
    </w:p>
  </w:footnote>
  <w:footnote w:id="155">
    <w:p w14:paraId="57EF6FE0" w14:textId="64FD66DA" w:rsidR="005B1CB9" w:rsidRPr="00BC4FAB" w:rsidRDefault="005B1CB9" w:rsidP="00B16805">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Noenoe K. Silva, </w:t>
      </w:r>
      <w:r w:rsidRPr="00BC4FAB">
        <w:rPr>
          <w:rFonts w:asciiTheme="majorHAnsi" w:hAnsiTheme="majorHAnsi" w:cstheme="majorHAnsi"/>
          <w:i/>
        </w:rPr>
        <w:t>Aloha Betrayed: Native Hawaiian Resistance to American Colonialism</w:t>
      </w:r>
      <w:r w:rsidRPr="00BC4FAB">
        <w:rPr>
          <w:rFonts w:asciiTheme="majorHAnsi" w:hAnsiTheme="majorHAnsi" w:cstheme="majorHAnsi"/>
        </w:rPr>
        <w:t xml:space="preserve"> (Durham &amp; London: Duke University Press, 2004), 1.</w:t>
      </w:r>
    </w:p>
  </w:footnote>
  <w:footnote w:id="156">
    <w:p w14:paraId="656116BA" w14:textId="44A5ABAD"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See for example Jonathan Osorio, </w:t>
      </w:r>
      <w:r w:rsidRPr="00BC4FAB">
        <w:rPr>
          <w:rFonts w:asciiTheme="majorHAnsi" w:hAnsiTheme="majorHAnsi" w:cstheme="majorHAnsi"/>
          <w:i/>
        </w:rPr>
        <w:t>Dismembering Lāhui: A History of the Hawaiian Nation to 1887</w:t>
      </w:r>
      <w:r w:rsidRPr="00BC4FAB">
        <w:rPr>
          <w:rFonts w:asciiTheme="majorHAnsi" w:hAnsiTheme="majorHAnsi" w:cstheme="majorHAnsi"/>
        </w:rPr>
        <w:t>. Honolulu: U</w:t>
      </w:r>
      <w:r w:rsidR="00DC0D27">
        <w:rPr>
          <w:rFonts w:asciiTheme="majorHAnsi" w:hAnsiTheme="majorHAnsi" w:cstheme="majorHAnsi"/>
        </w:rPr>
        <w:t xml:space="preserve">niversity of </w:t>
      </w:r>
      <w:r w:rsidRPr="00BC4FAB">
        <w:rPr>
          <w:rFonts w:asciiTheme="majorHAnsi" w:hAnsiTheme="majorHAnsi" w:cstheme="majorHAnsi"/>
        </w:rPr>
        <w:t>Hawai’i Press, 2002; and Amy Ku’uleialoha Stillman, “Of the People Who Love the Land: Vernacular History in the Poetry of Modern Hawaiian Hula,” Amerasian Journal 28 3 (2002).</w:t>
      </w:r>
    </w:p>
  </w:footnote>
  <w:footnote w:id="157">
    <w:p w14:paraId="4FE7F2F9" w14:textId="77777777" w:rsidR="005B1CB9" w:rsidRPr="00BC4FAB" w:rsidRDefault="005B1CB9" w:rsidP="00B16805">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Silva, </w:t>
      </w:r>
      <w:r w:rsidRPr="00BC4FAB">
        <w:rPr>
          <w:rFonts w:asciiTheme="majorHAnsi" w:hAnsiTheme="majorHAnsi" w:cstheme="majorHAnsi"/>
          <w:i/>
        </w:rPr>
        <w:t>Aloha Betrayed</w:t>
      </w:r>
      <w:r w:rsidRPr="00BC4FAB">
        <w:rPr>
          <w:rFonts w:asciiTheme="majorHAnsi" w:hAnsiTheme="majorHAnsi" w:cstheme="majorHAnsi"/>
        </w:rPr>
        <w:t>, 111.</w:t>
      </w:r>
    </w:p>
  </w:footnote>
  <w:footnote w:id="158">
    <w:p w14:paraId="159EEF1F" w14:textId="26C20A23" w:rsidR="005B1CB9" w:rsidRPr="00BC4FAB" w:rsidRDefault="005B1CB9" w:rsidP="00B16805">
      <w:pPr>
        <w:pStyle w:val="FootnoteText"/>
        <w:ind w:firstLine="720"/>
      </w:pPr>
      <w:r w:rsidRPr="00BC4FAB">
        <w:rPr>
          <w:rStyle w:val="FootnoteReference"/>
          <w:sz w:val="24"/>
          <w:szCs w:val="24"/>
        </w:rPr>
        <w:footnoteRef/>
      </w:r>
      <w:r w:rsidRPr="00BC4FAB">
        <w:rPr>
          <w:sz w:val="24"/>
          <w:szCs w:val="24"/>
        </w:rPr>
        <w:t xml:space="preserve"> Ibid.</w:t>
      </w:r>
    </w:p>
  </w:footnote>
  <w:footnote w:id="159">
    <w:p w14:paraId="4CDF64BA" w14:textId="38B15FA3"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Nathanial B. Emerson, </w:t>
      </w:r>
      <w:r w:rsidRPr="00BC4FAB">
        <w:rPr>
          <w:rFonts w:asciiTheme="majorHAnsi" w:hAnsiTheme="majorHAnsi" w:cstheme="majorHAnsi"/>
          <w:i/>
        </w:rPr>
        <w:t>Pele and Hiiaka, A Myth from Hawai’i</w:t>
      </w:r>
      <w:r w:rsidRPr="00BC4FAB">
        <w:rPr>
          <w:rFonts w:asciiTheme="majorHAnsi" w:hAnsiTheme="majorHAnsi" w:cstheme="majorHAnsi"/>
        </w:rPr>
        <w:t xml:space="preserve"> (Hilo: Edith Kanaka‘ole Foundation, 1993), v.</w:t>
      </w:r>
    </w:p>
  </w:footnote>
  <w:footnote w:id="160">
    <w:p w14:paraId="6AA54F26" w14:textId="78EF7C40"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Taupōuri Tangarō, “Preface to the 2005 Edition,” Emerson, </w:t>
      </w:r>
      <w:r w:rsidRPr="00BC4FAB">
        <w:rPr>
          <w:rFonts w:asciiTheme="majorHAnsi" w:hAnsiTheme="majorHAnsi" w:cstheme="majorHAnsi"/>
          <w:i/>
        </w:rPr>
        <w:t>Pele and Hiiaka</w:t>
      </w:r>
      <w:r w:rsidRPr="00BC4FAB">
        <w:rPr>
          <w:rFonts w:asciiTheme="majorHAnsi" w:hAnsiTheme="majorHAnsi" w:cstheme="majorHAnsi"/>
        </w:rPr>
        <w:t>, i.</w:t>
      </w:r>
    </w:p>
  </w:footnote>
  <w:footnote w:id="161">
    <w:p w14:paraId="560674F2" w14:textId="47C49524"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Silva, </w:t>
      </w:r>
      <w:r w:rsidRPr="00BC4FAB">
        <w:rPr>
          <w:rFonts w:asciiTheme="majorHAnsi" w:hAnsiTheme="majorHAnsi" w:cstheme="majorHAnsi"/>
          <w:i/>
        </w:rPr>
        <w:t>Aloha Betrayed</w:t>
      </w:r>
      <w:r w:rsidRPr="00BC4FAB">
        <w:rPr>
          <w:rFonts w:asciiTheme="majorHAnsi" w:hAnsiTheme="majorHAnsi" w:cstheme="majorHAnsi"/>
        </w:rPr>
        <w:t>, 62.</w:t>
      </w:r>
    </w:p>
  </w:footnote>
  <w:footnote w:id="162">
    <w:p w14:paraId="50C14F3D" w14:textId="7BF70BE3"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Helen G. Chapin, “Newspapers of Hawai’i 1834 to 1903: From </w:t>
      </w:r>
      <w:r w:rsidRPr="00BC4FAB">
        <w:rPr>
          <w:rFonts w:asciiTheme="majorHAnsi" w:hAnsiTheme="majorHAnsi" w:cstheme="majorHAnsi"/>
          <w:i/>
        </w:rPr>
        <w:t>He Liona</w:t>
      </w:r>
      <w:r w:rsidRPr="00BC4FAB">
        <w:rPr>
          <w:rFonts w:asciiTheme="majorHAnsi" w:hAnsiTheme="majorHAnsi" w:cstheme="majorHAnsi"/>
        </w:rPr>
        <w:t xml:space="preserve"> to the Pacific Cable,” </w:t>
      </w:r>
      <w:r w:rsidRPr="00BC4FAB">
        <w:rPr>
          <w:rFonts w:asciiTheme="majorHAnsi" w:hAnsiTheme="majorHAnsi" w:cstheme="majorHAnsi"/>
          <w:i/>
        </w:rPr>
        <w:t>Hawaiian Journal of History</w:t>
      </w:r>
      <w:r w:rsidRPr="00BC4FAB">
        <w:rPr>
          <w:rFonts w:asciiTheme="majorHAnsi" w:hAnsiTheme="majorHAnsi" w:cstheme="majorHAnsi"/>
        </w:rPr>
        <w:t xml:space="preserve"> 18 (1984), 47-86.</w:t>
      </w:r>
    </w:p>
  </w:footnote>
  <w:footnote w:id="163">
    <w:p w14:paraId="489E1EBA" w14:textId="6132A632"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John Charlot, “Pele and Hi‘iaka: The Hawaiian-Language Newspaper Series,” </w:t>
      </w:r>
      <w:r w:rsidRPr="00BC4FAB">
        <w:rPr>
          <w:rFonts w:asciiTheme="majorHAnsi" w:hAnsiTheme="majorHAnsi" w:cstheme="majorHAnsi"/>
          <w:i/>
        </w:rPr>
        <w:t>Anthoropos</w:t>
      </w:r>
      <w:r w:rsidRPr="00BC4FAB">
        <w:rPr>
          <w:rFonts w:asciiTheme="majorHAnsi" w:hAnsiTheme="majorHAnsi" w:cstheme="majorHAnsi"/>
        </w:rPr>
        <w:t xml:space="preserve"> 93 (1998), 60. Charlot observes, “The Pele religion is intimately connected with the hula. The episode at the shore with Hõpoe is considered in some traditions to be the origin of that dance form.”</w:t>
      </w:r>
    </w:p>
  </w:footnote>
  <w:footnote w:id="164">
    <w:p w14:paraId="294712AF" w14:textId="439961E4"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color w:val="000000"/>
          <w:lang w:bidi="ar-SA"/>
        </w:rPr>
        <w:t xml:space="preserve"> Signed</w:t>
      </w:r>
      <w:r w:rsidRPr="00BC4FAB">
        <w:rPr>
          <w:rFonts w:asciiTheme="majorHAnsi" w:hAnsiTheme="majorHAnsi" w:cstheme="majorHAnsi"/>
          <w:i/>
          <w:color w:val="000000"/>
          <w:lang w:bidi="ar-SA"/>
        </w:rPr>
        <w:t xml:space="preserve"> </w:t>
      </w:r>
      <w:r w:rsidRPr="00BC4FAB">
        <w:rPr>
          <w:rFonts w:asciiTheme="majorHAnsi" w:hAnsiTheme="majorHAnsi" w:cstheme="majorHAnsi"/>
          <w:color w:val="000000"/>
        </w:rPr>
        <w:t xml:space="preserve">M.T. Donnell, Undertaker of Honolulu, </w:t>
      </w:r>
      <w:r w:rsidRPr="00BC4FAB">
        <w:rPr>
          <w:rFonts w:asciiTheme="majorHAnsi" w:hAnsiTheme="majorHAnsi" w:cstheme="majorHAnsi"/>
          <w:iCs/>
          <w:color w:val="000000"/>
        </w:rPr>
        <w:t>no date</w:t>
      </w:r>
      <w:r w:rsidRPr="00BC4FAB">
        <w:rPr>
          <w:rFonts w:asciiTheme="majorHAnsi" w:hAnsiTheme="majorHAnsi" w:cstheme="majorHAnsi"/>
          <w:i/>
          <w:color w:val="000000"/>
          <w:lang w:bidi="ar-SA"/>
        </w:rPr>
        <w:t xml:space="preserve">. </w:t>
      </w:r>
      <w:r w:rsidRPr="00BC4FAB">
        <w:rPr>
          <w:rFonts w:asciiTheme="majorHAnsi" w:hAnsiTheme="majorHAnsi" w:cstheme="majorHAnsi"/>
          <w:color w:val="000000"/>
          <w:lang w:bidi="ar-SA"/>
        </w:rPr>
        <w:t>From</w:t>
      </w:r>
      <w:r w:rsidRPr="00BC4FAB">
        <w:rPr>
          <w:rFonts w:asciiTheme="majorHAnsi" w:hAnsiTheme="majorHAnsi" w:cstheme="majorHAnsi"/>
          <w:i/>
          <w:color w:val="000000"/>
          <w:lang w:bidi="ar-SA"/>
        </w:rPr>
        <w:t xml:space="preserve"> The Volcano House Register, Volume 3, 1885-1891</w:t>
      </w:r>
      <w:r w:rsidRPr="00BC4FAB">
        <w:rPr>
          <w:rFonts w:asciiTheme="majorHAnsi" w:hAnsiTheme="majorHAnsi" w:cstheme="majorHAnsi"/>
          <w:color w:val="000000"/>
          <w:lang w:bidi="ar-SA"/>
        </w:rPr>
        <w:t xml:space="preserve">. I offer a special thanks to </w:t>
      </w:r>
      <w:r w:rsidRPr="00BC4FAB">
        <w:rPr>
          <w:rFonts w:asciiTheme="majorHAnsi" w:hAnsiTheme="majorHAnsi" w:cstheme="majorHAnsi"/>
          <w:color w:val="222222"/>
          <w:shd w:val="clear" w:color="auto" w:fill="FFFFFF"/>
        </w:rPr>
        <w:t>Tracy Laqua, Curator, Hawai'i Volcanoes</w:t>
      </w:r>
      <w:r w:rsidRPr="00BC4FAB">
        <w:rPr>
          <w:rStyle w:val="apple-converted-space"/>
          <w:rFonts w:asciiTheme="majorHAnsi" w:hAnsiTheme="majorHAnsi" w:cstheme="majorHAnsi"/>
          <w:color w:val="222222"/>
          <w:shd w:val="clear" w:color="auto" w:fill="FFFFFF"/>
        </w:rPr>
        <w:t> </w:t>
      </w:r>
      <w:r w:rsidRPr="00BC4FAB">
        <w:rPr>
          <w:rFonts w:asciiTheme="majorHAnsi" w:hAnsiTheme="majorHAnsi" w:cstheme="majorHAnsi"/>
          <w:color w:val="222222"/>
          <w:shd w:val="clear" w:color="auto" w:fill="FFFFFF"/>
        </w:rPr>
        <w:t>National Park, for giving me access to these files.</w:t>
      </w:r>
    </w:p>
  </w:footnote>
  <w:footnote w:id="165">
    <w:p w14:paraId="1EBA0C59" w14:textId="07518BE6" w:rsidR="005B1CB9" w:rsidRPr="00BC4FAB" w:rsidRDefault="005B1CB9" w:rsidP="008B5253">
      <w:pPr>
        <w:pStyle w:val="FootnoteText"/>
        <w:ind w:firstLine="720"/>
        <w:rPr>
          <w:sz w:val="24"/>
          <w:szCs w:val="24"/>
        </w:rPr>
      </w:pPr>
      <w:r w:rsidRPr="00BC4FAB">
        <w:rPr>
          <w:rStyle w:val="FootnoteReference"/>
          <w:sz w:val="24"/>
          <w:szCs w:val="24"/>
        </w:rPr>
        <w:footnoteRef/>
      </w:r>
      <w:r w:rsidRPr="00BC4FAB">
        <w:rPr>
          <w:sz w:val="24"/>
          <w:szCs w:val="24"/>
        </w:rPr>
        <w:t xml:space="preserve"> </w:t>
      </w:r>
      <w:r w:rsidRPr="00BC4FAB">
        <w:rPr>
          <w:i/>
          <w:sz w:val="24"/>
          <w:szCs w:val="24"/>
        </w:rPr>
        <w:t>Evening Bulletin</w:t>
      </w:r>
      <w:r w:rsidRPr="00BC4FAB">
        <w:rPr>
          <w:sz w:val="24"/>
          <w:szCs w:val="24"/>
        </w:rPr>
        <w:t>, June 15, 1902.</w:t>
      </w:r>
    </w:p>
  </w:footnote>
  <w:footnote w:id="166">
    <w:p w14:paraId="3B539679" w14:textId="1F685E14" w:rsidR="005B1CB9" w:rsidRPr="00DC0D27" w:rsidRDefault="005B1CB9" w:rsidP="008B5253">
      <w:pPr>
        <w:pStyle w:val="FootnoteText"/>
        <w:ind w:firstLine="720"/>
        <w:rPr>
          <w:sz w:val="24"/>
          <w:szCs w:val="24"/>
        </w:rPr>
      </w:pPr>
      <w:r w:rsidRPr="00DC0D27">
        <w:rPr>
          <w:rStyle w:val="FootnoteReference"/>
          <w:sz w:val="24"/>
          <w:szCs w:val="24"/>
        </w:rPr>
        <w:footnoteRef/>
      </w:r>
      <w:r w:rsidRPr="00DC0D27">
        <w:rPr>
          <w:sz w:val="24"/>
          <w:szCs w:val="24"/>
        </w:rPr>
        <w:t xml:space="preserve"> “Pele’s Grandson,” </w:t>
      </w:r>
      <w:r w:rsidR="00DC0D27" w:rsidRPr="00DC0D27">
        <w:rPr>
          <w:sz w:val="24"/>
          <w:szCs w:val="24"/>
        </w:rPr>
        <w:t>accessed Nov. 1, 2016.</w:t>
      </w:r>
      <w:r w:rsidR="00DC0D27">
        <w:rPr>
          <w:sz w:val="24"/>
          <w:szCs w:val="24"/>
        </w:rPr>
        <w:t xml:space="preserve"> </w:t>
      </w:r>
      <w:hyperlink r:id="rId6" w:history="1">
        <w:r w:rsidR="00DC0D27" w:rsidRPr="00DC0D27">
          <w:rPr>
            <w:rStyle w:val="Hyperlink"/>
            <w:color w:val="auto"/>
            <w:sz w:val="24"/>
            <w:szCs w:val="24"/>
            <w:u w:val="none"/>
          </w:rPr>
          <w:t>http://imagesofoldhawaii.com</w:t>
        </w:r>
      </w:hyperlink>
      <w:r w:rsidRPr="00DC0D27">
        <w:rPr>
          <w:sz w:val="24"/>
          <w:szCs w:val="24"/>
        </w:rPr>
        <w:t>/</w:t>
      </w:r>
      <w:r w:rsidR="00DC0D27" w:rsidRPr="00DC0D27">
        <w:rPr>
          <w:sz w:val="24"/>
          <w:szCs w:val="24"/>
        </w:rPr>
        <w:t xml:space="preserve"> </w:t>
      </w:r>
      <w:r w:rsidRPr="00DC0D27">
        <w:rPr>
          <w:sz w:val="24"/>
          <w:szCs w:val="24"/>
        </w:rPr>
        <w:t>alexander_p_lancaster/</w:t>
      </w:r>
    </w:p>
  </w:footnote>
  <w:footnote w:id="167">
    <w:p w14:paraId="497CCA0D" w14:textId="6154C78D" w:rsidR="005B1CB9" w:rsidRPr="00BC4FAB" w:rsidRDefault="005B1CB9" w:rsidP="00812073">
      <w:pPr>
        <w:pStyle w:val="FootnoteText"/>
        <w:ind w:firstLine="720"/>
      </w:pPr>
      <w:r w:rsidRPr="00BC4FAB">
        <w:rPr>
          <w:rStyle w:val="FootnoteReference"/>
        </w:rPr>
        <w:footnoteRef/>
      </w:r>
      <w:r w:rsidRPr="00BC4FAB">
        <w:t xml:space="preserve"> </w:t>
      </w:r>
      <w:r w:rsidRPr="00BC4FAB">
        <w:rPr>
          <w:sz w:val="24"/>
          <w:szCs w:val="24"/>
        </w:rPr>
        <w:t>Ibid.</w:t>
      </w:r>
    </w:p>
  </w:footnote>
  <w:footnote w:id="168">
    <w:p w14:paraId="13FE3FC5" w14:textId="7FBE3FCA"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A large number of the more notable letters are presented in Bevins, </w:t>
      </w:r>
      <w:r w:rsidRPr="00BC4FAB">
        <w:rPr>
          <w:rFonts w:asciiTheme="majorHAnsi" w:hAnsiTheme="majorHAnsi" w:cstheme="majorHAnsi"/>
          <w:i/>
        </w:rPr>
        <w:t>On the Rim</w:t>
      </w:r>
      <w:r w:rsidRPr="00BC4FAB">
        <w:rPr>
          <w:rFonts w:asciiTheme="majorHAnsi" w:hAnsiTheme="majorHAnsi" w:cstheme="majorHAnsi"/>
        </w:rPr>
        <w:t>., see note 42 for full citation.</w:t>
      </w:r>
    </w:p>
  </w:footnote>
  <w:footnote w:id="169">
    <w:p w14:paraId="26C6DA9E" w14:textId="6399B1BD" w:rsidR="005B1CB9" w:rsidRPr="00BC4FAB" w:rsidRDefault="005B1CB9" w:rsidP="007A5905">
      <w:pPr>
        <w:spacing w:line="240" w:lineRule="auto"/>
        <w:rPr>
          <w:rFonts w:asciiTheme="majorHAnsi" w:hAnsiTheme="majorHAnsi" w:cstheme="majorHAnsi"/>
          <w:lang w:bidi="ar-SA"/>
        </w:rPr>
      </w:pPr>
      <w:r w:rsidRPr="00BC4FAB">
        <w:rPr>
          <w:rStyle w:val="FootnoteReference"/>
          <w:rFonts w:asciiTheme="majorHAnsi" w:hAnsiTheme="majorHAnsi" w:cstheme="majorHAnsi"/>
        </w:rPr>
        <w:footnoteRef/>
      </w:r>
      <w:r w:rsidRPr="00BC4FAB">
        <w:rPr>
          <w:rFonts w:asciiTheme="majorHAnsi" w:hAnsiTheme="majorHAnsi" w:cstheme="majorHAnsi"/>
          <w:color w:val="222222"/>
          <w:shd w:val="clear" w:color="auto" w:fill="FFFFFF"/>
        </w:rPr>
        <w:t xml:space="preserve"> </w:t>
      </w:r>
      <w:r w:rsidRPr="00BC4FAB">
        <w:rPr>
          <w:rFonts w:asciiTheme="majorHAnsi" w:hAnsiTheme="majorHAnsi" w:cstheme="majorHAnsi"/>
          <w:lang w:bidi="ar-SA"/>
        </w:rPr>
        <w:t>The Volcano House Register, Volume 3, 1885-1891.</w:t>
      </w:r>
    </w:p>
  </w:footnote>
  <w:footnote w:id="170">
    <w:p w14:paraId="476A4E02" w14:textId="77777777"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H. Glanville Barnacle and William Yates of Cheshire, England, December 20, 1874. </w:t>
      </w:r>
      <w:r w:rsidRPr="00BC4FAB">
        <w:rPr>
          <w:rFonts w:asciiTheme="majorHAnsi" w:hAnsiTheme="majorHAnsi" w:cstheme="majorHAnsi"/>
          <w:lang w:bidi="ar-SA"/>
        </w:rPr>
        <w:t>The Volcano House Register, Volume 3, 1885-1891.</w:t>
      </w:r>
    </w:p>
  </w:footnote>
  <w:footnote w:id="171">
    <w:p w14:paraId="23CB4AA4" w14:textId="61B95B62"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Edward Said, </w:t>
      </w:r>
      <w:r w:rsidRPr="00BC4FAB">
        <w:rPr>
          <w:rFonts w:asciiTheme="majorHAnsi" w:hAnsiTheme="majorHAnsi" w:cstheme="majorHAnsi"/>
          <w:i/>
        </w:rPr>
        <w:t>Culture and Imperialism</w:t>
      </w:r>
      <w:r w:rsidRPr="00BC4FAB">
        <w:rPr>
          <w:rFonts w:asciiTheme="majorHAnsi" w:hAnsiTheme="majorHAnsi" w:cstheme="majorHAnsi"/>
        </w:rPr>
        <w:t xml:space="preserve"> (New York: Vintage, 1980), 7.</w:t>
      </w:r>
    </w:p>
  </w:footnote>
  <w:footnote w:id="172">
    <w:p w14:paraId="69D827EC" w14:textId="637FB74B"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i/>
        </w:rPr>
        <w:t>Soft Primitivism</w:t>
      </w:r>
      <w:r w:rsidRPr="00BC4FAB">
        <w:rPr>
          <w:rFonts w:asciiTheme="majorHAnsi" w:hAnsiTheme="majorHAnsi" w:cstheme="majorHAnsi"/>
        </w:rPr>
        <w:t xml:space="preserve"> is a rhetorical construction referring to the “positive” aspects of the “noble savage.” For a discussion on the origins of Primitivism and the controversy surrounding “primitive art” as a category, see Fred Meyers, “’Primitivism,’ Anthropology and the Category of ‘Primitive Art’,” in </w:t>
      </w:r>
      <w:r w:rsidRPr="00BC4FAB">
        <w:rPr>
          <w:rFonts w:asciiTheme="majorHAnsi" w:hAnsiTheme="majorHAnsi" w:cstheme="majorHAnsi"/>
          <w:i/>
        </w:rPr>
        <w:t>Handbook of Material Culture</w:t>
      </w:r>
      <w:r w:rsidRPr="00BC4FAB">
        <w:rPr>
          <w:rFonts w:asciiTheme="majorHAnsi" w:hAnsiTheme="majorHAnsi" w:cstheme="majorHAnsi"/>
        </w:rPr>
        <w:t>. Chris Tilley, et al, eds. (London; Thousand Oaks, CA: SAGE, 2006), 268-269.</w:t>
      </w:r>
    </w:p>
  </w:footnote>
  <w:footnote w:id="173">
    <w:p w14:paraId="71827753" w14:textId="4F7CB3D8" w:rsidR="005B1CB9" w:rsidRPr="00BC4FAB" w:rsidRDefault="005B1CB9" w:rsidP="007B5A37">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00DC0D27">
        <w:rPr>
          <w:rFonts w:asciiTheme="majorHAnsi" w:hAnsiTheme="majorHAnsi" w:cstheme="majorHAnsi"/>
        </w:rPr>
        <w:t xml:space="preserve"> “The Kilauea Visitor Center,” a</w:t>
      </w:r>
      <w:r w:rsidRPr="00BC4FAB">
        <w:rPr>
          <w:rFonts w:asciiTheme="majorHAnsi" w:hAnsiTheme="majorHAnsi" w:cstheme="majorHAnsi"/>
        </w:rPr>
        <w:t xml:space="preserve">ccessed </w:t>
      </w:r>
      <w:r w:rsidR="005617CE">
        <w:rPr>
          <w:rFonts w:asciiTheme="majorHAnsi" w:hAnsiTheme="majorHAnsi" w:cstheme="majorHAnsi"/>
        </w:rPr>
        <w:t xml:space="preserve">April 27, </w:t>
      </w:r>
      <w:r w:rsidRPr="00BC4FAB">
        <w:rPr>
          <w:rFonts w:asciiTheme="majorHAnsi" w:hAnsiTheme="majorHAnsi" w:cstheme="majorHAnsi"/>
        </w:rPr>
        <w:t>2012. http://www.nps.gov/havo/ planyourvisit/kvc.htm</w:t>
      </w:r>
    </w:p>
  </w:footnote>
  <w:footnote w:id="174">
    <w:p w14:paraId="6F80AE41" w14:textId="2D4B45D9" w:rsidR="005B1CB9" w:rsidRPr="00BC4FAB" w:rsidRDefault="005B1CB9" w:rsidP="007B5A37">
      <w:pPr>
        <w:spacing w:line="240" w:lineRule="auto"/>
        <w:ind w:firstLine="720"/>
      </w:pPr>
      <w:r w:rsidRPr="00BC4FAB">
        <w:rPr>
          <w:rStyle w:val="FootnoteReference"/>
          <w:rFonts w:asciiTheme="majorHAnsi" w:hAnsiTheme="majorHAnsi" w:cstheme="majorHAnsi"/>
        </w:rPr>
        <w:footnoteRef/>
      </w:r>
      <w:r w:rsidRPr="00BC4FAB">
        <w:rPr>
          <w:rFonts w:asciiTheme="majorHAnsi" w:hAnsiTheme="majorHAnsi" w:cstheme="majorHAnsi"/>
        </w:rPr>
        <w:t xml:space="preserve"> See, for example, “Group Starts Continuous Protest of Telescope on Manu</w:t>
      </w:r>
      <w:r w:rsidR="005617CE">
        <w:rPr>
          <w:rFonts w:asciiTheme="majorHAnsi" w:hAnsiTheme="majorHAnsi" w:cstheme="majorHAnsi"/>
        </w:rPr>
        <w:t xml:space="preserve">a Kea,” from KHON 2 TV website, accessed May 10, 2015, </w:t>
      </w:r>
      <w:r w:rsidRPr="00BC4FAB">
        <w:rPr>
          <w:rFonts w:asciiTheme="majorHAnsi" w:hAnsiTheme="majorHAnsi" w:cstheme="majorHAnsi"/>
        </w:rPr>
        <w:t xml:space="preserve">http://khon2.com/2015/03/ </w:t>
      </w:r>
      <w:hyperlink r:id="rId7" w:history="1">
        <w:r w:rsidRPr="00BC4FAB">
          <w:rPr>
            <w:rStyle w:val="Hyperlink"/>
            <w:rFonts w:asciiTheme="majorHAnsi" w:hAnsiTheme="majorHAnsi" w:cstheme="majorHAnsi"/>
            <w:color w:val="auto"/>
            <w:u w:val="none"/>
          </w:rPr>
          <w:t>26/groups-start-continuous-protest-of-telescope-on-mauna-kea/</w:t>
        </w:r>
      </w:hyperlink>
    </w:p>
  </w:footnote>
  <w:footnote w:id="175">
    <w:p w14:paraId="015443BD" w14:textId="593FA43D"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One exception to this rule would be Stephen Good’s treatment of Ufer in Laura M. Bickerstaff, </w:t>
      </w:r>
      <w:r w:rsidRPr="00BC4FAB">
        <w:rPr>
          <w:rStyle w:val="matchterm0"/>
          <w:rFonts w:ascii="Times New Roman" w:hAnsi="Times New Roman"/>
          <w:bCs/>
          <w:i/>
        </w:rPr>
        <w:t>Pioneer</w:t>
      </w:r>
      <w:r w:rsidRPr="00BC4FAB">
        <w:rPr>
          <w:rFonts w:ascii="Times New Roman" w:hAnsi="Times New Roman"/>
          <w:bCs/>
          <w:i/>
        </w:rPr>
        <w:t xml:space="preserve"> A</w:t>
      </w:r>
      <w:r w:rsidRPr="00BC4FAB">
        <w:rPr>
          <w:rStyle w:val="matchterm0"/>
          <w:rFonts w:ascii="Times New Roman" w:hAnsi="Times New Roman"/>
          <w:bCs/>
          <w:i/>
        </w:rPr>
        <w:t>rtists</w:t>
      </w:r>
      <w:r w:rsidRPr="00BC4FAB">
        <w:rPr>
          <w:rFonts w:ascii="Times New Roman" w:hAnsi="Times New Roman"/>
          <w:bCs/>
          <w:i/>
        </w:rPr>
        <w:t xml:space="preserve"> of </w:t>
      </w:r>
      <w:r w:rsidRPr="00BC4FAB">
        <w:rPr>
          <w:rStyle w:val="matchterm0"/>
          <w:rFonts w:ascii="Times New Roman" w:hAnsi="Times New Roman"/>
          <w:bCs/>
          <w:i/>
        </w:rPr>
        <w:t>Taos</w:t>
      </w:r>
      <w:r w:rsidRPr="00BC4FAB">
        <w:rPr>
          <w:rFonts w:ascii="Times New Roman" w:hAnsi="Times New Roman"/>
          <w:bCs/>
        </w:rPr>
        <w:t xml:space="preserve"> (</w:t>
      </w:r>
      <w:r w:rsidRPr="00BC4FAB">
        <w:rPr>
          <w:rFonts w:ascii="Times New Roman" w:hAnsi="Times New Roman"/>
        </w:rPr>
        <w:t>Denver: Old West Publishing Company, 1983), 113-173.</w:t>
      </w:r>
    </w:p>
  </w:footnote>
  <w:footnote w:id="176">
    <w:p w14:paraId="4B9CCEFC" w14:textId="55491D5D"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Dean </w:t>
      </w:r>
      <w:r w:rsidRPr="00BC4FAB">
        <w:rPr>
          <w:rFonts w:ascii="Times New Roman" w:hAnsi="Times New Roman"/>
          <w:bCs/>
        </w:rPr>
        <w:t xml:space="preserve">Porter, et al., </w:t>
      </w:r>
      <w:r w:rsidRPr="00BC4FAB">
        <w:rPr>
          <w:rFonts w:ascii="Times New Roman" w:hAnsi="Times New Roman"/>
          <w:bCs/>
          <w:i/>
        </w:rPr>
        <w:t>Taos Artists and Their Patrons, 1898-1950</w:t>
      </w:r>
      <w:r w:rsidRPr="00BC4FAB">
        <w:rPr>
          <w:rFonts w:ascii="Times New Roman" w:hAnsi="Times New Roman"/>
          <w:bCs/>
        </w:rPr>
        <w:t xml:space="preserve"> (</w:t>
      </w:r>
      <w:r w:rsidRPr="00BC4FAB">
        <w:rPr>
          <w:rFonts w:ascii="Times New Roman" w:hAnsi="Times New Roman"/>
        </w:rPr>
        <w:t>Albuquerque, NM: University of New Mexico Press, 1999), 86.</w:t>
      </w:r>
    </w:p>
  </w:footnote>
  <w:footnote w:id="177">
    <w:p w14:paraId="554F4F88" w14:textId="5B20C18A"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Bradford Collins, “The Dialectic of Desire, the Narcissism of Authorship: A Male Interpretation of the Psychological Origins of Manet’s </w:t>
      </w:r>
      <w:r w:rsidRPr="00BC4FAB">
        <w:rPr>
          <w:rFonts w:ascii="Times New Roman" w:hAnsi="Times New Roman"/>
          <w:i/>
        </w:rPr>
        <w:t>Bar</w:t>
      </w:r>
      <w:r w:rsidRPr="00BC4FAB">
        <w:rPr>
          <w:rFonts w:ascii="Times New Roman" w:hAnsi="Times New Roman"/>
        </w:rPr>
        <w:t xml:space="preserve">,” In Bradford Collins, ed., </w:t>
      </w:r>
      <w:r w:rsidRPr="00BC4FAB">
        <w:rPr>
          <w:rFonts w:ascii="Times New Roman" w:hAnsi="Times New Roman"/>
          <w:i/>
        </w:rPr>
        <w:t>12 Views of Manet’s Bar</w:t>
      </w:r>
      <w:r w:rsidRPr="00BC4FAB">
        <w:rPr>
          <w:rFonts w:ascii="Times New Roman" w:hAnsi="Times New Roman"/>
        </w:rPr>
        <w:t xml:space="preserve"> (Princeton, New Jersey: Princeton University Press, 1995), 121. Collins posits that in Manet’s </w:t>
      </w:r>
      <w:r w:rsidRPr="00BC4FAB">
        <w:rPr>
          <w:rFonts w:ascii="Times New Roman" w:hAnsi="Times New Roman"/>
          <w:i/>
        </w:rPr>
        <w:t>Bar at the Folies-Bergère</w:t>
      </w:r>
      <w:r w:rsidRPr="00BC4FAB">
        <w:rPr>
          <w:rFonts w:ascii="Times New Roman" w:hAnsi="Times New Roman"/>
        </w:rPr>
        <w:t>, a painting that is inherently about the gaze, “the precise theme of Manet’s work is an unexplained disappointment of carefully cultivated male expectations.”</w:t>
      </w:r>
    </w:p>
  </w:footnote>
  <w:footnote w:id="178">
    <w:p w14:paraId="60B61F36" w14:textId="74EF1428" w:rsidR="005B1CB9" w:rsidRPr="00BC4FAB" w:rsidRDefault="005B1CB9" w:rsidP="009E383F">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Leah Dilworth, </w:t>
      </w:r>
      <w:r w:rsidRPr="00BC4FAB">
        <w:rPr>
          <w:rFonts w:ascii="Times New Roman" w:hAnsi="Times New Roman"/>
          <w:i/>
        </w:rPr>
        <w:t>Imagining Indians in the Southwest: Persistent Visions of a Primitive Past</w:t>
      </w:r>
      <w:r w:rsidRPr="00BC4FAB">
        <w:rPr>
          <w:rFonts w:ascii="Times New Roman" w:hAnsi="Times New Roman"/>
        </w:rPr>
        <w:t xml:space="preserve"> (Washington and London: Smithsonian Institution Press, 1996), 6.</w:t>
      </w:r>
    </w:p>
  </w:footnote>
  <w:footnote w:id="179">
    <w:p w14:paraId="11FF8293" w14:textId="21945332"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Jonathan E. Schroeder and Janet L. Borgerson, “Packaging Paradise: Organizing Representations of Hawaii,”</w:t>
      </w:r>
      <w:r w:rsidRPr="00BC4FAB">
        <w:rPr>
          <w:rFonts w:ascii="Times New Roman" w:hAnsi="Times New Roman"/>
          <w:i/>
        </w:rPr>
        <w:t xml:space="preserve"> </w:t>
      </w:r>
      <w:r w:rsidRPr="00BC4FAB">
        <w:rPr>
          <w:rFonts w:ascii="Times New Roman" w:hAnsi="Times New Roman"/>
        </w:rPr>
        <w:t>from A. Prasad, ed.</w:t>
      </w:r>
      <w:r w:rsidRPr="00BC4FAB">
        <w:rPr>
          <w:rFonts w:ascii="Times New Roman" w:hAnsi="Times New Roman"/>
          <w:i/>
        </w:rPr>
        <w:t xml:space="preserve">, Against The Grain: Advances in Postcolonial Organization Studies. </w:t>
      </w:r>
      <w:r w:rsidRPr="00BC4FAB">
        <w:rPr>
          <w:rFonts w:ascii="Times New Roman" w:hAnsi="Times New Roman"/>
        </w:rPr>
        <w:t>(Liber &amp; Copenhagen Busi</w:t>
      </w:r>
      <w:r w:rsidR="005617CE">
        <w:rPr>
          <w:rFonts w:ascii="Times New Roman" w:hAnsi="Times New Roman"/>
        </w:rPr>
        <w:t xml:space="preserve">ness School Press, 2009), 1-35, accessed April 13, 2009, </w:t>
      </w:r>
      <w:hyperlink r:id="rId8" w:history="1">
        <w:r w:rsidRPr="00BC4FAB">
          <w:rPr>
            <w:rStyle w:val="Hyperlink"/>
            <w:rFonts w:ascii="Times New Roman" w:hAnsi="Times New Roman"/>
            <w:color w:val="auto"/>
            <w:u w:val="none"/>
          </w:rPr>
          <w:t>http://papers.ssrn.com</w:t>
        </w:r>
      </w:hyperlink>
      <w:r w:rsidRPr="00BC4FAB">
        <w:rPr>
          <w:rFonts w:ascii="Times New Roman" w:hAnsi="Times New Roman"/>
        </w:rPr>
        <w:t xml:space="preserve">/sol3/papers.cfm? abstract </w:t>
      </w:r>
      <w:hyperlink r:id="rId9" w:history="1">
        <w:r w:rsidRPr="00BC4FAB">
          <w:rPr>
            <w:rStyle w:val="Hyperlink"/>
            <w:rFonts w:ascii="Times New Roman" w:hAnsi="Times New Roman"/>
            <w:color w:val="auto"/>
            <w:u w:val="none"/>
          </w:rPr>
          <w:t>http://papers.ssrn.com/sol3/papers.cfm?abstract_id=1312015</w:t>
        </w:r>
      </w:hyperlink>
      <w:r w:rsidRPr="00BC4FAB">
        <w:rPr>
          <w:rFonts w:ascii="Times New Roman" w:hAnsi="Times New Roman"/>
        </w:rPr>
        <w:t>.</w:t>
      </w:r>
    </w:p>
  </w:footnote>
  <w:footnote w:id="180">
    <w:p w14:paraId="6F1EBF71" w14:textId="25862E11" w:rsidR="005B1CB9" w:rsidRPr="00BC4FAB" w:rsidRDefault="005B1CB9" w:rsidP="009B26F7">
      <w:pPr>
        <w:pStyle w:val="FootnoteText"/>
        <w:ind w:firstLine="720"/>
        <w:rPr>
          <w:rFonts w:asciiTheme="minorHAnsi" w:hAnsiTheme="minorHAnsi" w:cstheme="minorHAnsi"/>
          <w:szCs w:val="20"/>
        </w:rPr>
      </w:pPr>
      <w:r w:rsidRPr="00BC4FAB">
        <w:rPr>
          <w:rStyle w:val="FootnoteReference"/>
          <w:rFonts w:asciiTheme="minorHAnsi" w:hAnsiTheme="minorHAnsi" w:cstheme="minorHAnsi"/>
          <w:sz w:val="24"/>
          <w:szCs w:val="24"/>
        </w:rPr>
        <w:footnoteRef/>
      </w:r>
      <w:r w:rsidRPr="00BC4FAB">
        <w:rPr>
          <w:rFonts w:asciiTheme="minorHAnsi" w:hAnsiTheme="minorHAnsi" w:cstheme="minorHAnsi"/>
          <w:sz w:val="24"/>
          <w:szCs w:val="24"/>
        </w:rPr>
        <w:t xml:space="preserve">  Caroline J. Fernald’s ongoing doctoral research has gone to great lengths to identify and catalog much of the Couse collection.</w:t>
      </w:r>
    </w:p>
  </w:footnote>
  <w:footnote w:id="181">
    <w:p w14:paraId="02B59AAD" w14:textId="77777777"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Dilworth, </w:t>
      </w:r>
      <w:r w:rsidRPr="00BC4FAB">
        <w:rPr>
          <w:rFonts w:ascii="Times New Roman" w:hAnsi="Times New Roman"/>
          <w:i/>
        </w:rPr>
        <w:t>Imagining Indians</w:t>
      </w:r>
      <w:r w:rsidRPr="00BC4FAB">
        <w:rPr>
          <w:rFonts w:ascii="Times New Roman" w:hAnsi="Times New Roman"/>
        </w:rPr>
        <w:t>, 33.</w:t>
      </w:r>
    </w:p>
  </w:footnote>
  <w:footnote w:id="182">
    <w:p w14:paraId="4C47B59C" w14:textId="40B33BDF"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Steve Glischinski, </w:t>
      </w:r>
      <w:r w:rsidRPr="00BC4FAB">
        <w:rPr>
          <w:rFonts w:ascii="Times New Roman" w:hAnsi="Times New Roman"/>
          <w:i/>
        </w:rPr>
        <w:t>Santa Fe Railroad</w:t>
      </w:r>
      <w:r w:rsidRPr="00BC4FAB">
        <w:rPr>
          <w:rFonts w:ascii="Times New Roman" w:hAnsi="Times New Roman"/>
        </w:rPr>
        <w:t xml:space="preserve"> (Osceola, WI: Motor Books International, 1997), 13. Because of difficult terrain, the Santa Fe Railroad originally bypassed Santa Fe. Instead, the company delivered passengers by jitney to a sour line in Lamy, New Mexico, that connected to the main Santa Fe line.</w:t>
      </w:r>
    </w:p>
  </w:footnote>
  <w:footnote w:id="183">
    <w:p w14:paraId="760F112A" w14:textId="5A864818"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Dilworth, </w:t>
      </w:r>
      <w:r w:rsidRPr="00BC4FAB">
        <w:rPr>
          <w:rFonts w:ascii="Times New Roman" w:hAnsi="Times New Roman"/>
          <w:i/>
        </w:rPr>
        <w:t>Imagining Indians</w:t>
      </w:r>
      <w:r w:rsidRPr="00BC4FAB">
        <w:rPr>
          <w:rFonts w:ascii="Times New Roman" w:hAnsi="Times New Roman"/>
        </w:rPr>
        <w:t>, 21</w:t>
      </w:r>
    </w:p>
  </w:footnote>
  <w:footnote w:id="184">
    <w:p w14:paraId="0318E7A2" w14:textId="605E7C7D"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Dilworth, </w:t>
      </w:r>
      <w:r w:rsidRPr="00BC4FAB">
        <w:rPr>
          <w:rFonts w:ascii="Times New Roman" w:hAnsi="Times New Roman"/>
          <w:i/>
        </w:rPr>
        <w:t>Imagining Indians</w:t>
      </w:r>
      <w:r w:rsidR="00DC0D27">
        <w:rPr>
          <w:rFonts w:ascii="Times New Roman" w:hAnsi="Times New Roman"/>
        </w:rPr>
        <w:t>, i</w:t>
      </w:r>
      <w:r w:rsidRPr="00BC4FAB">
        <w:rPr>
          <w:rFonts w:ascii="Times New Roman" w:hAnsi="Times New Roman"/>
        </w:rPr>
        <w:t>bid and see Chapter 1, “Representing The Hopi Snake Dance,” 21-77, for a complete discussion of this phenomenon.</w:t>
      </w:r>
    </w:p>
  </w:footnote>
  <w:footnote w:id="185">
    <w:p w14:paraId="1EB6D973" w14:textId="0A03C19E"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Ibid, 68.</w:t>
      </w:r>
    </w:p>
  </w:footnote>
  <w:footnote w:id="186">
    <w:p w14:paraId="6DD60E00" w14:textId="17E3C0C2"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w:t>
      </w:r>
      <w:r w:rsidRPr="00BC4FAB">
        <w:rPr>
          <w:rFonts w:ascii="Times New Roman" w:hAnsi="Times New Roman"/>
          <w:i/>
          <w:iCs/>
        </w:rPr>
        <w:t>Exhibition of Recent Paintings by Walter Ufer</w:t>
      </w:r>
      <w:r w:rsidRPr="00BC4FAB">
        <w:rPr>
          <w:rFonts w:ascii="Times New Roman" w:hAnsi="Times New Roman"/>
        </w:rPr>
        <w:t xml:space="preserve"> (New York: Macbe</w:t>
      </w:r>
      <w:r w:rsidR="00DC0D27">
        <w:rPr>
          <w:rFonts w:ascii="Times New Roman" w:hAnsi="Times New Roman"/>
        </w:rPr>
        <w:t>th Gallery, 1928), n</w:t>
      </w:r>
      <w:r w:rsidRPr="00BC4FAB">
        <w:rPr>
          <w:rFonts w:ascii="Times New Roman" w:hAnsi="Times New Roman"/>
        </w:rPr>
        <w:t>.</w:t>
      </w:r>
      <w:r w:rsidR="00DC0D27">
        <w:rPr>
          <w:rFonts w:ascii="Times New Roman" w:hAnsi="Times New Roman"/>
        </w:rPr>
        <w:t>p.</w:t>
      </w:r>
    </w:p>
  </w:footnote>
  <w:footnote w:id="187">
    <w:p w14:paraId="12A7EC7D" w14:textId="3BFED840"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Quoted in Dean </w:t>
      </w:r>
      <w:r w:rsidRPr="00BC4FAB">
        <w:rPr>
          <w:rFonts w:ascii="Times New Roman" w:hAnsi="Times New Roman"/>
          <w:bCs/>
        </w:rPr>
        <w:t xml:space="preserve">Porter, </w:t>
      </w:r>
      <w:r w:rsidRPr="00BC4FAB">
        <w:rPr>
          <w:rFonts w:ascii="Times New Roman" w:hAnsi="Times New Roman"/>
          <w:bCs/>
          <w:i/>
        </w:rPr>
        <w:t xml:space="preserve">Taos Artists and Their Patrons, </w:t>
      </w:r>
      <w:r w:rsidRPr="00BC4FAB">
        <w:rPr>
          <w:rFonts w:ascii="Times New Roman" w:hAnsi="Times New Roman"/>
        </w:rPr>
        <w:t>91.</w:t>
      </w:r>
    </w:p>
  </w:footnote>
  <w:footnote w:id="188">
    <w:p w14:paraId="4791926F" w14:textId="2E830BCA" w:rsidR="005B1CB9" w:rsidRPr="00BC4FAB" w:rsidRDefault="005B1CB9" w:rsidP="003941EB">
      <w:pPr>
        <w:pStyle w:val="NoSpacing"/>
        <w:ind w:firstLine="720"/>
        <w:rPr>
          <w:rFonts w:asciiTheme="majorHAnsi" w:hAnsiTheme="majorHAnsi" w:cstheme="majorHAnsi"/>
          <w:color w:val="222222"/>
          <w:szCs w:val="24"/>
        </w:rPr>
      </w:pPr>
      <w:r w:rsidRPr="00BC4FAB">
        <w:rPr>
          <w:rStyle w:val="FootnoteReference"/>
          <w:rFonts w:asciiTheme="majorHAnsi" w:hAnsiTheme="majorHAnsi" w:cstheme="majorHAnsi"/>
          <w:szCs w:val="24"/>
        </w:rPr>
        <w:footnoteRef/>
      </w:r>
      <w:r w:rsidRPr="00BC4FAB">
        <w:t xml:space="preserve"> </w:t>
      </w:r>
      <w:r w:rsidRPr="00BC4FAB">
        <w:rPr>
          <w:color w:val="222222"/>
        </w:rPr>
        <w:t>Elsie Clews Parsons and Ralph L. Beals, “</w:t>
      </w:r>
      <w:r w:rsidRPr="00BC4FAB">
        <w:t xml:space="preserve">The Sacred Clowns of the Pueblo and Mayo-Yaqui Indians,” </w:t>
      </w:r>
      <w:r w:rsidRPr="00BC4FAB">
        <w:rPr>
          <w:rStyle w:val="HTMLCite"/>
          <w:rFonts w:asciiTheme="majorHAnsi" w:hAnsiTheme="majorHAnsi" w:cstheme="majorHAnsi"/>
          <w:color w:val="222222"/>
          <w:szCs w:val="24"/>
        </w:rPr>
        <w:t>American Anthropologist</w:t>
      </w:r>
      <w:r w:rsidRPr="00BC4FAB">
        <w:rPr>
          <w:rStyle w:val="HTMLCite"/>
          <w:rFonts w:asciiTheme="majorHAnsi" w:hAnsiTheme="majorHAnsi" w:cstheme="majorHAnsi"/>
          <w:i w:val="0"/>
          <w:color w:val="222222"/>
          <w:szCs w:val="24"/>
        </w:rPr>
        <w:t xml:space="preserve"> </w:t>
      </w:r>
      <w:r w:rsidRPr="00BC4FAB">
        <w:rPr>
          <w:rFonts w:asciiTheme="majorHAnsi" w:hAnsiTheme="majorHAnsi" w:cstheme="majorHAnsi"/>
          <w:color w:val="222222"/>
          <w:szCs w:val="24"/>
        </w:rPr>
        <w:t>36, no. 4 (Oct. - Dec., 1934), 491-514.</w:t>
      </w:r>
    </w:p>
  </w:footnote>
  <w:footnote w:id="189">
    <w:p w14:paraId="15219471" w14:textId="0CFD9408"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Lloyd D. Lewis, </w:t>
      </w:r>
      <w:r w:rsidRPr="00BC4FAB">
        <w:rPr>
          <w:rFonts w:ascii="Times New Roman" w:hAnsi="Times New Roman"/>
          <w:i/>
        </w:rPr>
        <w:t>Chicago Herald</w:t>
      </w:r>
      <w:r w:rsidRPr="00BC4FAB">
        <w:rPr>
          <w:rFonts w:ascii="Times New Roman" w:hAnsi="Times New Roman"/>
        </w:rPr>
        <w:t>, February 3, 1917.</w:t>
      </w:r>
    </w:p>
  </w:footnote>
  <w:footnote w:id="190">
    <w:p w14:paraId="28CB9821" w14:textId="20215531"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Janet Berlo, ed., </w:t>
      </w:r>
      <w:r w:rsidRPr="00BC4FAB">
        <w:rPr>
          <w:rFonts w:ascii="Times New Roman" w:hAnsi="Times New Roman"/>
          <w:i/>
        </w:rPr>
        <w:t>The Early Years of Native American Art History: The Politics of Scholarship and Collecting</w:t>
      </w:r>
      <w:r w:rsidRPr="00BC4FAB">
        <w:rPr>
          <w:rFonts w:ascii="Times New Roman" w:hAnsi="Times New Roman"/>
        </w:rPr>
        <w:t xml:space="preserve"> (Seattle, WA: University of Washington Press, 1992), especially Chapter 3.</w:t>
      </w:r>
    </w:p>
  </w:footnote>
  <w:footnote w:id="191">
    <w:p w14:paraId="52EBF84B" w14:textId="3382915B"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Michael J. Riley, “Trapped in the History of Film: Racial Conflict and Allure in the </w:t>
      </w:r>
      <w:r w:rsidRPr="00BC4FAB">
        <w:rPr>
          <w:rFonts w:ascii="Times New Roman" w:hAnsi="Times New Roman"/>
          <w:i/>
        </w:rPr>
        <w:t>Vanishing American</w:t>
      </w:r>
      <w:r w:rsidRPr="00BC4FAB">
        <w:rPr>
          <w:rFonts w:ascii="Times New Roman" w:hAnsi="Times New Roman"/>
        </w:rPr>
        <w:t xml:space="preserve">,” in Peter C. Rollins, and John E. O’Connor, eds. </w:t>
      </w:r>
      <w:r w:rsidRPr="00BC4FAB">
        <w:rPr>
          <w:rFonts w:ascii="Times New Roman" w:hAnsi="Times New Roman"/>
          <w:i/>
        </w:rPr>
        <w:t>Hollywood’s Indians: The Portrayal of the Native American in Film</w:t>
      </w:r>
      <w:r w:rsidR="006C0059">
        <w:rPr>
          <w:rFonts w:ascii="Times New Roman" w:hAnsi="Times New Roman"/>
        </w:rPr>
        <w:t xml:space="preserve"> (</w:t>
      </w:r>
      <w:r w:rsidRPr="00BC4FAB">
        <w:rPr>
          <w:rFonts w:ascii="Times New Roman" w:hAnsi="Times New Roman"/>
        </w:rPr>
        <w:t>Lexington, KY: The University Press of Kentucky</w:t>
      </w:r>
      <w:r w:rsidR="006C0059">
        <w:rPr>
          <w:rFonts w:ascii="Times New Roman" w:hAnsi="Times New Roman"/>
        </w:rPr>
        <w:t>)</w:t>
      </w:r>
      <w:r w:rsidRPr="00BC4FAB">
        <w:rPr>
          <w:rFonts w:ascii="Times New Roman" w:hAnsi="Times New Roman"/>
        </w:rPr>
        <w:t>, 2003, 65.</w:t>
      </w:r>
    </w:p>
  </w:footnote>
  <w:footnote w:id="192">
    <w:p w14:paraId="5E6D3E1D" w14:textId="3E74A225" w:rsidR="005B1CB9" w:rsidRPr="00BC4FAB" w:rsidRDefault="005B1CB9" w:rsidP="00C37A5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Jaquelyn Kilpatrick, </w:t>
      </w:r>
      <w:r w:rsidRPr="00BC4FAB">
        <w:rPr>
          <w:rFonts w:ascii="Times New Roman" w:hAnsi="Times New Roman"/>
          <w:i/>
        </w:rPr>
        <w:t>Celluloid Indians: Native Americans and Film</w:t>
      </w:r>
      <w:r w:rsidRPr="00BC4FAB">
        <w:rPr>
          <w:rFonts w:ascii="Times New Roman" w:hAnsi="Times New Roman"/>
        </w:rPr>
        <w:t xml:space="preserve"> (Lincoln, NE: University of Nebraska Press, 1999), 22.</w:t>
      </w:r>
    </w:p>
  </w:footnote>
  <w:footnote w:id="193">
    <w:p w14:paraId="1FF4BE85" w14:textId="2907EF4A" w:rsidR="005B1CB9" w:rsidRPr="00BC4FAB" w:rsidRDefault="005B1CB9" w:rsidP="00B54390">
      <w:pPr>
        <w:spacing w:line="240" w:lineRule="auto"/>
        <w:ind w:firstLine="720"/>
        <w:rPr>
          <w:rFonts w:ascii="Times New Roman" w:hAnsi="Times New Roman"/>
        </w:rPr>
      </w:pPr>
      <w:r w:rsidRPr="00BC4FAB">
        <w:rPr>
          <w:rStyle w:val="FootnoteReference"/>
          <w:rFonts w:ascii="Times New Roman" w:hAnsi="Times New Roman"/>
        </w:rPr>
        <w:footnoteRef/>
      </w:r>
      <w:r w:rsidRPr="00BC4FAB">
        <w:rPr>
          <w:rFonts w:ascii="Times New Roman" w:hAnsi="Times New Roman"/>
        </w:rPr>
        <w:t xml:space="preserve"> Richard Lindstrom, “‘Not from the Land Side, but from the Flag Side’: Native American Responses to the Wanamaker Expedition of 1913,” </w:t>
      </w:r>
      <w:r w:rsidRPr="00BC4FAB">
        <w:rPr>
          <w:rFonts w:ascii="Times New Roman" w:hAnsi="Times New Roman"/>
          <w:i/>
        </w:rPr>
        <w:t>Journal of Social History</w:t>
      </w:r>
      <w:r w:rsidRPr="00BC4FAB">
        <w:rPr>
          <w:rFonts w:ascii="Times New Roman" w:hAnsi="Times New Roman"/>
        </w:rPr>
        <w:t xml:space="preserve"> 30, no. 1 (1996), 211.</w:t>
      </w:r>
    </w:p>
  </w:footnote>
  <w:footnote w:id="194">
    <w:p w14:paraId="774223D6" w14:textId="70BEF84A" w:rsidR="005B1CB9" w:rsidRPr="00591681" w:rsidRDefault="005B1CB9" w:rsidP="00591681">
      <w:pPr>
        <w:pStyle w:val="Heading1"/>
        <w:jc w:val="left"/>
        <w:rPr>
          <w:rFonts w:eastAsia="Arial Unicode MS"/>
          <w:b w:val="0"/>
          <w:color w:val="000000"/>
          <w:sz w:val="24"/>
          <w:szCs w:val="24"/>
        </w:rPr>
      </w:pPr>
      <w:r w:rsidRPr="00591681">
        <w:rPr>
          <w:rStyle w:val="FootnoteReference"/>
          <w:b w:val="0"/>
        </w:rPr>
        <w:footnoteRef/>
      </w:r>
      <w:r w:rsidRPr="00591681">
        <w:t xml:space="preserve"> </w:t>
      </w:r>
      <w:r w:rsidRPr="00591681">
        <w:rPr>
          <w:rStyle w:val="NoSpacingChar"/>
          <w:rFonts w:asciiTheme="majorHAnsi" w:hAnsiTheme="majorHAnsi"/>
          <w:b w:val="0"/>
          <w:szCs w:val="24"/>
        </w:rPr>
        <w:t>For Curtis’ engagement with his Indian subjects, see W. Jackson Rushing III, “</w:t>
      </w:r>
      <w:r w:rsidRPr="00591681">
        <w:rPr>
          <w:rStyle w:val="NoSpacingChar"/>
          <w:rFonts w:asciiTheme="majorHAnsi" w:eastAsia="Arial Unicode MS" w:hAnsiTheme="majorHAnsi"/>
          <w:b w:val="0"/>
          <w:szCs w:val="24"/>
        </w:rPr>
        <w:t xml:space="preserve">Native Authorship in Edward Curtis's "master prints," </w:t>
      </w:r>
      <w:r w:rsidRPr="00591681">
        <w:rPr>
          <w:rFonts w:eastAsia="Arial Unicode MS"/>
          <w:b w:val="0"/>
          <w:i/>
          <w:color w:val="000000"/>
          <w:sz w:val="24"/>
          <w:szCs w:val="24"/>
        </w:rPr>
        <w:t>American Indian Art Magazine</w:t>
      </w:r>
      <w:r w:rsidRPr="00591681">
        <w:rPr>
          <w:rFonts w:eastAsia="Arial Unicode MS"/>
          <w:b w:val="0"/>
          <w:color w:val="000000"/>
          <w:sz w:val="24"/>
          <w:szCs w:val="24"/>
        </w:rPr>
        <w:t xml:space="preserve"> 29, no. 1 (Winter 2003): 58-63. On Native authoship, Rushing asserts, “one suspects that his </w:t>
      </w:r>
      <w:r>
        <w:rPr>
          <w:rFonts w:eastAsia="Arial Unicode MS"/>
          <w:b w:val="0"/>
          <w:color w:val="000000"/>
          <w:sz w:val="24"/>
          <w:szCs w:val="24"/>
        </w:rPr>
        <w:t xml:space="preserve">[Curtis’] </w:t>
      </w:r>
      <w:r w:rsidRPr="00591681">
        <w:rPr>
          <w:rFonts w:eastAsia="Arial Unicode MS"/>
          <w:b w:val="0"/>
          <w:color w:val="000000"/>
          <w:sz w:val="24"/>
          <w:szCs w:val="24"/>
        </w:rPr>
        <w:t xml:space="preserve">sitters had a sense that they were imprinting themselves indelibly on the pages of history.” </w:t>
      </w:r>
      <w:r w:rsidRPr="00591681">
        <w:rPr>
          <w:b w:val="0"/>
          <w:sz w:val="24"/>
          <w:szCs w:val="24"/>
        </w:rPr>
        <w:t xml:space="preserve">A fellow photographer, Roland W. Reed, frequently asked Indian models to reenact scenes dozens of times until they got it just right See Ernest R. Lawrence, </w:t>
      </w:r>
      <w:r w:rsidRPr="00591681">
        <w:rPr>
          <w:b w:val="0"/>
          <w:i/>
          <w:sz w:val="24"/>
          <w:szCs w:val="24"/>
        </w:rPr>
        <w:t>Alone with the Past: The Life and Photographic Art of Roland W. Reed</w:t>
      </w:r>
      <w:r w:rsidRPr="00591681">
        <w:rPr>
          <w:b w:val="0"/>
          <w:sz w:val="24"/>
          <w:szCs w:val="24"/>
        </w:rPr>
        <w:t xml:space="preserve"> (Afton, MN: Afton Historical Society Press, 2012).</w:t>
      </w:r>
    </w:p>
  </w:footnote>
  <w:footnote w:id="195">
    <w:p w14:paraId="5F203762" w14:textId="296C4F5C" w:rsidR="005B1CB9" w:rsidRPr="00591681" w:rsidRDefault="005B1CB9" w:rsidP="00B54390">
      <w:pPr>
        <w:pStyle w:val="FootnoteText"/>
        <w:ind w:firstLine="720"/>
        <w:rPr>
          <w:sz w:val="24"/>
          <w:szCs w:val="24"/>
        </w:rPr>
      </w:pPr>
      <w:r w:rsidRPr="00591681">
        <w:rPr>
          <w:rStyle w:val="FootnoteReference"/>
          <w:sz w:val="24"/>
          <w:szCs w:val="24"/>
        </w:rPr>
        <w:footnoteRef/>
      </w:r>
      <w:r w:rsidRPr="00591681">
        <w:rPr>
          <w:sz w:val="24"/>
          <w:szCs w:val="24"/>
        </w:rPr>
        <w:t xml:space="preserve"> The subjects of the painting, typically identified as Jim Mirabel and his family, might be heading toward Taos Pueblo’s most sacred site, Blue Lake, in the Sangre de Christo mountains, located 15 miles east / north east of the Pueblo. See Dean Porter and Mike Leslie, </w:t>
      </w:r>
      <w:r w:rsidRPr="00591681">
        <w:rPr>
          <w:i/>
          <w:sz w:val="24"/>
          <w:szCs w:val="24"/>
        </w:rPr>
        <w:t>Walter Ufer: Rise, Fall, Resurrection</w:t>
      </w:r>
      <w:r w:rsidRPr="00591681">
        <w:rPr>
          <w:sz w:val="24"/>
          <w:szCs w:val="24"/>
        </w:rPr>
        <w:t xml:space="preserve"> (Oklahoma City: National Cowboy and Western Heritage Museum), 39.</w:t>
      </w:r>
    </w:p>
  </w:footnote>
  <w:footnote w:id="196">
    <w:p w14:paraId="5B461B48" w14:textId="66408963"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For a complete accounting of the relationship between Ufer, Harrison, and the Chicago syndicate, see Dean </w:t>
      </w:r>
      <w:r w:rsidRPr="00BC4FAB">
        <w:rPr>
          <w:rFonts w:asciiTheme="majorHAnsi" w:hAnsiTheme="majorHAnsi" w:cstheme="majorHAnsi"/>
          <w:bCs/>
        </w:rPr>
        <w:t xml:space="preserve">Porter, </w:t>
      </w:r>
      <w:r w:rsidRPr="00BC4FAB">
        <w:rPr>
          <w:rFonts w:asciiTheme="majorHAnsi" w:hAnsiTheme="majorHAnsi" w:cstheme="majorHAnsi"/>
          <w:bCs/>
          <w:i/>
        </w:rPr>
        <w:t xml:space="preserve">Taos Artists and Their Patrons, </w:t>
      </w:r>
      <w:r>
        <w:rPr>
          <w:rFonts w:asciiTheme="majorHAnsi" w:hAnsiTheme="majorHAnsi" w:cstheme="majorHAnsi"/>
        </w:rPr>
        <w:t>87-98.</w:t>
      </w:r>
    </w:p>
  </w:footnote>
  <w:footnote w:id="197">
    <w:p w14:paraId="08D27156" w14:textId="0CF3CFBC"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“Chicago Artist Wins Prize in New York,” </w:t>
      </w:r>
      <w:r w:rsidRPr="00BC4FAB">
        <w:rPr>
          <w:rFonts w:asciiTheme="majorHAnsi" w:hAnsiTheme="majorHAnsi" w:cstheme="majorHAnsi"/>
          <w:i/>
        </w:rPr>
        <w:t>Chicago Daily Tribune</w:t>
      </w:r>
      <w:r w:rsidRPr="00BC4FAB">
        <w:rPr>
          <w:rFonts w:asciiTheme="majorHAnsi" w:hAnsiTheme="majorHAnsi" w:cstheme="majorHAnsi"/>
        </w:rPr>
        <w:t xml:space="preserve">, March 12, 1918, accessed November 30, 2008. </w:t>
      </w:r>
      <w:hyperlink r:id="rId10" w:history="1">
        <w:r w:rsidRPr="00BC4FAB">
          <w:rPr>
            <w:rStyle w:val="Hyperlink"/>
            <w:rFonts w:asciiTheme="majorHAnsi" w:hAnsiTheme="majorHAnsi" w:cstheme="majorHAnsi"/>
            <w:color w:val="auto"/>
            <w:u w:val="none"/>
          </w:rPr>
          <w:t>http://www.proquest.com.ezproxy1.lib.ou.edu</w:t>
        </w:r>
      </w:hyperlink>
      <w:r w:rsidRPr="00BC4FAB">
        <w:rPr>
          <w:rFonts w:asciiTheme="majorHAnsi" w:hAnsiTheme="majorHAnsi" w:cstheme="majorHAnsi"/>
        </w:rPr>
        <w:t>.</w:t>
      </w:r>
    </w:p>
  </w:footnote>
  <w:footnote w:id="198">
    <w:p w14:paraId="6412FC29" w14:textId="47693631" w:rsidR="005B1CB9" w:rsidRPr="00BC4FAB" w:rsidRDefault="005B1CB9" w:rsidP="00492F6E">
      <w:pPr>
        <w:pStyle w:val="FootnoteText"/>
        <w:ind w:firstLine="720"/>
        <w:rPr>
          <w:rFonts w:asciiTheme="majorHAnsi" w:hAnsiTheme="majorHAnsi" w:cstheme="majorHAnsi"/>
          <w:sz w:val="24"/>
          <w:szCs w:val="24"/>
        </w:rPr>
      </w:pPr>
      <w:r w:rsidRPr="00BC4FAB">
        <w:rPr>
          <w:rStyle w:val="FootnoteReference"/>
          <w:rFonts w:asciiTheme="majorHAnsi" w:hAnsiTheme="majorHAnsi" w:cstheme="majorHAnsi"/>
          <w:sz w:val="24"/>
          <w:szCs w:val="24"/>
        </w:rPr>
        <w:footnoteRef/>
      </w:r>
      <w:r w:rsidRPr="00BC4FAB">
        <w:rPr>
          <w:rFonts w:asciiTheme="majorHAnsi" w:hAnsiTheme="majorHAnsi" w:cstheme="majorHAnsi"/>
          <w:sz w:val="24"/>
          <w:szCs w:val="24"/>
        </w:rPr>
        <w:t xml:space="preserve"> </w:t>
      </w:r>
      <w:r w:rsidRPr="00BC4FAB">
        <w:rPr>
          <w:rFonts w:asciiTheme="majorHAnsi" w:hAnsiTheme="majorHAnsi" w:cstheme="majorHAnsi"/>
          <w:bCs/>
          <w:i/>
          <w:sz w:val="24"/>
          <w:szCs w:val="24"/>
        </w:rPr>
        <w:t>Ufer in Retrospective</w:t>
      </w:r>
      <w:r w:rsidRPr="00BC4FAB">
        <w:rPr>
          <w:rFonts w:asciiTheme="majorHAnsi" w:hAnsiTheme="majorHAnsi" w:cstheme="majorHAnsi"/>
          <w:bCs/>
          <w:sz w:val="24"/>
          <w:szCs w:val="24"/>
        </w:rPr>
        <w:t xml:space="preserve"> (Phoenix, AZ: Phoenix Art Museum, 1970), 1.</w:t>
      </w:r>
    </w:p>
  </w:footnote>
  <w:footnote w:id="199">
    <w:p w14:paraId="5A5CBD21" w14:textId="781B46BC" w:rsidR="005B1CB9" w:rsidRPr="00BC4FAB" w:rsidRDefault="005B1CB9" w:rsidP="00C4266F">
      <w:pPr>
        <w:pStyle w:val="FootnoteText"/>
        <w:ind w:firstLine="720"/>
        <w:rPr>
          <w:rFonts w:asciiTheme="majorHAnsi" w:hAnsiTheme="majorHAnsi" w:cstheme="majorHAnsi"/>
          <w:sz w:val="24"/>
          <w:szCs w:val="24"/>
        </w:rPr>
      </w:pPr>
      <w:r w:rsidRPr="00BC4FAB">
        <w:rPr>
          <w:rStyle w:val="FootnoteReference"/>
          <w:rFonts w:asciiTheme="majorHAnsi" w:hAnsiTheme="majorHAnsi" w:cstheme="majorHAnsi"/>
          <w:sz w:val="24"/>
          <w:szCs w:val="24"/>
        </w:rPr>
        <w:footnoteRef/>
      </w:r>
      <w:r w:rsidRPr="00BC4FAB">
        <w:rPr>
          <w:rFonts w:asciiTheme="majorHAnsi" w:hAnsiTheme="majorHAnsi" w:cstheme="majorHAnsi"/>
          <w:sz w:val="24"/>
          <w:szCs w:val="24"/>
        </w:rPr>
        <w:t xml:space="preserve"> I confirmed that the scene was set within Ufer house while visiting Taos</w:t>
      </w:r>
      <w:r w:rsidR="006C0059">
        <w:rPr>
          <w:rFonts w:asciiTheme="majorHAnsi" w:hAnsiTheme="majorHAnsi" w:cstheme="majorHAnsi"/>
          <w:sz w:val="24"/>
          <w:szCs w:val="24"/>
        </w:rPr>
        <w:t>.</w:t>
      </w:r>
      <w:r w:rsidRPr="00BC4FAB">
        <w:rPr>
          <w:rFonts w:asciiTheme="majorHAnsi" w:hAnsiTheme="majorHAnsi" w:cstheme="majorHAnsi"/>
          <w:sz w:val="24"/>
          <w:szCs w:val="24"/>
        </w:rPr>
        <w:t xml:space="preserve"> As of June, 2016, both the Ufer house and the Ufer studio still stand. They are located across from one another near the intersection of Des Georges Lane and Des George Place, Taos, NM.</w:t>
      </w:r>
    </w:p>
  </w:footnote>
  <w:footnote w:id="200">
    <w:p w14:paraId="1BBF4848" w14:textId="35561A90"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Broder, </w:t>
      </w:r>
      <w:r w:rsidRPr="00BC4FAB">
        <w:rPr>
          <w:rFonts w:asciiTheme="majorHAnsi" w:hAnsiTheme="majorHAnsi" w:cstheme="majorHAnsi"/>
          <w:i/>
        </w:rPr>
        <w:t>Taos, A Painter’s Dream</w:t>
      </w:r>
      <w:r w:rsidRPr="00BC4FAB">
        <w:rPr>
          <w:rFonts w:asciiTheme="majorHAnsi" w:hAnsiTheme="majorHAnsi" w:cstheme="majorHAnsi"/>
        </w:rPr>
        <w:t>, 225.</w:t>
      </w:r>
    </w:p>
  </w:footnote>
  <w:footnote w:id="201">
    <w:p w14:paraId="4AFB2A60" w14:textId="77777777" w:rsidR="005B1CB9" w:rsidRPr="00BC4FAB" w:rsidRDefault="005B1CB9" w:rsidP="00E57432">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See Dean Porter and Mike Leslie, </w:t>
      </w:r>
      <w:r w:rsidRPr="00BC4FAB">
        <w:rPr>
          <w:rFonts w:asciiTheme="majorHAnsi" w:hAnsiTheme="majorHAnsi" w:cstheme="majorHAnsi"/>
          <w:i/>
        </w:rPr>
        <w:t>Walter Ufer: Rise, Fall, Resurrection</w:t>
      </w:r>
      <w:r w:rsidRPr="00BC4FAB">
        <w:rPr>
          <w:rFonts w:asciiTheme="majorHAnsi" w:hAnsiTheme="majorHAnsi" w:cstheme="majorHAnsi"/>
        </w:rPr>
        <w:t>, 99-100. Although Porter’s purpose is contained largely to biography, he usefully catalogs the critical writing on Ufer from 1936 until 2001.</w:t>
      </w:r>
    </w:p>
  </w:footnote>
  <w:footnote w:id="202">
    <w:p w14:paraId="45F64132" w14:textId="541277E1"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Thomas Smith, ed., </w:t>
      </w:r>
      <w:r w:rsidRPr="00BC4FAB">
        <w:rPr>
          <w:rFonts w:asciiTheme="majorHAnsi" w:hAnsiTheme="majorHAnsi" w:cstheme="majorHAnsi"/>
          <w:i/>
        </w:rPr>
        <w:t>A Place in the Sun:</w:t>
      </w:r>
      <w:r w:rsidRPr="00BC4FAB">
        <w:rPr>
          <w:rFonts w:asciiTheme="majorHAnsi" w:hAnsiTheme="majorHAnsi" w:cstheme="majorHAnsi"/>
        </w:rPr>
        <w:t xml:space="preserve"> </w:t>
      </w:r>
      <w:r w:rsidRPr="00BC4FAB">
        <w:rPr>
          <w:rFonts w:asciiTheme="majorHAnsi" w:hAnsiTheme="majorHAnsi" w:cstheme="majorHAnsi"/>
          <w:i/>
        </w:rPr>
        <w:t>The Southwest Paintings of Walter Ufer and E. Martin Hennings</w:t>
      </w:r>
      <w:r w:rsidRPr="00BC4FAB">
        <w:rPr>
          <w:rFonts w:asciiTheme="majorHAnsi" w:hAnsiTheme="majorHAnsi" w:cstheme="majorHAnsi"/>
        </w:rPr>
        <w:t>. (Norman: University of Oklahoma Press, 2016). The exhibition was organized by and exhibited at the Denver Art Museum and the Philbrook Museum of Art in 2016.</w:t>
      </w:r>
    </w:p>
  </w:footnote>
  <w:footnote w:id="203">
    <w:p w14:paraId="5196A2D4" w14:textId="2864AAE8"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Denver Art Museum, “</w:t>
      </w:r>
      <w:r w:rsidRPr="00BC4FAB">
        <w:rPr>
          <w:rStyle w:val="Emphasis"/>
          <w:rFonts w:asciiTheme="majorHAnsi" w:hAnsiTheme="majorHAnsi" w:cstheme="majorHAnsi"/>
          <w:b w:val="0"/>
          <w:i w:val="0"/>
          <w:color w:val="000000"/>
          <w:bdr w:val="none" w:sz="0" w:space="0" w:color="auto" w:frame="1"/>
        </w:rPr>
        <w:t>A Place in the Sun: The Southwest Paintings of Water Ufer and E. Martin Hennings to Debut at the Denver Art Museum,” accessed October 12, 2016. http://denverartmuseum.org/article/press-release/place-sun-southwest-paintings-walter-ufer-and-e-martin-hennings-debut-denver</w:t>
      </w:r>
    </w:p>
  </w:footnote>
  <w:footnote w:id="204">
    <w:p w14:paraId="6AEF8C17" w14:textId="1C68E428" w:rsidR="005B1CB9" w:rsidRPr="00BC4FAB" w:rsidRDefault="005B1CB9" w:rsidP="00B70FF2">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Barbara Kirshenblatt-Gimblett, </w:t>
      </w:r>
      <w:r w:rsidRPr="00BC4FAB">
        <w:rPr>
          <w:rFonts w:asciiTheme="majorHAnsi" w:hAnsiTheme="majorHAnsi" w:cstheme="majorHAnsi"/>
          <w:i/>
        </w:rPr>
        <w:t>Destination Culture: Tourism, Museums, and Heritage</w:t>
      </w:r>
      <w:r w:rsidRPr="00BC4FAB">
        <w:rPr>
          <w:rFonts w:asciiTheme="majorHAnsi" w:hAnsiTheme="majorHAnsi" w:cstheme="majorHAnsi"/>
        </w:rPr>
        <w:t xml:space="preserve"> </w:t>
      </w:r>
      <w:r w:rsidR="006C0059">
        <w:rPr>
          <w:rFonts w:asciiTheme="majorHAnsi" w:hAnsiTheme="majorHAnsi" w:cstheme="majorHAnsi"/>
        </w:rPr>
        <w:t>(</w:t>
      </w:r>
      <w:r w:rsidRPr="00BC4FAB">
        <w:rPr>
          <w:rFonts w:asciiTheme="majorHAnsi" w:hAnsiTheme="majorHAnsi" w:cstheme="majorHAnsi"/>
        </w:rPr>
        <w:t>Berkley, CA: University of California Press, 1998</w:t>
      </w:r>
      <w:r w:rsidR="006C0059">
        <w:rPr>
          <w:rFonts w:asciiTheme="majorHAnsi" w:hAnsiTheme="majorHAnsi" w:cstheme="majorHAnsi"/>
        </w:rPr>
        <w:t>)</w:t>
      </w:r>
      <w:r w:rsidRPr="00BC4FAB">
        <w:rPr>
          <w:rFonts w:asciiTheme="majorHAnsi" w:hAnsiTheme="majorHAnsi" w:cstheme="majorHAnsi"/>
        </w:rPr>
        <w:t>, 51.</w:t>
      </w:r>
    </w:p>
  </w:footnote>
  <w:footnote w:id="205">
    <w:p w14:paraId="02DE4BDD" w14:textId="2F3ED7CB" w:rsidR="005B1CB9" w:rsidRPr="00BC4FAB" w:rsidRDefault="005B1CB9" w:rsidP="00B70FF2">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006C0059">
        <w:rPr>
          <w:rFonts w:asciiTheme="majorHAnsi" w:hAnsiTheme="majorHAnsi" w:cstheme="majorHAnsi"/>
        </w:rPr>
        <w:t xml:space="preserve"> Ibid, </w:t>
      </w:r>
      <w:r w:rsidRPr="00BC4FAB">
        <w:rPr>
          <w:rFonts w:asciiTheme="majorHAnsi" w:hAnsiTheme="majorHAnsi" w:cstheme="majorHAnsi"/>
        </w:rPr>
        <w:t>54.</w:t>
      </w:r>
    </w:p>
  </w:footnote>
  <w:footnote w:id="206">
    <w:p w14:paraId="28598C1D" w14:textId="03A54030"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Thanks to Professor Rushing for introducing me to this concept in a graduate seminar, </w:t>
      </w:r>
      <w:r w:rsidRPr="00BC4FAB">
        <w:rPr>
          <w:rFonts w:asciiTheme="majorHAnsi" w:hAnsiTheme="majorHAnsi" w:cstheme="majorHAnsi"/>
          <w:i/>
        </w:rPr>
        <w:t>Pueblo Modernism</w:t>
      </w:r>
      <w:r w:rsidRPr="00BC4FAB">
        <w:rPr>
          <w:rFonts w:asciiTheme="majorHAnsi" w:hAnsiTheme="majorHAnsi" w:cstheme="majorHAnsi"/>
        </w:rPr>
        <w:t>.</w:t>
      </w:r>
    </w:p>
  </w:footnote>
  <w:footnote w:id="207">
    <w:p w14:paraId="377AC3B6" w14:textId="72A9BD7A"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Mary Louise Pratt, </w:t>
      </w:r>
      <w:r w:rsidRPr="00BC4FAB">
        <w:rPr>
          <w:rStyle w:val="Emphasis"/>
          <w:rFonts w:asciiTheme="majorHAnsi" w:hAnsiTheme="majorHAnsi" w:cstheme="majorHAnsi"/>
          <w:b w:val="0"/>
        </w:rPr>
        <w:t xml:space="preserve">Imperial Eyes: </w:t>
      </w:r>
      <w:r w:rsidRPr="00BC4FAB">
        <w:rPr>
          <w:rFonts w:asciiTheme="majorHAnsi" w:hAnsiTheme="majorHAnsi" w:cstheme="majorHAnsi"/>
          <w:i/>
        </w:rPr>
        <w:t xml:space="preserve">Travel Writing and Transculturation </w:t>
      </w:r>
      <w:r w:rsidRPr="00BC4FAB">
        <w:rPr>
          <w:rFonts w:asciiTheme="majorHAnsi" w:hAnsiTheme="majorHAnsi" w:cstheme="majorHAnsi"/>
        </w:rPr>
        <w:t>(London and New York: Routledge Press, 2008),</w:t>
      </w:r>
      <w:r w:rsidRPr="00BC4FAB">
        <w:rPr>
          <w:rStyle w:val="Emphasis"/>
          <w:rFonts w:asciiTheme="majorHAnsi" w:hAnsiTheme="majorHAnsi" w:cstheme="majorHAnsi"/>
          <w:b w:val="0"/>
          <w:i w:val="0"/>
        </w:rPr>
        <w:t xml:space="preserve"> 8</w:t>
      </w:r>
      <w:r w:rsidRPr="00BC4FAB">
        <w:rPr>
          <w:rFonts w:asciiTheme="majorHAnsi" w:hAnsiTheme="majorHAnsi" w:cstheme="majorHAnsi"/>
          <w:i/>
        </w:rPr>
        <w:t>.</w:t>
      </w:r>
    </w:p>
  </w:footnote>
  <w:footnote w:id="208">
    <w:p w14:paraId="7BB2E293" w14:textId="272E3E68"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Ruth B. Phillips, “Why Not Tourist Art? Significant Silences in Native American Museum Representations,” in Gyan Prakash, ed., </w:t>
      </w:r>
      <w:r w:rsidRPr="00BC4FAB">
        <w:rPr>
          <w:rFonts w:asciiTheme="majorHAnsi" w:hAnsiTheme="majorHAnsi" w:cstheme="majorHAnsi"/>
          <w:i/>
        </w:rPr>
        <w:t>After Colonialism: Imperial Histories and Postcolonial Displacements</w:t>
      </w:r>
      <w:r w:rsidRPr="00BC4FAB">
        <w:rPr>
          <w:rFonts w:asciiTheme="majorHAnsi" w:hAnsiTheme="majorHAnsi" w:cstheme="majorHAnsi"/>
        </w:rPr>
        <w:t xml:space="preserve"> (Princeton, NJ: Princeton University Press, 1995), 99.</w:t>
      </w:r>
    </w:p>
  </w:footnote>
  <w:footnote w:id="209">
    <w:p w14:paraId="187AFEFA" w14:textId="656C845E"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Edward Said, “Secular Interpretation, The Geographic Element, and the Methodology of Imperialism,” in Prakash, </w:t>
      </w:r>
      <w:r w:rsidRPr="00BC4FAB">
        <w:rPr>
          <w:rFonts w:asciiTheme="majorHAnsi" w:hAnsiTheme="majorHAnsi" w:cstheme="majorHAnsi"/>
          <w:i/>
        </w:rPr>
        <w:t>After Colonialism</w:t>
      </w:r>
      <w:r w:rsidRPr="00BC4FAB">
        <w:rPr>
          <w:rFonts w:asciiTheme="majorHAnsi" w:hAnsiTheme="majorHAnsi" w:cstheme="majorHAnsi"/>
        </w:rPr>
        <w:t>, p. 29. For Said, “native nationalism” follows specific histories of colonization and resistance. I understand this to mean that the idea of native nationalism, specific to Taos Pueblo, should be understood as primarily cultural rather than political.</w:t>
      </w:r>
    </w:p>
  </w:footnote>
  <w:footnote w:id="210">
    <w:p w14:paraId="41947F48" w14:textId="4B631F5D"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For more on Looking Elk, see Samuel E. Watson III, “Stylistic Plurality in the Paintings of Albert Looking Elk: An Examination of Patronage,” </w:t>
      </w:r>
      <w:r w:rsidRPr="00BC4FAB">
        <w:rPr>
          <w:rFonts w:asciiTheme="majorHAnsi" w:hAnsiTheme="majorHAnsi" w:cstheme="majorHAnsi"/>
          <w:i/>
        </w:rPr>
        <w:t>American Indian Art Magazine</w:t>
      </w:r>
      <w:r w:rsidRPr="00BC4FAB">
        <w:rPr>
          <w:rFonts w:asciiTheme="majorHAnsi" w:hAnsiTheme="majorHAnsi" w:cstheme="majorHAnsi"/>
        </w:rPr>
        <w:t xml:space="preserve"> 20, no. 1 (Winter 1994), 62-69; Samuel E. Watson III, </w:t>
      </w:r>
      <w:r w:rsidRPr="00BC4FAB">
        <w:rPr>
          <w:rFonts w:asciiTheme="majorHAnsi" w:hAnsiTheme="majorHAnsi" w:cstheme="majorHAnsi"/>
          <w:i/>
        </w:rPr>
        <w:t>Pueblo Indian Painting at Taos and the Art of Albert Looking Elk</w:t>
      </w:r>
      <w:r w:rsidRPr="00BC4FAB">
        <w:rPr>
          <w:rFonts w:asciiTheme="majorHAnsi" w:hAnsiTheme="majorHAnsi" w:cstheme="majorHAnsi"/>
        </w:rPr>
        <w:t>, M.A. Thesis (University of New Mexico, 1994).</w:t>
      </w:r>
    </w:p>
  </w:footnote>
  <w:footnote w:id="211">
    <w:p w14:paraId="55FF8EAD" w14:textId="34994017"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Gordon Sanders, </w:t>
      </w:r>
      <w:r w:rsidRPr="00BC4FAB">
        <w:rPr>
          <w:rFonts w:asciiTheme="majorHAnsi" w:hAnsiTheme="majorHAnsi" w:cstheme="majorHAnsi"/>
          <w:i/>
        </w:rPr>
        <w:t>Oscar Berninghaus: Mater Painter of American Indians and The Frontier West</w:t>
      </w:r>
      <w:r w:rsidRPr="00BC4FAB">
        <w:rPr>
          <w:rFonts w:asciiTheme="majorHAnsi" w:hAnsiTheme="majorHAnsi" w:cstheme="majorHAnsi"/>
        </w:rPr>
        <w:t xml:space="preserve"> (Taos, NM: Taos Heritage Publishing, 1985), 50. </w:t>
      </w:r>
    </w:p>
  </w:footnote>
  <w:footnote w:id="212">
    <w:p w14:paraId="60DDB26A" w14:textId="77777777"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James Peck, “A Defining Moment: William Bouguereau and the Education of Eanger Irving Couse,” James Peck et al, </w:t>
      </w:r>
      <w:r w:rsidRPr="00BC4FAB">
        <w:rPr>
          <w:rFonts w:asciiTheme="majorHAnsi" w:hAnsiTheme="majorHAnsi" w:cstheme="majorHAnsi"/>
          <w:i/>
        </w:rPr>
        <w:t>In the Studios of Paris: William Bouguereau and His American Students</w:t>
      </w:r>
      <w:r w:rsidRPr="00BC4FAB">
        <w:rPr>
          <w:rFonts w:asciiTheme="majorHAnsi" w:hAnsiTheme="majorHAnsi" w:cstheme="majorHAnsi"/>
        </w:rPr>
        <w:t xml:space="preserve">, Tulsa, OK: Philbrook Museum of Art, 2006, ad passim.   </w:t>
      </w:r>
    </w:p>
  </w:footnote>
  <w:footnote w:id="213">
    <w:p w14:paraId="06A4C7A2" w14:textId="5899FBDB"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“Untitled Article,” </w:t>
      </w:r>
      <w:r w:rsidRPr="00BC4FAB">
        <w:rPr>
          <w:rFonts w:asciiTheme="majorHAnsi" w:hAnsiTheme="majorHAnsi" w:cstheme="majorHAnsi"/>
          <w:i/>
        </w:rPr>
        <w:t xml:space="preserve">Taos Valley News </w:t>
      </w:r>
      <w:r w:rsidRPr="00BC4FAB">
        <w:rPr>
          <w:rFonts w:asciiTheme="majorHAnsi" w:hAnsiTheme="majorHAnsi" w:cstheme="majorHAnsi"/>
        </w:rPr>
        <w:t>1918 10</w:t>
      </w:r>
      <w:r w:rsidR="006C0059">
        <w:rPr>
          <w:rFonts w:asciiTheme="majorHAnsi" w:hAnsiTheme="majorHAnsi" w:cstheme="majorHAnsi"/>
        </w:rPr>
        <w:t xml:space="preserve"> </w:t>
      </w:r>
      <w:r w:rsidRPr="00BC4FAB">
        <w:rPr>
          <w:rFonts w:asciiTheme="majorHAnsi" w:hAnsiTheme="majorHAnsi" w:cstheme="majorHAnsi"/>
        </w:rPr>
        <w:t>(2): 5</w:t>
      </w:r>
      <w:r w:rsidR="006C0059">
        <w:rPr>
          <w:rFonts w:asciiTheme="majorHAnsi" w:hAnsiTheme="majorHAnsi" w:cstheme="majorHAnsi"/>
        </w:rPr>
        <w:t>.</w:t>
      </w:r>
      <w:r w:rsidRPr="00BC4FAB">
        <w:rPr>
          <w:rFonts w:asciiTheme="majorHAnsi" w:hAnsiTheme="majorHAnsi" w:cstheme="majorHAnsi"/>
        </w:rPr>
        <w:t xml:space="preserve"> </w:t>
      </w:r>
    </w:p>
  </w:footnote>
  <w:footnote w:id="214">
    <w:p w14:paraId="1E947317" w14:textId="1EF668A8" w:rsidR="005B1CB9" w:rsidRPr="00BC4FAB" w:rsidRDefault="005B1CB9" w:rsidP="00DB1BBD">
      <w:pPr>
        <w:pStyle w:val="NoSpacing"/>
        <w:ind w:firstLine="720"/>
        <w:rPr>
          <w:rFonts w:asciiTheme="majorHAnsi" w:hAnsiTheme="majorHAnsi" w:cstheme="majorHAnsi"/>
          <w:szCs w:val="24"/>
        </w:rPr>
      </w:pPr>
      <w:r w:rsidRPr="00BC4FAB">
        <w:rPr>
          <w:rStyle w:val="FootnoteReference"/>
          <w:rFonts w:asciiTheme="majorHAnsi" w:hAnsiTheme="majorHAnsi" w:cstheme="majorHAnsi"/>
          <w:szCs w:val="24"/>
        </w:rPr>
        <w:footnoteRef/>
      </w:r>
      <w:r w:rsidRPr="00BC4FAB">
        <w:rPr>
          <w:rFonts w:asciiTheme="majorHAnsi" w:hAnsiTheme="majorHAnsi" w:cstheme="majorHAnsi"/>
          <w:szCs w:val="24"/>
        </w:rPr>
        <w:t xml:space="preserve"> Correspondence between Eliseo Lujan and Virginia Couse Leavitt (1984), E.I. Couse Archive, part of the E</w:t>
      </w:r>
      <w:r>
        <w:rPr>
          <w:rFonts w:asciiTheme="majorHAnsi" w:hAnsiTheme="majorHAnsi" w:cstheme="majorHAnsi"/>
          <w:szCs w:val="24"/>
        </w:rPr>
        <w:t>.I. Couse Foundation, Taos, NM.</w:t>
      </w:r>
    </w:p>
  </w:footnote>
  <w:footnote w:id="215">
    <w:p w14:paraId="4D56C905" w14:textId="51FF9827" w:rsidR="005B1CB9" w:rsidRPr="00BC4FAB" w:rsidRDefault="005B1CB9" w:rsidP="00DA34BD">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Bradley F. Taylor, “Albert Lujan: Entrepreneurial Pueblo Painter of Tourist Art 1892-1948,” </w:t>
      </w:r>
      <w:r w:rsidRPr="00BC4FAB">
        <w:rPr>
          <w:rFonts w:asciiTheme="majorHAnsi" w:hAnsiTheme="majorHAnsi" w:cstheme="majorHAnsi"/>
          <w:i/>
        </w:rPr>
        <w:t>American Indian Art Magazine</w:t>
      </w:r>
      <w:r w:rsidRPr="00BC4FAB">
        <w:rPr>
          <w:rFonts w:asciiTheme="majorHAnsi" w:hAnsiTheme="majorHAnsi" w:cstheme="majorHAnsi"/>
        </w:rPr>
        <w:t xml:space="preserve"> 25, no. 4 (Autumn 2000), 59, n. 4.     </w:t>
      </w:r>
    </w:p>
  </w:footnote>
  <w:footnote w:id="216">
    <w:p w14:paraId="39913F75" w14:textId="66793562"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Taylor, “Albert Lujan,” 60. </w:t>
      </w:r>
    </w:p>
  </w:footnote>
  <w:footnote w:id="217">
    <w:p w14:paraId="143C474B" w14:textId="280E14A2"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 56-64. </w:t>
      </w:r>
    </w:p>
  </w:footnote>
  <w:footnote w:id="218">
    <w:p w14:paraId="6027B820" w14:textId="2AB56305"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 60, quotes nephew Bobby Lujan in 1999; Lydia Wyckoff, ed., </w:t>
      </w:r>
      <w:r w:rsidRPr="00BC4FAB">
        <w:rPr>
          <w:rFonts w:asciiTheme="majorHAnsi" w:hAnsiTheme="majorHAnsi" w:cstheme="majorHAnsi"/>
          <w:i/>
        </w:rPr>
        <w:t>Visions and Voices: Native American Painting from the Philbrook Museum of Art</w:t>
      </w:r>
      <w:r w:rsidRPr="00BC4FAB">
        <w:rPr>
          <w:rFonts w:asciiTheme="majorHAnsi" w:hAnsiTheme="majorHAnsi" w:cstheme="majorHAnsi"/>
        </w:rPr>
        <w:t xml:space="preserve"> (Tulsa and Santa Fe: Philbrook Museum of Art/University of New Mexico Press, 1996), 29, 172. Wyckoff quotes nephews Loren</w:t>
      </w:r>
      <w:r>
        <w:rPr>
          <w:rFonts w:asciiTheme="majorHAnsi" w:hAnsiTheme="majorHAnsi" w:cstheme="majorHAnsi"/>
        </w:rPr>
        <w:t>zo and Ernesto Lujan in 1995.</w:t>
      </w:r>
    </w:p>
  </w:footnote>
  <w:footnote w:id="219">
    <w:p w14:paraId="3047931E" w14:textId="565799B9"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J.J. Brody, </w:t>
      </w:r>
      <w:r w:rsidRPr="00BC4FAB">
        <w:rPr>
          <w:rFonts w:asciiTheme="majorHAnsi" w:hAnsiTheme="majorHAnsi" w:cstheme="majorHAnsi"/>
          <w:i/>
        </w:rPr>
        <w:t>Indian Painters and White Patrons</w:t>
      </w:r>
      <w:r w:rsidRPr="00BC4FAB">
        <w:rPr>
          <w:rFonts w:asciiTheme="majorHAnsi" w:hAnsiTheme="majorHAnsi" w:cstheme="majorHAnsi"/>
        </w:rPr>
        <w:t xml:space="preserve"> (University of New Mexico Press, Albuquerque, New Mexico), 1971.</w:t>
      </w:r>
    </w:p>
  </w:footnote>
  <w:footnote w:id="220">
    <w:p w14:paraId="6E25FF83" w14:textId="0D9B2E25"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Critics and scholars have virtually ignored the artist-model relationship I Taos. One pleasant exception is Forrest Fenn’s new monograph, </w:t>
      </w:r>
      <w:r w:rsidRPr="00BC4FAB">
        <w:rPr>
          <w:rFonts w:asciiTheme="majorHAnsi" w:hAnsiTheme="majorHAnsi" w:cstheme="majorHAnsi"/>
          <w:i/>
        </w:rPr>
        <w:t>Teepee Smoke: A New Look into the Life and Work of Joseph Henry Sharp</w:t>
      </w:r>
      <w:r w:rsidRPr="00BC4FAB">
        <w:rPr>
          <w:rFonts w:asciiTheme="majorHAnsi" w:hAnsiTheme="majorHAnsi" w:cstheme="majorHAnsi"/>
        </w:rPr>
        <w:t xml:space="preserve"> (Santa Fe, NM: One Horse Land and Cattle Company, 2009). Fenn provides a number of anecdotes concerning artist-model relationships.</w:t>
      </w:r>
    </w:p>
  </w:footnote>
  <w:footnote w:id="221">
    <w:p w14:paraId="18740C87" w14:textId="01FE7669"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Vernon G. Lujan, “Anomalies of the Southwest Indian Painting Movement,” in David Witt et al, </w:t>
      </w:r>
      <w:r w:rsidRPr="00BC4FAB">
        <w:rPr>
          <w:rFonts w:asciiTheme="majorHAnsi" w:hAnsiTheme="majorHAnsi" w:cstheme="majorHAnsi"/>
          <w:i/>
        </w:rPr>
        <w:t>Three Taos Painters: Albert Looking Elk Martinez – Albert Lujan – Juan Mirabal</w:t>
      </w:r>
      <w:r w:rsidRPr="00BC4FAB">
        <w:rPr>
          <w:rFonts w:asciiTheme="majorHAnsi" w:hAnsiTheme="majorHAnsi" w:cstheme="majorHAnsi"/>
        </w:rPr>
        <w:t xml:space="preserve"> (Ha</w:t>
      </w:r>
      <w:r>
        <w:rPr>
          <w:rFonts w:asciiTheme="majorHAnsi" w:hAnsiTheme="majorHAnsi" w:cstheme="majorHAnsi"/>
        </w:rPr>
        <w:t>rwoood Museum of Art, 2003), 4.</w:t>
      </w:r>
    </w:p>
  </w:footnote>
  <w:footnote w:id="222">
    <w:p w14:paraId="12DF17FE" w14:textId="34480FF5" w:rsidR="005B1CB9" w:rsidRPr="00BC4FAB" w:rsidRDefault="005B1CB9" w:rsidP="008420A7">
      <w:pPr>
        <w:pStyle w:val="NoSpacing"/>
        <w:ind w:firstLine="720"/>
        <w:rPr>
          <w:rFonts w:asciiTheme="majorHAnsi" w:hAnsiTheme="majorHAnsi" w:cstheme="majorHAnsi"/>
          <w:szCs w:val="24"/>
        </w:rPr>
      </w:pPr>
      <w:r w:rsidRPr="00BC4FAB">
        <w:rPr>
          <w:rStyle w:val="FootnoteReference"/>
          <w:rFonts w:asciiTheme="majorHAnsi" w:hAnsiTheme="majorHAnsi" w:cstheme="majorHAnsi"/>
          <w:szCs w:val="24"/>
        </w:rPr>
        <w:footnoteRef/>
      </w:r>
      <w:r w:rsidRPr="00BC4FAB">
        <w:rPr>
          <w:rFonts w:asciiTheme="majorHAnsi" w:hAnsiTheme="majorHAnsi" w:cstheme="majorHAnsi"/>
          <w:szCs w:val="24"/>
        </w:rPr>
        <w:t xml:space="preserve"> James Peck, “Kiowa </w:t>
      </w:r>
      <w:r w:rsidRPr="00BC4FAB">
        <w:rPr>
          <w:rFonts w:asciiTheme="majorHAnsi" w:hAnsiTheme="majorHAnsi" w:cstheme="majorHAnsi"/>
          <w:color w:val="000000"/>
          <w:szCs w:val="24"/>
        </w:rPr>
        <w:t xml:space="preserve">5," </w:t>
      </w:r>
      <w:r w:rsidRPr="00BC4FAB">
        <w:rPr>
          <w:rFonts w:asciiTheme="majorHAnsi" w:hAnsiTheme="majorHAnsi" w:cstheme="majorHAnsi"/>
          <w:i/>
          <w:iCs/>
          <w:color w:val="000000"/>
          <w:szCs w:val="24"/>
        </w:rPr>
        <w:t>The Routledge Encyclopedia of Modernism</w:t>
      </w:r>
      <w:r w:rsidRPr="00BC4FAB">
        <w:rPr>
          <w:rFonts w:asciiTheme="majorHAnsi" w:hAnsiTheme="majorHAnsi" w:cstheme="majorHAnsi"/>
          <w:color w:val="000000"/>
          <w:szCs w:val="24"/>
        </w:rPr>
        <w:t>. Ta</w:t>
      </w:r>
      <w:r w:rsidR="006C0059">
        <w:rPr>
          <w:rFonts w:asciiTheme="majorHAnsi" w:hAnsiTheme="majorHAnsi" w:cstheme="majorHAnsi"/>
          <w:szCs w:val="24"/>
        </w:rPr>
        <w:t>ylor and Francis, 2016, a</w:t>
      </w:r>
      <w:r w:rsidRPr="00BC4FAB">
        <w:rPr>
          <w:rFonts w:asciiTheme="majorHAnsi" w:hAnsiTheme="majorHAnsi" w:cstheme="majorHAnsi"/>
          <w:szCs w:val="24"/>
        </w:rPr>
        <w:t xml:space="preserve">ccessed November 30,2016. </w:t>
      </w:r>
      <w:hyperlink r:id="rId11" w:history="1">
        <w:r w:rsidRPr="00BC4FAB">
          <w:rPr>
            <w:rStyle w:val="Hyperlink"/>
            <w:rFonts w:asciiTheme="majorHAnsi" w:hAnsiTheme="majorHAnsi" w:cstheme="majorHAnsi"/>
            <w:color w:val="auto"/>
            <w:szCs w:val="24"/>
            <w:u w:val="none"/>
          </w:rPr>
          <w:t>https://www.rem.routledge.com</w:t>
        </w:r>
      </w:hyperlink>
      <w:r w:rsidRPr="00BC4FAB">
        <w:rPr>
          <w:rFonts w:asciiTheme="majorHAnsi" w:hAnsiTheme="majorHAnsi" w:cstheme="majorHAnsi"/>
          <w:szCs w:val="24"/>
        </w:rPr>
        <w:t>/ articles/kiowa-5.</w:t>
      </w:r>
    </w:p>
  </w:footnote>
  <w:footnote w:id="223">
    <w:p w14:paraId="2E533741" w14:textId="78902B56"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See, for example, Bruce Bernstein, “Art for the Sake of Life,” in Bruce Bernstein and W. Jackson Rushing III, </w:t>
      </w:r>
      <w:r w:rsidRPr="00BC4FAB">
        <w:rPr>
          <w:rFonts w:asciiTheme="majorHAnsi" w:hAnsiTheme="majorHAnsi" w:cstheme="majorHAnsi"/>
          <w:i/>
        </w:rPr>
        <w:t>Modern By Tradition: American Indian Painting in the Studio Style</w:t>
      </w:r>
      <w:r w:rsidRPr="00BC4FAB">
        <w:rPr>
          <w:rFonts w:asciiTheme="majorHAnsi" w:hAnsiTheme="majorHAnsi" w:cstheme="majorHAnsi"/>
        </w:rPr>
        <w:t xml:space="preserve"> (Museum of New Mexico Press, 1995), 3-26; David W. Penney and Lisa Roberts, “America’s Pueblo Artists: Encounters on the Borderland,” in W. Jackson Rushing III, ed., </w:t>
      </w:r>
      <w:r w:rsidRPr="00BC4FAB">
        <w:rPr>
          <w:rFonts w:asciiTheme="majorHAnsi" w:hAnsiTheme="majorHAnsi" w:cstheme="majorHAnsi"/>
          <w:i/>
        </w:rPr>
        <w:t>Native American Art in the Twentieth Century</w:t>
      </w:r>
      <w:r w:rsidRPr="00BC4FAB">
        <w:rPr>
          <w:rFonts w:asciiTheme="majorHAnsi" w:hAnsiTheme="majorHAnsi" w:cstheme="majorHAnsi"/>
        </w:rPr>
        <w:t xml:space="preserve"> (London and New York: Routledge, 1999); Michelle McGeough, “Progressive Education and the Santa Fe Indian School,” in Michelle McGeough, ed., </w:t>
      </w:r>
      <w:r w:rsidRPr="00BC4FAB">
        <w:rPr>
          <w:rFonts w:asciiTheme="majorHAnsi" w:hAnsiTheme="majorHAnsi" w:cstheme="majorHAnsi"/>
          <w:i/>
        </w:rPr>
        <w:t>Through Their Eyes: Indian Painting in Santa Fe, 1918-1945</w:t>
      </w:r>
      <w:r w:rsidRPr="00BC4FAB">
        <w:rPr>
          <w:rFonts w:asciiTheme="majorHAnsi" w:hAnsiTheme="majorHAnsi" w:cstheme="majorHAnsi"/>
        </w:rPr>
        <w:t xml:space="preserve"> (Santa Fe, NM: Wheelwright Museum of the American Indian, 2009), 17-42.</w:t>
      </w:r>
    </w:p>
  </w:footnote>
  <w:footnote w:id="224">
    <w:p w14:paraId="497B9539" w14:textId="52ED6450"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Alexandre Hogue, “Pueblo Tribes Aesthetic Giants, Indian Art Reveals,” </w:t>
      </w:r>
      <w:r w:rsidRPr="00BC4FAB">
        <w:rPr>
          <w:rFonts w:asciiTheme="majorHAnsi" w:hAnsiTheme="majorHAnsi" w:cstheme="majorHAnsi"/>
          <w:i/>
        </w:rPr>
        <w:t>El Palacio</w:t>
      </w:r>
      <w:r w:rsidRPr="00BC4FAB">
        <w:rPr>
          <w:rFonts w:asciiTheme="majorHAnsi" w:hAnsiTheme="majorHAnsi" w:cstheme="majorHAnsi"/>
        </w:rPr>
        <w:t xml:space="preserve"> 24, no. 12</w:t>
      </w:r>
      <w:r w:rsidR="006C0059">
        <w:rPr>
          <w:rFonts w:asciiTheme="majorHAnsi" w:hAnsiTheme="majorHAnsi" w:cstheme="majorHAnsi"/>
        </w:rPr>
        <w:t xml:space="preserve"> 1 </w:t>
      </w:r>
      <w:r w:rsidRPr="00BC4FAB">
        <w:rPr>
          <w:rFonts w:asciiTheme="majorHAnsi" w:hAnsiTheme="majorHAnsi" w:cstheme="majorHAnsi"/>
        </w:rPr>
        <w:t>(1928), 214-218.</w:t>
      </w:r>
    </w:p>
  </w:footnote>
  <w:footnote w:id="225">
    <w:p w14:paraId="6FA54F5E" w14:textId="5410F217"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Taos models were well aware that TSA artists made a relative fortune off their likenesses, as evidenced by a strike organized by the models, probably in the early 1920s. The models protested their meager pay (twenty-five cents an hour) as compared to the prices, often in the hundreds of dollars, realized by TSA artist’s for their paintings. See Forrest Fenn, </w:t>
      </w:r>
      <w:r w:rsidRPr="00BC4FAB">
        <w:rPr>
          <w:rFonts w:asciiTheme="majorHAnsi" w:hAnsiTheme="majorHAnsi" w:cstheme="majorHAnsi"/>
          <w:i/>
        </w:rPr>
        <w:t>Teepee Smoke</w:t>
      </w:r>
      <w:r w:rsidRPr="00BC4FAB">
        <w:rPr>
          <w:rFonts w:asciiTheme="majorHAnsi" w:hAnsiTheme="majorHAnsi" w:cstheme="majorHAnsi"/>
        </w:rPr>
        <w:t>, 237.</w:t>
      </w:r>
    </w:p>
  </w:footnote>
  <w:footnote w:id="226">
    <w:p w14:paraId="33E2AC0E" w14:textId="665DAA17"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Thomas Hoving, </w:t>
      </w:r>
      <w:r w:rsidRPr="00BC4FAB">
        <w:rPr>
          <w:rFonts w:asciiTheme="majorHAnsi" w:hAnsiTheme="majorHAnsi" w:cstheme="majorHAnsi"/>
          <w:i/>
        </w:rPr>
        <w:t>The Art of Dan Namingha</w:t>
      </w:r>
      <w:r w:rsidRPr="00BC4FAB">
        <w:rPr>
          <w:rFonts w:asciiTheme="majorHAnsi" w:hAnsiTheme="majorHAnsi" w:cstheme="majorHAnsi"/>
        </w:rPr>
        <w:t xml:space="preserve"> (New York: Harry N. Abrams, 2000), 11. Hoving points out that the sacred mesas of Hopi recur in many of Namingha’s otherwise abstract paintings.</w:t>
      </w:r>
    </w:p>
  </w:footnote>
  <w:footnote w:id="227">
    <w:p w14:paraId="10265B4B" w14:textId="4C8F8818"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Watson, “Stylistic Plurality in the Paintings of Albert Looking Elk,” p. 62. Watson points out that some white patrons, most notably Mary Cabott Wheelwright, hired Looking Elk to complete “authentic” Pueblo paintings, i.e., non-three-dimensional watercolors of Pueblo events and ceremonies. Not practiced in this style, Looking Elk’s watercolors are generally considered much weaker in execution.</w:t>
      </w:r>
    </w:p>
  </w:footnote>
  <w:footnote w:id="228">
    <w:p w14:paraId="71C47A35" w14:textId="3C5373B0"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Taylor, “Lujan,” 60.</w:t>
      </w:r>
    </w:p>
  </w:footnote>
  <w:footnote w:id="229">
    <w:p w14:paraId="57A255A4" w14:textId="4D665035"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Wyckoff, </w:t>
      </w:r>
      <w:r w:rsidRPr="00BC4FAB">
        <w:rPr>
          <w:rFonts w:asciiTheme="majorHAnsi" w:hAnsiTheme="majorHAnsi" w:cstheme="majorHAnsi"/>
          <w:i/>
        </w:rPr>
        <w:t>Visions and Voices</w:t>
      </w:r>
      <w:r w:rsidRPr="00BC4FAB">
        <w:rPr>
          <w:rFonts w:asciiTheme="majorHAnsi" w:hAnsiTheme="majorHAnsi" w:cstheme="majorHAnsi"/>
        </w:rPr>
        <w:t>, 172.</w:t>
      </w:r>
    </w:p>
  </w:footnote>
  <w:footnote w:id="230">
    <w:p w14:paraId="19F65B14" w14:textId="61D36043"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Gwyneira Isaac, </w:t>
      </w:r>
      <w:r w:rsidRPr="00BC4FAB">
        <w:rPr>
          <w:rFonts w:asciiTheme="majorHAnsi" w:hAnsiTheme="majorHAnsi" w:cstheme="majorHAnsi"/>
          <w:i/>
        </w:rPr>
        <w:t>Mediating Knowledges: Origins of a Zuni Tribal Museum</w:t>
      </w:r>
      <w:r w:rsidRPr="00BC4FAB">
        <w:rPr>
          <w:rFonts w:asciiTheme="majorHAnsi" w:hAnsiTheme="majorHAnsi" w:cstheme="majorHAnsi"/>
        </w:rPr>
        <w:t xml:space="preserve"> (Tucson, AZ, 2007), 56-57.  </w:t>
      </w:r>
    </w:p>
  </w:footnote>
  <w:footnote w:id="231">
    <w:p w14:paraId="2DC9084F" w14:textId="6F3F5B38"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006C0059">
        <w:rPr>
          <w:rFonts w:asciiTheme="majorHAnsi" w:hAnsiTheme="majorHAnsi" w:cstheme="majorHAnsi"/>
        </w:rPr>
        <w:t xml:space="preserve"> </w:t>
      </w:r>
      <w:r w:rsidRPr="00BC4FAB">
        <w:rPr>
          <w:rFonts w:asciiTheme="majorHAnsi" w:hAnsiTheme="majorHAnsi" w:cstheme="majorHAnsi"/>
        </w:rPr>
        <w:t xml:space="preserve">Dilworth, </w:t>
      </w:r>
      <w:r w:rsidRPr="00BC4FAB">
        <w:rPr>
          <w:rFonts w:asciiTheme="majorHAnsi" w:hAnsiTheme="majorHAnsi" w:cstheme="majorHAnsi"/>
          <w:i/>
        </w:rPr>
        <w:t>Imagining Indians in the Southwest</w:t>
      </w:r>
      <w:r>
        <w:rPr>
          <w:rFonts w:asciiTheme="majorHAnsi" w:hAnsiTheme="majorHAnsi" w:cstheme="majorHAnsi"/>
        </w:rPr>
        <w:t>, 68.</w:t>
      </w:r>
    </w:p>
  </w:footnote>
  <w:footnote w:id="232">
    <w:p w14:paraId="6FFC1A34" w14:textId="3E26EBBA"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One or two examples of ceremonial subjects have come to light in Lujan’s body of work. See Taylor, “Lujan,” figures 6 and 7. For Looking Elk, see note 55.</w:t>
      </w:r>
    </w:p>
  </w:footnote>
  <w:footnote w:id="233">
    <w:p w14:paraId="74764FC5" w14:textId="199D431D" w:rsidR="005B1CB9" w:rsidRPr="00BC4FAB" w:rsidRDefault="005B1CB9" w:rsidP="0097066E">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According to the Taos Pueblo, archaeological records indicate the oldest sites at the Pueblo are at least one thousand years old. </w:t>
      </w:r>
      <w:r w:rsidRPr="00BC4FAB">
        <w:rPr>
          <w:rFonts w:asciiTheme="majorHAnsi" w:hAnsiTheme="majorHAnsi" w:cstheme="majorHAnsi"/>
          <w:bCs/>
        </w:rPr>
        <w:t>Hlauuma</w:t>
      </w:r>
      <w:r w:rsidRPr="00BC4FAB">
        <w:rPr>
          <w:rFonts w:asciiTheme="majorHAnsi" w:hAnsiTheme="majorHAnsi" w:cstheme="majorHAnsi"/>
        </w:rPr>
        <w:t xml:space="preserve"> (north house) and </w:t>
      </w:r>
      <w:r w:rsidRPr="00BC4FAB">
        <w:rPr>
          <w:rFonts w:asciiTheme="majorHAnsi" w:hAnsiTheme="majorHAnsi" w:cstheme="majorHAnsi"/>
          <w:bCs/>
        </w:rPr>
        <w:t>Hlaukwima</w:t>
      </w:r>
      <w:r w:rsidRPr="00BC4FAB">
        <w:rPr>
          <w:rFonts w:asciiTheme="majorHAnsi" w:hAnsiTheme="majorHAnsi" w:cstheme="majorHAnsi"/>
        </w:rPr>
        <w:t xml:space="preserve"> (south house) date from about 1500</w:t>
      </w:r>
      <w:r w:rsidR="005617CE">
        <w:rPr>
          <w:rFonts w:asciiTheme="majorHAnsi" w:hAnsiTheme="majorHAnsi" w:cstheme="majorHAnsi"/>
        </w:rPr>
        <w:t>-1550, accessed April 30, 2010.</w:t>
      </w:r>
      <w:r w:rsidRPr="00BC4FAB">
        <w:rPr>
          <w:rFonts w:asciiTheme="majorHAnsi" w:hAnsiTheme="majorHAnsi" w:cstheme="majorHAnsi"/>
        </w:rPr>
        <w:t xml:space="preserve"> </w:t>
      </w:r>
      <w:hyperlink r:id="rId12" w:history="1">
        <w:r w:rsidRPr="00BC4FAB">
          <w:rPr>
            <w:rStyle w:val="Hyperlink"/>
            <w:rFonts w:asciiTheme="majorHAnsi" w:hAnsiTheme="majorHAnsi" w:cstheme="majorHAnsi"/>
            <w:color w:val="auto"/>
            <w:u w:val="none"/>
          </w:rPr>
          <w:t>http://www.taospueblo.com/about.php</w:t>
        </w:r>
      </w:hyperlink>
      <w:r w:rsidRPr="00BC4FAB">
        <w:rPr>
          <w:rFonts w:asciiTheme="majorHAnsi" w:hAnsiTheme="majorHAnsi" w:cstheme="majorHAnsi"/>
        </w:rPr>
        <w:t>.</w:t>
      </w:r>
    </w:p>
  </w:footnote>
  <w:footnote w:id="234">
    <w:p w14:paraId="06A37515" w14:textId="163EA188"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Taos Pueblo, accessed April 30, 2010. </w:t>
      </w:r>
      <w:hyperlink r:id="rId13" w:history="1">
        <w:r w:rsidRPr="00BC4FAB">
          <w:rPr>
            <w:rStyle w:val="Hyperlink"/>
            <w:rFonts w:asciiTheme="majorHAnsi" w:hAnsiTheme="majorHAnsi" w:cstheme="majorHAnsi"/>
            <w:color w:val="auto"/>
            <w:u w:val="none"/>
          </w:rPr>
          <w:t>http://www.taospueblo.com</w:t>
        </w:r>
      </w:hyperlink>
      <w:r w:rsidRPr="00BC4FAB">
        <w:rPr>
          <w:rFonts w:asciiTheme="majorHAnsi" w:hAnsiTheme="majorHAnsi" w:cstheme="majorHAnsi"/>
        </w:rPr>
        <w:t xml:space="preserve">/ about.php </w:t>
      </w:r>
    </w:p>
  </w:footnote>
  <w:footnote w:id="235">
    <w:p w14:paraId="27834455" w14:textId="3D0FDF74"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Taos Pueblo website</w:t>
      </w:r>
      <w:r w:rsidR="006C0059">
        <w:rPr>
          <w:rFonts w:asciiTheme="majorHAnsi" w:hAnsiTheme="majorHAnsi" w:cstheme="majorHAnsi"/>
        </w:rPr>
        <w:t>, a</w:t>
      </w:r>
      <w:r w:rsidRPr="00BC4FAB">
        <w:rPr>
          <w:rFonts w:asciiTheme="majorHAnsi" w:hAnsiTheme="majorHAnsi" w:cstheme="majorHAnsi"/>
        </w:rPr>
        <w:t xml:space="preserve">ccessed April 30, 2010. </w:t>
      </w:r>
      <w:hyperlink r:id="rId14" w:history="1">
        <w:r w:rsidRPr="00BC4FAB">
          <w:rPr>
            <w:rStyle w:val="Hyperlink"/>
            <w:rFonts w:asciiTheme="majorHAnsi" w:hAnsiTheme="majorHAnsi" w:cstheme="majorHAnsi"/>
            <w:color w:val="auto"/>
            <w:u w:val="none"/>
          </w:rPr>
          <w:t>http://www.taospueblo.com</w:t>
        </w:r>
      </w:hyperlink>
      <w:r w:rsidRPr="00BC4FAB">
        <w:rPr>
          <w:rFonts w:asciiTheme="majorHAnsi" w:hAnsiTheme="majorHAnsi" w:cstheme="majorHAnsi"/>
        </w:rPr>
        <w:t>/ about.php. This six-decade effort paid off in 1970, when in a landmark reversal, the Nixon administration decided to return the 48,000 acres of mountain land.</w:t>
      </w:r>
    </w:p>
  </w:footnote>
  <w:footnote w:id="236">
    <w:p w14:paraId="696F985C" w14:textId="3A41011F"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Ironically, one of Looking Elk’s 5 x 7 inch paintings may have been mailed as a postcard. See Watson, “Stylistic Plurality in the Paintings of Albert Looking Elk,” 64.</w:t>
      </w:r>
    </w:p>
  </w:footnote>
  <w:footnote w:id="237">
    <w:p w14:paraId="7934FA6E" w14:textId="38632A2F"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006C0059">
        <w:rPr>
          <w:rFonts w:asciiTheme="majorHAnsi" w:hAnsiTheme="majorHAnsi" w:cstheme="majorHAnsi"/>
        </w:rPr>
        <w:t xml:space="preserve"> </w:t>
      </w:r>
      <w:r w:rsidRPr="00BC4FAB">
        <w:rPr>
          <w:rFonts w:asciiTheme="majorHAnsi" w:hAnsiTheme="majorHAnsi" w:cstheme="majorHAnsi"/>
        </w:rPr>
        <w:t xml:space="preserve">Kirshenblatt-Gimblett, </w:t>
      </w:r>
      <w:r w:rsidRPr="00BC4FAB">
        <w:rPr>
          <w:rFonts w:asciiTheme="majorHAnsi" w:hAnsiTheme="majorHAnsi" w:cstheme="majorHAnsi"/>
          <w:i/>
        </w:rPr>
        <w:t>Destination Culture</w:t>
      </w:r>
      <w:r w:rsidRPr="00BC4FAB">
        <w:rPr>
          <w:rFonts w:asciiTheme="majorHAnsi" w:hAnsiTheme="majorHAnsi" w:cstheme="majorHAnsi"/>
        </w:rPr>
        <w:t>, 51.</w:t>
      </w:r>
    </w:p>
  </w:footnote>
  <w:footnote w:id="238">
    <w:p w14:paraId="1E9E3E26" w14:textId="58498C3E"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Ibid, 54.</w:t>
      </w:r>
    </w:p>
  </w:footnote>
  <w:footnote w:id="239">
    <w:p w14:paraId="06BDF608" w14:textId="67D6C666" w:rsidR="005B1CB9" w:rsidRPr="00BC4FAB" w:rsidRDefault="005B1CB9" w:rsidP="0097066E">
      <w:pPr>
        <w:pStyle w:val="FootnoteText"/>
        <w:ind w:firstLine="720"/>
        <w:rPr>
          <w:rFonts w:asciiTheme="majorHAnsi" w:hAnsiTheme="majorHAnsi" w:cstheme="majorHAnsi"/>
          <w:sz w:val="24"/>
          <w:szCs w:val="24"/>
        </w:rPr>
      </w:pPr>
      <w:r w:rsidRPr="00BC4FAB">
        <w:rPr>
          <w:rStyle w:val="FootnoteReference"/>
          <w:rFonts w:asciiTheme="majorHAnsi" w:hAnsiTheme="majorHAnsi" w:cstheme="majorHAnsi"/>
          <w:sz w:val="24"/>
          <w:szCs w:val="24"/>
        </w:rPr>
        <w:footnoteRef/>
      </w:r>
      <w:r w:rsidRPr="00BC4FAB">
        <w:rPr>
          <w:rFonts w:asciiTheme="majorHAnsi" w:hAnsiTheme="majorHAnsi" w:cstheme="majorHAnsi"/>
          <w:sz w:val="24"/>
          <w:szCs w:val="24"/>
        </w:rPr>
        <w:t xml:space="preserve"> I experienced just such an effect when I purchased three small paintings by Geraldine Lujan on a visit to Taos Pueblo in 2009. </w:t>
      </w:r>
    </w:p>
  </w:footnote>
  <w:footnote w:id="240">
    <w:p w14:paraId="4C7E1E2E" w14:textId="154601F2"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Christopher B. Steiner, “Authenticity, Repetition, and the Aesthetics of Seriality: The Work of Tourist Art in the Age of Mechanical Reproduction,” in Ruth B. Phillips and Christopher B. Steiner, eds., </w:t>
      </w:r>
      <w:r w:rsidRPr="00BC4FAB">
        <w:rPr>
          <w:rFonts w:asciiTheme="majorHAnsi" w:hAnsiTheme="majorHAnsi" w:cstheme="majorHAnsi"/>
          <w:i/>
        </w:rPr>
        <w:t>Unpacking Culture: Art and Commodity in Colonial and Postcolonial Worlds</w:t>
      </w:r>
      <w:r w:rsidRPr="00BC4FAB">
        <w:rPr>
          <w:rFonts w:asciiTheme="majorHAnsi" w:hAnsiTheme="majorHAnsi" w:cstheme="majorHAnsi"/>
        </w:rPr>
        <w:t xml:space="preserve"> (Berkley: University of California Press, 1999), 93-94.</w:t>
      </w:r>
    </w:p>
  </w:footnote>
  <w:footnote w:id="241">
    <w:p w14:paraId="13BB4EB2" w14:textId="1D256CEF" w:rsidR="005B1CB9" w:rsidRPr="00BC4FAB" w:rsidRDefault="005B1CB9" w:rsidP="002B317C">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006C0059">
        <w:rPr>
          <w:rFonts w:asciiTheme="majorHAnsi" w:hAnsiTheme="majorHAnsi" w:cstheme="majorHAnsi"/>
        </w:rPr>
        <w:t xml:space="preserve"> For Juan Mirabal, see </w:t>
      </w:r>
      <w:r w:rsidRPr="00BC4FAB">
        <w:rPr>
          <w:rFonts w:asciiTheme="majorHAnsi" w:hAnsiTheme="majorHAnsi" w:cstheme="majorHAnsi"/>
        </w:rPr>
        <w:t xml:space="preserve">Witt et al, </w:t>
      </w:r>
      <w:r w:rsidRPr="00BC4FAB">
        <w:rPr>
          <w:rFonts w:asciiTheme="majorHAnsi" w:hAnsiTheme="majorHAnsi" w:cstheme="majorHAnsi"/>
          <w:i/>
        </w:rPr>
        <w:t>Three Taos Painters</w:t>
      </w:r>
      <w:r w:rsidRPr="00BC4FAB">
        <w:rPr>
          <w:rFonts w:asciiTheme="majorHAnsi" w:hAnsiTheme="majorHAnsi" w:cstheme="majorHAnsi"/>
        </w:rPr>
        <w:t xml:space="preserve">, 2003; Elmo Bacca, “Taos Pueblo Painters,” </w:t>
      </w:r>
      <w:r w:rsidRPr="00BC4FAB">
        <w:rPr>
          <w:rFonts w:asciiTheme="majorHAnsi" w:hAnsiTheme="majorHAnsi" w:cstheme="majorHAnsi"/>
          <w:i/>
        </w:rPr>
        <w:t>New Mexico Magazine</w:t>
      </w:r>
      <w:r w:rsidRPr="00BC4FAB">
        <w:rPr>
          <w:rFonts w:asciiTheme="majorHAnsi" w:hAnsiTheme="majorHAnsi" w:cstheme="majorHAnsi"/>
        </w:rPr>
        <w:t xml:space="preserve"> 81, no 1 (January 2003): 64-68; and Norman K. Denzin, </w:t>
      </w:r>
      <w:r w:rsidRPr="00BC4FAB">
        <w:rPr>
          <w:rStyle w:val="a-size-extra-large"/>
          <w:rFonts w:asciiTheme="majorHAnsi" w:hAnsiTheme="majorHAnsi" w:cstheme="majorHAnsi"/>
          <w:i/>
          <w:color w:val="111111"/>
        </w:rPr>
        <w:t>Indians in Color: Native Art, Identity, and Performance in the New West</w:t>
      </w:r>
      <w:r w:rsidRPr="00BC4FAB">
        <w:rPr>
          <w:rFonts w:asciiTheme="majorHAnsi" w:hAnsiTheme="majorHAnsi" w:cstheme="majorHAnsi"/>
        </w:rPr>
        <w:t xml:space="preserve"> (</w:t>
      </w:r>
      <w:r w:rsidRPr="00BC4FAB">
        <w:rPr>
          <w:rFonts w:asciiTheme="majorHAnsi" w:hAnsiTheme="majorHAnsi" w:cstheme="majorHAnsi"/>
          <w:color w:val="222222"/>
          <w:shd w:val="clear" w:color="auto" w:fill="FFFFFF"/>
        </w:rPr>
        <w:t>Lond</w:t>
      </w:r>
      <w:r>
        <w:rPr>
          <w:rFonts w:asciiTheme="majorHAnsi" w:hAnsiTheme="majorHAnsi" w:cstheme="majorHAnsi"/>
          <w:color w:val="222222"/>
          <w:shd w:val="clear" w:color="auto" w:fill="FFFFFF"/>
        </w:rPr>
        <w:t>on: Routledge, 2015), 111-114.</w:t>
      </w:r>
    </w:p>
  </w:footnote>
  <w:footnote w:id="242">
    <w:p w14:paraId="279C67AA" w14:textId="18FB750F" w:rsidR="005B1CB9" w:rsidRPr="00BC4FAB" w:rsidRDefault="005B1CB9" w:rsidP="002B317C">
      <w:pPr>
        <w:pStyle w:val="FootnoteText"/>
        <w:ind w:firstLine="720"/>
        <w:rPr>
          <w:rFonts w:asciiTheme="majorHAnsi" w:hAnsiTheme="majorHAnsi" w:cstheme="majorHAnsi"/>
          <w:sz w:val="24"/>
          <w:szCs w:val="24"/>
        </w:rPr>
      </w:pPr>
      <w:r w:rsidRPr="00BC4FAB">
        <w:rPr>
          <w:rStyle w:val="FootnoteReference"/>
          <w:rFonts w:asciiTheme="majorHAnsi" w:hAnsiTheme="majorHAnsi" w:cstheme="majorHAnsi"/>
          <w:sz w:val="24"/>
          <w:szCs w:val="24"/>
        </w:rPr>
        <w:footnoteRef/>
      </w:r>
      <w:r w:rsidRPr="00BC4FAB">
        <w:rPr>
          <w:rFonts w:asciiTheme="majorHAnsi" w:hAnsiTheme="majorHAnsi" w:cstheme="majorHAnsi"/>
          <w:sz w:val="24"/>
          <w:szCs w:val="24"/>
        </w:rPr>
        <w:t xml:space="preserve"> Bac</w:t>
      </w:r>
      <w:r>
        <w:rPr>
          <w:rFonts w:asciiTheme="majorHAnsi" w:hAnsiTheme="majorHAnsi" w:cstheme="majorHAnsi"/>
          <w:sz w:val="24"/>
          <w:szCs w:val="24"/>
        </w:rPr>
        <w:t>ca, “Taos Pueblo Painters,” 67.</w:t>
      </w:r>
    </w:p>
  </w:footnote>
  <w:footnote w:id="243">
    <w:p w14:paraId="103485E4" w14:textId="02EB21FF" w:rsidR="005B1CB9" w:rsidRPr="00BC4FAB" w:rsidRDefault="005B1CB9" w:rsidP="00D15BF4">
      <w:pPr>
        <w:pStyle w:val="FootnoteText"/>
        <w:ind w:firstLine="720"/>
        <w:rPr>
          <w:rFonts w:asciiTheme="majorHAnsi" w:hAnsiTheme="majorHAnsi" w:cstheme="majorHAnsi"/>
          <w:sz w:val="24"/>
          <w:szCs w:val="24"/>
        </w:rPr>
      </w:pPr>
      <w:r w:rsidRPr="00BC4FAB">
        <w:rPr>
          <w:rStyle w:val="FootnoteReference"/>
          <w:rFonts w:asciiTheme="majorHAnsi" w:hAnsiTheme="majorHAnsi" w:cstheme="majorHAnsi"/>
          <w:sz w:val="24"/>
          <w:szCs w:val="24"/>
        </w:rPr>
        <w:footnoteRef/>
      </w:r>
      <w:r>
        <w:rPr>
          <w:rFonts w:asciiTheme="majorHAnsi" w:hAnsiTheme="majorHAnsi" w:cstheme="majorHAnsi"/>
          <w:sz w:val="24"/>
          <w:szCs w:val="24"/>
        </w:rPr>
        <w:t xml:space="preserve"> Ibid, 68.</w:t>
      </w:r>
    </w:p>
  </w:footnote>
  <w:footnote w:id="244">
    <w:p w14:paraId="4BC1982B" w14:textId="1237F92D"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Mirabal painted a fresco at a private residence, which is now the Adobe and Pines Inn, Rancho de Taos, NM. See Witt, </w:t>
      </w:r>
      <w:r w:rsidRPr="00BC4FAB">
        <w:rPr>
          <w:rFonts w:asciiTheme="majorHAnsi" w:hAnsiTheme="majorHAnsi" w:cstheme="majorHAnsi"/>
          <w:i/>
        </w:rPr>
        <w:t>Three Taos Painters</w:t>
      </w:r>
      <w:r w:rsidRPr="00BC4FAB">
        <w:rPr>
          <w:rFonts w:asciiTheme="majorHAnsi" w:hAnsiTheme="majorHAnsi" w:cstheme="majorHAnsi"/>
        </w:rPr>
        <w:t>, 15.</w:t>
      </w:r>
    </w:p>
  </w:footnote>
  <w:footnote w:id="245">
    <w:p w14:paraId="1C914162" w14:textId="1B6855B2" w:rsidR="005B1CB9" w:rsidRPr="00BC4FAB" w:rsidRDefault="005B1CB9" w:rsidP="00C37A50">
      <w:pPr>
        <w:spacing w:line="240" w:lineRule="auto"/>
        <w:ind w:firstLine="720"/>
        <w:rPr>
          <w:rFonts w:asciiTheme="majorHAnsi" w:hAnsiTheme="majorHAnsi" w:cstheme="majorHAnsi"/>
        </w:rPr>
      </w:pPr>
      <w:r w:rsidRPr="00BC4FAB">
        <w:rPr>
          <w:rStyle w:val="FootnoteReference"/>
          <w:rFonts w:asciiTheme="majorHAnsi" w:hAnsiTheme="majorHAnsi" w:cstheme="majorHAnsi"/>
        </w:rPr>
        <w:footnoteRef/>
      </w:r>
      <w:r w:rsidRPr="00BC4FAB">
        <w:rPr>
          <w:rFonts w:asciiTheme="majorHAnsi" w:hAnsiTheme="majorHAnsi" w:cstheme="majorHAnsi"/>
        </w:rPr>
        <w:t xml:space="preserve"> </w:t>
      </w:r>
      <w:r w:rsidRPr="00BC4FAB">
        <w:rPr>
          <w:rFonts w:asciiTheme="majorHAnsi" w:hAnsiTheme="majorHAnsi" w:cstheme="majorHAnsi"/>
          <w:i/>
        </w:rPr>
        <w:t>Taos News</w:t>
      </w:r>
      <w:r w:rsidRPr="00BC4FAB">
        <w:rPr>
          <w:rFonts w:asciiTheme="majorHAnsi" w:hAnsiTheme="majorHAnsi" w:cstheme="majorHAnsi"/>
        </w:rPr>
        <w:t>, “</w:t>
      </w:r>
      <w:r w:rsidRPr="00BC4FAB">
        <w:rPr>
          <w:rFonts w:asciiTheme="majorHAnsi" w:hAnsiTheme="majorHAnsi" w:cstheme="majorHAnsi"/>
          <w:bCs/>
        </w:rPr>
        <w:t xml:space="preserve">Sacred Tradition: San Geronimo Feast Day is celebrated at Taos Pueblo,” accessed October 13, 2016. </w:t>
      </w:r>
      <w:hyperlink r:id="rId15" w:history="1">
        <w:r w:rsidRPr="00BC4FAB">
          <w:rPr>
            <w:rStyle w:val="Hyperlink"/>
            <w:rFonts w:asciiTheme="majorHAnsi" w:hAnsiTheme="majorHAnsi" w:cstheme="majorHAnsi"/>
            <w:color w:val="auto"/>
            <w:u w:val="none"/>
          </w:rPr>
          <w:t>http://www.taosnews.com/news/sacred-tradition-san-geronimo-feast-day-is-celebrated-at-taos/article_634cc91c-4cbb-54b8-b6b4-7853277f 92bc.html</w:t>
        </w:r>
      </w:hyperlink>
      <w:r w:rsidRPr="00BC4FAB">
        <w:rPr>
          <w:rFonts w:asciiTheme="majorHAnsi" w:hAnsiTheme="majorHAnsi" w:cstheme="majorHAnsi"/>
        </w:rPr>
        <w:t>. San Geronimo day is</w:t>
      </w:r>
      <w:r>
        <w:rPr>
          <w:rFonts w:asciiTheme="majorHAnsi" w:hAnsiTheme="majorHAnsi" w:cstheme="majorHAnsi"/>
        </w:rPr>
        <w:t xml:space="preserve"> celebrated every September 30.</w:t>
      </w:r>
    </w:p>
  </w:footnote>
  <w:footnote w:id="246">
    <w:p w14:paraId="5FF2EB00" w14:textId="00AD3872" w:rsidR="005B1CB9" w:rsidRPr="00BC4FAB" w:rsidRDefault="005B1CB9" w:rsidP="006F41AD">
      <w:pPr>
        <w:pStyle w:val="FootnoteText"/>
        <w:ind w:firstLine="720"/>
        <w:rPr>
          <w:rFonts w:asciiTheme="majorHAnsi" w:hAnsiTheme="majorHAnsi" w:cstheme="majorHAnsi"/>
          <w:sz w:val="24"/>
          <w:szCs w:val="24"/>
        </w:rPr>
      </w:pPr>
      <w:r w:rsidRPr="00BC4FAB">
        <w:rPr>
          <w:rStyle w:val="FootnoteReference"/>
          <w:rFonts w:asciiTheme="majorHAnsi" w:hAnsiTheme="majorHAnsi" w:cstheme="majorHAnsi"/>
          <w:sz w:val="24"/>
          <w:szCs w:val="24"/>
        </w:rPr>
        <w:footnoteRef/>
      </w:r>
      <w:r w:rsidRPr="00BC4FAB">
        <w:rPr>
          <w:rFonts w:asciiTheme="majorHAnsi" w:hAnsiTheme="majorHAnsi" w:cstheme="majorHAnsi"/>
          <w:sz w:val="24"/>
          <w:szCs w:val="24"/>
        </w:rPr>
        <w:t xml:space="preserve"> Harwood Museum, “Juan Mirabal,” accessed October 13, 2016. </w:t>
      </w:r>
      <w:hyperlink w:history="1">
        <w:r w:rsidRPr="00BC4FAB">
          <w:rPr>
            <w:rStyle w:val="Hyperlink"/>
            <w:rFonts w:asciiTheme="majorHAnsi" w:hAnsiTheme="majorHAnsi" w:cstheme="majorHAnsi"/>
            <w:color w:val="auto"/>
            <w:sz w:val="24"/>
            <w:szCs w:val="24"/>
            <w:u w:val="none"/>
          </w:rPr>
          <w:t>http://collections.harwood museum.org/</w:t>
        </w:r>
      </w:hyperlink>
      <w:r w:rsidRPr="00BC4FAB">
        <w:rPr>
          <w:rFonts w:asciiTheme="majorHAnsi" w:hAnsiTheme="majorHAnsi" w:cstheme="majorHAnsi"/>
          <w:sz w:val="24"/>
          <w:szCs w:val="24"/>
        </w:rPr>
        <w:t xml:space="preserve">view/objects/asitem/3500/14/title-asc?t:state:flow=20e977de-26c8-474b-ad93-41562a897eba. Although identified as parrot heads by the Harwood Museum, parrot heads are not related to Taos Pueblo symbolism. Mirabal may have known the parrot symbolism, which is more often associated with Hopi, from his time at the Santa Fe School in the early 1930s, which drew students from various Pueblos.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C38"/>
    <w:multiLevelType w:val="multilevel"/>
    <w:tmpl w:val="A41C4E0E"/>
    <w:styleLink w:val="Style2"/>
    <w:lvl w:ilvl="0">
      <w:start w:val="1"/>
      <w:numFmt w:val="none"/>
      <w:lvlText w:val="2."/>
      <w:lvlJc w:val="left"/>
      <w:pPr>
        <w:ind w:left="360" w:hanging="360"/>
      </w:pPr>
      <w:rPr>
        <w:rFonts w:ascii="Times New Roman" w:hAnsi="Times New Roman"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21E5910"/>
    <w:multiLevelType w:val="hybridMultilevel"/>
    <w:tmpl w:val="B08C9C7E"/>
    <w:lvl w:ilvl="0" w:tplc="35125984">
      <w:start w:val="2015"/>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D0515"/>
    <w:multiLevelType w:val="hybridMultilevel"/>
    <w:tmpl w:val="53C0469A"/>
    <w:lvl w:ilvl="0" w:tplc="066234FE">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2027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6D06C7B"/>
    <w:multiLevelType w:val="hybridMultilevel"/>
    <w:tmpl w:val="FCC4857C"/>
    <w:lvl w:ilvl="0" w:tplc="83B8C724">
      <w:start w:val="1"/>
      <w:numFmt w:val="bullet"/>
      <w:lvlText w:val="•"/>
      <w:lvlJc w:val="left"/>
      <w:pPr>
        <w:tabs>
          <w:tab w:val="num" w:pos="720"/>
        </w:tabs>
        <w:ind w:left="720" w:hanging="360"/>
      </w:pPr>
      <w:rPr>
        <w:rFonts w:ascii="Arial" w:hAnsi="Arial" w:hint="default"/>
      </w:rPr>
    </w:lvl>
    <w:lvl w:ilvl="1" w:tplc="6E145262" w:tentative="1">
      <w:start w:val="1"/>
      <w:numFmt w:val="bullet"/>
      <w:lvlText w:val="•"/>
      <w:lvlJc w:val="left"/>
      <w:pPr>
        <w:tabs>
          <w:tab w:val="num" w:pos="1440"/>
        </w:tabs>
        <w:ind w:left="1440" w:hanging="360"/>
      </w:pPr>
      <w:rPr>
        <w:rFonts w:ascii="Arial" w:hAnsi="Arial" w:hint="default"/>
      </w:rPr>
    </w:lvl>
    <w:lvl w:ilvl="2" w:tplc="ECD069CE" w:tentative="1">
      <w:start w:val="1"/>
      <w:numFmt w:val="bullet"/>
      <w:lvlText w:val="•"/>
      <w:lvlJc w:val="left"/>
      <w:pPr>
        <w:tabs>
          <w:tab w:val="num" w:pos="2160"/>
        </w:tabs>
        <w:ind w:left="2160" w:hanging="360"/>
      </w:pPr>
      <w:rPr>
        <w:rFonts w:ascii="Arial" w:hAnsi="Arial" w:hint="default"/>
      </w:rPr>
    </w:lvl>
    <w:lvl w:ilvl="3" w:tplc="6CEC1FAA" w:tentative="1">
      <w:start w:val="1"/>
      <w:numFmt w:val="bullet"/>
      <w:lvlText w:val="•"/>
      <w:lvlJc w:val="left"/>
      <w:pPr>
        <w:tabs>
          <w:tab w:val="num" w:pos="2880"/>
        </w:tabs>
        <w:ind w:left="2880" w:hanging="360"/>
      </w:pPr>
      <w:rPr>
        <w:rFonts w:ascii="Arial" w:hAnsi="Arial" w:hint="default"/>
      </w:rPr>
    </w:lvl>
    <w:lvl w:ilvl="4" w:tplc="03DC88EE" w:tentative="1">
      <w:start w:val="1"/>
      <w:numFmt w:val="bullet"/>
      <w:lvlText w:val="•"/>
      <w:lvlJc w:val="left"/>
      <w:pPr>
        <w:tabs>
          <w:tab w:val="num" w:pos="3600"/>
        </w:tabs>
        <w:ind w:left="3600" w:hanging="360"/>
      </w:pPr>
      <w:rPr>
        <w:rFonts w:ascii="Arial" w:hAnsi="Arial" w:hint="default"/>
      </w:rPr>
    </w:lvl>
    <w:lvl w:ilvl="5" w:tplc="ADC63686" w:tentative="1">
      <w:start w:val="1"/>
      <w:numFmt w:val="bullet"/>
      <w:lvlText w:val="•"/>
      <w:lvlJc w:val="left"/>
      <w:pPr>
        <w:tabs>
          <w:tab w:val="num" w:pos="4320"/>
        </w:tabs>
        <w:ind w:left="4320" w:hanging="360"/>
      </w:pPr>
      <w:rPr>
        <w:rFonts w:ascii="Arial" w:hAnsi="Arial" w:hint="default"/>
      </w:rPr>
    </w:lvl>
    <w:lvl w:ilvl="6" w:tplc="07E2A746" w:tentative="1">
      <w:start w:val="1"/>
      <w:numFmt w:val="bullet"/>
      <w:lvlText w:val="•"/>
      <w:lvlJc w:val="left"/>
      <w:pPr>
        <w:tabs>
          <w:tab w:val="num" w:pos="5040"/>
        </w:tabs>
        <w:ind w:left="5040" w:hanging="360"/>
      </w:pPr>
      <w:rPr>
        <w:rFonts w:ascii="Arial" w:hAnsi="Arial" w:hint="default"/>
      </w:rPr>
    </w:lvl>
    <w:lvl w:ilvl="7" w:tplc="A1302A5E" w:tentative="1">
      <w:start w:val="1"/>
      <w:numFmt w:val="bullet"/>
      <w:lvlText w:val="•"/>
      <w:lvlJc w:val="left"/>
      <w:pPr>
        <w:tabs>
          <w:tab w:val="num" w:pos="5760"/>
        </w:tabs>
        <w:ind w:left="5760" w:hanging="360"/>
      </w:pPr>
      <w:rPr>
        <w:rFonts w:ascii="Arial" w:hAnsi="Arial" w:hint="default"/>
      </w:rPr>
    </w:lvl>
    <w:lvl w:ilvl="8" w:tplc="9F82B00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9E475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75FD0"/>
    <w:multiLevelType w:val="hybridMultilevel"/>
    <w:tmpl w:val="E51607A6"/>
    <w:lvl w:ilvl="0" w:tplc="A998D3FA">
      <w:start w:val="1"/>
      <w:numFmt w:val="bullet"/>
      <w:lvlText w:val="•"/>
      <w:lvlJc w:val="left"/>
      <w:pPr>
        <w:tabs>
          <w:tab w:val="num" w:pos="720"/>
        </w:tabs>
        <w:ind w:left="720" w:hanging="360"/>
      </w:pPr>
      <w:rPr>
        <w:rFonts w:ascii="Arial" w:hAnsi="Arial" w:hint="default"/>
      </w:rPr>
    </w:lvl>
    <w:lvl w:ilvl="1" w:tplc="B0F8B8E4">
      <w:start w:val="1559"/>
      <w:numFmt w:val="bullet"/>
      <w:lvlText w:val="•"/>
      <w:lvlJc w:val="left"/>
      <w:pPr>
        <w:tabs>
          <w:tab w:val="num" w:pos="1440"/>
        </w:tabs>
        <w:ind w:left="1440" w:hanging="360"/>
      </w:pPr>
      <w:rPr>
        <w:rFonts w:ascii="Arial" w:hAnsi="Arial" w:hint="default"/>
      </w:rPr>
    </w:lvl>
    <w:lvl w:ilvl="2" w:tplc="A496B7E0">
      <w:start w:val="1"/>
      <w:numFmt w:val="bullet"/>
      <w:lvlText w:val="•"/>
      <w:lvlJc w:val="left"/>
      <w:pPr>
        <w:tabs>
          <w:tab w:val="num" w:pos="2160"/>
        </w:tabs>
        <w:ind w:left="2160" w:hanging="360"/>
      </w:pPr>
      <w:rPr>
        <w:rFonts w:ascii="Arial" w:hAnsi="Arial" w:hint="default"/>
      </w:rPr>
    </w:lvl>
    <w:lvl w:ilvl="3" w:tplc="A68481CA" w:tentative="1">
      <w:start w:val="1"/>
      <w:numFmt w:val="bullet"/>
      <w:lvlText w:val="•"/>
      <w:lvlJc w:val="left"/>
      <w:pPr>
        <w:tabs>
          <w:tab w:val="num" w:pos="2880"/>
        </w:tabs>
        <w:ind w:left="2880" w:hanging="360"/>
      </w:pPr>
      <w:rPr>
        <w:rFonts w:ascii="Arial" w:hAnsi="Arial" w:hint="default"/>
      </w:rPr>
    </w:lvl>
    <w:lvl w:ilvl="4" w:tplc="BAFCCEDC" w:tentative="1">
      <w:start w:val="1"/>
      <w:numFmt w:val="bullet"/>
      <w:lvlText w:val="•"/>
      <w:lvlJc w:val="left"/>
      <w:pPr>
        <w:tabs>
          <w:tab w:val="num" w:pos="3600"/>
        </w:tabs>
        <w:ind w:left="3600" w:hanging="360"/>
      </w:pPr>
      <w:rPr>
        <w:rFonts w:ascii="Arial" w:hAnsi="Arial" w:hint="default"/>
      </w:rPr>
    </w:lvl>
    <w:lvl w:ilvl="5" w:tplc="8A6AABE8" w:tentative="1">
      <w:start w:val="1"/>
      <w:numFmt w:val="bullet"/>
      <w:lvlText w:val="•"/>
      <w:lvlJc w:val="left"/>
      <w:pPr>
        <w:tabs>
          <w:tab w:val="num" w:pos="4320"/>
        </w:tabs>
        <w:ind w:left="4320" w:hanging="360"/>
      </w:pPr>
      <w:rPr>
        <w:rFonts w:ascii="Arial" w:hAnsi="Arial" w:hint="default"/>
      </w:rPr>
    </w:lvl>
    <w:lvl w:ilvl="6" w:tplc="78B6842A" w:tentative="1">
      <w:start w:val="1"/>
      <w:numFmt w:val="bullet"/>
      <w:lvlText w:val="•"/>
      <w:lvlJc w:val="left"/>
      <w:pPr>
        <w:tabs>
          <w:tab w:val="num" w:pos="5040"/>
        </w:tabs>
        <w:ind w:left="5040" w:hanging="360"/>
      </w:pPr>
      <w:rPr>
        <w:rFonts w:ascii="Arial" w:hAnsi="Arial" w:hint="default"/>
      </w:rPr>
    </w:lvl>
    <w:lvl w:ilvl="7" w:tplc="C20CDA7E" w:tentative="1">
      <w:start w:val="1"/>
      <w:numFmt w:val="bullet"/>
      <w:lvlText w:val="•"/>
      <w:lvlJc w:val="left"/>
      <w:pPr>
        <w:tabs>
          <w:tab w:val="num" w:pos="5760"/>
        </w:tabs>
        <w:ind w:left="5760" w:hanging="360"/>
      </w:pPr>
      <w:rPr>
        <w:rFonts w:ascii="Arial" w:hAnsi="Arial" w:hint="default"/>
      </w:rPr>
    </w:lvl>
    <w:lvl w:ilvl="8" w:tplc="B38C870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B6407A3"/>
    <w:multiLevelType w:val="hybridMultilevel"/>
    <w:tmpl w:val="5FF23474"/>
    <w:lvl w:ilvl="0" w:tplc="5C28E4F6">
      <w:start w:val="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7513C1"/>
    <w:multiLevelType w:val="multilevel"/>
    <w:tmpl w:val="00947BE4"/>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9" w15:restartNumberingAfterBreak="0">
    <w:nsid w:val="1C290B11"/>
    <w:multiLevelType w:val="hybridMultilevel"/>
    <w:tmpl w:val="369A2272"/>
    <w:lvl w:ilvl="0" w:tplc="76EA632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4A539F"/>
    <w:multiLevelType w:val="hybridMultilevel"/>
    <w:tmpl w:val="12FA88A6"/>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6738EC"/>
    <w:multiLevelType w:val="multilevel"/>
    <w:tmpl w:val="CF2EC9FC"/>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2" w15:restartNumberingAfterBreak="0">
    <w:nsid w:val="1D7D0BBC"/>
    <w:multiLevelType w:val="multilevel"/>
    <w:tmpl w:val="B226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F61BCC"/>
    <w:multiLevelType w:val="hybridMultilevel"/>
    <w:tmpl w:val="5596C22E"/>
    <w:lvl w:ilvl="0" w:tplc="27C289C8">
      <w:start w:val="2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26597"/>
    <w:multiLevelType w:val="hybridMultilevel"/>
    <w:tmpl w:val="50AE7B02"/>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257F69"/>
    <w:multiLevelType w:val="multilevel"/>
    <w:tmpl w:val="4726E97E"/>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7" w15:restartNumberingAfterBreak="0">
    <w:nsid w:val="2E5D55DF"/>
    <w:multiLevelType w:val="hybridMultilevel"/>
    <w:tmpl w:val="C428DE28"/>
    <w:lvl w:ilvl="0" w:tplc="1E144DB0">
      <w:start w:val="12"/>
      <w:numFmt w:val="bullet"/>
      <w:lvlText w:val=""/>
      <w:lvlJc w:val="left"/>
      <w:pPr>
        <w:ind w:left="1155" w:hanging="360"/>
      </w:pPr>
      <w:rPr>
        <w:rFonts w:ascii="Symbol" w:eastAsia="Times New Roman" w:hAnsi="Symbol" w:cs="Times New Roman" w:hint="default"/>
        <w:i w:val="0"/>
        <w:color w:val="000000"/>
        <w:sz w:val="27"/>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18" w15:restartNumberingAfterBreak="0">
    <w:nsid w:val="2F2E3821"/>
    <w:multiLevelType w:val="multilevel"/>
    <w:tmpl w:val="2DD81D50"/>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9" w15:restartNumberingAfterBreak="0">
    <w:nsid w:val="31A308C2"/>
    <w:multiLevelType w:val="hybridMultilevel"/>
    <w:tmpl w:val="9F1C7946"/>
    <w:lvl w:ilvl="0" w:tplc="4440DC8C">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D434B7"/>
    <w:multiLevelType w:val="hybridMultilevel"/>
    <w:tmpl w:val="1C5C591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4265883"/>
    <w:multiLevelType w:val="hybridMultilevel"/>
    <w:tmpl w:val="B62415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30545B"/>
    <w:multiLevelType w:val="multilevel"/>
    <w:tmpl w:val="C7464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B86D59"/>
    <w:multiLevelType w:val="multilevel"/>
    <w:tmpl w:val="15526090"/>
    <w:lvl w:ilvl="0">
      <w:start w:val="1"/>
      <w:numFmt w:val="decimal"/>
      <w:suff w:val="space"/>
      <w:lvlText w:val="Chapter %1"/>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6" w15:restartNumberingAfterBreak="0">
    <w:nsid w:val="429E6D20"/>
    <w:multiLevelType w:val="hybridMultilevel"/>
    <w:tmpl w:val="7F00BF16"/>
    <w:lvl w:ilvl="0" w:tplc="F93E8090">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6B7810"/>
    <w:multiLevelType w:val="multilevel"/>
    <w:tmpl w:val="2B4A066A"/>
    <w:lvl w:ilvl="0">
      <w:start w:val="1"/>
      <w:numFmt w:val="decimal"/>
      <w:lvlText w:val="%1"/>
      <w:lvlJc w:val="left"/>
      <w:pPr>
        <w:ind w:left="360" w:hanging="360"/>
      </w:pPr>
      <w:rPr>
        <w:rFonts w:ascii="Times New Roman" w:hAnsi="Times New Roman" w:hint="default"/>
        <w:b w:val="0"/>
        <w:i w:val="0"/>
        <w:sz w:val="24"/>
      </w:rPr>
    </w:lvl>
    <w:lvl w:ilvl="1">
      <w:start w:val="1"/>
      <w:numFmt w:val="decimal"/>
      <w:lvlText w:val=".2%2%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E9074A"/>
    <w:multiLevelType w:val="multilevel"/>
    <w:tmpl w:val="CEAEA54E"/>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4E0661B"/>
    <w:multiLevelType w:val="hybridMultilevel"/>
    <w:tmpl w:val="ED928ECE"/>
    <w:lvl w:ilvl="0" w:tplc="E3584CFE">
      <w:start w:val="1"/>
      <w:numFmt w:val="bullet"/>
      <w:lvlText w:val="•"/>
      <w:lvlJc w:val="left"/>
      <w:pPr>
        <w:tabs>
          <w:tab w:val="num" w:pos="720"/>
        </w:tabs>
        <w:ind w:left="720" w:hanging="360"/>
      </w:pPr>
      <w:rPr>
        <w:rFonts w:ascii="Arial" w:hAnsi="Arial" w:hint="default"/>
      </w:rPr>
    </w:lvl>
    <w:lvl w:ilvl="1" w:tplc="281ACE88">
      <w:start w:val="1559"/>
      <w:numFmt w:val="bullet"/>
      <w:lvlText w:val="•"/>
      <w:lvlJc w:val="left"/>
      <w:pPr>
        <w:tabs>
          <w:tab w:val="num" w:pos="1440"/>
        </w:tabs>
        <w:ind w:left="1440" w:hanging="360"/>
      </w:pPr>
      <w:rPr>
        <w:rFonts w:ascii="Arial" w:hAnsi="Arial" w:hint="default"/>
      </w:rPr>
    </w:lvl>
    <w:lvl w:ilvl="2" w:tplc="D7F461A0" w:tentative="1">
      <w:start w:val="1"/>
      <w:numFmt w:val="bullet"/>
      <w:lvlText w:val="•"/>
      <w:lvlJc w:val="left"/>
      <w:pPr>
        <w:tabs>
          <w:tab w:val="num" w:pos="2160"/>
        </w:tabs>
        <w:ind w:left="2160" w:hanging="360"/>
      </w:pPr>
      <w:rPr>
        <w:rFonts w:ascii="Arial" w:hAnsi="Arial" w:hint="default"/>
      </w:rPr>
    </w:lvl>
    <w:lvl w:ilvl="3" w:tplc="BDC26D00" w:tentative="1">
      <w:start w:val="1"/>
      <w:numFmt w:val="bullet"/>
      <w:lvlText w:val="•"/>
      <w:lvlJc w:val="left"/>
      <w:pPr>
        <w:tabs>
          <w:tab w:val="num" w:pos="2880"/>
        </w:tabs>
        <w:ind w:left="2880" w:hanging="360"/>
      </w:pPr>
      <w:rPr>
        <w:rFonts w:ascii="Arial" w:hAnsi="Arial" w:hint="default"/>
      </w:rPr>
    </w:lvl>
    <w:lvl w:ilvl="4" w:tplc="1DDCFF4A" w:tentative="1">
      <w:start w:val="1"/>
      <w:numFmt w:val="bullet"/>
      <w:lvlText w:val="•"/>
      <w:lvlJc w:val="left"/>
      <w:pPr>
        <w:tabs>
          <w:tab w:val="num" w:pos="3600"/>
        </w:tabs>
        <w:ind w:left="3600" w:hanging="360"/>
      </w:pPr>
      <w:rPr>
        <w:rFonts w:ascii="Arial" w:hAnsi="Arial" w:hint="default"/>
      </w:rPr>
    </w:lvl>
    <w:lvl w:ilvl="5" w:tplc="74929EC2" w:tentative="1">
      <w:start w:val="1"/>
      <w:numFmt w:val="bullet"/>
      <w:lvlText w:val="•"/>
      <w:lvlJc w:val="left"/>
      <w:pPr>
        <w:tabs>
          <w:tab w:val="num" w:pos="4320"/>
        </w:tabs>
        <w:ind w:left="4320" w:hanging="360"/>
      </w:pPr>
      <w:rPr>
        <w:rFonts w:ascii="Arial" w:hAnsi="Arial" w:hint="default"/>
      </w:rPr>
    </w:lvl>
    <w:lvl w:ilvl="6" w:tplc="E88ABD6C" w:tentative="1">
      <w:start w:val="1"/>
      <w:numFmt w:val="bullet"/>
      <w:lvlText w:val="•"/>
      <w:lvlJc w:val="left"/>
      <w:pPr>
        <w:tabs>
          <w:tab w:val="num" w:pos="5040"/>
        </w:tabs>
        <w:ind w:left="5040" w:hanging="360"/>
      </w:pPr>
      <w:rPr>
        <w:rFonts w:ascii="Arial" w:hAnsi="Arial" w:hint="default"/>
      </w:rPr>
    </w:lvl>
    <w:lvl w:ilvl="7" w:tplc="8632D6DA" w:tentative="1">
      <w:start w:val="1"/>
      <w:numFmt w:val="bullet"/>
      <w:lvlText w:val="•"/>
      <w:lvlJc w:val="left"/>
      <w:pPr>
        <w:tabs>
          <w:tab w:val="num" w:pos="5760"/>
        </w:tabs>
        <w:ind w:left="5760" w:hanging="360"/>
      </w:pPr>
      <w:rPr>
        <w:rFonts w:ascii="Arial" w:hAnsi="Arial" w:hint="default"/>
      </w:rPr>
    </w:lvl>
    <w:lvl w:ilvl="8" w:tplc="2716B8F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86B48B4"/>
    <w:multiLevelType w:val="multilevel"/>
    <w:tmpl w:val="A530B320"/>
    <w:lvl w:ilvl="0">
      <w:numFmt w:val="bullet"/>
      <w:lvlText w:val="•"/>
      <w:lvlJc w:val="left"/>
      <w:pPr>
        <w:ind w:left="720" w:hanging="360"/>
      </w:pPr>
      <w:rPr>
        <w:rFonts w:ascii="StarSymbol" w:eastAsia="OpenSymbol" w:hAnsi="StarSymbol" w:cs="OpenSymbol"/>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33" w15:restartNumberingAfterBreak="0">
    <w:nsid w:val="5A4003F1"/>
    <w:multiLevelType w:val="multilevel"/>
    <w:tmpl w:val="E2B25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2F0DFF"/>
    <w:multiLevelType w:val="multilevel"/>
    <w:tmpl w:val="CB367C8E"/>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5" w15:restartNumberingAfterBreak="0">
    <w:nsid w:val="67AE47E8"/>
    <w:multiLevelType w:val="hybridMultilevel"/>
    <w:tmpl w:val="D6F87C98"/>
    <w:lvl w:ilvl="0" w:tplc="373C5AF4">
      <w:start w:val="2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8B0F80"/>
    <w:multiLevelType w:val="hybridMultilevel"/>
    <w:tmpl w:val="555062D2"/>
    <w:lvl w:ilvl="0" w:tplc="D5E67790">
      <w:start w:val="5"/>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3613ED"/>
    <w:multiLevelType w:val="multilevel"/>
    <w:tmpl w:val="0409001D"/>
    <w:styleLink w:val="Style1"/>
    <w:lvl w:ilvl="0">
      <w:start w:val="1"/>
      <w:numFmt w:val="decimal"/>
      <w:lvlText w:val="%1)"/>
      <w:lvlJc w:val="left"/>
      <w:pPr>
        <w:ind w:left="36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47867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7B8853CF"/>
    <w:multiLevelType w:val="multilevel"/>
    <w:tmpl w:val="A41C4E0E"/>
    <w:numStyleLink w:val="Style2"/>
  </w:abstractNum>
  <w:num w:numId="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num>
  <w:num w:numId="3">
    <w:abstractNumId w:val="21"/>
  </w:num>
  <w:num w:numId="4">
    <w:abstractNumId w:val="14"/>
  </w:num>
  <w:num w:numId="5">
    <w:abstractNumId w:val="24"/>
  </w:num>
  <w:num w:numId="6">
    <w:abstractNumId w:val="28"/>
  </w:num>
  <w:num w:numId="7">
    <w:abstractNumId w:val="30"/>
  </w:num>
  <w:num w:numId="8">
    <w:abstractNumId w:val="2"/>
  </w:num>
  <w:num w:numId="9">
    <w:abstractNumId w:val="4"/>
  </w:num>
  <w:num w:numId="10">
    <w:abstractNumId w:val="6"/>
  </w:num>
  <w:num w:numId="11">
    <w:abstractNumId w:val="31"/>
  </w:num>
  <w:num w:numId="12">
    <w:abstractNumId w:val="19"/>
  </w:num>
  <w:num w:numId="13">
    <w:abstractNumId w:val="26"/>
  </w:num>
  <w:num w:numId="14">
    <w:abstractNumId w:val="12"/>
  </w:num>
  <w:num w:numId="15">
    <w:abstractNumId w:val="9"/>
  </w:num>
  <w:num w:numId="16">
    <w:abstractNumId w:val="33"/>
  </w:num>
  <w:num w:numId="17">
    <w:abstractNumId w:val="8"/>
  </w:num>
  <w:num w:numId="18">
    <w:abstractNumId w:val="18"/>
  </w:num>
  <w:num w:numId="19">
    <w:abstractNumId w:val="11"/>
  </w:num>
  <w:num w:numId="20">
    <w:abstractNumId w:val="16"/>
  </w:num>
  <w:num w:numId="21">
    <w:abstractNumId w:val="32"/>
  </w:num>
  <w:num w:numId="22">
    <w:abstractNumId w:val="7"/>
  </w:num>
  <w:num w:numId="23">
    <w:abstractNumId w:val="36"/>
  </w:num>
  <w:num w:numId="24">
    <w:abstractNumId w:val="23"/>
  </w:num>
  <w:num w:numId="25">
    <w:abstractNumId w:val="13"/>
  </w:num>
  <w:num w:numId="26">
    <w:abstractNumId w:val="35"/>
  </w:num>
  <w:num w:numId="27">
    <w:abstractNumId w:val="27"/>
  </w:num>
  <w:num w:numId="28">
    <w:abstractNumId w:val="5"/>
  </w:num>
  <w:num w:numId="29">
    <w:abstractNumId w:val="3"/>
  </w:num>
  <w:num w:numId="30">
    <w:abstractNumId w:val="37"/>
  </w:num>
  <w:num w:numId="31">
    <w:abstractNumId w:val="0"/>
  </w:num>
  <w:num w:numId="32">
    <w:abstractNumId w:val="40"/>
  </w:num>
  <w:num w:numId="33">
    <w:abstractNumId w:val="38"/>
  </w:num>
  <w:num w:numId="34">
    <w:abstractNumId w:val="34"/>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25"/>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2"/>
  </w:num>
  <w:num w:numId="40">
    <w:abstractNumId w:val="15"/>
  </w:num>
  <w:num w:numId="41">
    <w:abstractNumId w:val="17"/>
  </w:num>
  <w:num w:numId="42">
    <w:abstractNumId w:val="20"/>
  </w:num>
  <w:num w:numId="43">
    <w:abstractNumId w:val="1"/>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hdrShapeDefaults>
    <o:shapedefaults v:ext="edit" spidmax="2049"/>
  </w:hdrShapeDefaults>
  <w:footnotePr>
    <w:numRestart w:val="eachSect"/>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D2F"/>
    <w:rsid w:val="00002CC2"/>
    <w:rsid w:val="0000424F"/>
    <w:rsid w:val="00015B5C"/>
    <w:rsid w:val="00017EAF"/>
    <w:rsid w:val="0002059B"/>
    <w:rsid w:val="00025A12"/>
    <w:rsid w:val="0003369E"/>
    <w:rsid w:val="000354AA"/>
    <w:rsid w:val="00037120"/>
    <w:rsid w:val="000373B3"/>
    <w:rsid w:val="00037456"/>
    <w:rsid w:val="00040362"/>
    <w:rsid w:val="00041B04"/>
    <w:rsid w:val="00044558"/>
    <w:rsid w:val="00046E97"/>
    <w:rsid w:val="00050B1F"/>
    <w:rsid w:val="000520D6"/>
    <w:rsid w:val="0005374D"/>
    <w:rsid w:val="000540B1"/>
    <w:rsid w:val="00054F0D"/>
    <w:rsid w:val="0005617F"/>
    <w:rsid w:val="00076262"/>
    <w:rsid w:val="00076B36"/>
    <w:rsid w:val="00077A99"/>
    <w:rsid w:val="00077F0A"/>
    <w:rsid w:val="00081384"/>
    <w:rsid w:val="0008176F"/>
    <w:rsid w:val="00081DA0"/>
    <w:rsid w:val="00091C82"/>
    <w:rsid w:val="00092BF8"/>
    <w:rsid w:val="000933B9"/>
    <w:rsid w:val="000A555A"/>
    <w:rsid w:val="000A5828"/>
    <w:rsid w:val="000A5E09"/>
    <w:rsid w:val="000B447B"/>
    <w:rsid w:val="000B5404"/>
    <w:rsid w:val="000C18E6"/>
    <w:rsid w:val="000C24B8"/>
    <w:rsid w:val="000C4D05"/>
    <w:rsid w:val="000C56D8"/>
    <w:rsid w:val="000C5C0B"/>
    <w:rsid w:val="000C64B5"/>
    <w:rsid w:val="000D2318"/>
    <w:rsid w:val="000F22FC"/>
    <w:rsid w:val="000F56FF"/>
    <w:rsid w:val="00100877"/>
    <w:rsid w:val="0010132D"/>
    <w:rsid w:val="00105BBB"/>
    <w:rsid w:val="00105EC0"/>
    <w:rsid w:val="00107D77"/>
    <w:rsid w:val="00111711"/>
    <w:rsid w:val="00111915"/>
    <w:rsid w:val="00120442"/>
    <w:rsid w:val="001228FF"/>
    <w:rsid w:val="00122A3E"/>
    <w:rsid w:val="001246B1"/>
    <w:rsid w:val="001253F8"/>
    <w:rsid w:val="00127FF3"/>
    <w:rsid w:val="00132AC6"/>
    <w:rsid w:val="00133BE8"/>
    <w:rsid w:val="00135807"/>
    <w:rsid w:val="001361F9"/>
    <w:rsid w:val="001404C4"/>
    <w:rsid w:val="00142D91"/>
    <w:rsid w:val="00143433"/>
    <w:rsid w:val="001501E2"/>
    <w:rsid w:val="001504BE"/>
    <w:rsid w:val="00150846"/>
    <w:rsid w:val="00151CC9"/>
    <w:rsid w:val="001535E5"/>
    <w:rsid w:val="00157118"/>
    <w:rsid w:val="001603F0"/>
    <w:rsid w:val="00163AA3"/>
    <w:rsid w:val="0016471F"/>
    <w:rsid w:val="00167400"/>
    <w:rsid w:val="0016758F"/>
    <w:rsid w:val="00170F0C"/>
    <w:rsid w:val="00172240"/>
    <w:rsid w:val="00174B20"/>
    <w:rsid w:val="00181CE1"/>
    <w:rsid w:val="00184F91"/>
    <w:rsid w:val="00186DCC"/>
    <w:rsid w:val="00187047"/>
    <w:rsid w:val="00187691"/>
    <w:rsid w:val="00191933"/>
    <w:rsid w:val="001935C2"/>
    <w:rsid w:val="00193FDC"/>
    <w:rsid w:val="00196B49"/>
    <w:rsid w:val="001970B4"/>
    <w:rsid w:val="001A3DDE"/>
    <w:rsid w:val="001A6189"/>
    <w:rsid w:val="001B12EF"/>
    <w:rsid w:val="001B3E4C"/>
    <w:rsid w:val="001B521A"/>
    <w:rsid w:val="001B648A"/>
    <w:rsid w:val="001C10A0"/>
    <w:rsid w:val="001C1864"/>
    <w:rsid w:val="001C2A6B"/>
    <w:rsid w:val="001C3B63"/>
    <w:rsid w:val="001D1448"/>
    <w:rsid w:val="001D27C6"/>
    <w:rsid w:val="001F2B9C"/>
    <w:rsid w:val="001F6BB4"/>
    <w:rsid w:val="0020094F"/>
    <w:rsid w:val="00200966"/>
    <w:rsid w:val="00202848"/>
    <w:rsid w:val="00204280"/>
    <w:rsid w:val="00204AEE"/>
    <w:rsid w:val="00206CFC"/>
    <w:rsid w:val="002129F2"/>
    <w:rsid w:val="00213EC6"/>
    <w:rsid w:val="002147D8"/>
    <w:rsid w:val="002153B9"/>
    <w:rsid w:val="002172A0"/>
    <w:rsid w:val="002202F2"/>
    <w:rsid w:val="00227893"/>
    <w:rsid w:val="00233C82"/>
    <w:rsid w:val="0023520B"/>
    <w:rsid w:val="00240582"/>
    <w:rsid w:val="002436E7"/>
    <w:rsid w:val="00244C26"/>
    <w:rsid w:val="00247D90"/>
    <w:rsid w:val="00257382"/>
    <w:rsid w:val="0025754A"/>
    <w:rsid w:val="00260473"/>
    <w:rsid w:val="00260F9A"/>
    <w:rsid w:val="00264A78"/>
    <w:rsid w:val="00265271"/>
    <w:rsid w:val="00265330"/>
    <w:rsid w:val="00271ED6"/>
    <w:rsid w:val="0027202A"/>
    <w:rsid w:val="00273A01"/>
    <w:rsid w:val="00274E2C"/>
    <w:rsid w:val="00275AF2"/>
    <w:rsid w:val="00275C35"/>
    <w:rsid w:val="002839D7"/>
    <w:rsid w:val="002866F5"/>
    <w:rsid w:val="0029022E"/>
    <w:rsid w:val="00290A99"/>
    <w:rsid w:val="002925D5"/>
    <w:rsid w:val="002955B5"/>
    <w:rsid w:val="002A0FFA"/>
    <w:rsid w:val="002A38F4"/>
    <w:rsid w:val="002A5FFA"/>
    <w:rsid w:val="002A61E1"/>
    <w:rsid w:val="002B1022"/>
    <w:rsid w:val="002B317C"/>
    <w:rsid w:val="002B38BC"/>
    <w:rsid w:val="002B5C46"/>
    <w:rsid w:val="002B673A"/>
    <w:rsid w:val="002B78D2"/>
    <w:rsid w:val="002C31A4"/>
    <w:rsid w:val="002D45B4"/>
    <w:rsid w:val="002D6CAC"/>
    <w:rsid w:val="002D6E20"/>
    <w:rsid w:val="002E03CC"/>
    <w:rsid w:val="002E157F"/>
    <w:rsid w:val="002E7CE1"/>
    <w:rsid w:val="002F039A"/>
    <w:rsid w:val="00302534"/>
    <w:rsid w:val="00304170"/>
    <w:rsid w:val="00304FD6"/>
    <w:rsid w:val="00305300"/>
    <w:rsid w:val="00306827"/>
    <w:rsid w:val="0030767B"/>
    <w:rsid w:val="00314F3F"/>
    <w:rsid w:val="003218D0"/>
    <w:rsid w:val="00322089"/>
    <w:rsid w:val="003240AA"/>
    <w:rsid w:val="00327ADD"/>
    <w:rsid w:val="00336B31"/>
    <w:rsid w:val="00342000"/>
    <w:rsid w:val="00343673"/>
    <w:rsid w:val="00343A99"/>
    <w:rsid w:val="00343F66"/>
    <w:rsid w:val="003450B1"/>
    <w:rsid w:val="00350057"/>
    <w:rsid w:val="003511C6"/>
    <w:rsid w:val="00351FAF"/>
    <w:rsid w:val="00353131"/>
    <w:rsid w:val="0035388D"/>
    <w:rsid w:val="00355E10"/>
    <w:rsid w:val="00355F33"/>
    <w:rsid w:val="00356EA7"/>
    <w:rsid w:val="00361043"/>
    <w:rsid w:val="003614BD"/>
    <w:rsid w:val="003635D6"/>
    <w:rsid w:val="0036552C"/>
    <w:rsid w:val="00372683"/>
    <w:rsid w:val="00373067"/>
    <w:rsid w:val="00375B6E"/>
    <w:rsid w:val="003826C3"/>
    <w:rsid w:val="00385E9D"/>
    <w:rsid w:val="0038617F"/>
    <w:rsid w:val="00386461"/>
    <w:rsid w:val="00386E26"/>
    <w:rsid w:val="00393159"/>
    <w:rsid w:val="00393430"/>
    <w:rsid w:val="003941EB"/>
    <w:rsid w:val="00396207"/>
    <w:rsid w:val="003A060D"/>
    <w:rsid w:val="003A1860"/>
    <w:rsid w:val="003A28DE"/>
    <w:rsid w:val="003B0A2F"/>
    <w:rsid w:val="003B73A8"/>
    <w:rsid w:val="003C0FB7"/>
    <w:rsid w:val="003D0B38"/>
    <w:rsid w:val="003D34F2"/>
    <w:rsid w:val="003D6433"/>
    <w:rsid w:val="003E0F74"/>
    <w:rsid w:val="003E215C"/>
    <w:rsid w:val="003E22B5"/>
    <w:rsid w:val="003E3E11"/>
    <w:rsid w:val="003E4A1A"/>
    <w:rsid w:val="003E549D"/>
    <w:rsid w:val="003E7E77"/>
    <w:rsid w:val="003F1102"/>
    <w:rsid w:val="003F6431"/>
    <w:rsid w:val="00400CEE"/>
    <w:rsid w:val="00402A4A"/>
    <w:rsid w:val="00404EFC"/>
    <w:rsid w:val="00404EFD"/>
    <w:rsid w:val="00411284"/>
    <w:rsid w:val="00413A2F"/>
    <w:rsid w:val="004245C9"/>
    <w:rsid w:val="00425D57"/>
    <w:rsid w:val="00431B61"/>
    <w:rsid w:val="00434080"/>
    <w:rsid w:val="00440285"/>
    <w:rsid w:val="00440F1D"/>
    <w:rsid w:val="00440FB3"/>
    <w:rsid w:val="004418C2"/>
    <w:rsid w:val="004427E0"/>
    <w:rsid w:val="004431F8"/>
    <w:rsid w:val="00461AA9"/>
    <w:rsid w:val="00466810"/>
    <w:rsid w:val="00472B7F"/>
    <w:rsid w:val="00473320"/>
    <w:rsid w:val="004735A5"/>
    <w:rsid w:val="00474DAE"/>
    <w:rsid w:val="0047545F"/>
    <w:rsid w:val="00475B84"/>
    <w:rsid w:val="00480C26"/>
    <w:rsid w:val="004817EC"/>
    <w:rsid w:val="00483077"/>
    <w:rsid w:val="004831D3"/>
    <w:rsid w:val="004861EF"/>
    <w:rsid w:val="00487BC5"/>
    <w:rsid w:val="00492118"/>
    <w:rsid w:val="00492F6E"/>
    <w:rsid w:val="00494D03"/>
    <w:rsid w:val="00496AD3"/>
    <w:rsid w:val="004A52B4"/>
    <w:rsid w:val="004A689A"/>
    <w:rsid w:val="004A713E"/>
    <w:rsid w:val="004A7222"/>
    <w:rsid w:val="004B2848"/>
    <w:rsid w:val="004B3195"/>
    <w:rsid w:val="004C05F1"/>
    <w:rsid w:val="004C7914"/>
    <w:rsid w:val="004E41F4"/>
    <w:rsid w:val="004F0094"/>
    <w:rsid w:val="004F2423"/>
    <w:rsid w:val="004F5103"/>
    <w:rsid w:val="004F51BA"/>
    <w:rsid w:val="004F6546"/>
    <w:rsid w:val="00501C15"/>
    <w:rsid w:val="005020B0"/>
    <w:rsid w:val="00512872"/>
    <w:rsid w:val="00517FB9"/>
    <w:rsid w:val="005214EC"/>
    <w:rsid w:val="0052421F"/>
    <w:rsid w:val="0053028C"/>
    <w:rsid w:val="00530CC1"/>
    <w:rsid w:val="005348F3"/>
    <w:rsid w:val="005354E8"/>
    <w:rsid w:val="0054014A"/>
    <w:rsid w:val="00546B23"/>
    <w:rsid w:val="00553538"/>
    <w:rsid w:val="0055416C"/>
    <w:rsid w:val="005617CE"/>
    <w:rsid w:val="00572C44"/>
    <w:rsid w:val="00575851"/>
    <w:rsid w:val="005775E0"/>
    <w:rsid w:val="0057775C"/>
    <w:rsid w:val="00582063"/>
    <w:rsid w:val="00582EBC"/>
    <w:rsid w:val="00583C7E"/>
    <w:rsid w:val="00587B04"/>
    <w:rsid w:val="005903FF"/>
    <w:rsid w:val="005911BE"/>
    <w:rsid w:val="00591681"/>
    <w:rsid w:val="00592AC0"/>
    <w:rsid w:val="005975DA"/>
    <w:rsid w:val="00597EE6"/>
    <w:rsid w:val="005A2B79"/>
    <w:rsid w:val="005A2BBA"/>
    <w:rsid w:val="005A39DA"/>
    <w:rsid w:val="005A4CF0"/>
    <w:rsid w:val="005A6284"/>
    <w:rsid w:val="005B0705"/>
    <w:rsid w:val="005B16E2"/>
    <w:rsid w:val="005B1CB9"/>
    <w:rsid w:val="005B1FDC"/>
    <w:rsid w:val="005B4D76"/>
    <w:rsid w:val="005B6706"/>
    <w:rsid w:val="005B7071"/>
    <w:rsid w:val="005C21FB"/>
    <w:rsid w:val="005C67D8"/>
    <w:rsid w:val="005C7BA3"/>
    <w:rsid w:val="005D06A6"/>
    <w:rsid w:val="005D20B7"/>
    <w:rsid w:val="005E106C"/>
    <w:rsid w:val="005E4C8C"/>
    <w:rsid w:val="005E64CF"/>
    <w:rsid w:val="005F0895"/>
    <w:rsid w:val="006010A2"/>
    <w:rsid w:val="00601231"/>
    <w:rsid w:val="00603365"/>
    <w:rsid w:val="0060502A"/>
    <w:rsid w:val="00605E98"/>
    <w:rsid w:val="00610BCF"/>
    <w:rsid w:val="00614185"/>
    <w:rsid w:val="00614649"/>
    <w:rsid w:val="00620659"/>
    <w:rsid w:val="00625D31"/>
    <w:rsid w:val="006273C0"/>
    <w:rsid w:val="00633C74"/>
    <w:rsid w:val="006360F7"/>
    <w:rsid w:val="00637604"/>
    <w:rsid w:val="0063781D"/>
    <w:rsid w:val="00645612"/>
    <w:rsid w:val="00645A8F"/>
    <w:rsid w:val="00647814"/>
    <w:rsid w:val="00653142"/>
    <w:rsid w:val="00653C73"/>
    <w:rsid w:val="00654C9B"/>
    <w:rsid w:val="00657102"/>
    <w:rsid w:val="0066138B"/>
    <w:rsid w:val="00661C13"/>
    <w:rsid w:val="00662936"/>
    <w:rsid w:val="0066320E"/>
    <w:rsid w:val="00663CF7"/>
    <w:rsid w:val="006744A3"/>
    <w:rsid w:val="00676A3B"/>
    <w:rsid w:val="00676C03"/>
    <w:rsid w:val="00677848"/>
    <w:rsid w:val="00694252"/>
    <w:rsid w:val="0069549B"/>
    <w:rsid w:val="0069781D"/>
    <w:rsid w:val="006A0C9C"/>
    <w:rsid w:val="006A1E67"/>
    <w:rsid w:val="006A25ED"/>
    <w:rsid w:val="006A2B51"/>
    <w:rsid w:val="006A6340"/>
    <w:rsid w:val="006A7AD8"/>
    <w:rsid w:val="006B1D41"/>
    <w:rsid w:val="006B328E"/>
    <w:rsid w:val="006B3C93"/>
    <w:rsid w:val="006B4721"/>
    <w:rsid w:val="006C0059"/>
    <w:rsid w:val="006C0526"/>
    <w:rsid w:val="006C2363"/>
    <w:rsid w:val="006C3161"/>
    <w:rsid w:val="006C4B42"/>
    <w:rsid w:val="006C5326"/>
    <w:rsid w:val="006C59EF"/>
    <w:rsid w:val="006D1B98"/>
    <w:rsid w:val="006D2613"/>
    <w:rsid w:val="006D4EA7"/>
    <w:rsid w:val="006E0E19"/>
    <w:rsid w:val="006E5069"/>
    <w:rsid w:val="006E5153"/>
    <w:rsid w:val="006E5CCD"/>
    <w:rsid w:val="006E6A9B"/>
    <w:rsid w:val="006F04B4"/>
    <w:rsid w:val="006F10CE"/>
    <w:rsid w:val="006F155D"/>
    <w:rsid w:val="006F16C8"/>
    <w:rsid w:val="006F401C"/>
    <w:rsid w:val="006F41AD"/>
    <w:rsid w:val="006F4AB7"/>
    <w:rsid w:val="0070017B"/>
    <w:rsid w:val="00701132"/>
    <w:rsid w:val="0070463C"/>
    <w:rsid w:val="00705086"/>
    <w:rsid w:val="00710368"/>
    <w:rsid w:val="00717236"/>
    <w:rsid w:val="007247B0"/>
    <w:rsid w:val="00726B7A"/>
    <w:rsid w:val="00727313"/>
    <w:rsid w:val="00730F0A"/>
    <w:rsid w:val="00734ED1"/>
    <w:rsid w:val="007350DF"/>
    <w:rsid w:val="007412EF"/>
    <w:rsid w:val="007459C4"/>
    <w:rsid w:val="00746CFD"/>
    <w:rsid w:val="00746E16"/>
    <w:rsid w:val="007559B1"/>
    <w:rsid w:val="00756646"/>
    <w:rsid w:val="0076036A"/>
    <w:rsid w:val="00761FDB"/>
    <w:rsid w:val="0076376C"/>
    <w:rsid w:val="00767553"/>
    <w:rsid w:val="00771EAA"/>
    <w:rsid w:val="007739FB"/>
    <w:rsid w:val="00775701"/>
    <w:rsid w:val="0077581A"/>
    <w:rsid w:val="00776DF3"/>
    <w:rsid w:val="0077767E"/>
    <w:rsid w:val="00782412"/>
    <w:rsid w:val="00784171"/>
    <w:rsid w:val="00785E11"/>
    <w:rsid w:val="007864D2"/>
    <w:rsid w:val="0078679A"/>
    <w:rsid w:val="007A1328"/>
    <w:rsid w:val="007A29F3"/>
    <w:rsid w:val="007A384F"/>
    <w:rsid w:val="007A5905"/>
    <w:rsid w:val="007A613E"/>
    <w:rsid w:val="007B2A00"/>
    <w:rsid w:val="007B485E"/>
    <w:rsid w:val="007B5A37"/>
    <w:rsid w:val="007B7B4C"/>
    <w:rsid w:val="007C2DB5"/>
    <w:rsid w:val="007C4DDF"/>
    <w:rsid w:val="007C6CFF"/>
    <w:rsid w:val="007C7B36"/>
    <w:rsid w:val="007D24DE"/>
    <w:rsid w:val="007D753B"/>
    <w:rsid w:val="007E00CC"/>
    <w:rsid w:val="007E23D8"/>
    <w:rsid w:val="007E287E"/>
    <w:rsid w:val="007E6858"/>
    <w:rsid w:val="007F2648"/>
    <w:rsid w:val="007F29DA"/>
    <w:rsid w:val="007F2CED"/>
    <w:rsid w:val="007F45F6"/>
    <w:rsid w:val="00803B49"/>
    <w:rsid w:val="00803CC1"/>
    <w:rsid w:val="00811CBA"/>
    <w:rsid w:val="00812073"/>
    <w:rsid w:val="00815A62"/>
    <w:rsid w:val="008253D8"/>
    <w:rsid w:val="0082601C"/>
    <w:rsid w:val="008260C6"/>
    <w:rsid w:val="008264BE"/>
    <w:rsid w:val="00827F8F"/>
    <w:rsid w:val="00837C61"/>
    <w:rsid w:val="00841129"/>
    <w:rsid w:val="0084187D"/>
    <w:rsid w:val="008420A7"/>
    <w:rsid w:val="008453E3"/>
    <w:rsid w:val="008457EF"/>
    <w:rsid w:val="00845A39"/>
    <w:rsid w:val="00851DA3"/>
    <w:rsid w:val="0085767F"/>
    <w:rsid w:val="00863BED"/>
    <w:rsid w:val="00864FDF"/>
    <w:rsid w:val="008711D5"/>
    <w:rsid w:val="008757F3"/>
    <w:rsid w:val="00882D59"/>
    <w:rsid w:val="00883089"/>
    <w:rsid w:val="00897B91"/>
    <w:rsid w:val="008A1EE9"/>
    <w:rsid w:val="008A4F22"/>
    <w:rsid w:val="008A5026"/>
    <w:rsid w:val="008A5A08"/>
    <w:rsid w:val="008B0EDD"/>
    <w:rsid w:val="008B24CB"/>
    <w:rsid w:val="008B5253"/>
    <w:rsid w:val="008B5EDD"/>
    <w:rsid w:val="008B6C93"/>
    <w:rsid w:val="008C27FE"/>
    <w:rsid w:val="008C3531"/>
    <w:rsid w:val="008C60C1"/>
    <w:rsid w:val="008D200D"/>
    <w:rsid w:val="008D59D6"/>
    <w:rsid w:val="008D5F59"/>
    <w:rsid w:val="008D65E5"/>
    <w:rsid w:val="008D6DF5"/>
    <w:rsid w:val="008D7929"/>
    <w:rsid w:val="008E1C26"/>
    <w:rsid w:val="008E69EC"/>
    <w:rsid w:val="008F1822"/>
    <w:rsid w:val="008F1CB6"/>
    <w:rsid w:val="008F2098"/>
    <w:rsid w:val="008F3AAA"/>
    <w:rsid w:val="00902CCC"/>
    <w:rsid w:val="009044C1"/>
    <w:rsid w:val="00905757"/>
    <w:rsid w:val="009111B1"/>
    <w:rsid w:val="00915343"/>
    <w:rsid w:val="0091577A"/>
    <w:rsid w:val="009179BC"/>
    <w:rsid w:val="00917D6C"/>
    <w:rsid w:val="009245C5"/>
    <w:rsid w:val="00924C72"/>
    <w:rsid w:val="00931BB1"/>
    <w:rsid w:val="0093745B"/>
    <w:rsid w:val="00937781"/>
    <w:rsid w:val="00942595"/>
    <w:rsid w:val="00944480"/>
    <w:rsid w:val="00950625"/>
    <w:rsid w:val="00952BBC"/>
    <w:rsid w:val="00954E6F"/>
    <w:rsid w:val="00956A80"/>
    <w:rsid w:val="00957FF3"/>
    <w:rsid w:val="0096107D"/>
    <w:rsid w:val="009665BD"/>
    <w:rsid w:val="009671ED"/>
    <w:rsid w:val="0097066E"/>
    <w:rsid w:val="00970D47"/>
    <w:rsid w:val="009751F0"/>
    <w:rsid w:val="00975DA8"/>
    <w:rsid w:val="00976BD6"/>
    <w:rsid w:val="009803B3"/>
    <w:rsid w:val="009812FA"/>
    <w:rsid w:val="00981F6D"/>
    <w:rsid w:val="00982395"/>
    <w:rsid w:val="0098341C"/>
    <w:rsid w:val="00983649"/>
    <w:rsid w:val="009861F0"/>
    <w:rsid w:val="00992C28"/>
    <w:rsid w:val="0099395F"/>
    <w:rsid w:val="009A1894"/>
    <w:rsid w:val="009B01FF"/>
    <w:rsid w:val="009B1217"/>
    <w:rsid w:val="009B26F7"/>
    <w:rsid w:val="009B2DE3"/>
    <w:rsid w:val="009B4858"/>
    <w:rsid w:val="009B49FC"/>
    <w:rsid w:val="009B5AD5"/>
    <w:rsid w:val="009B7C5A"/>
    <w:rsid w:val="009C023B"/>
    <w:rsid w:val="009C0CC6"/>
    <w:rsid w:val="009C13AD"/>
    <w:rsid w:val="009C15E4"/>
    <w:rsid w:val="009C2F7D"/>
    <w:rsid w:val="009D667A"/>
    <w:rsid w:val="009D70A9"/>
    <w:rsid w:val="009D7A07"/>
    <w:rsid w:val="009E122B"/>
    <w:rsid w:val="009E1D64"/>
    <w:rsid w:val="009E383F"/>
    <w:rsid w:val="009F0992"/>
    <w:rsid w:val="009F1AEC"/>
    <w:rsid w:val="009F3716"/>
    <w:rsid w:val="009F6CCF"/>
    <w:rsid w:val="009F7C57"/>
    <w:rsid w:val="00A002CA"/>
    <w:rsid w:val="00A0094B"/>
    <w:rsid w:val="00A00BD6"/>
    <w:rsid w:val="00A04B8F"/>
    <w:rsid w:val="00A07E39"/>
    <w:rsid w:val="00A1496F"/>
    <w:rsid w:val="00A220D3"/>
    <w:rsid w:val="00A24E22"/>
    <w:rsid w:val="00A2518B"/>
    <w:rsid w:val="00A276F2"/>
    <w:rsid w:val="00A309CC"/>
    <w:rsid w:val="00A317CD"/>
    <w:rsid w:val="00A4025B"/>
    <w:rsid w:val="00A460F3"/>
    <w:rsid w:val="00A464EF"/>
    <w:rsid w:val="00A50007"/>
    <w:rsid w:val="00A51B3D"/>
    <w:rsid w:val="00A523B9"/>
    <w:rsid w:val="00A5626C"/>
    <w:rsid w:val="00A56952"/>
    <w:rsid w:val="00A57477"/>
    <w:rsid w:val="00A60766"/>
    <w:rsid w:val="00A61D9E"/>
    <w:rsid w:val="00A65C50"/>
    <w:rsid w:val="00A751E6"/>
    <w:rsid w:val="00A77093"/>
    <w:rsid w:val="00A77641"/>
    <w:rsid w:val="00A801C3"/>
    <w:rsid w:val="00A81375"/>
    <w:rsid w:val="00A8188A"/>
    <w:rsid w:val="00A81FAD"/>
    <w:rsid w:val="00A82147"/>
    <w:rsid w:val="00A87C8D"/>
    <w:rsid w:val="00A97F08"/>
    <w:rsid w:val="00AA0B13"/>
    <w:rsid w:val="00AA11D8"/>
    <w:rsid w:val="00AA1B3B"/>
    <w:rsid w:val="00AA3937"/>
    <w:rsid w:val="00AC00BE"/>
    <w:rsid w:val="00AC0182"/>
    <w:rsid w:val="00AC2026"/>
    <w:rsid w:val="00AC5E50"/>
    <w:rsid w:val="00AC72AE"/>
    <w:rsid w:val="00AC7B4F"/>
    <w:rsid w:val="00AD7D67"/>
    <w:rsid w:val="00AE69B6"/>
    <w:rsid w:val="00AF0BB2"/>
    <w:rsid w:val="00B02A8B"/>
    <w:rsid w:val="00B05136"/>
    <w:rsid w:val="00B055DA"/>
    <w:rsid w:val="00B07232"/>
    <w:rsid w:val="00B07861"/>
    <w:rsid w:val="00B10282"/>
    <w:rsid w:val="00B129C4"/>
    <w:rsid w:val="00B12E62"/>
    <w:rsid w:val="00B1581C"/>
    <w:rsid w:val="00B16805"/>
    <w:rsid w:val="00B16C56"/>
    <w:rsid w:val="00B224CD"/>
    <w:rsid w:val="00B22ECA"/>
    <w:rsid w:val="00B240BA"/>
    <w:rsid w:val="00B261AC"/>
    <w:rsid w:val="00B26394"/>
    <w:rsid w:val="00B26B85"/>
    <w:rsid w:val="00B270FE"/>
    <w:rsid w:val="00B31D83"/>
    <w:rsid w:val="00B36426"/>
    <w:rsid w:val="00B36BA8"/>
    <w:rsid w:val="00B4661E"/>
    <w:rsid w:val="00B54390"/>
    <w:rsid w:val="00B55E1E"/>
    <w:rsid w:val="00B64318"/>
    <w:rsid w:val="00B70D47"/>
    <w:rsid w:val="00B70FF2"/>
    <w:rsid w:val="00B76D8D"/>
    <w:rsid w:val="00B76E7E"/>
    <w:rsid w:val="00B86717"/>
    <w:rsid w:val="00B905E2"/>
    <w:rsid w:val="00B92225"/>
    <w:rsid w:val="00B95969"/>
    <w:rsid w:val="00B96146"/>
    <w:rsid w:val="00B96E1B"/>
    <w:rsid w:val="00B970CA"/>
    <w:rsid w:val="00BA1A3A"/>
    <w:rsid w:val="00BA1AF7"/>
    <w:rsid w:val="00BA1E87"/>
    <w:rsid w:val="00BA2470"/>
    <w:rsid w:val="00BB053A"/>
    <w:rsid w:val="00BB159E"/>
    <w:rsid w:val="00BB1E37"/>
    <w:rsid w:val="00BB3F72"/>
    <w:rsid w:val="00BB50E5"/>
    <w:rsid w:val="00BB51DD"/>
    <w:rsid w:val="00BB678C"/>
    <w:rsid w:val="00BC058C"/>
    <w:rsid w:val="00BC4FAB"/>
    <w:rsid w:val="00BC5564"/>
    <w:rsid w:val="00BD1142"/>
    <w:rsid w:val="00BD45C8"/>
    <w:rsid w:val="00BD6C13"/>
    <w:rsid w:val="00BF5C8A"/>
    <w:rsid w:val="00C042D5"/>
    <w:rsid w:val="00C045AD"/>
    <w:rsid w:val="00C06D14"/>
    <w:rsid w:val="00C12047"/>
    <w:rsid w:val="00C168AD"/>
    <w:rsid w:val="00C16999"/>
    <w:rsid w:val="00C16C66"/>
    <w:rsid w:val="00C20A7B"/>
    <w:rsid w:val="00C311CF"/>
    <w:rsid w:val="00C31553"/>
    <w:rsid w:val="00C3745C"/>
    <w:rsid w:val="00C37A50"/>
    <w:rsid w:val="00C4062A"/>
    <w:rsid w:val="00C4266F"/>
    <w:rsid w:val="00C45B0A"/>
    <w:rsid w:val="00C47301"/>
    <w:rsid w:val="00C529DE"/>
    <w:rsid w:val="00C53389"/>
    <w:rsid w:val="00C54100"/>
    <w:rsid w:val="00C639DE"/>
    <w:rsid w:val="00C63C23"/>
    <w:rsid w:val="00C7519B"/>
    <w:rsid w:val="00C751F0"/>
    <w:rsid w:val="00C8127E"/>
    <w:rsid w:val="00C8139E"/>
    <w:rsid w:val="00C8272A"/>
    <w:rsid w:val="00C8326D"/>
    <w:rsid w:val="00C83A63"/>
    <w:rsid w:val="00C8741E"/>
    <w:rsid w:val="00C92079"/>
    <w:rsid w:val="00C95C64"/>
    <w:rsid w:val="00C96BD2"/>
    <w:rsid w:val="00CA164C"/>
    <w:rsid w:val="00CA498F"/>
    <w:rsid w:val="00CB19DE"/>
    <w:rsid w:val="00CB27E1"/>
    <w:rsid w:val="00CB3789"/>
    <w:rsid w:val="00CC3598"/>
    <w:rsid w:val="00CC679F"/>
    <w:rsid w:val="00CC7403"/>
    <w:rsid w:val="00CC7E26"/>
    <w:rsid w:val="00CD43CC"/>
    <w:rsid w:val="00CD7B6B"/>
    <w:rsid w:val="00CE02D6"/>
    <w:rsid w:val="00CE03FB"/>
    <w:rsid w:val="00D02DBB"/>
    <w:rsid w:val="00D06F47"/>
    <w:rsid w:val="00D100B1"/>
    <w:rsid w:val="00D10327"/>
    <w:rsid w:val="00D14066"/>
    <w:rsid w:val="00D15BF4"/>
    <w:rsid w:val="00D1696F"/>
    <w:rsid w:val="00D175D3"/>
    <w:rsid w:val="00D22BD0"/>
    <w:rsid w:val="00D25B7A"/>
    <w:rsid w:val="00D27A74"/>
    <w:rsid w:val="00D323D6"/>
    <w:rsid w:val="00D32542"/>
    <w:rsid w:val="00D33940"/>
    <w:rsid w:val="00D42533"/>
    <w:rsid w:val="00D43E25"/>
    <w:rsid w:val="00D45E52"/>
    <w:rsid w:val="00D466FB"/>
    <w:rsid w:val="00D4670A"/>
    <w:rsid w:val="00D54A9A"/>
    <w:rsid w:val="00D54F29"/>
    <w:rsid w:val="00D65384"/>
    <w:rsid w:val="00D653D5"/>
    <w:rsid w:val="00D66F5C"/>
    <w:rsid w:val="00D71E0D"/>
    <w:rsid w:val="00D71F99"/>
    <w:rsid w:val="00D75B66"/>
    <w:rsid w:val="00D97897"/>
    <w:rsid w:val="00D97CFA"/>
    <w:rsid w:val="00DA02BF"/>
    <w:rsid w:val="00DA1614"/>
    <w:rsid w:val="00DA1971"/>
    <w:rsid w:val="00DA34BD"/>
    <w:rsid w:val="00DA49FA"/>
    <w:rsid w:val="00DA5E67"/>
    <w:rsid w:val="00DB1BBD"/>
    <w:rsid w:val="00DB2FD1"/>
    <w:rsid w:val="00DB422E"/>
    <w:rsid w:val="00DB57AB"/>
    <w:rsid w:val="00DB664C"/>
    <w:rsid w:val="00DC0D27"/>
    <w:rsid w:val="00DC6749"/>
    <w:rsid w:val="00DC7369"/>
    <w:rsid w:val="00DD072F"/>
    <w:rsid w:val="00DD3D18"/>
    <w:rsid w:val="00DD484C"/>
    <w:rsid w:val="00DD4FA7"/>
    <w:rsid w:val="00DD5757"/>
    <w:rsid w:val="00DE1EF7"/>
    <w:rsid w:val="00DE3EE9"/>
    <w:rsid w:val="00DE50F8"/>
    <w:rsid w:val="00DE5FC1"/>
    <w:rsid w:val="00DE76A3"/>
    <w:rsid w:val="00DF367E"/>
    <w:rsid w:val="00DF46BB"/>
    <w:rsid w:val="00DF4B88"/>
    <w:rsid w:val="00DF6B1C"/>
    <w:rsid w:val="00E03BE9"/>
    <w:rsid w:val="00E0501B"/>
    <w:rsid w:val="00E11D2F"/>
    <w:rsid w:val="00E138A0"/>
    <w:rsid w:val="00E16C75"/>
    <w:rsid w:val="00E17F89"/>
    <w:rsid w:val="00E20B9A"/>
    <w:rsid w:val="00E20CE7"/>
    <w:rsid w:val="00E21C2A"/>
    <w:rsid w:val="00E252B0"/>
    <w:rsid w:val="00E30DA2"/>
    <w:rsid w:val="00E321EC"/>
    <w:rsid w:val="00E3790B"/>
    <w:rsid w:val="00E40016"/>
    <w:rsid w:val="00E44DCF"/>
    <w:rsid w:val="00E453E8"/>
    <w:rsid w:val="00E457CE"/>
    <w:rsid w:val="00E47A28"/>
    <w:rsid w:val="00E50915"/>
    <w:rsid w:val="00E526D3"/>
    <w:rsid w:val="00E53D7E"/>
    <w:rsid w:val="00E5452A"/>
    <w:rsid w:val="00E57432"/>
    <w:rsid w:val="00E6018E"/>
    <w:rsid w:val="00E62383"/>
    <w:rsid w:val="00E646AB"/>
    <w:rsid w:val="00E64DF5"/>
    <w:rsid w:val="00E67EF2"/>
    <w:rsid w:val="00E703B6"/>
    <w:rsid w:val="00E7417C"/>
    <w:rsid w:val="00E77477"/>
    <w:rsid w:val="00E77B25"/>
    <w:rsid w:val="00E77E65"/>
    <w:rsid w:val="00E860CD"/>
    <w:rsid w:val="00E8661E"/>
    <w:rsid w:val="00E9166A"/>
    <w:rsid w:val="00E939BF"/>
    <w:rsid w:val="00E97C50"/>
    <w:rsid w:val="00EA13D9"/>
    <w:rsid w:val="00EA2890"/>
    <w:rsid w:val="00EA4769"/>
    <w:rsid w:val="00EA5655"/>
    <w:rsid w:val="00EA7E4F"/>
    <w:rsid w:val="00EB76B0"/>
    <w:rsid w:val="00ED1D6C"/>
    <w:rsid w:val="00ED6F0B"/>
    <w:rsid w:val="00ED73EA"/>
    <w:rsid w:val="00ED74E7"/>
    <w:rsid w:val="00EE1461"/>
    <w:rsid w:val="00EE3797"/>
    <w:rsid w:val="00EE54EF"/>
    <w:rsid w:val="00EE722C"/>
    <w:rsid w:val="00EF025B"/>
    <w:rsid w:val="00EF105C"/>
    <w:rsid w:val="00EF2140"/>
    <w:rsid w:val="00EF3E21"/>
    <w:rsid w:val="00F01643"/>
    <w:rsid w:val="00F1077D"/>
    <w:rsid w:val="00F10FF4"/>
    <w:rsid w:val="00F1762E"/>
    <w:rsid w:val="00F17DF5"/>
    <w:rsid w:val="00F2059B"/>
    <w:rsid w:val="00F227B4"/>
    <w:rsid w:val="00F244FB"/>
    <w:rsid w:val="00F27248"/>
    <w:rsid w:val="00F30735"/>
    <w:rsid w:val="00F32029"/>
    <w:rsid w:val="00F3642D"/>
    <w:rsid w:val="00F37F46"/>
    <w:rsid w:val="00F413D5"/>
    <w:rsid w:val="00F46A49"/>
    <w:rsid w:val="00F52D50"/>
    <w:rsid w:val="00F67964"/>
    <w:rsid w:val="00F7122D"/>
    <w:rsid w:val="00F71CCD"/>
    <w:rsid w:val="00F720E7"/>
    <w:rsid w:val="00F83423"/>
    <w:rsid w:val="00F8437C"/>
    <w:rsid w:val="00F84D73"/>
    <w:rsid w:val="00F92FF1"/>
    <w:rsid w:val="00F93475"/>
    <w:rsid w:val="00F95CF5"/>
    <w:rsid w:val="00F97DEC"/>
    <w:rsid w:val="00FA2425"/>
    <w:rsid w:val="00FA25CA"/>
    <w:rsid w:val="00FB0455"/>
    <w:rsid w:val="00FB5287"/>
    <w:rsid w:val="00FB6178"/>
    <w:rsid w:val="00FB63FF"/>
    <w:rsid w:val="00FC202C"/>
    <w:rsid w:val="00FC6A58"/>
    <w:rsid w:val="00FD4757"/>
    <w:rsid w:val="00FD7ADC"/>
    <w:rsid w:val="00FE3B7A"/>
    <w:rsid w:val="00FE462C"/>
    <w:rsid w:val="00FE5897"/>
    <w:rsid w:val="00FE6EB2"/>
    <w:rsid w:val="00FF0F0F"/>
    <w:rsid w:val="00FF25DF"/>
    <w:rsid w:val="00FF2B50"/>
    <w:rsid w:val="00FF3ABC"/>
    <w:rsid w:val="00FF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DC973C"/>
  <w15:docId w15:val="{F32E9543-0D9B-4AA9-AA30-E273C6988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4A7222"/>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D33940"/>
    <w:pPr>
      <w:shd w:val="clear" w:color="auto" w:fill="FFFFFF"/>
      <w:spacing w:after="150" w:line="288" w:lineRule="atLeast"/>
      <w:ind w:firstLine="720"/>
      <w:contextualSpacing/>
      <w:jc w:val="center"/>
      <w:outlineLvl w:val="0"/>
    </w:pPr>
    <w:rPr>
      <w:rFonts w:asciiTheme="majorHAnsi" w:hAnsiTheme="majorHAnsi" w:cstheme="majorHAnsi"/>
      <w:b/>
      <w:bCs/>
      <w:noProof/>
      <w:sz w:val="28"/>
      <w:szCs w:val="28"/>
    </w:rPr>
  </w:style>
  <w:style w:type="paragraph" w:styleId="Heading2">
    <w:name w:val="heading 2"/>
    <w:next w:val="Normal"/>
    <w:link w:val="Heading2Char"/>
    <w:autoRedefine/>
    <w:uiPriority w:val="9"/>
    <w:unhideWhenUsed/>
    <w:qFormat/>
    <w:rsid w:val="008457EF"/>
    <w:pPr>
      <w:keepNext/>
      <w:numPr>
        <w:ilvl w:val="1"/>
        <w:numId w:val="37"/>
      </w:numPr>
      <w:spacing w:line="480" w:lineRule="auto"/>
      <w:jc w:val="center"/>
      <w:outlineLvl w:val="1"/>
    </w:pPr>
    <w:rPr>
      <w:rFonts w:asciiTheme="majorHAnsi" w:hAnsiTheme="majorHAnsi"/>
      <w:b/>
      <w:bCs/>
      <w:iCs/>
      <w:sz w:val="28"/>
      <w:szCs w:val="28"/>
      <w:lang w:bidi="en-US"/>
    </w:rPr>
  </w:style>
  <w:style w:type="paragraph" w:styleId="Heading3">
    <w:name w:val="heading 3"/>
    <w:next w:val="Normal"/>
    <w:link w:val="Heading3Char"/>
    <w:autoRedefine/>
    <w:uiPriority w:val="9"/>
    <w:unhideWhenUsed/>
    <w:qFormat/>
    <w:rsid w:val="00992C28"/>
    <w:pPr>
      <w:keepNext/>
      <w:numPr>
        <w:ilvl w:val="2"/>
        <w:numId w:val="37"/>
      </w:numPr>
      <w:spacing w:line="480" w:lineRule="auto"/>
      <w:jc w:val="center"/>
      <w:outlineLvl w:val="2"/>
    </w:pPr>
    <w:rPr>
      <w:rFonts w:asciiTheme="majorHAnsi" w:hAnsiTheme="majorHAnsi"/>
      <w:bCs/>
      <w:i/>
      <w:sz w:val="24"/>
      <w:szCs w:val="24"/>
      <w:lang w:bidi="en-US"/>
    </w:rPr>
  </w:style>
  <w:style w:type="paragraph" w:styleId="Heading4">
    <w:name w:val="heading 4"/>
    <w:basedOn w:val="Normal"/>
    <w:next w:val="Normal"/>
    <w:link w:val="Heading4Char"/>
    <w:unhideWhenUsed/>
    <w:rsid w:val="003A060D"/>
    <w:pPr>
      <w:keepNext/>
      <w:numPr>
        <w:ilvl w:val="3"/>
        <w:numId w:val="37"/>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37"/>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37"/>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37"/>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37"/>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37"/>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940"/>
    <w:rPr>
      <w:rFonts w:asciiTheme="majorHAnsi" w:hAnsiTheme="majorHAnsi" w:cstheme="majorHAnsi"/>
      <w:b/>
      <w:bCs/>
      <w:noProof/>
      <w:sz w:val="28"/>
      <w:szCs w:val="28"/>
      <w:shd w:val="clear" w:color="auto" w:fill="FFFFFF"/>
    </w:rPr>
  </w:style>
  <w:style w:type="character" w:customStyle="1" w:styleId="Heading2Char">
    <w:name w:val="Heading 2 Char"/>
    <w:basedOn w:val="DefaultParagraphFont"/>
    <w:link w:val="Heading2"/>
    <w:uiPriority w:val="9"/>
    <w:rsid w:val="008457EF"/>
    <w:rPr>
      <w:rFonts w:asciiTheme="majorHAnsi" w:hAnsiTheme="majorHAnsi"/>
      <w:b/>
      <w:bCs/>
      <w:iCs/>
      <w:sz w:val="28"/>
      <w:szCs w:val="28"/>
      <w:lang w:bidi="en-US"/>
    </w:rPr>
  </w:style>
  <w:style w:type="character" w:customStyle="1" w:styleId="Heading3Char">
    <w:name w:val="Heading 3 Char"/>
    <w:basedOn w:val="DefaultParagraphFont"/>
    <w:link w:val="Heading3"/>
    <w:uiPriority w:val="9"/>
    <w:rsid w:val="00992C28"/>
    <w:rPr>
      <w:rFonts w:asciiTheme="majorHAnsi" w:hAnsiTheme="majorHAnsi"/>
      <w:bCs/>
      <w:i/>
      <w:sz w:val="24"/>
      <w:szCs w:val="24"/>
      <w:lang w:bidi="en-US"/>
    </w:rPr>
  </w:style>
  <w:style w:type="character" w:customStyle="1" w:styleId="Heading4Char">
    <w:name w:val="Heading 4 Char"/>
    <w:basedOn w:val="DefaultParagraphFont"/>
    <w:link w:val="Heading4"/>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Heading1"/>
    <w:next w:val="Normal"/>
    <w:uiPriority w:val="35"/>
    <w:unhideWhenUsed/>
    <w:rsid w:val="007350DF"/>
    <w:rPr>
      <w:b w:val="0"/>
      <w:bCs w:val="0"/>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unhideWhenUsed/>
    <w:qFormat/>
    <w:rsid w:val="003A060D"/>
    <w:rPr>
      <w:b/>
      <w:bCs/>
    </w:rPr>
  </w:style>
  <w:style w:type="character" w:styleId="Emphasis">
    <w:name w:val="Emphasis"/>
    <w:basedOn w:val="DefaultParagraphFont"/>
    <w:uiPriority w:val="20"/>
    <w:unhideWhenUsed/>
    <w:qFormat/>
    <w:rsid w:val="003A060D"/>
    <w:rPr>
      <w:rFonts w:ascii="Times New Roman" w:hAnsi="Times New Roman"/>
      <w:b/>
      <w:i/>
      <w:iCs/>
    </w:rPr>
  </w:style>
  <w:style w:type="paragraph" w:styleId="NoSpacing">
    <w:name w:val="No Spacing"/>
    <w:basedOn w:val="Normal"/>
    <w:link w:val="NoSpacingChar"/>
    <w:uiPriority w:val="1"/>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C3745C"/>
    <w:pPr>
      <w:tabs>
        <w:tab w:val="right" w:leader="dot" w:pos="8486"/>
      </w:tabs>
      <w:ind w:left="720" w:hanging="720"/>
    </w:pPr>
  </w:style>
  <w:style w:type="paragraph" w:styleId="TOC2">
    <w:name w:val="toc 2"/>
    <w:basedOn w:val="Normal"/>
    <w:next w:val="Normal"/>
    <w:autoRedefine/>
    <w:uiPriority w:val="39"/>
    <w:unhideWhenUsed/>
    <w:rsid w:val="00EA2890"/>
    <w:pPr>
      <w:tabs>
        <w:tab w:val="right" w:leader="dot" w:pos="8486"/>
      </w:tabs>
      <w:ind w:left="1080" w:hanging="720"/>
    </w:pPr>
  </w:style>
  <w:style w:type="table" w:styleId="TableGrid">
    <w:name w:val="Table Grid"/>
    <w:basedOn w:val="TableNormal"/>
    <w:uiPriority w:val="5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3745C"/>
    <w:pPr>
      <w:ind w:left="1440" w:hanging="720"/>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2A61E1"/>
    <w:pPr>
      <w:keepNext/>
      <w:pBdr>
        <w:bottom w:val="single" w:sz="4" w:space="1" w:color="auto"/>
      </w:pBdr>
      <w:spacing w:after="240"/>
      <w:ind w:firstLine="720"/>
    </w:pPr>
    <w:rPr>
      <w:rFonts w:asciiTheme="minorHAnsi" w:hAnsiTheme="minorHAnsi" w:cstheme="minorHAnsi"/>
      <w:bCs/>
      <w:sz w:val="24"/>
      <w:szCs w:val="24"/>
      <w:lang w:bidi="en-US"/>
    </w:rPr>
  </w:style>
  <w:style w:type="paragraph" w:styleId="ListParagraph">
    <w:name w:val="List Paragraph"/>
    <w:basedOn w:val="Normal"/>
    <w:uiPriority w:val="34"/>
    <w:unhideWhenUsed/>
    <w:qFormat/>
    <w:rsid w:val="005E64CF"/>
    <w:pPr>
      <w:ind w:left="720"/>
      <w:contextualSpacing/>
    </w:pPr>
  </w:style>
  <w:style w:type="paragraph" w:customStyle="1" w:styleId="Standard">
    <w:name w:val="Standard"/>
    <w:rsid w:val="002A61E1"/>
    <w:pPr>
      <w:widowControl w:val="0"/>
      <w:suppressAutoHyphens/>
      <w:autoSpaceDN w:val="0"/>
      <w:textAlignment w:val="baseline"/>
    </w:pPr>
    <w:rPr>
      <w:rFonts w:eastAsia="SimSun" w:cs="Mangal"/>
      <w:kern w:val="3"/>
      <w:sz w:val="24"/>
      <w:szCs w:val="24"/>
      <w:lang w:eastAsia="zh-CN" w:bidi="hi-IN"/>
    </w:rPr>
  </w:style>
  <w:style w:type="paragraph" w:customStyle="1" w:styleId="Endnote">
    <w:name w:val="Endnote"/>
    <w:basedOn w:val="Standard"/>
    <w:rsid w:val="002A61E1"/>
    <w:pPr>
      <w:suppressLineNumbers/>
      <w:ind w:left="283" w:hanging="283"/>
    </w:pPr>
    <w:rPr>
      <w:sz w:val="20"/>
      <w:szCs w:val="20"/>
    </w:rPr>
  </w:style>
  <w:style w:type="character" w:customStyle="1" w:styleId="medium-font">
    <w:name w:val="medium-font"/>
    <w:basedOn w:val="DefaultParagraphFont"/>
    <w:rsid w:val="002A61E1"/>
  </w:style>
  <w:style w:type="character" w:styleId="CommentReference">
    <w:name w:val="annotation reference"/>
    <w:basedOn w:val="DefaultParagraphFont"/>
    <w:rsid w:val="002A61E1"/>
    <w:rPr>
      <w:sz w:val="16"/>
      <w:szCs w:val="16"/>
    </w:rPr>
  </w:style>
  <w:style w:type="paragraph" w:styleId="CommentText">
    <w:name w:val="annotation text"/>
    <w:basedOn w:val="Normal"/>
    <w:link w:val="CommentTextChar"/>
    <w:rsid w:val="002A61E1"/>
    <w:pPr>
      <w:widowControl w:val="0"/>
      <w:suppressAutoHyphens/>
      <w:autoSpaceDN w:val="0"/>
      <w:spacing w:line="240" w:lineRule="auto"/>
      <w:textAlignment w:val="baseline"/>
    </w:pPr>
    <w:rPr>
      <w:rFonts w:ascii="Times New Roman" w:eastAsia="SimSun" w:hAnsi="Times New Roman" w:cs="Mangal"/>
      <w:kern w:val="3"/>
      <w:sz w:val="20"/>
      <w:szCs w:val="18"/>
      <w:lang w:eastAsia="zh-CN" w:bidi="hi-IN"/>
    </w:rPr>
  </w:style>
  <w:style w:type="character" w:customStyle="1" w:styleId="CommentTextChar">
    <w:name w:val="Comment Text Char"/>
    <w:basedOn w:val="DefaultParagraphFont"/>
    <w:link w:val="CommentText"/>
    <w:rsid w:val="002A61E1"/>
    <w:rPr>
      <w:rFonts w:eastAsia="SimSun" w:cs="Mangal"/>
      <w:kern w:val="3"/>
      <w:szCs w:val="18"/>
      <w:lang w:eastAsia="zh-CN" w:bidi="hi-IN"/>
    </w:rPr>
  </w:style>
  <w:style w:type="character" w:customStyle="1" w:styleId="matchterm0">
    <w:name w:val="matchterm0"/>
    <w:basedOn w:val="DefaultParagraphFont"/>
    <w:rsid w:val="002A61E1"/>
  </w:style>
  <w:style w:type="character" w:customStyle="1" w:styleId="title-link-wrapper">
    <w:name w:val="title-link-wrapper"/>
    <w:basedOn w:val="DefaultParagraphFont"/>
    <w:rsid w:val="002A61E1"/>
  </w:style>
  <w:style w:type="paragraph" w:styleId="FootnoteText">
    <w:name w:val="footnote text"/>
    <w:basedOn w:val="Normal"/>
    <w:link w:val="FootnoteTextChar"/>
    <w:uiPriority w:val="99"/>
    <w:unhideWhenUsed/>
    <w:rsid w:val="002A61E1"/>
    <w:pPr>
      <w:widowControl w:val="0"/>
      <w:suppressAutoHyphens/>
      <w:autoSpaceDN w:val="0"/>
      <w:spacing w:line="240" w:lineRule="auto"/>
      <w:textAlignment w:val="baseline"/>
    </w:pPr>
    <w:rPr>
      <w:rFonts w:ascii="Times New Roman" w:eastAsia="SimSun" w:hAnsi="Times New Roman" w:cs="Mangal"/>
      <w:kern w:val="3"/>
      <w:sz w:val="20"/>
      <w:szCs w:val="18"/>
      <w:lang w:eastAsia="zh-CN" w:bidi="hi-IN"/>
    </w:rPr>
  </w:style>
  <w:style w:type="character" w:customStyle="1" w:styleId="FootnoteTextChar">
    <w:name w:val="Footnote Text Char"/>
    <w:basedOn w:val="DefaultParagraphFont"/>
    <w:link w:val="FootnoteText"/>
    <w:uiPriority w:val="99"/>
    <w:rsid w:val="002A61E1"/>
    <w:rPr>
      <w:rFonts w:eastAsia="SimSun" w:cs="Mangal"/>
      <w:kern w:val="3"/>
      <w:szCs w:val="18"/>
      <w:lang w:eastAsia="zh-CN" w:bidi="hi-IN"/>
    </w:rPr>
  </w:style>
  <w:style w:type="character" w:styleId="FootnoteReference">
    <w:name w:val="footnote reference"/>
    <w:basedOn w:val="DefaultParagraphFont"/>
    <w:uiPriority w:val="99"/>
    <w:semiHidden/>
    <w:unhideWhenUsed/>
    <w:rsid w:val="002A61E1"/>
    <w:rPr>
      <w:vertAlign w:val="superscript"/>
    </w:rPr>
  </w:style>
  <w:style w:type="paragraph" w:styleId="EndnoteText">
    <w:name w:val="endnote text"/>
    <w:basedOn w:val="Standard"/>
    <w:link w:val="EndnoteTextChar"/>
    <w:uiPriority w:val="99"/>
    <w:rsid w:val="00186DCC"/>
    <w:pPr>
      <w:widowControl/>
    </w:pPr>
    <w:rPr>
      <w:rFonts w:ascii="Garamond" w:hAnsi="Garamond"/>
      <w:sz w:val="20"/>
      <w:szCs w:val="20"/>
    </w:rPr>
  </w:style>
  <w:style w:type="character" w:customStyle="1" w:styleId="EndnoteTextChar">
    <w:name w:val="Endnote Text Char"/>
    <w:basedOn w:val="DefaultParagraphFont"/>
    <w:link w:val="EndnoteText"/>
    <w:uiPriority w:val="99"/>
    <w:rsid w:val="00186DCC"/>
    <w:rPr>
      <w:rFonts w:ascii="Garamond" w:eastAsia="SimSun" w:hAnsi="Garamond" w:cs="Mangal"/>
      <w:kern w:val="3"/>
      <w:lang w:eastAsia="zh-CN" w:bidi="hi-IN"/>
    </w:rPr>
  </w:style>
  <w:style w:type="character" w:customStyle="1" w:styleId="titleauthoretc">
    <w:name w:val="titleauthoretc"/>
    <w:basedOn w:val="DefaultParagraphFont"/>
    <w:rsid w:val="00186DCC"/>
  </w:style>
  <w:style w:type="character" w:customStyle="1" w:styleId="st">
    <w:name w:val="st"/>
    <w:basedOn w:val="DefaultParagraphFont"/>
    <w:rsid w:val="00186DCC"/>
  </w:style>
  <w:style w:type="character" w:customStyle="1" w:styleId="reference-text">
    <w:name w:val="reference-text"/>
    <w:basedOn w:val="DefaultParagraphFont"/>
    <w:rsid w:val="00186DCC"/>
  </w:style>
  <w:style w:type="character" w:customStyle="1" w:styleId="apple-converted-space">
    <w:name w:val="apple-converted-space"/>
    <w:basedOn w:val="DefaultParagraphFont"/>
    <w:rsid w:val="00186DCC"/>
  </w:style>
  <w:style w:type="paragraph" w:customStyle="1" w:styleId="MediumGrid21">
    <w:name w:val="Medium Grid 21"/>
    <w:basedOn w:val="Normal"/>
    <w:link w:val="MediumGrid2Char1"/>
    <w:uiPriority w:val="1"/>
    <w:qFormat/>
    <w:rsid w:val="00186DCC"/>
    <w:pPr>
      <w:spacing w:line="240" w:lineRule="auto"/>
    </w:pPr>
    <w:rPr>
      <w:rFonts w:ascii="Times New Roman" w:hAnsi="Times New Roman"/>
      <w:szCs w:val="32"/>
    </w:rPr>
  </w:style>
  <w:style w:type="character" w:customStyle="1" w:styleId="MediumGrid2Char1">
    <w:name w:val="Medium Grid 2 Char1"/>
    <w:link w:val="MediumGrid21"/>
    <w:uiPriority w:val="1"/>
    <w:rsid w:val="00186DCC"/>
    <w:rPr>
      <w:sz w:val="24"/>
      <w:szCs w:val="32"/>
      <w:lang w:bidi="en-US"/>
    </w:rPr>
  </w:style>
  <w:style w:type="character" w:styleId="FollowedHyperlink">
    <w:name w:val="FollowedHyperlink"/>
    <w:basedOn w:val="DefaultParagraphFont"/>
    <w:uiPriority w:val="99"/>
    <w:semiHidden/>
    <w:unhideWhenUsed/>
    <w:rsid w:val="005B1FDC"/>
    <w:rPr>
      <w:color w:val="800080" w:themeColor="followedHyperlink"/>
      <w:u w:val="single"/>
    </w:rPr>
  </w:style>
  <w:style w:type="character" w:customStyle="1" w:styleId="reference-accessdate">
    <w:name w:val="reference-accessdate"/>
    <w:basedOn w:val="DefaultParagraphFont"/>
    <w:rsid w:val="004F51BA"/>
  </w:style>
  <w:style w:type="character" w:customStyle="1" w:styleId="nowrap">
    <w:name w:val="nowrap"/>
    <w:basedOn w:val="DefaultParagraphFont"/>
    <w:rsid w:val="004F51BA"/>
  </w:style>
  <w:style w:type="character" w:styleId="HTMLCite">
    <w:name w:val="HTML Cite"/>
    <w:basedOn w:val="DefaultParagraphFont"/>
    <w:uiPriority w:val="99"/>
    <w:semiHidden/>
    <w:unhideWhenUsed/>
    <w:rsid w:val="004F51BA"/>
    <w:rPr>
      <w:i/>
      <w:iCs/>
    </w:rPr>
  </w:style>
  <w:style w:type="paragraph" w:styleId="NormalWeb">
    <w:name w:val="Normal (Web)"/>
    <w:basedOn w:val="Normal"/>
    <w:uiPriority w:val="99"/>
    <w:unhideWhenUsed/>
    <w:rsid w:val="00A61D9E"/>
    <w:pPr>
      <w:spacing w:before="100" w:beforeAutospacing="1" w:after="100" w:afterAutospacing="1" w:line="240" w:lineRule="auto"/>
    </w:pPr>
    <w:rPr>
      <w:rFonts w:ascii="Times New Roman" w:hAnsi="Times New Roman"/>
      <w:lang w:bidi="ar-SA"/>
    </w:rPr>
  </w:style>
  <w:style w:type="character" w:styleId="EndnoteReference">
    <w:name w:val="endnote reference"/>
    <w:basedOn w:val="DefaultParagraphFont"/>
    <w:uiPriority w:val="99"/>
    <w:unhideWhenUsed/>
    <w:rsid w:val="00957FF3"/>
    <w:rPr>
      <w:vertAlign w:val="superscript"/>
    </w:rPr>
  </w:style>
  <w:style w:type="paragraph" w:styleId="HTMLAddress">
    <w:name w:val="HTML Address"/>
    <w:basedOn w:val="Normal"/>
    <w:link w:val="HTMLAddressChar"/>
    <w:uiPriority w:val="99"/>
    <w:semiHidden/>
    <w:unhideWhenUsed/>
    <w:rsid w:val="00957FF3"/>
    <w:pPr>
      <w:spacing w:line="240" w:lineRule="auto"/>
    </w:pPr>
    <w:rPr>
      <w:rFonts w:ascii="Times New Roman" w:hAnsi="Times New Roman"/>
      <w:i/>
      <w:iCs/>
      <w:lang w:bidi="ar-SA"/>
    </w:rPr>
  </w:style>
  <w:style w:type="character" w:customStyle="1" w:styleId="HTMLAddressChar">
    <w:name w:val="HTML Address Char"/>
    <w:basedOn w:val="DefaultParagraphFont"/>
    <w:link w:val="HTMLAddress"/>
    <w:uiPriority w:val="99"/>
    <w:semiHidden/>
    <w:rsid w:val="00957FF3"/>
    <w:rPr>
      <w:i/>
      <w:iCs/>
      <w:sz w:val="24"/>
      <w:szCs w:val="24"/>
    </w:rPr>
  </w:style>
  <w:style w:type="character" w:customStyle="1" w:styleId="exldetailsdisplayval">
    <w:name w:val="exldetailsdisplayval"/>
    <w:basedOn w:val="DefaultParagraphFont"/>
    <w:rsid w:val="00957FF3"/>
  </w:style>
  <w:style w:type="character" w:customStyle="1" w:styleId="Subtitle1">
    <w:name w:val="Subtitle1"/>
    <w:basedOn w:val="DefaultParagraphFont"/>
    <w:rsid w:val="00957FF3"/>
  </w:style>
  <w:style w:type="character" w:customStyle="1" w:styleId="mw-cite-backlink">
    <w:name w:val="mw-cite-backlink"/>
    <w:basedOn w:val="DefaultParagraphFont"/>
    <w:rsid w:val="00957FF3"/>
  </w:style>
  <w:style w:type="character" w:customStyle="1" w:styleId="cite-accessibility-label">
    <w:name w:val="cite-accessibility-label"/>
    <w:basedOn w:val="DefaultParagraphFont"/>
    <w:rsid w:val="00957FF3"/>
  </w:style>
  <w:style w:type="character" w:customStyle="1" w:styleId="gb-title-box-title">
    <w:name w:val="gb-title-box-title"/>
    <w:basedOn w:val="DefaultParagraphFont"/>
    <w:rsid w:val="00B36BA8"/>
  </w:style>
  <w:style w:type="character" w:styleId="LineNumber">
    <w:name w:val="line number"/>
    <w:basedOn w:val="DefaultParagraphFont"/>
    <w:uiPriority w:val="99"/>
    <w:semiHidden/>
    <w:unhideWhenUsed/>
    <w:rsid w:val="00517FB9"/>
  </w:style>
  <w:style w:type="character" w:customStyle="1" w:styleId="text">
    <w:name w:val="text"/>
    <w:basedOn w:val="DefaultParagraphFont"/>
    <w:rsid w:val="002202F2"/>
  </w:style>
  <w:style w:type="numbering" w:customStyle="1" w:styleId="Style1">
    <w:name w:val="Style1"/>
    <w:uiPriority w:val="99"/>
    <w:rsid w:val="007350DF"/>
    <w:pPr>
      <w:numPr>
        <w:numId w:val="30"/>
      </w:numPr>
    </w:pPr>
  </w:style>
  <w:style w:type="numbering" w:customStyle="1" w:styleId="Style2">
    <w:name w:val="Style2"/>
    <w:uiPriority w:val="99"/>
    <w:rsid w:val="007350DF"/>
    <w:pPr>
      <w:numPr>
        <w:numId w:val="31"/>
      </w:numPr>
    </w:pPr>
  </w:style>
  <w:style w:type="character" w:customStyle="1" w:styleId="a-size-extra-large">
    <w:name w:val="a-size-extra-large"/>
    <w:basedOn w:val="DefaultParagraphFont"/>
    <w:rsid w:val="008C60C1"/>
  </w:style>
  <w:style w:type="character" w:customStyle="1" w:styleId="a-size-large">
    <w:name w:val="a-size-large"/>
    <w:basedOn w:val="DefaultParagraphFont"/>
    <w:rsid w:val="00305300"/>
  </w:style>
  <w:style w:type="character" w:customStyle="1" w:styleId="ipa">
    <w:name w:val="ipa"/>
    <w:basedOn w:val="DefaultParagraphFont"/>
    <w:rsid w:val="00105EC0"/>
  </w:style>
  <w:style w:type="character" w:customStyle="1" w:styleId="art">
    <w:name w:val="art"/>
    <w:basedOn w:val="DefaultParagraphFont"/>
    <w:rsid w:val="00135807"/>
  </w:style>
  <w:style w:type="character" w:customStyle="1" w:styleId="itemtype">
    <w:name w:val="itemtype"/>
    <w:basedOn w:val="DefaultParagraphFont"/>
    <w:rsid w:val="001358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3554">
      <w:bodyDiv w:val="1"/>
      <w:marLeft w:val="0"/>
      <w:marRight w:val="0"/>
      <w:marTop w:val="0"/>
      <w:marBottom w:val="0"/>
      <w:divBdr>
        <w:top w:val="none" w:sz="0" w:space="0" w:color="auto"/>
        <w:left w:val="none" w:sz="0" w:space="0" w:color="auto"/>
        <w:bottom w:val="none" w:sz="0" w:space="0" w:color="auto"/>
        <w:right w:val="none" w:sz="0" w:space="0" w:color="auto"/>
      </w:divBdr>
    </w:div>
    <w:div w:id="73284176">
      <w:bodyDiv w:val="1"/>
      <w:marLeft w:val="0"/>
      <w:marRight w:val="0"/>
      <w:marTop w:val="0"/>
      <w:marBottom w:val="0"/>
      <w:divBdr>
        <w:top w:val="none" w:sz="0" w:space="0" w:color="auto"/>
        <w:left w:val="none" w:sz="0" w:space="0" w:color="auto"/>
        <w:bottom w:val="none" w:sz="0" w:space="0" w:color="auto"/>
        <w:right w:val="none" w:sz="0" w:space="0" w:color="auto"/>
      </w:divBdr>
      <w:divsChild>
        <w:div w:id="120810172">
          <w:marLeft w:val="0"/>
          <w:marRight w:val="0"/>
          <w:marTop w:val="0"/>
          <w:marBottom w:val="0"/>
          <w:divBdr>
            <w:top w:val="none" w:sz="0" w:space="0" w:color="auto"/>
            <w:left w:val="none" w:sz="0" w:space="0" w:color="auto"/>
            <w:bottom w:val="none" w:sz="0" w:space="0" w:color="auto"/>
            <w:right w:val="none" w:sz="0" w:space="0" w:color="auto"/>
          </w:divBdr>
          <w:divsChild>
            <w:div w:id="1190794776">
              <w:marLeft w:val="-300"/>
              <w:marRight w:val="0"/>
              <w:marTop w:val="0"/>
              <w:marBottom w:val="0"/>
              <w:divBdr>
                <w:top w:val="none" w:sz="0" w:space="0" w:color="auto"/>
                <w:left w:val="none" w:sz="0" w:space="0" w:color="auto"/>
                <w:bottom w:val="none" w:sz="0" w:space="0" w:color="auto"/>
                <w:right w:val="none" w:sz="0" w:space="0" w:color="auto"/>
              </w:divBdr>
            </w:div>
            <w:div w:id="1296837585">
              <w:marLeft w:val="0"/>
              <w:marRight w:val="0"/>
              <w:marTop w:val="0"/>
              <w:marBottom w:val="0"/>
              <w:divBdr>
                <w:top w:val="none" w:sz="0" w:space="0" w:color="auto"/>
                <w:left w:val="none" w:sz="0" w:space="0" w:color="auto"/>
                <w:bottom w:val="none" w:sz="0" w:space="0" w:color="auto"/>
                <w:right w:val="none" w:sz="0" w:space="0" w:color="auto"/>
              </w:divBdr>
              <w:divsChild>
                <w:div w:id="49784319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731124172">
          <w:marLeft w:val="0"/>
          <w:marRight w:val="0"/>
          <w:marTop w:val="0"/>
          <w:marBottom w:val="0"/>
          <w:divBdr>
            <w:top w:val="none" w:sz="0" w:space="0" w:color="auto"/>
            <w:left w:val="none" w:sz="0" w:space="0" w:color="auto"/>
            <w:bottom w:val="none" w:sz="0" w:space="0" w:color="auto"/>
            <w:right w:val="none" w:sz="0" w:space="0" w:color="auto"/>
          </w:divBdr>
          <w:divsChild>
            <w:div w:id="264584314">
              <w:marLeft w:val="-300"/>
              <w:marRight w:val="0"/>
              <w:marTop w:val="0"/>
              <w:marBottom w:val="0"/>
              <w:divBdr>
                <w:top w:val="none" w:sz="0" w:space="0" w:color="auto"/>
                <w:left w:val="none" w:sz="0" w:space="0" w:color="auto"/>
                <w:bottom w:val="none" w:sz="0" w:space="0" w:color="auto"/>
                <w:right w:val="none" w:sz="0" w:space="0" w:color="auto"/>
              </w:divBdr>
            </w:div>
            <w:div w:id="476849332">
              <w:marLeft w:val="0"/>
              <w:marRight w:val="0"/>
              <w:marTop w:val="0"/>
              <w:marBottom w:val="0"/>
              <w:divBdr>
                <w:top w:val="none" w:sz="0" w:space="0" w:color="auto"/>
                <w:left w:val="none" w:sz="0" w:space="0" w:color="auto"/>
                <w:bottom w:val="none" w:sz="0" w:space="0" w:color="auto"/>
                <w:right w:val="none" w:sz="0" w:space="0" w:color="auto"/>
              </w:divBdr>
              <w:divsChild>
                <w:div w:id="101812216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997541816">
          <w:marLeft w:val="0"/>
          <w:marRight w:val="0"/>
          <w:marTop w:val="0"/>
          <w:marBottom w:val="0"/>
          <w:divBdr>
            <w:top w:val="none" w:sz="0" w:space="0" w:color="auto"/>
            <w:left w:val="none" w:sz="0" w:space="0" w:color="auto"/>
            <w:bottom w:val="none" w:sz="0" w:space="0" w:color="auto"/>
            <w:right w:val="none" w:sz="0" w:space="0" w:color="auto"/>
          </w:divBdr>
          <w:divsChild>
            <w:div w:id="503319232">
              <w:marLeft w:val="-300"/>
              <w:marRight w:val="0"/>
              <w:marTop w:val="0"/>
              <w:marBottom w:val="0"/>
              <w:divBdr>
                <w:top w:val="none" w:sz="0" w:space="0" w:color="auto"/>
                <w:left w:val="none" w:sz="0" w:space="0" w:color="auto"/>
                <w:bottom w:val="none" w:sz="0" w:space="0" w:color="auto"/>
                <w:right w:val="none" w:sz="0" w:space="0" w:color="auto"/>
              </w:divBdr>
            </w:div>
            <w:div w:id="1652060399">
              <w:marLeft w:val="0"/>
              <w:marRight w:val="0"/>
              <w:marTop w:val="0"/>
              <w:marBottom w:val="0"/>
              <w:divBdr>
                <w:top w:val="none" w:sz="0" w:space="0" w:color="auto"/>
                <w:left w:val="none" w:sz="0" w:space="0" w:color="auto"/>
                <w:bottom w:val="none" w:sz="0" w:space="0" w:color="auto"/>
                <w:right w:val="none" w:sz="0" w:space="0" w:color="auto"/>
              </w:divBdr>
              <w:divsChild>
                <w:div w:id="19346244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725177248">
          <w:marLeft w:val="0"/>
          <w:marRight w:val="0"/>
          <w:marTop w:val="0"/>
          <w:marBottom w:val="0"/>
          <w:divBdr>
            <w:top w:val="none" w:sz="0" w:space="0" w:color="auto"/>
            <w:left w:val="none" w:sz="0" w:space="0" w:color="auto"/>
            <w:bottom w:val="none" w:sz="0" w:space="0" w:color="auto"/>
            <w:right w:val="none" w:sz="0" w:space="0" w:color="auto"/>
          </w:divBdr>
          <w:divsChild>
            <w:div w:id="258100232">
              <w:marLeft w:val="0"/>
              <w:marRight w:val="0"/>
              <w:marTop w:val="0"/>
              <w:marBottom w:val="0"/>
              <w:divBdr>
                <w:top w:val="none" w:sz="0" w:space="0" w:color="auto"/>
                <w:left w:val="none" w:sz="0" w:space="0" w:color="auto"/>
                <w:bottom w:val="none" w:sz="0" w:space="0" w:color="auto"/>
                <w:right w:val="none" w:sz="0" w:space="0" w:color="auto"/>
              </w:divBdr>
              <w:divsChild>
                <w:div w:id="1054812133">
                  <w:marLeft w:val="0"/>
                  <w:marRight w:val="75"/>
                  <w:marTop w:val="0"/>
                  <w:marBottom w:val="0"/>
                  <w:divBdr>
                    <w:top w:val="none" w:sz="0" w:space="0" w:color="auto"/>
                    <w:left w:val="none" w:sz="0" w:space="0" w:color="auto"/>
                    <w:bottom w:val="none" w:sz="0" w:space="0" w:color="auto"/>
                    <w:right w:val="none" w:sz="0" w:space="0" w:color="auto"/>
                  </w:divBdr>
                </w:div>
              </w:divsChild>
            </w:div>
            <w:div w:id="1865829703">
              <w:marLeft w:val="-300"/>
              <w:marRight w:val="0"/>
              <w:marTop w:val="0"/>
              <w:marBottom w:val="0"/>
              <w:divBdr>
                <w:top w:val="none" w:sz="0" w:space="0" w:color="auto"/>
                <w:left w:val="none" w:sz="0" w:space="0" w:color="auto"/>
                <w:bottom w:val="none" w:sz="0" w:space="0" w:color="auto"/>
                <w:right w:val="none" w:sz="0" w:space="0" w:color="auto"/>
              </w:divBdr>
            </w:div>
          </w:divsChild>
        </w:div>
        <w:div w:id="1844003574">
          <w:marLeft w:val="0"/>
          <w:marRight w:val="0"/>
          <w:marTop w:val="0"/>
          <w:marBottom w:val="0"/>
          <w:divBdr>
            <w:top w:val="none" w:sz="0" w:space="0" w:color="auto"/>
            <w:left w:val="none" w:sz="0" w:space="0" w:color="auto"/>
            <w:bottom w:val="none" w:sz="0" w:space="0" w:color="auto"/>
            <w:right w:val="none" w:sz="0" w:space="0" w:color="auto"/>
          </w:divBdr>
          <w:divsChild>
            <w:div w:id="1348558980">
              <w:marLeft w:val="-300"/>
              <w:marRight w:val="0"/>
              <w:marTop w:val="0"/>
              <w:marBottom w:val="0"/>
              <w:divBdr>
                <w:top w:val="none" w:sz="0" w:space="0" w:color="auto"/>
                <w:left w:val="none" w:sz="0" w:space="0" w:color="auto"/>
                <w:bottom w:val="none" w:sz="0" w:space="0" w:color="auto"/>
                <w:right w:val="none" w:sz="0" w:space="0" w:color="auto"/>
              </w:divBdr>
            </w:div>
            <w:div w:id="1582060085">
              <w:marLeft w:val="0"/>
              <w:marRight w:val="0"/>
              <w:marTop w:val="0"/>
              <w:marBottom w:val="0"/>
              <w:divBdr>
                <w:top w:val="none" w:sz="0" w:space="0" w:color="auto"/>
                <w:left w:val="none" w:sz="0" w:space="0" w:color="auto"/>
                <w:bottom w:val="none" w:sz="0" w:space="0" w:color="auto"/>
                <w:right w:val="none" w:sz="0" w:space="0" w:color="auto"/>
              </w:divBdr>
              <w:divsChild>
                <w:div w:id="157871318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1911379040">
          <w:marLeft w:val="0"/>
          <w:marRight w:val="0"/>
          <w:marTop w:val="0"/>
          <w:marBottom w:val="0"/>
          <w:divBdr>
            <w:top w:val="none" w:sz="0" w:space="0" w:color="auto"/>
            <w:left w:val="none" w:sz="0" w:space="0" w:color="auto"/>
            <w:bottom w:val="none" w:sz="0" w:space="0" w:color="auto"/>
            <w:right w:val="none" w:sz="0" w:space="0" w:color="auto"/>
          </w:divBdr>
          <w:divsChild>
            <w:div w:id="1372534480">
              <w:marLeft w:val="0"/>
              <w:marRight w:val="0"/>
              <w:marTop w:val="0"/>
              <w:marBottom w:val="0"/>
              <w:divBdr>
                <w:top w:val="none" w:sz="0" w:space="0" w:color="auto"/>
                <w:left w:val="none" w:sz="0" w:space="0" w:color="auto"/>
                <w:bottom w:val="none" w:sz="0" w:space="0" w:color="auto"/>
                <w:right w:val="none" w:sz="0" w:space="0" w:color="auto"/>
              </w:divBdr>
              <w:divsChild>
                <w:div w:id="183187072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78738604">
      <w:bodyDiv w:val="1"/>
      <w:marLeft w:val="0"/>
      <w:marRight w:val="0"/>
      <w:marTop w:val="0"/>
      <w:marBottom w:val="0"/>
      <w:divBdr>
        <w:top w:val="none" w:sz="0" w:space="0" w:color="auto"/>
        <w:left w:val="none" w:sz="0" w:space="0" w:color="auto"/>
        <w:bottom w:val="none" w:sz="0" w:space="0" w:color="auto"/>
        <w:right w:val="none" w:sz="0" w:space="0" w:color="auto"/>
      </w:divBdr>
    </w:div>
    <w:div w:id="222911203">
      <w:bodyDiv w:val="1"/>
      <w:marLeft w:val="0"/>
      <w:marRight w:val="0"/>
      <w:marTop w:val="0"/>
      <w:marBottom w:val="0"/>
      <w:divBdr>
        <w:top w:val="none" w:sz="0" w:space="0" w:color="auto"/>
        <w:left w:val="none" w:sz="0" w:space="0" w:color="auto"/>
        <w:bottom w:val="none" w:sz="0" w:space="0" w:color="auto"/>
        <w:right w:val="none" w:sz="0" w:space="0" w:color="auto"/>
      </w:divBdr>
    </w:div>
    <w:div w:id="237247453">
      <w:bodyDiv w:val="1"/>
      <w:marLeft w:val="0"/>
      <w:marRight w:val="0"/>
      <w:marTop w:val="0"/>
      <w:marBottom w:val="0"/>
      <w:divBdr>
        <w:top w:val="none" w:sz="0" w:space="0" w:color="auto"/>
        <w:left w:val="none" w:sz="0" w:space="0" w:color="auto"/>
        <w:bottom w:val="none" w:sz="0" w:space="0" w:color="auto"/>
        <w:right w:val="none" w:sz="0" w:space="0" w:color="auto"/>
      </w:divBdr>
    </w:div>
    <w:div w:id="281808181">
      <w:bodyDiv w:val="1"/>
      <w:marLeft w:val="0"/>
      <w:marRight w:val="0"/>
      <w:marTop w:val="0"/>
      <w:marBottom w:val="0"/>
      <w:divBdr>
        <w:top w:val="none" w:sz="0" w:space="0" w:color="auto"/>
        <w:left w:val="none" w:sz="0" w:space="0" w:color="auto"/>
        <w:bottom w:val="none" w:sz="0" w:space="0" w:color="auto"/>
        <w:right w:val="none" w:sz="0" w:space="0" w:color="auto"/>
      </w:divBdr>
    </w:div>
    <w:div w:id="342561077">
      <w:bodyDiv w:val="1"/>
      <w:marLeft w:val="0"/>
      <w:marRight w:val="0"/>
      <w:marTop w:val="0"/>
      <w:marBottom w:val="0"/>
      <w:divBdr>
        <w:top w:val="none" w:sz="0" w:space="0" w:color="auto"/>
        <w:left w:val="none" w:sz="0" w:space="0" w:color="auto"/>
        <w:bottom w:val="none" w:sz="0" w:space="0" w:color="auto"/>
        <w:right w:val="none" w:sz="0" w:space="0" w:color="auto"/>
      </w:divBdr>
      <w:divsChild>
        <w:div w:id="69623253">
          <w:marLeft w:val="0"/>
          <w:marRight w:val="0"/>
          <w:marTop w:val="0"/>
          <w:marBottom w:val="0"/>
          <w:divBdr>
            <w:top w:val="none" w:sz="0" w:space="0" w:color="auto"/>
            <w:left w:val="none" w:sz="0" w:space="0" w:color="auto"/>
            <w:bottom w:val="none" w:sz="0" w:space="0" w:color="auto"/>
            <w:right w:val="none" w:sz="0" w:space="0" w:color="auto"/>
          </w:divBdr>
        </w:div>
        <w:div w:id="127667776">
          <w:marLeft w:val="0"/>
          <w:marRight w:val="0"/>
          <w:marTop w:val="0"/>
          <w:marBottom w:val="0"/>
          <w:divBdr>
            <w:top w:val="none" w:sz="0" w:space="0" w:color="auto"/>
            <w:left w:val="none" w:sz="0" w:space="0" w:color="auto"/>
            <w:bottom w:val="none" w:sz="0" w:space="0" w:color="auto"/>
            <w:right w:val="none" w:sz="0" w:space="0" w:color="auto"/>
          </w:divBdr>
          <w:divsChild>
            <w:div w:id="1284464001">
              <w:marLeft w:val="0"/>
              <w:marRight w:val="0"/>
              <w:marTop w:val="0"/>
              <w:marBottom w:val="0"/>
              <w:divBdr>
                <w:top w:val="none" w:sz="0" w:space="0" w:color="auto"/>
                <w:left w:val="none" w:sz="0" w:space="0" w:color="auto"/>
                <w:bottom w:val="none" w:sz="0" w:space="0" w:color="auto"/>
                <w:right w:val="none" w:sz="0" w:space="0" w:color="auto"/>
              </w:divBdr>
            </w:div>
            <w:div w:id="1302081429">
              <w:marLeft w:val="0"/>
              <w:marRight w:val="0"/>
              <w:marTop w:val="0"/>
              <w:marBottom w:val="0"/>
              <w:divBdr>
                <w:top w:val="none" w:sz="0" w:space="0" w:color="auto"/>
                <w:left w:val="none" w:sz="0" w:space="0" w:color="auto"/>
                <w:bottom w:val="none" w:sz="0" w:space="0" w:color="auto"/>
                <w:right w:val="none" w:sz="0" w:space="0" w:color="auto"/>
              </w:divBdr>
            </w:div>
          </w:divsChild>
        </w:div>
        <w:div w:id="1334458272">
          <w:marLeft w:val="0"/>
          <w:marRight w:val="0"/>
          <w:marTop w:val="0"/>
          <w:marBottom w:val="0"/>
          <w:divBdr>
            <w:top w:val="none" w:sz="0" w:space="0" w:color="auto"/>
            <w:left w:val="none" w:sz="0" w:space="0" w:color="auto"/>
            <w:bottom w:val="none" w:sz="0" w:space="0" w:color="auto"/>
            <w:right w:val="none" w:sz="0" w:space="0" w:color="auto"/>
          </w:divBdr>
        </w:div>
      </w:divsChild>
    </w:div>
    <w:div w:id="378556774">
      <w:bodyDiv w:val="1"/>
      <w:marLeft w:val="0"/>
      <w:marRight w:val="0"/>
      <w:marTop w:val="0"/>
      <w:marBottom w:val="0"/>
      <w:divBdr>
        <w:top w:val="none" w:sz="0" w:space="0" w:color="auto"/>
        <w:left w:val="none" w:sz="0" w:space="0" w:color="auto"/>
        <w:bottom w:val="none" w:sz="0" w:space="0" w:color="auto"/>
        <w:right w:val="none" w:sz="0" w:space="0" w:color="auto"/>
      </w:divBdr>
    </w:div>
    <w:div w:id="601963082">
      <w:bodyDiv w:val="1"/>
      <w:marLeft w:val="0"/>
      <w:marRight w:val="0"/>
      <w:marTop w:val="0"/>
      <w:marBottom w:val="0"/>
      <w:divBdr>
        <w:top w:val="none" w:sz="0" w:space="0" w:color="auto"/>
        <w:left w:val="none" w:sz="0" w:space="0" w:color="auto"/>
        <w:bottom w:val="none" w:sz="0" w:space="0" w:color="auto"/>
        <w:right w:val="none" w:sz="0" w:space="0" w:color="auto"/>
      </w:divBdr>
    </w:div>
    <w:div w:id="610476528">
      <w:bodyDiv w:val="1"/>
      <w:marLeft w:val="0"/>
      <w:marRight w:val="0"/>
      <w:marTop w:val="0"/>
      <w:marBottom w:val="0"/>
      <w:divBdr>
        <w:top w:val="none" w:sz="0" w:space="0" w:color="auto"/>
        <w:left w:val="none" w:sz="0" w:space="0" w:color="auto"/>
        <w:bottom w:val="none" w:sz="0" w:space="0" w:color="auto"/>
        <w:right w:val="none" w:sz="0" w:space="0" w:color="auto"/>
      </w:divBdr>
    </w:div>
    <w:div w:id="668405321">
      <w:bodyDiv w:val="1"/>
      <w:marLeft w:val="0"/>
      <w:marRight w:val="0"/>
      <w:marTop w:val="0"/>
      <w:marBottom w:val="0"/>
      <w:divBdr>
        <w:top w:val="none" w:sz="0" w:space="0" w:color="auto"/>
        <w:left w:val="none" w:sz="0" w:space="0" w:color="auto"/>
        <w:bottom w:val="none" w:sz="0" w:space="0" w:color="auto"/>
        <w:right w:val="none" w:sz="0" w:space="0" w:color="auto"/>
      </w:divBdr>
    </w:div>
    <w:div w:id="675038066">
      <w:bodyDiv w:val="1"/>
      <w:marLeft w:val="0"/>
      <w:marRight w:val="0"/>
      <w:marTop w:val="0"/>
      <w:marBottom w:val="0"/>
      <w:divBdr>
        <w:top w:val="none" w:sz="0" w:space="0" w:color="auto"/>
        <w:left w:val="none" w:sz="0" w:space="0" w:color="auto"/>
        <w:bottom w:val="none" w:sz="0" w:space="0" w:color="auto"/>
        <w:right w:val="none" w:sz="0" w:space="0" w:color="auto"/>
      </w:divBdr>
    </w:div>
    <w:div w:id="684088311">
      <w:bodyDiv w:val="1"/>
      <w:marLeft w:val="0"/>
      <w:marRight w:val="0"/>
      <w:marTop w:val="0"/>
      <w:marBottom w:val="0"/>
      <w:divBdr>
        <w:top w:val="none" w:sz="0" w:space="0" w:color="auto"/>
        <w:left w:val="none" w:sz="0" w:space="0" w:color="auto"/>
        <w:bottom w:val="none" w:sz="0" w:space="0" w:color="auto"/>
        <w:right w:val="none" w:sz="0" w:space="0" w:color="auto"/>
      </w:divBdr>
    </w:div>
    <w:div w:id="824779828">
      <w:bodyDiv w:val="1"/>
      <w:marLeft w:val="0"/>
      <w:marRight w:val="0"/>
      <w:marTop w:val="0"/>
      <w:marBottom w:val="0"/>
      <w:divBdr>
        <w:top w:val="none" w:sz="0" w:space="0" w:color="auto"/>
        <w:left w:val="none" w:sz="0" w:space="0" w:color="auto"/>
        <w:bottom w:val="none" w:sz="0" w:space="0" w:color="auto"/>
        <w:right w:val="none" w:sz="0" w:space="0" w:color="auto"/>
      </w:divBdr>
    </w:div>
    <w:div w:id="990332152">
      <w:bodyDiv w:val="1"/>
      <w:marLeft w:val="0"/>
      <w:marRight w:val="0"/>
      <w:marTop w:val="0"/>
      <w:marBottom w:val="0"/>
      <w:divBdr>
        <w:top w:val="none" w:sz="0" w:space="0" w:color="auto"/>
        <w:left w:val="none" w:sz="0" w:space="0" w:color="auto"/>
        <w:bottom w:val="none" w:sz="0" w:space="0" w:color="auto"/>
        <w:right w:val="none" w:sz="0" w:space="0" w:color="auto"/>
      </w:divBdr>
      <w:divsChild>
        <w:div w:id="1979920959">
          <w:marLeft w:val="0"/>
          <w:marRight w:val="0"/>
          <w:marTop w:val="0"/>
          <w:marBottom w:val="0"/>
          <w:divBdr>
            <w:top w:val="none" w:sz="0" w:space="0" w:color="auto"/>
            <w:left w:val="none" w:sz="0" w:space="0" w:color="auto"/>
            <w:bottom w:val="none" w:sz="0" w:space="0" w:color="auto"/>
            <w:right w:val="none" w:sz="0" w:space="0" w:color="auto"/>
          </w:divBdr>
        </w:div>
        <w:div w:id="622732572">
          <w:marLeft w:val="0"/>
          <w:marRight w:val="0"/>
          <w:marTop w:val="0"/>
          <w:marBottom w:val="0"/>
          <w:divBdr>
            <w:top w:val="none" w:sz="0" w:space="0" w:color="auto"/>
            <w:left w:val="none" w:sz="0" w:space="0" w:color="auto"/>
            <w:bottom w:val="none" w:sz="0" w:space="0" w:color="auto"/>
            <w:right w:val="none" w:sz="0" w:space="0" w:color="auto"/>
          </w:divBdr>
        </w:div>
        <w:div w:id="929195143">
          <w:marLeft w:val="0"/>
          <w:marRight w:val="0"/>
          <w:marTop w:val="0"/>
          <w:marBottom w:val="0"/>
          <w:divBdr>
            <w:top w:val="none" w:sz="0" w:space="0" w:color="auto"/>
            <w:left w:val="none" w:sz="0" w:space="0" w:color="auto"/>
            <w:bottom w:val="none" w:sz="0" w:space="0" w:color="auto"/>
            <w:right w:val="none" w:sz="0" w:space="0" w:color="auto"/>
          </w:divBdr>
        </w:div>
      </w:divsChild>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047073392">
      <w:bodyDiv w:val="1"/>
      <w:marLeft w:val="0"/>
      <w:marRight w:val="0"/>
      <w:marTop w:val="0"/>
      <w:marBottom w:val="0"/>
      <w:divBdr>
        <w:top w:val="none" w:sz="0" w:space="0" w:color="auto"/>
        <w:left w:val="none" w:sz="0" w:space="0" w:color="auto"/>
        <w:bottom w:val="none" w:sz="0" w:space="0" w:color="auto"/>
        <w:right w:val="none" w:sz="0" w:space="0" w:color="auto"/>
      </w:divBdr>
    </w:div>
    <w:div w:id="1080978344">
      <w:bodyDiv w:val="1"/>
      <w:marLeft w:val="0"/>
      <w:marRight w:val="0"/>
      <w:marTop w:val="0"/>
      <w:marBottom w:val="0"/>
      <w:divBdr>
        <w:top w:val="none" w:sz="0" w:space="0" w:color="auto"/>
        <w:left w:val="none" w:sz="0" w:space="0" w:color="auto"/>
        <w:bottom w:val="none" w:sz="0" w:space="0" w:color="auto"/>
        <w:right w:val="none" w:sz="0" w:space="0" w:color="auto"/>
      </w:divBdr>
    </w:div>
    <w:div w:id="1310211687">
      <w:bodyDiv w:val="1"/>
      <w:marLeft w:val="0"/>
      <w:marRight w:val="0"/>
      <w:marTop w:val="0"/>
      <w:marBottom w:val="0"/>
      <w:divBdr>
        <w:top w:val="none" w:sz="0" w:space="0" w:color="auto"/>
        <w:left w:val="none" w:sz="0" w:space="0" w:color="auto"/>
        <w:bottom w:val="none" w:sz="0" w:space="0" w:color="auto"/>
        <w:right w:val="none" w:sz="0" w:space="0" w:color="auto"/>
      </w:divBdr>
    </w:div>
    <w:div w:id="1342320362">
      <w:bodyDiv w:val="1"/>
      <w:marLeft w:val="0"/>
      <w:marRight w:val="0"/>
      <w:marTop w:val="0"/>
      <w:marBottom w:val="0"/>
      <w:divBdr>
        <w:top w:val="none" w:sz="0" w:space="0" w:color="auto"/>
        <w:left w:val="none" w:sz="0" w:space="0" w:color="auto"/>
        <w:bottom w:val="none" w:sz="0" w:space="0" w:color="auto"/>
        <w:right w:val="none" w:sz="0" w:space="0" w:color="auto"/>
      </w:divBdr>
    </w:div>
    <w:div w:id="1366518298">
      <w:bodyDiv w:val="1"/>
      <w:marLeft w:val="0"/>
      <w:marRight w:val="0"/>
      <w:marTop w:val="0"/>
      <w:marBottom w:val="0"/>
      <w:divBdr>
        <w:top w:val="none" w:sz="0" w:space="0" w:color="auto"/>
        <w:left w:val="none" w:sz="0" w:space="0" w:color="auto"/>
        <w:bottom w:val="none" w:sz="0" w:space="0" w:color="auto"/>
        <w:right w:val="none" w:sz="0" w:space="0" w:color="auto"/>
      </w:divBdr>
      <w:divsChild>
        <w:div w:id="548683902">
          <w:marLeft w:val="0"/>
          <w:marRight w:val="0"/>
          <w:marTop w:val="0"/>
          <w:marBottom w:val="0"/>
          <w:divBdr>
            <w:top w:val="none" w:sz="0" w:space="0" w:color="auto"/>
            <w:left w:val="none" w:sz="0" w:space="0" w:color="auto"/>
            <w:bottom w:val="none" w:sz="0" w:space="0" w:color="auto"/>
            <w:right w:val="none" w:sz="0" w:space="0" w:color="auto"/>
          </w:divBdr>
        </w:div>
        <w:div w:id="1304967421">
          <w:marLeft w:val="0"/>
          <w:marRight w:val="0"/>
          <w:marTop w:val="0"/>
          <w:marBottom w:val="0"/>
          <w:divBdr>
            <w:top w:val="none" w:sz="0" w:space="0" w:color="auto"/>
            <w:left w:val="none" w:sz="0" w:space="0" w:color="auto"/>
            <w:bottom w:val="none" w:sz="0" w:space="0" w:color="auto"/>
            <w:right w:val="none" w:sz="0" w:space="0" w:color="auto"/>
          </w:divBdr>
        </w:div>
        <w:div w:id="1412770265">
          <w:marLeft w:val="0"/>
          <w:marRight w:val="0"/>
          <w:marTop w:val="0"/>
          <w:marBottom w:val="0"/>
          <w:divBdr>
            <w:top w:val="none" w:sz="0" w:space="0" w:color="auto"/>
            <w:left w:val="none" w:sz="0" w:space="0" w:color="auto"/>
            <w:bottom w:val="none" w:sz="0" w:space="0" w:color="auto"/>
            <w:right w:val="none" w:sz="0" w:space="0" w:color="auto"/>
          </w:divBdr>
          <w:divsChild>
            <w:div w:id="414592695">
              <w:marLeft w:val="0"/>
              <w:marRight w:val="0"/>
              <w:marTop w:val="0"/>
              <w:marBottom w:val="0"/>
              <w:divBdr>
                <w:top w:val="none" w:sz="0" w:space="0" w:color="auto"/>
                <w:left w:val="none" w:sz="0" w:space="0" w:color="auto"/>
                <w:bottom w:val="none" w:sz="0" w:space="0" w:color="auto"/>
                <w:right w:val="none" w:sz="0" w:space="0" w:color="auto"/>
              </w:divBdr>
            </w:div>
            <w:div w:id="74711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671840">
      <w:bodyDiv w:val="1"/>
      <w:marLeft w:val="0"/>
      <w:marRight w:val="0"/>
      <w:marTop w:val="0"/>
      <w:marBottom w:val="0"/>
      <w:divBdr>
        <w:top w:val="none" w:sz="0" w:space="0" w:color="auto"/>
        <w:left w:val="none" w:sz="0" w:space="0" w:color="auto"/>
        <w:bottom w:val="none" w:sz="0" w:space="0" w:color="auto"/>
        <w:right w:val="none" w:sz="0" w:space="0" w:color="auto"/>
      </w:divBdr>
    </w:div>
    <w:div w:id="1624537227">
      <w:bodyDiv w:val="1"/>
      <w:marLeft w:val="0"/>
      <w:marRight w:val="0"/>
      <w:marTop w:val="0"/>
      <w:marBottom w:val="0"/>
      <w:divBdr>
        <w:top w:val="none" w:sz="0" w:space="0" w:color="auto"/>
        <w:left w:val="none" w:sz="0" w:space="0" w:color="auto"/>
        <w:bottom w:val="none" w:sz="0" w:space="0" w:color="auto"/>
        <w:right w:val="none" w:sz="0" w:space="0" w:color="auto"/>
      </w:divBdr>
    </w:div>
    <w:div w:id="1722629731">
      <w:bodyDiv w:val="1"/>
      <w:marLeft w:val="0"/>
      <w:marRight w:val="0"/>
      <w:marTop w:val="0"/>
      <w:marBottom w:val="0"/>
      <w:divBdr>
        <w:top w:val="none" w:sz="0" w:space="0" w:color="auto"/>
        <w:left w:val="none" w:sz="0" w:space="0" w:color="auto"/>
        <w:bottom w:val="none" w:sz="0" w:space="0" w:color="auto"/>
        <w:right w:val="none" w:sz="0" w:space="0" w:color="auto"/>
      </w:divBdr>
    </w:div>
    <w:div w:id="1729836850">
      <w:bodyDiv w:val="1"/>
      <w:marLeft w:val="0"/>
      <w:marRight w:val="0"/>
      <w:marTop w:val="0"/>
      <w:marBottom w:val="0"/>
      <w:divBdr>
        <w:top w:val="none" w:sz="0" w:space="0" w:color="auto"/>
        <w:left w:val="none" w:sz="0" w:space="0" w:color="auto"/>
        <w:bottom w:val="none" w:sz="0" w:space="0" w:color="auto"/>
        <w:right w:val="none" w:sz="0" w:space="0" w:color="auto"/>
      </w:divBdr>
    </w:div>
    <w:div w:id="1920751775">
      <w:bodyDiv w:val="1"/>
      <w:marLeft w:val="0"/>
      <w:marRight w:val="0"/>
      <w:marTop w:val="0"/>
      <w:marBottom w:val="0"/>
      <w:divBdr>
        <w:top w:val="none" w:sz="0" w:space="0" w:color="auto"/>
        <w:left w:val="none" w:sz="0" w:space="0" w:color="auto"/>
        <w:bottom w:val="none" w:sz="0" w:space="0" w:color="auto"/>
        <w:right w:val="none" w:sz="0" w:space="0" w:color="auto"/>
      </w:divBdr>
    </w:div>
    <w:div w:id="1941717450">
      <w:bodyDiv w:val="1"/>
      <w:marLeft w:val="0"/>
      <w:marRight w:val="0"/>
      <w:marTop w:val="0"/>
      <w:marBottom w:val="0"/>
      <w:divBdr>
        <w:top w:val="none" w:sz="0" w:space="0" w:color="auto"/>
        <w:left w:val="none" w:sz="0" w:space="0" w:color="auto"/>
        <w:bottom w:val="none" w:sz="0" w:space="0" w:color="auto"/>
        <w:right w:val="none" w:sz="0" w:space="0" w:color="auto"/>
      </w:divBdr>
    </w:div>
    <w:div w:id="2072580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eg"/><Relationship Id="rId26" Type="http://schemas.openxmlformats.org/officeDocument/2006/relationships/image" Target="media/image18.jpg"/><Relationship Id="rId39" Type="http://schemas.openxmlformats.org/officeDocument/2006/relationships/image" Target="media/image30.jpeg"/><Relationship Id="rId21" Type="http://schemas.openxmlformats.org/officeDocument/2006/relationships/image" Target="media/image13.jpg"/><Relationship Id="rId34" Type="http://schemas.openxmlformats.org/officeDocument/2006/relationships/image" Target="media/image25.jpeg"/><Relationship Id="rId42" Type="http://schemas.openxmlformats.org/officeDocument/2006/relationships/image" Target="media/image33.jpeg"/><Relationship Id="rId47" Type="http://schemas.openxmlformats.org/officeDocument/2006/relationships/image" Target="media/image38.jpeg"/><Relationship Id="rId50" Type="http://schemas.openxmlformats.org/officeDocument/2006/relationships/image" Target="media/image41.tiff"/><Relationship Id="rId55" Type="http://schemas.openxmlformats.org/officeDocument/2006/relationships/image" Target="media/image46.jpeg"/><Relationship Id="rId63" Type="http://schemas.openxmlformats.org/officeDocument/2006/relationships/image" Target="media/image54.tiff"/><Relationship Id="rId68" Type="http://schemas.openxmlformats.org/officeDocument/2006/relationships/image" Target="media/image59.jpg"/><Relationship Id="rId76" Type="http://schemas.openxmlformats.org/officeDocument/2006/relationships/image" Target="media/image67.jpeg"/><Relationship Id="rId84" Type="http://schemas.openxmlformats.org/officeDocument/2006/relationships/hyperlink" Target="http://find.galegroup.com" TargetMode="External"/><Relationship Id="rId89" Type="http://schemas.openxmlformats.org/officeDocument/2006/relationships/hyperlink" Target="http://www.eyewitnesstohistory.com/knee.htm" TargetMode="External"/><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hyperlink" Target="javascript:%20void%200" TargetMode="External"/><Relationship Id="rId2" Type="http://schemas.openxmlformats.org/officeDocument/2006/relationships/numbering" Target="numbering.xml"/><Relationship Id="rId16" Type="http://schemas.openxmlformats.org/officeDocument/2006/relationships/image" Target="media/image8.jpg"/><Relationship Id="rId29" Type="http://schemas.openxmlformats.org/officeDocument/2006/relationships/image" Target="media/image20.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eg"/><Relationship Id="rId45" Type="http://schemas.openxmlformats.org/officeDocument/2006/relationships/image" Target="media/image36.jpeg"/><Relationship Id="rId53" Type="http://schemas.openxmlformats.org/officeDocument/2006/relationships/image" Target="media/image44.jpg"/><Relationship Id="rId58" Type="http://schemas.openxmlformats.org/officeDocument/2006/relationships/image" Target="media/image49.tiff"/><Relationship Id="rId66" Type="http://schemas.openxmlformats.org/officeDocument/2006/relationships/image" Target="media/image57.jpeg"/><Relationship Id="rId74" Type="http://schemas.openxmlformats.org/officeDocument/2006/relationships/image" Target="media/image65.jpeg"/><Relationship Id="rId79" Type="http://schemas.openxmlformats.org/officeDocument/2006/relationships/image" Target="media/image70.jpg"/><Relationship Id="rId87" Type="http://schemas.openxmlformats.org/officeDocument/2006/relationships/hyperlink" Target="http://khon2.com/2015/03/26/%20groups-start%09-continuous-protest-of-telescope-on-mauna-kea/" TargetMode="External"/><Relationship Id="rId5" Type="http://schemas.openxmlformats.org/officeDocument/2006/relationships/webSettings" Target="webSettings.xml"/><Relationship Id="rId61" Type="http://schemas.openxmlformats.org/officeDocument/2006/relationships/image" Target="media/image52.jpeg"/><Relationship Id="rId82" Type="http://schemas.openxmlformats.org/officeDocument/2006/relationships/hyperlink" Target="http://www.cherokee.org/News/Stories/24204.aspx" TargetMode="External"/><Relationship Id="rId90" Type="http://schemas.openxmlformats.org/officeDocument/2006/relationships/hyperlink" Target="http://www.nzetc.org/tm/scholarly/tei-BucExpl-t1-body-d20-d4.html" TargetMode="External"/><Relationship Id="rId95" Type="http://schemas.openxmlformats.org/officeDocument/2006/relationships/glossaryDocument" Target="glossary/document.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4.jpg"/><Relationship Id="rId27" Type="http://schemas.openxmlformats.org/officeDocument/2006/relationships/hyperlink" Target="https://twitter.com" TargetMode="External"/><Relationship Id="rId30" Type="http://schemas.openxmlformats.org/officeDocument/2006/relationships/image" Target="media/image21.jpg"/><Relationship Id="rId35" Type="http://schemas.openxmlformats.org/officeDocument/2006/relationships/image" Target="media/image26.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5.jpeg"/><Relationship Id="rId69" Type="http://schemas.openxmlformats.org/officeDocument/2006/relationships/image" Target="media/image60.jpeg"/><Relationship Id="rId77" Type="http://schemas.openxmlformats.org/officeDocument/2006/relationships/image" Target="media/image68.jpg"/><Relationship Id="rId8" Type="http://schemas.openxmlformats.org/officeDocument/2006/relationships/footer" Target="footer1.xml"/><Relationship Id="rId51" Type="http://schemas.openxmlformats.org/officeDocument/2006/relationships/image" Target="media/image42.jpg"/><Relationship Id="rId72" Type="http://schemas.openxmlformats.org/officeDocument/2006/relationships/image" Target="media/image63.jpg"/><Relationship Id="rId80" Type="http://schemas.openxmlformats.org/officeDocument/2006/relationships/hyperlink" Target="http://digital.library.okstate.edu/encyclopedia/entries/S/SP016.html%20" TargetMode="External"/><Relationship Id="rId85" Type="http://schemas.openxmlformats.org/officeDocument/2006/relationships/hyperlink" Target="http://find.galegroup.com." TargetMode="External"/><Relationship Id="rId93" Type="http://schemas.openxmlformats.org/officeDocument/2006/relationships/hyperlink" Target="http://indiancountrytodaymedianetwork.com/2012/08/28/discovery-long-lost%09-silent-film-all-indian-cast-has-historians-reeling-131494" TargetMode="External"/><Relationship Id="rId3" Type="http://schemas.openxmlformats.org/officeDocument/2006/relationships/styles" Target="styles.xml"/><Relationship Id="rId12" Type="http://schemas.openxmlformats.org/officeDocument/2006/relationships/image" Target="media/image4.jp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9.jpg"/><Relationship Id="rId46" Type="http://schemas.openxmlformats.org/officeDocument/2006/relationships/image" Target="media/image37.jpeg"/><Relationship Id="rId59" Type="http://schemas.openxmlformats.org/officeDocument/2006/relationships/image" Target="media/image50.jpeg"/><Relationship Id="rId67" Type="http://schemas.openxmlformats.org/officeDocument/2006/relationships/image" Target="media/image58.jpeg"/><Relationship Id="rId20" Type="http://schemas.openxmlformats.org/officeDocument/2006/relationships/image" Target="media/image12.jpeg"/><Relationship Id="rId41" Type="http://schemas.openxmlformats.org/officeDocument/2006/relationships/image" Target="media/image32.jpeg"/><Relationship Id="rId54" Type="http://schemas.openxmlformats.org/officeDocument/2006/relationships/image" Target="media/image45.tiff"/><Relationship Id="rId62" Type="http://schemas.openxmlformats.org/officeDocument/2006/relationships/image" Target="media/image53.jpeg"/><Relationship Id="rId70" Type="http://schemas.openxmlformats.org/officeDocument/2006/relationships/image" Target="media/image61.jpeg"/><Relationship Id="rId75" Type="http://schemas.openxmlformats.org/officeDocument/2006/relationships/image" Target="media/image66.jpg"/><Relationship Id="rId83" Type="http://schemas.openxmlformats.org/officeDocument/2006/relationships/hyperlink" Target="http://find.galegroup.com" TargetMode="External"/><Relationship Id="rId88" Type="http://schemas.openxmlformats.org/officeDocument/2006/relationships/hyperlink" Target="http://www.nps.gov/havo/planyourvisit/%09%09kvc.htm" TargetMode="External"/><Relationship Id="rId91" Type="http://schemas.openxmlformats.org/officeDocument/2006/relationships/hyperlink" Target="http://dx.doi.org/doi:%0910.7282/T3571CCX"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19.jpg"/><Relationship Id="rId36" Type="http://schemas.openxmlformats.org/officeDocument/2006/relationships/image" Target="media/image27.png"/><Relationship Id="rId49" Type="http://schemas.openxmlformats.org/officeDocument/2006/relationships/image" Target="media/image40.tiff"/><Relationship Id="rId57" Type="http://schemas.openxmlformats.org/officeDocument/2006/relationships/image" Target="media/image48.jpg"/><Relationship Id="rId10" Type="http://schemas.openxmlformats.org/officeDocument/2006/relationships/image" Target="media/image2.jpeg"/><Relationship Id="rId31" Type="http://schemas.openxmlformats.org/officeDocument/2006/relationships/image" Target="media/image22.jpeg"/><Relationship Id="rId44" Type="http://schemas.openxmlformats.org/officeDocument/2006/relationships/image" Target="media/image35.jpg"/><Relationship Id="rId52" Type="http://schemas.openxmlformats.org/officeDocument/2006/relationships/image" Target="media/image43.jpg"/><Relationship Id="rId60" Type="http://schemas.openxmlformats.org/officeDocument/2006/relationships/image" Target="media/image51.tif"/><Relationship Id="rId65" Type="http://schemas.openxmlformats.org/officeDocument/2006/relationships/image" Target="media/image56.jpeg"/><Relationship Id="rId73" Type="http://schemas.openxmlformats.org/officeDocument/2006/relationships/image" Target="media/image64.jpg"/><Relationship Id="rId78" Type="http://schemas.openxmlformats.org/officeDocument/2006/relationships/image" Target="media/image69.jpg"/><Relationship Id="rId81" Type="http://schemas.openxmlformats.org/officeDocument/2006/relationships/hyperlink" Target="http://www.indiana.edu/%09~liblilly/%20lilly/mss/html/champnsk.html" TargetMode="External"/><Relationship Id="rId86" Type="http://schemas.openxmlformats.org/officeDocument/2006/relationships/hyperlink" Target="http://library."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papers.ssrn.com" TargetMode="External"/><Relationship Id="rId13" Type="http://schemas.openxmlformats.org/officeDocument/2006/relationships/hyperlink" Target="http://www.taospueblo.com" TargetMode="External"/><Relationship Id="rId3" Type="http://schemas.openxmlformats.org/officeDocument/2006/relationships/hyperlink" Target="http://indiancountrytodaymedianetork.com" TargetMode="External"/><Relationship Id="rId7" Type="http://schemas.openxmlformats.org/officeDocument/2006/relationships/hyperlink" Target="http://khon2.com/2015/03/26/groups-start-continuous-protest-of-telescope-on-mauna-kea/" TargetMode="External"/><Relationship Id="rId12" Type="http://schemas.openxmlformats.org/officeDocument/2006/relationships/hyperlink" Target="http://www.taospueblo.com/about.php" TargetMode="External"/><Relationship Id="rId2" Type="http://schemas.openxmlformats.org/officeDocument/2006/relationships/hyperlink" Target="http://www.cherokee.org/%20News/Stories/24204.aspx" TargetMode="External"/><Relationship Id="rId1" Type="http://schemas.openxmlformats.org/officeDocument/2006/relationships/hyperlink" Target="http://papers.ssrn.com/sol3/papers.cfm?abstract_id=1312015" TargetMode="External"/><Relationship Id="rId6" Type="http://schemas.openxmlformats.org/officeDocument/2006/relationships/hyperlink" Target="http://imagesofoldhawaii.com" TargetMode="External"/><Relationship Id="rId11" Type="http://schemas.openxmlformats.org/officeDocument/2006/relationships/hyperlink" Target="https://www.rem.routledge.com" TargetMode="External"/><Relationship Id="rId5" Type="http://schemas.openxmlformats.org/officeDocument/2006/relationships/hyperlink" Target="http://volcanoartcenter.org/" TargetMode="External"/><Relationship Id="rId15" Type="http://schemas.openxmlformats.org/officeDocument/2006/relationships/hyperlink" Target="http://www.taosnews.com/news/sacred-tradition-san-geronimo-feast-day-is-celebrated-at-taos/article_634cc91c-4cbb-54b8-b6b4-7853277f%2092bc.html" TargetMode="External"/><Relationship Id="rId10" Type="http://schemas.openxmlformats.org/officeDocument/2006/relationships/hyperlink" Target="http://www.proquest.com.ezproxy1.lib.ou.edu" TargetMode="External"/><Relationship Id="rId4" Type="http://schemas.openxmlformats.org/officeDocument/2006/relationships/hyperlink" Target="http://www.nzetc.org/tm/scholarly/tei-BucExpl-t1-body-d20-d4.html" TargetMode="External"/><Relationship Id="rId9" Type="http://schemas.openxmlformats.org/officeDocument/2006/relationships/hyperlink" Target="http://papers.ssrn.com/sol3/papers.cfm?abstract_id=1312015" TargetMode="External"/><Relationship Id="rId14" Type="http://schemas.openxmlformats.org/officeDocument/2006/relationships/hyperlink" Target="http://www.taospueblo.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9E7D1B94AFC94594B6B7C266C4C0C19A"/>
        <w:category>
          <w:name w:val="General"/>
          <w:gallery w:val="placeholder"/>
        </w:category>
        <w:types>
          <w:type w:val="bbPlcHdr"/>
        </w:types>
        <w:behaviors>
          <w:behavior w:val="content"/>
        </w:behaviors>
        <w:guid w:val="{B8FBCD1F-0FE4-4FCD-9D26-3CEB344C48AE}"/>
      </w:docPartPr>
      <w:docPartBody>
        <w:p w:rsidR="004E3A45" w:rsidRDefault="004E3A45" w:rsidP="004E3A45">
          <w:pPr>
            <w:pStyle w:val="9E7D1B94AFC94594B6B7C266C4C0C19A"/>
          </w:pPr>
          <w:r w:rsidRPr="001F1C68">
            <w:rPr>
              <w:rStyle w:val="PlaceholderText"/>
            </w:rPr>
            <w:t>Click here to enter text.</w:t>
          </w:r>
        </w:p>
      </w:docPartBody>
    </w:docPart>
    <w:docPart>
      <w:docPartPr>
        <w:name w:val="94418BA48EA94A1CBBE6AF37D80B219D"/>
        <w:category>
          <w:name w:val="General"/>
          <w:gallery w:val="placeholder"/>
        </w:category>
        <w:types>
          <w:type w:val="bbPlcHdr"/>
        </w:types>
        <w:behaviors>
          <w:behavior w:val="content"/>
        </w:behaviors>
        <w:guid w:val="{3B168B46-907E-4B92-B04A-C1D72666591C}"/>
      </w:docPartPr>
      <w:docPartBody>
        <w:p w:rsidR="009C6402" w:rsidRDefault="009C6402" w:rsidP="009C6402">
          <w:pPr>
            <w:pStyle w:val="94418BA48EA94A1CBBE6AF37D80B219D"/>
          </w:pPr>
          <w:r w:rsidRPr="001F1C68">
            <w:rPr>
              <w:rStyle w:val="PlaceholderText"/>
            </w:rPr>
            <w:t>Click here to enter text.</w:t>
          </w:r>
        </w:p>
      </w:docPartBody>
    </w:docPart>
    <w:docPart>
      <w:docPartPr>
        <w:name w:val="13C83B1409914CFEBB04DBFCBF7523D3"/>
        <w:category>
          <w:name w:val="General"/>
          <w:gallery w:val="placeholder"/>
        </w:category>
        <w:types>
          <w:type w:val="bbPlcHdr"/>
        </w:types>
        <w:behaviors>
          <w:behavior w:val="content"/>
        </w:behaviors>
        <w:guid w:val="{E86FE913-9721-4871-A354-A471910874C4}"/>
      </w:docPartPr>
      <w:docPartBody>
        <w:p w:rsidR="00B34CFA" w:rsidRDefault="00FD33E2" w:rsidP="00FD33E2">
          <w:pPr>
            <w:pStyle w:val="13C83B1409914CFEBB04DBFCBF7523D3"/>
          </w:pPr>
          <w:r w:rsidRPr="00AC7F25">
            <w:rPr>
              <w:rStyle w:val="PlaceholderText"/>
            </w:rPr>
            <w:t>Choose an item.</w:t>
          </w:r>
        </w:p>
      </w:docPartBody>
    </w:docPart>
    <w:docPart>
      <w:docPartPr>
        <w:name w:val="C41C38CADBC44E47859276D52C657B2E"/>
        <w:category>
          <w:name w:val="General"/>
          <w:gallery w:val="placeholder"/>
        </w:category>
        <w:types>
          <w:type w:val="bbPlcHdr"/>
        </w:types>
        <w:behaviors>
          <w:behavior w:val="content"/>
        </w:behaviors>
        <w:guid w:val="{CC0DF3BF-D6EA-4727-B52F-D0A3A812FD4A}"/>
      </w:docPartPr>
      <w:docPartBody>
        <w:p w:rsidR="00B34CFA" w:rsidRDefault="00FD33E2" w:rsidP="00FD33E2">
          <w:pPr>
            <w:pStyle w:val="C41C38CADBC44E47859276D52C657B2E"/>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tarSymbol">
    <w:charset w:val="02"/>
    <w:family w:val="auto"/>
    <w:pitch w:val="variable"/>
  </w:font>
  <w:font w:name="OpenSymbol">
    <w:charset w:val="00"/>
    <w:family w:val="auto"/>
    <w:pitch w:val="default"/>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dobe Garamond Pro">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auto"/>
    <w:pitch w:val="variable"/>
    <w:sig w:usb0="00000001" w:usb1="08080000" w:usb2="00000010" w:usb3="00000000" w:csb0="00100000" w:csb1="00000000"/>
  </w:font>
  <w:font w:name="Gautami">
    <w:panose1 w:val="02000500000000000000"/>
    <w:charset w:val="01"/>
    <w:family w:val="roman"/>
    <w:pitch w:val="variable"/>
    <w:sig w:usb0="00000001"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DD6093"/>
    <w:rsid w:val="0000496B"/>
    <w:rsid w:val="000B557B"/>
    <w:rsid w:val="000C2367"/>
    <w:rsid w:val="000C512D"/>
    <w:rsid w:val="0015246B"/>
    <w:rsid w:val="00190672"/>
    <w:rsid w:val="001B2B89"/>
    <w:rsid w:val="001E1A0C"/>
    <w:rsid w:val="00276951"/>
    <w:rsid w:val="00293081"/>
    <w:rsid w:val="004950C2"/>
    <w:rsid w:val="004E3A45"/>
    <w:rsid w:val="004E3F24"/>
    <w:rsid w:val="00572AB3"/>
    <w:rsid w:val="005844EF"/>
    <w:rsid w:val="005902A4"/>
    <w:rsid w:val="00674D4A"/>
    <w:rsid w:val="006B53FA"/>
    <w:rsid w:val="006D0BEB"/>
    <w:rsid w:val="006F786E"/>
    <w:rsid w:val="00707BE7"/>
    <w:rsid w:val="00787914"/>
    <w:rsid w:val="007A04BC"/>
    <w:rsid w:val="00875ABD"/>
    <w:rsid w:val="009C6402"/>
    <w:rsid w:val="00A343F1"/>
    <w:rsid w:val="00B12F2B"/>
    <w:rsid w:val="00B34CFA"/>
    <w:rsid w:val="00B46CD3"/>
    <w:rsid w:val="00B93A98"/>
    <w:rsid w:val="00BC5308"/>
    <w:rsid w:val="00BD64D7"/>
    <w:rsid w:val="00C6224C"/>
    <w:rsid w:val="00C738D6"/>
    <w:rsid w:val="00C831C9"/>
    <w:rsid w:val="00C94ACD"/>
    <w:rsid w:val="00CA39D2"/>
    <w:rsid w:val="00CA5EF2"/>
    <w:rsid w:val="00D2549E"/>
    <w:rsid w:val="00D67C6F"/>
    <w:rsid w:val="00DD6093"/>
    <w:rsid w:val="00E144A3"/>
    <w:rsid w:val="00E1632F"/>
    <w:rsid w:val="00EC3E1E"/>
    <w:rsid w:val="00EF14E5"/>
    <w:rsid w:val="00F059CB"/>
    <w:rsid w:val="00F358F4"/>
    <w:rsid w:val="00F80430"/>
    <w:rsid w:val="00FD33E2"/>
    <w:rsid w:val="00FF2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33E2"/>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03C234346724BF78727F2B57D844BFF3">
    <w:name w:val="D03C234346724BF78727F2B57D844BFF3"/>
    <w:rsid w:val="00BC5308"/>
    <w:pPr>
      <w:spacing w:after="0" w:line="240" w:lineRule="auto"/>
    </w:pPr>
    <w:rPr>
      <w:rFonts w:eastAsia="Times New Roman" w:cs="Times New Roman"/>
      <w:sz w:val="24"/>
      <w:szCs w:val="32"/>
      <w:lang w:bidi="en-US"/>
    </w:rPr>
  </w:style>
  <w:style w:type="paragraph" w:customStyle="1" w:styleId="9E7D1B94AFC94594B6B7C266C4C0C19A">
    <w:name w:val="9E7D1B94AFC94594B6B7C266C4C0C19A"/>
    <w:rsid w:val="004E3A45"/>
    <w:pPr>
      <w:spacing w:after="160" w:line="259" w:lineRule="auto"/>
    </w:pPr>
  </w:style>
  <w:style w:type="paragraph" w:customStyle="1" w:styleId="CEEFA6F315944982985086677AB476E4">
    <w:name w:val="CEEFA6F315944982985086677AB476E4"/>
    <w:rsid w:val="00C6224C"/>
    <w:pPr>
      <w:spacing w:after="160" w:line="259" w:lineRule="auto"/>
    </w:pPr>
  </w:style>
  <w:style w:type="paragraph" w:customStyle="1" w:styleId="D0CB2AC6B6A8404E82B9C81C238DFBAA">
    <w:name w:val="D0CB2AC6B6A8404E82B9C81C238DFBAA"/>
    <w:rsid w:val="00C6224C"/>
    <w:pPr>
      <w:spacing w:after="160" w:line="259" w:lineRule="auto"/>
    </w:pPr>
  </w:style>
  <w:style w:type="paragraph" w:customStyle="1" w:styleId="4A8030E109FA42ABB1C794C10D2B464C">
    <w:name w:val="4A8030E109FA42ABB1C794C10D2B464C"/>
    <w:rsid w:val="00C6224C"/>
    <w:pPr>
      <w:spacing w:after="160" w:line="259" w:lineRule="auto"/>
    </w:pPr>
  </w:style>
  <w:style w:type="paragraph" w:customStyle="1" w:styleId="1241FD997EFB4142B9249539A955F3A2">
    <w:name w:val="1241FD997EFB4142B9249539A955F3A2"/>
    <w:rsid w:val="004E3F24"/>
    <w:pPr>
      <w:spacing w:after="160" w:line="259" w:lineRule="auto"/>
    </w:pPr>
  </w:style>
  <w:style w:type="paragraph" w:customStyle="1" w:styleId="ECBD48B2B5AC419FAB529932B6CD414C">
    <w:name w:val="ECBD48B2B5AC419FAB529932B6CD414C"/>
    <w:rsid w:val="004E3F24"/>
    <w:pPr>
      <w:spacing w:after="160" w:line="259" w:lineRule="auto"/>
    </w:pPr>
  </w:style>
  <w:style w:type="paragraph" w:customStyle="1" w:styleId="0FA902A0CE654017B9542F5AC7D82A60">
    <w:name w:val="0FA902A0CE654017B9542F5AC7D82A60"/>
    <w:rsid w:val="004E3F24"/>
    <w:pPr>
      <w:spacing w:after="160" w:line="259" w:lineRule="auto"/>
    </w:pPr>
  </w:style>
  <w:style w:type="paragraph" w:customStyle="1" w:styleId="94418BA48EA94A1CBBE6AF37D80B219D">
    <w:name w:val="94418BA48EA94A1CBBE6AF37D80B219D"/>
    <w:rsid w:val="009C6402"/>
    <w:pPr>
      <w:spacing w:after="160" w:line="259" w:lineRule="auto"/>
    </w:pPr>
  </w:style>
  <w:style w:type="paragraph" w:customStyle="1" w:styleId="13C83B1409914CFEBB04DBFCBF7523D3">
    <w:name w:val="13C83B1409914CFEBB04DBFCBF7523D3"/>
    <w:rsid w:val="00FD33E2"/>
    <w:pPr>
      <w:spacing w:after="160" w:line="259" w:lineRule="auto"/>
    </w:pPr>
  </w:style>
  <w:style w:type="paragraph" w:customStyle="1" w:styleId="C41C38CADBC44E47859276D52C657B2E">
    <w:name w:val="C41C38CADBC44E47859276D52C657B2E"/>
    <w:rsid w:val="00FD33E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1B525-9D53-40A9-B0F3-813FC0888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13237</TotalTime>
  <Pages>1</Pages>
  <Words>43070</Words>
  <Characters>245500</Characters>
  <Application>Microsoft Office Word</Application>
  <DocSecurity>0</DocSecurity>
  <Lines>2045</Lines>
  <Paragraphs>575</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287995</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subject/>
  <dc:creator>OU Graduate College</dc:creator>
  <cp:keywords/>
  <dc:description/>
  <cp:lastModifiedBy>James Peck</cp:lastModifiedBy>
  <cp:revision>45</cp:revision>
  <cp:lastPrinted>2016-12-02T06:57:00Z</cp:lastPrinted>
  <dcterms:created xsi:type="dcterms:W3CDTF">2016-09-26T18:10:00Z</dcterms:created>
  <dcterms:modified xsi:type="dcterms:W3CDTF">2016-12-02T06:57:00Z</dcterms:modified>
</cp:coreProperties>
</file>