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theme/themeOverride6.xml" ContentType="application/vnd.openxmlformats-officedocument.themeOverride+xml"/>
  <Override PartName="/word/charts/chart9.xml" ContentType="application/vnd.openxmlformats-officedocument.drawingml.chart+xml"/>
  <Override PartName="/word/theme/themeOverride7.xml" ContentType="application/vnd.openxmlformats-officedocument.themeOverride+xml"/>
  <Override PartName="/word/charts/chart10.xml" ContentType="application/vnd.openxmlformats-officedocument.drawingml.chart+xml"/>
  <Override PartName="/word/theme/themeOverride8.xml" ContentType="application/vnd.openxmlformats-officedocument.themeOverride+xml"/>
  <Override PartName="/word/charts/chart11.xml" ContentType="application/vnd.openxmlformats-officedocument.drawingml.chart+xml"/>
  <Override PartName="/word/theme/themeOverride9.xml" ContentType="application/vnd.openxmlformats-officedocument.themeOverride+xml"/>
  <Override PartName="/word/charts/chart12.xml" ContentType="application/vnd.openxmlformats-officedocument.drawingml.chart+xml"/>
  <Override PartName="/word/theme/themeOverride10.xml" ContentType="application/vnd.openxmlformats-officedocument.themeOverride+xml"/>
  <Override PartName="/word/charts/chart13.xml" ContentType="application/vnd.openxmlformats-officedocument.drawingml.chart+xml"/>
  <Override PartName="/word/theme/themeOverride11.xml" ContentType="application/vnd.openxmlformats-officedocument.themeOverride+xml"/>
  <Override PartName="/word/charts/chart14.xml" ContentType="application/vnd.openxmlformats-officedocument.drawingml.chart+xml"/>
  <Override PartName="/word/theme/themeOverride12.xml" ContentType="application/vnd.openxmlformats-officedocument.themeOverride+xml"/>
  <Override PartName="/word/charts/chart15.xml" ContentType="application/vnd.openxmlformats-officedocument.drawingml.chart+xml"/>
  <Override PartName="/word/theme/themeOverride13.xml" ContentType="application/vnd.openxmlformats-officedocument.themeOverride+xml"/>
  <Override PartName="/word/charts/chart16.xml" ContentType="application/vnd.openxmlformats-officedocument.drawingml.chart+xml"/>
  <Override PartName="/word/theme/themeOverride14.xml" ContentType="application/vnd.openxmlformats-officedocument.themeOverride+xml"/>
  <Override PartName="/word/charts/chart17.xml" ContentType="application/vnd.openxmlformats-officedocument.drawingml.chart+xml"/>
  <Override PartName="/word/theme/themeOverride15.xml" ContentType="application/vnd.openxmlformats-officedocument.themeOverride+xml"/>
  <Override PartName="/word/charts/chart18.xml" ContentType="application/vnd.openxmlformats-officedocument.drawingml.chart+xml"/>
  <Override PartName="/word/theme/themeOverride16.xml" ContentType="application/vnd.openxmlformats-officedocument.themeOverride+xml"/>
  <Override PartName="/word/charts/chart19.xml" ContentType="application/vnd.openxmlformats-officedocument.drawingml.chart+xml"/>
  <Override PartName="/word/theme/themeOverride17.xml" ContentType="application/vnd.openxmlformats-officedocument.themeOverride+xml"/>
  <Override PartName="/word/charts/chart20.xml" ContentType="application/vnd.openxmlformats-officedocument.drawingml.chart+xml"/>
  <Override PartName="/word/theme/themeOverride18.xml" ContentType="application/vnd.openxmlformats-officedocument.themeOverrid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aps/>
        </w:rPr>
        <w:id w:val="30091833"/>
        <w:lock w:val="contentLocked"/>
        <w:placeholder>
          <w:docPart w:val="DefaultPlaceholder_22675703"/>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rsidR="008A3983" w:rsidRDefault="008A3983" w:rsidP="008A3983">
          <w:pPr>
            <w:contextualSpacing/>
            <w:jc w:val="center"/>
            <w:rPr>
              <w:caps/>
            </w:rPr>
          </w:pPr>
          <w:r>
            <w:rPr>
              <w:caps/>
            </w:rPr>
            <w:t>Shadows in the Cognitive Terrain:</w:t>
          </w:r>
          <w:r w:rsidR="004555DB">
            <w:rPr>
              <w:caps/>
            </w:rPr>
            <w:t xml:space="preserve"> </w:t>
          </w:r>
        </w:p>
        <w:p w:rsidR="0008176F" w:rsidRPr="0008176F" w:rsidRDefault="0065626E" w:rsidP="0065626E">
          <w:pPr>
            <w:contextualSpacing/>
            <w:jc w:val="center"/>
            <w:rPr>
              <w:caps/>
            </w:rPr>
          </w:pPr>
          <w:r>
            <w:rPr>
              <w:caps/>
            </w:rPr>
            <w:t>Suicide terrorism</w:t>
          </w:r>
          <w:r w:rsidR="00C53B26">
            <w:rPr>
              <w:caps/>
            </w:rPr>
            <w:t xml:space="preserve"> and the Role of Ideology</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rsidR="0008176F" w:rsidRPr="0008176F" w:rsidRDefault="0008176F" w:rsidP="0008176F">
          <w:pPr>
            <w:pStyle w:val="NoSpacing"/>
            <w:jc w:val="center"/>
            <w:rPr>
              <w:caps/>
            </w:rPr>
          </w:pPr>
          <w:r w:rsidRPr="0008176F">
            <w:rPr>
              <w:caps/>
            </w:rPr>
            <w:t>A thesis</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chitecture" w:value="Master of Architecture"/>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Art" w:value="Master of Fine Arts in Art"/>
          <w:listItem w:displayText="Master of Fine Arts in Dance" w:value="Master of Fine Arts in Dance"/>
          <w:listItem w:displayText="Master of Fine Arts in Drama" w:value="Master of Fine Arts in Drama"/>
          <w:listItem w:displayText="Master of Human Relations" w:value="Master of Human Relations"/>
          <w:listItem w:displayText="Master of Landscape Architecture" w:value="Master of Landscape Architecture"/>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Natural Science" w:value="Master of Natural Science"/>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Interior Design" w:value="Master of Science in Interior Design"/>
          <w:listItem w:displayText="Master of Science in Knowledge Management" w:value="Master of Science in Knowledge Management"/>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dropDownList>
      </w:sdtPr>
      <w:sdtEndPr/>
      <w:sdtContent>
        <w:p w:rsidR="00746E16" w:rsidRDefault="008A3983" w:rsidP="00746E16">
          <w:pPr>
            <w:pStyle w:val="NoSpacing"/>
            <w:spacing w:line="480" w:lineRule="auto"/>
            <w:jc w:val="center"/>
            <w:rPr>
              <w:caps/>
            </w:rPr>
          </w:pPr>
          <w:r>
            <w:rPr>
              <w:caps/>
            </w:rPr>
            <w:t>Master of Arts in International Studies</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rsidR="00746E16" w:rsidRDefault="008A3983" w:rsidP="00746E16">
          <w:pPr>
            <w:pStyle w:val="NoSpacing"/>
            <w:jc w:val="center"/>
            <w:rPr>
              <w:caps/>
            </w:rPr>
          </w:pPr>
          <w:r>
            <w:rPr>
              <w:caps/>
            </w:rPr>
            <w:t>Justin Walker</w:t>
          </w:r>
        </w:p>
      </w:sdtContent>
    </w:sdt>
    <w:sdt>
      <w:sdtPr>
        <w:id w:val="30091838"/>
        <w:lock w:val="contentLocked"/>
        <w:placeholder>
          <w:docPart w:val="DefaultPlaceholder_22675703"/>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rsidR="00730F0A" w:rsidRDefault="008A3983" w:rsidP="00730F0A">
          <w:pPr>
            <w:pStyle w:val="NoSpacing"/>
            <w:jc w:val="center"/>
          </w:pPr>
          <w:r>
            <w:t>2016</w:t>
          </w:r>
        </w:p>
      </w:sdtContent>
    </w:sdt>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6B5C7A" w:rsidRDefault="006B5C7A" w:rsidP="00730F0A">
      <w:pPr>
        <w:pStyle w:val="NoSpacing"/>
        <w:jc w:val="center"/>
      </w:pPr>
    </w:p>
    <w:p w:rsidR="00C378FA" w:rsidRDefault="00C378FA" w:rsidP="00730F0A">
      <w:pPr>
        <w:pStyle w:val="NoSpacing"/>
        <w:jc w:val="center"/>
      </w:pPr>
    </w:p>
    <w:p w:rsidR="00730F0A" w:rsidRDefault="00730F0A" w:rsidP="00DF4630">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rsidR="008A3983" w:rsidRDefault="008A3983" w:rsidP="00DF4630">
          <w:pPr>
            <w:spacing w:line="240" w:lineRule="auto"/>
            <w:contextualSpacing/>
            <w:jc w:val="center"/>
            <w:rPr>
              <w:caps/>
            </w:rPr>
          </w:pPr>
          <w:r>
            <w:rPr>
              <w:caps/>
            </w:rPr>
            <w:t>Shadows in the Cognitive Terrain:</w:t>
          </w:r>
        </w:p>
        <w:p w:rsidR="00730F0A" w:rsidRPr="00730F0A" w:rsidRDefault="00C53B26" w:rsidP="00DF4630">
          <w:pPr>
            <w:spacing w:line="240" w:lineRule="auto"/>
            <w:contextualSpacing/>
            <w:jc w:val="center"/>
            <w:rPr>
              <w:caps/>
            </w:rPr>
          </w:pPr>
          <w:r>
            <w:rPr>
              <w:caps/>
            </w:rPr>
            <w:t>Suicide Terrorism and the Role of Ideology</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Department of Bioengineering" w:value="Department of Bio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746E16" w:rsidRDefault="00BF18F8" w:rsidP="00746E16">
          <w:pPr>
            <w:pStyle w:val="NoSpacing"/>
            <w:jc w:val="center"/>
            <w:rPr>
              <w:caps/>
            </w:rPr>
          </w:pPr>
          <w:r>
            <w:rPr>
              <w:caps/>
            </w:rPr>
            <w:t>College of International Studies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3B763D" w:rsidRDefault="003B763D" w:rsidP="00730F0A">
      <w:pPr>
        <w:pStyle w:val="NoSpacing"/>
        <w:jc w:val="right"/>
      </w:pPr>
      <w:r>
        <w:t>______________________________</w:t>
      </w:r>
    </w:p>
    <w:p w:rsidR="00730F0A" w:rsidRDefault="00C35D4A"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8A3983">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8A3983">
            <w:t>Joshua Landis</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C35D4A"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8A3983">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8A3983">
            <w:t>John Fishel</w:t>
          </w:r>
        </w:sdtContent>
      </w:sdt>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C35D4A"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8A3983">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E00334">
            <w:t>Alan</w:t>
          </w:r>
          <w:r w:rsidR="008A3983">
            <w:t xml:space="preserve"> McPherson</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C35D4A"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8A3983">
            <w:rPr>
              <w:caps/>
            </w:rPr>
            <w:t>Justin Walker</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8A3983">
            <w:t>2016</w:t>
          </w:r>
        </w:sdtContent>
      </w:sdt>
    </w:p>
    <w:p w:rsidR="00730F0A" w:rsidRDefault="00730F0A" w:rsidP="00730F0A">
      <w:pPr>
        <w:pStyle w:val="NoSpacing"/>
        <w:jc w:val="center"/>
      </w:pPr>
      <w:r>
        <w:t>All Rights Reserved.</w:t>
      </w:r>
    </w:p>
    <w:p w:rsidR="006355C0" w:rsidRDefault="006F10CE" w:rsidP="00E527F0">
      <w:pPr>
        <w:spacing w:line="360" w:lineRule="auto"/>
        <w:rPr>
          <w:rtl/>
          <w:lang w:bidi="he-IL"/>
        </w:rPr>
        <w:sectPr w:rsidR="006355C0" w:rsidSect="009E6480">
          <w:pgSz w:w="12240" w:h="15840" w:code="1"/>
          <w:pgMar w:top="1440" w:right="1440" w:bottom="1440" w:left="2304" w:header="720" w:footer="720" w:gutter="0"/>
          <w:cols w:space="720"/>
          <w:docGrid w:linePitch="360"/>
        </w:sectPr>
      </w:pPr>
      <w:r>
        <w:br w:type="page"/>
      </w:r>
    </w:p>
    <w:p w:rsidR="00650CFF" w:rsidRDefault="00650CFF" w:rsidP="00DD0216">
      <w:pPr>
        <w:pStyle w:val="Heading1"/>
      </w:pPr>
      <w:bookmarkStart w:id="0" w:name="_Toc310579464"/>
      <w:bookmarkStart w:id="1" w:name="_Toc450748664"/>
      <w:r>
        <w:lastRenderedPageBreak/>
        <w:t>Acknowledgements</w:t>
      </w:r>
      <w:bookmarkEnd w:id="0"/>
      <w:bookmarkEnd w:id="1"/>
    </w:p>
    <w:p w:rsidR="00650CFF" w:rsidRDefault="00650CFF" w:rsidP="00650CFF">
      <w:r>
        <w:t xml:space="preserve">I want to thank my thesis committee, John Fishel, Joshua Landis, and </w:t>
      </w:r>
      <w:r w:rsidR="00E00334">
        <w:t>Alan</w:t>
      </w:r>
      <w:r>
        <w:t xml:space="preserve"> McPherson, for putting up with this process, and all the people at the UWAC and TRAC</w:t>
      </w:r>
      <w:r w:rsidR="00E00334">
        <w:t xml:space="preserve"> who have been my mentors, friends, allies, and encouragers</w:t>
      </w:r>
      <w:r>
        <w:t>.</w:t>
      </w:r>
    </w:p>
    <w:p w:rsidR="009C4FEF" w:rsidRPr="0078679A" w:rsidRDefault="00650CFF" w:rsidP="00DD0216">
      <w:pPr>
        <w:pStyle w:val="Title"/>
      </w:pPr>
      <w:r>
        <w:br w:type="page"/>
      </w:r>
      <w:r w:rsidR="00775701">
        <w:lastRenderedPageBreak/>
        <w:t xml:space="preserve">Table of </w:t>
      </w:r>
      <w:r w:rsidR="00775701" w:rsidRPr="00775701">
        <w:t>Contents</w:t>
      </w:r>
    </w:p>
    <w:p w:rsidR="001F590D" w:rsidRDefault="0015339F">
      <w:pPr>
        <w:pStyle w:val="TOC1"/>
        <w:rPr>
          <w:rFonts w:eastAsiaTheme="minorEastAsia" w:cstheme="minorBidi"/>
          <w:noProof/>
          <w:sz w:val="22"/>
          <w:szCs w:val="22"/>
          <w:lang w:bidi="he-IL"/>
        </w:rPr>
      </w:pPr>
      <w:r>
        <w:fldChar w:fldCharType="begin"/>
      </w:r>
      <w:r w:rsidR="000F56FF">
        <w:instrText xml:space="preserve"> TOC \o "3-3" \h \z \t "Heading 1,1,Heading 2,2,Chapter,1" </w:instrText>
      </w:r>
      <w:r>
        <w:fldChar w:fldCharType="separate"/>
      </w:r>
      <w:hyperlink w:anchor="_Toc450748664" w:history="1">
        <w:r w:rsidR="001F590D" w:rsidRPr="004173F1">
          <w:rPr>
            <w:rStyle w:val="Hyperlink"/>
            <w:noProof/>
          </w:rPr>
          <w:t>Acknowledgements</w:t>
        </w:r>
        <w:r w:rsidR="001F590D">
          <w:rPr>
            <w:noProof/>
            <w:webHidden/>
          </w:rPr>
          <w:tab/>
        </w:r>
        <w:r w:rsidR="001F590D">
          <w:rPr>
            <w:noProof/>
            <w:webHidden/>
          </w:rPr>
          <w:fldChar w:fldCharType="begin"/>
        </w:r>
        <w:r w:rsidR="001F590D">
          <w:rPr>
            <w:noProof/>
            <w:webHidden/>
          </w:rPr>
          <w:instrText xml:space="preserve"> PAGEREF _Toc450748664 \h </w:instrText>
        </w:r>
        <w:r w:rsidR="001F590D">
          <w:rPr>
            <w:noProof/>
            <w:webHidden/>
          </w:rPr>
        </w:r>
        <w:r w:rsidR="001F590D">
          <w:rPr>
            <w:noProof/>
            <w:webHidden/>
          </w:rPr>
          <w:fldChar w:fldCharType="separate"/>
        </w:r>
        <w:r w:rsidR="001F590D">
          <w:rPr>
            <w:noProof/>
            <w:webHidden/>
          </w:rPr>
          <w:t>iv</w:t>
        </w:r>
        <w:r w:rsidR="001F590D">
          <w:rPr>
            <w:noProof/>
            <w:webHidden/>
          </w:rPr>
          <w:fldChar w:fldCharType="end"/>
        </w:r>
      </w:hyperlink>
    </w:p>
    <w:p w:rsidR="001F590D" w:rsidRDefault="00C35D4A">
      <w:pPr>
        <w:pStyle w:val="TOC1"/>
        <w:rPr>
          <w:rFonts w:eastAsiaTheme="minorEastAsia" w:cstheme="minorBidi"/>
          <w:noProof/>
          <w:sz w:val="22"/>
          <w:szCs w:val="22"/>
          <w:lang w:bidi="he-IL"/>
        </w:rPr>
      </w:pPr>
      <w:hyperlink w:anchor="_Toc450748665" w:history="1">
        <w:r w:rsidR="001F590D" w:rsidRPr="004173F1">
          <w:rPr>
            <w:rStyle w:val="Hyperlink"/>
            <w:noProof/>
          </w:rPr>
          <w:t>List of Tables</w:t>
        </w:r>
        <w:r w:rsidR="001F590D">
          <w:rPr>
            <w:noProof/>
            <w:webHidden/>
          </w:rPr>
          <w:tab/>
        </w:r>
        <w:r w:rsidR="001F590D">
          <w:rPr>
            <w:noProof/>
            <w:webHidden/>
          </w:rPr>
          <w:fldChar w:fldCharType="begin"/>
        </w:r>
        <w:r w:rsidR="001F590D">
          <w:rPr>
            <w:noProof/>
            <w:webHidden/>
          </w:rPr>
          <w:instrText xml:space="preserve"> PAGEREF _Toc450748665 \h </w:instrText>
        </w:r>
        <w:r w:rsidR="001F590D">
          <w:rPr>
            <w:noProof/>
            <w:webHidden/>
          </w:rPr>
        </w:r>
        <w:r w:rsidR="001F590D">
          <w:rPr>
            <w:noProof/>
            <w:webHidden/>
          </w:rPr>
          <w:fldChar w:fldCharType="separate"/>
        </w:r>
        <w:r w:rsidR="001F590D">
          <w:rPr>
            <w:noProof/>
            <w:webHidden/>
          </w:rPr>
          <w:t>vii</w:t>
        </w:r>
        <w:r w:rsidR="001F590D">
          <w:rPr>
            <w:noProof/>
            <w:webHidden/>
          </w:rPr>
          <w:fldChar w:fldCharType="end"/>
        </w:r>
      </w:hyperlink>
    </w:p>
    <w:p w:rsidR="001F590D" w:rsidRDefault="00C35D4A">
      <w:pPr>
        <w:pStyle w:val="TOC1"/>
        <w:rPr>
          <w:rFonts w:eastAsiaTheme="minorEastAsia" w:cstheme="minorBidi"/>
          <w:noProof/>
          <w:sz w:val="22"/>
          <w:szCs w:val="22"/>
          <w:lang w:bidi="he-IL"/>
        </w:rPr>
      </w:pPr>
      <w:hyperlink w:anchor="_Toc450748666" w:history="1">
        <w:r w:rsidR="001F590D" w:rsidRPr="004173F1">
          <w:rPr>
            <w:rStyle w:val="Hyperlink"/>
            <w:noProof/>
          </w:rPr>
          <w:t>List of Figures</w:t>
        </w:r>
        <w:r w:rsidR="001F590D">
          <w:rPr>
            <w:noProof/>
            <w:webHidden/>
          </w:rPr>
          <w:tab/>
        </w:r>
        <w:r w:rsidR="001F590D">
          <w:rPr>
            <w:noProof/>
            <w:webHidden/>
          </w:rPr>
          <w:fldChar w:fldCharType="begin"/>
        </w:r>
        <w:r w:rsidR="001F590D">
          <w:rPr>
            <w:noProof/>
            <w:webHidden/>
          </w:rPr>
          <w:instrText xml:space="preserve"> PAGEREF _Toc450748666 \h </w:instrText>
        </w:r>
        <w:r w:rsidR="001F590D">
          <w:rPr>
            <w:noProof/>
            <w:webHidden/>
          </w:rPr>
        </w:r>
        <w:r w:rsidR="001F590D">
          <w:rPr>
            <w:noProof/>
            <w:webHidden/>
          </w:rPr>
          <w:fldChar w:fldCharType="separate"/>
        </w:r>
        <w:r w:rsidR="001F590D">
          <w:rPr>
            <w:noProof/>
            <w:webHidden/>
          </w:rPr>
          <w:t>viii</w:t>
        </w:r>
        <w:r w:rsidR="001F590D">
          <w:rPr>
            <w:noProof/>
            <w:webHidden/>
          </w:rPr>
          <w:fldChar w:fldCharType="end"/>
        </w:r>
      </w:hyperlink>
    </w:p>
    <w:p w:rsidR="001F590D" w:rsidRDefault="00C35D4A">
      <w:pPr>
        <w:pStyle w:val="TOC1"/>
        <w:rPr>
          <w:rFonts w:eastAsiaTheme="minorEastAsia" w:cstheme="minorBidi"/>
          <w:noProof/>
          <w:sz w:val="22"/>
          <w:szCs w:val="22"/>
          <w:lang w:bidi="he-IL"/>
        </w:rPr>
      </w:pPr>
      <w:hyperlink w:anchor="_Toc450748667" w:history="1">
        <w:r w:rsidR="001F590D" w:rsidRPr="004173F1">
          <w:rPr>
            <w:rStyle w:val="Hyperlink"/>
            <w:noProof/>
          </w:rPr>
          <w:t>Chapter 1: Introduction, the Individual Logic of Suicide Terrorism</w:t>
        </w:r>
        <w:r w:rsidR="001F590D">
          <w:rPr>
            <w:noProof/>
            <w:webHidden/>
          </w:rPr>
          <w:tab/>
        </w:r>
        <w:r w:rsidR="001F590D">
          <w:rPr>
            <w:noProof/>
            <w:webHidden/>
          </w:rPr>
          <w:fldChar w:fldCharType="begin"/>
        </w:r>
        <w:r w:rsidR="001F590D">
          <w:rPr>
            <w:noProof/>
            <w:webHidden/>
          </w:rPr>
          <w:instrText xml:space="preserve"> PAGEREF _Toc450748667 \h </w:instrText>
        </w:r>
        <w:r w:rsidR="001F590D">
          <w:rPr>
            <w:noProof/>
            <w:webHidden/>
          </w:rPr>
        </w:r>
        <w:r w:rsidR="001F590D">
          <w:rPr>
            <w:noProof/>
            <w:webHidden/>
          </w:rPr>
          <w:fldChar w:fldCharType="separate"/>
        </w:r>
        <w:r w:rsidR="001F590D">
          <w:rPr>
            <w:noProof/>
            <w:webHidden/>
          </w:rPr>
          <w:t>1</w:t>
        </w:r>
        <w:r w:rsidR="001F590D">
          <w:rPr>
            <w:noProof/>
            <w:webHidden/>
          </w:rPr>
          <w:fldChar w:fldCharType="end"/>
        </w:r>
      </w:hyperlink>
    </w:p>
    <w:p w:rsidR="001F590D" w:rsidRDefault="00C35D4A">
      <w:pPr>
        <w:pStyle w:val="TOC2"/>
        <w:tabs>
          <w:tab w:val="right" w:leader="dot" w:pos="8486"/>
        </w:tabs>
        <w:rPr>
          <w:rFonts w:eastAsiaTheme="minorEastAsia" w:cstheme="minorBidi"/>
          <w:noProof/>
          <w:sz w:val="22"/>
          <w:szCs w:val="22"/>
          <w:lang w:bidi="he-IL"/>
        </w:rPr>
      </w:pPr>
      <w:hyperlink w:anchor="_Toc450748668" w:history="1">
        <w:r w:rsidR="001F590D" w:rsidRPr="004173F1">
          <w:rPr>
            <w:rStyle w:val="Hyperlink"/>
            <w:i/>
            <w:noProof/>
          </w:rPr>
          <w:t>The Three Cognitive Components for the Self-Selected Bomber</w:t>
        </w:r>
        <w:r w:rsidR="001F590D">
          <w:rPr>
            <w:noProof/>
            <w:webHidden/>
          </w:rPr>
          <w:tab/>
        </w:r>
        <w:r w:rsidR="001F590D">
          <w:rPr>
            <w:noProof/>
            <w:webHidden/>
          </w:rPr>
          <w:fldChar w:fldCharType="begin"/>
        </w:r>
        <w:r w:rsidR="001F590D">
          <w:rPr>
            <w:noProof/>
            <w:webHidden/>
          </w:rPr>
          <w:instrText xml:space="preserve"> PAGEREF _Toc450748668 \h </w:instrText>
        </w:r>
        <w:r w:rsidR="001F590D">
          <w:rPr>
            <w:noProof/>
            <w:webHidden/>
          </w:rPr>
        </w:r>
        <w:r w:rsidR="001F590D">
          <w:rPr>
            <w:noProof/>
            <w:webHidden/>
          </w:rPr>
          <w:fldChar w:fldCharType="separate"/>
        </w:r>
        <w:r w:rsidR="001F590D">
          <w:rPr>
            <w:noProof/>
            <w:webHidden/>
          </w:rPr>
          <w:t>8</w:t>
        </w:r>
        <w:r w:rsidR="001F590D">
          <w:rPr>
            <w:noProof/>
            <w:webHidden/>
          </w:rPr>
          <w:fldChar w:fldCharType="end"/>
        </w:r>
      </w:hyperlink>
    </w:p>
    <w:p w:rsidR="001F590D" w:rsidRDefault="00C35D4A">
      <w:pPr>
        <w:pStyle w:val="TOC2"/>
        <w:tabs>
          <w:tab w:val="right" w:leader="dot" w:pos="8486"/>
        </w:tabs>
        <w:rPr>
          <w:rFonts w:eastAsiaTheme="minorEastAsia" w:cstheme="minorBidi"/>
          <w:noProof/>
          <w:sz w:val="22"/>
          <w:szCs w:val="22"/>
          <w:lang w:bidi="he-IL"/>
        </w:rPr>
      </w:pPr>
      <w:hyperlink w:anchor="_Toc450748669" w:history="1">
        <w:r w:rsidR="001F590D" w:rsidRPr="004173F1">
          <w:rPr>
            <w:rStyle w:val="Hyperlink"/>
            <w:i/>
            <w:noProof/>
          </w:rPr>
          <w:t>The Cognitive Terrain</w:t>
        </w:r>
        <w:r w:rsidR="001F590D">
          <w:rPr>
            <w:noProof/>
            <w:webHidden/>
          </w:rPr>
          <w:tab/>
        </w:r>
        <w:r w:rsidR="001F590D">
          <w:rPr>
            <w:noProof/>
            <w:webHidden/>
          </w:rPr>
          <w:fldChar w:fldCharType="begin"/>
        </w:r>
        <w:r w:rsidR="001F590D">
          <w:rPr>
            <w:noProof/>
            <w:webHidden/>
          </w:rPr>
          <w:instrText xml:space="preserve"> PAGEREF _Toc450748669 \h </w:instrText>
        </w:r>
        <w:r w:rsidR="001F590D">
          <w:rPr>
            <w:noProof/>
            <w:webHidden/>
          </w:rPr>
        </w:r>
        <w:r w:rsidR="001F590D">
          <w:rPr>
            <w:noProof/>
            <w:webHidden/>
          </w:rPr>
          <w:fldChar w:fldCharType="separate"/>
        </w:r>
        <w:r w:rsidR="001F590D">
          <w:rPr>
            <w:noProof/>
            <w:webHidden/>
          </w:rPr>
          <w:t>12</w:t>
        </w:r>
        <w:r w:rsidR="001F590D">
          <w:rPr>
            <w:noProof/>
            <w:webHidden/>
          </w:rPr>
          <w:fldChar w:fldCharType="end"/>
        </w:r>
      </w:hyperlink>
    </w:p>
    <w:p w:rsidR="001F590D" w:rsidRDefault="00C35D4A">
      <w:pPr>
        <w:pStyle w:val="TOC2"/>
        <w:tabs>
          <w:tab w:val="right" w:leader="dot" w:pos="8486"/>
        </w:tabs>
        <w:rPr>
          <w:rFonts w:eastAsiaTheme="minorEastAsia" w:cstheme="minorBidi"/>
          <w:noProof/>
          <w:sz w:val="22"/>
          <w:szCs w:val="22"/>
          <w:lang w:bidi="he-IL"/>
        </w:rPr>
      </w:pPr>
      <w:hyperlink w:anchor="_Toc450748670" w:history="1">
        <w:r w:rsidR="001F590D" w:rsidRPr="004173F1">
          <w:rPr>
            <w:rStyle w:val="Hyperlink"/>
            <w:i/>
            <w:noProof/>
          </w:rPr>
          <w:t>The Structure of This Paper</w:t>
        </w:r>
        <w:r w:rsidR="001F590D">
          <w:rPr>
            <w:noProof/>
            <w:webHidden/>
          </w:rPr>
          <w:tab/>
        </w:r>
        <w:r w:rsidR="001F590D">
          <w:rPr>
            <w:noProof/>
            <w:webHidden/>
          </w:rPr>
          <w:fldChar w:fldCharType="begin"/>
        </w:r>
        <w:r w:rsidR="001F590D">
          <w:rPr>
            <w:noProof/>
            <w:webHidden/>
          </w:rPr>
          <w:instrText xml:space="preserve"> PAGEREF _Toc450748670 \h </w:instrText>
        </w:r>
        <w:r w:rsidR="001F590D">
          <w:rPr>
            <w:noProof/>
            <w:webHidden/>
          </w:rPr>
        </w:r>
        <w:r w:rsidR="001F590D">
          <w:rPr>
            <w:noProof/>
            <w:webHidden/>
          </w:rPr>
          <w:fldChar w:fldCharType="separate"/>
        </w:r>
        <w:r w:rsidR="001F590D">
          <w:rPr>
            <w:noProof/>
            <w:webHidden/>
          </w:rPr>
          <w:t>17</w:t>
        </w:r>
        <w:r w:rsidR="001F590D">
          <w:rPr>
            <w:noProof/>
            <w:webHidden/>
          </w:rPr>
          <w:fldChar w:fldCharType="end"/>
        </w:r>
      </w:hyperlink>
    </w:p>
    <w:p w:rsidR="001F590D" w:rsidRDefault="00C35D4A">
      <w:pPr>
        <w:pStyle w:val="TOC2"/>
        <w:tabs>
          <w:tab w:val="right" w:leader="dot" w:pos="8486"/>
        </w:tabs>
        <w:rPr>
          <w:rFonts w:eastAsiaTheme="minorEastAsia" w:cstheme="minorBidi"/>
          <w:noProof/>
          <w:sz w:val="22"/>
          <w:szCs w:val="22"/>
          <w:lang w:bidi="he-IL"/>
        </w:rPr>
      </w:pPr>
      <w:hyperlink w:anchor="_Toc450748671" w:history="1">
        <w:r w:rsidR="001F590D" w:rsidRPr="004173F1">
          <w:rPr>
            <w:rStyle w:val="Hyperlink"/>
            <w:i/>
            <w:noProof/>
          </w:rPr>
          <w:t>Social Identity Theory: The Role of Group Identity on Hostility</w:t>
        </w:r>
        <w:r w:rsidR="001F590D">
          <w:rPr>
            <w:noProof/>
            <w:webHidden/>
          </w:rPr>
          <w:tab/>
        </w:r>
        <w:r w:rsidR="001F590D">
          <w:rPr>
            <w:noProof/>
            <w:webHidden/>
          </w:rPr>
          <w:fldChar w:fldCharType="begin"/>
        </w:r>
        <w:r w:rsidR="001F590D">
          <w:rPr>
            <w:noProof/>
            <w:webHidden/>
          </w:rPr>
          <w:instrText xml:space="preserve"> PAGEREF _Toc450748671 \h </w:instrText>
        </w:r>
        <w:r w:rsidR="001F590D">
          <w:rPr>
            <w:noProof/>
            <w:webHidden/>
          </w:rPr>
        </w:r>
        <w:r w:rsidR="001F590D">
          <w:rPr>
            <w:noProof/>
            <w:webHidden/>
          </w:rPr>
          <w:fldChar w:fldCharType="separate"/>
        </w:r>
        <w:r w:rsidR="001F590D">
          <w:rPr>
            <w:noProof/>
            <w:webHidden/>
          </w:rPr>
          <w:t>18</w:t>
        </w:r>
        <w:r w:rsidR="001F590D">
          <w:rPr>
            <w:noProof/>
            <w:webHidden/>
          </w:rPr>
          <w:fldChar w:fldCharType="end"/>
        </w:r>
      </w:hyperlink>
    </w:p>
    <w:p w:rsidR="001F590D" w:rsidRDefault="00C35D4A">
      <w:pPr>
        <w:pStyle w:val="TOC2"/>
        <w:tabs>
          <w:tab w:val="right" w:leader="dot" w:pos="8486"/>
        </w:tabs>
        <w:rPr>
          <w:rFonts w:eastAsiaTheme="minorEastAsia" w:cstheme="minorBidi"/>
          <w:noProof/>
          <w:sz w:val="22"/>
          <w:szCs w:val="22"/>
          <w:lang w:bidi="he-IL"/>
        </w:rPr>
      </w:pPr>
      <w:hyperlink w:anchor="_Toc450748672" w:history="1">
        <w:r w:rsidR="001F590D" w:rsidRPr="004173F1">
          <w:rPr>
            <w:rStyle w:val="Hyperlink"/>
            <w:i/>
            <w:noProof/>
          </w:rPr>
          <w:t>Overview of Competing Theories: Organization-Centric, Individual-Centric, and Integration Approaches to Suicide Terrorism</w:t>
        </w:r>
        <w:r w:rsidR="001F590D">
          <w:rPr>
            <w:noProof/>
            <w:webHidden/>
          </w:rPr>
          <w:tab/>
        </w:r>
        <w:r w:rsidR="001F590D">
          <w:rPr>
            <w:noProof/>
            <w:webHidden/>
          </w:rPr>
          <w:fldChar w:fldCharType="begin"/>
        </w:r>
        <w:r w:rsidR="001F590D">
          <w:rPr>
            <w:noProof/>
            <w:webHidden/>
          </w:rPr>
          <w:instrText xml:space="preserve"> PAGEREF _Toc450748672 \h </w:instrText>
        </w:r>
        <w:r w:rsidR="001F590D">
          <w:rPr>
            <w:noProof/>
            <w:webHidden/>
          </w:rPr>
        </w:r>
        <w:r w:rsidR="001F590D">
          <w:rPr>
            <w:noProof/>
            <w:webHidden/>
          </w:rPr>
          <w:fldChar w:fldCharType="separate"/>
        </w:r>
        <w:r w:rsidR="001F590D">
          <w:rPr>
            <w:noProof/>
            <w:webHidden/>
          </w:rPr>
          <w:t>24</w:t>
        </w:r>
        <w:r w:rsidR="001F590D">
          <w:rPr>
            <w:noProof/>
            <w:webHidden/>
          </w:rPr>
          <w:fldChar w:fldCharType="end"/>
        </w:r>
      </w:hyperlink>
    </w:p>
    <w:p w:rsidR="001F590D" w:rsidRDefault="00C35D4A">
      <w:pPr>
        <w:pStyle w:val="TOC2"/>
        <w:tabs>
          <w:tab w:val="right" w:leader="dot" w:pos="8486"/>
        </w:tabs>
        <w:rPr>
          <w:rFonts w:eastAsiaTheme="minorEastAsia" w:cstheme="minorBidi"/>
          <w:noProof/>
          <w:sz w:val="22"/>
          <w:szCs w:val="22"/>
          <w:lang w:bidi="he-IL"/>
        </w:rPr>
      </w:pPr>
      <w:hyperlink w:anchor="_Toc450748673" w:history="1">
        <w:r w:rsidR="001F590D" w:rsidRPr="004173F1">
          <w:rPr>
            <w:rStyle w:val="Hyperlink"/>
            <w:i/>
            <w:noProof/>
          </w:rPr>
          <w:t>Note on Eras of Suicide Terrorism and Categorization of Targets</w:t>
        </w:r>
        <w:r w:rsidR="001F590D">
          <w:rPr>
            <w:noProof/>
            <w:webHidden/>
          </w:rPr>
          <w:tab/>
        </w:r>
        <w:r w:rsidR="001F590D">
          <w:rPr>
            <w:noProof/>
            <w:webHidden/>
          </w:rPr>
          <w:fldChar w:fldCharType="begin"/>
        </w:r>
        <w:r w:rsidR="001F590D">
          <w:rPr>
            <w:noProof/>
            <w:webHidden/>
          </w:rPr>
          <w:instrText xml:space="preserve"> PAGEREF _Toc450748673 \h </w:instrText>
        </w:r>
        <w:r w:rsidR="001F590D">
          <w:rPr>
            <w:noProof/>
            <w:webHidden/>
          </w:rPr>
        </w:r>
        <w:r w:rsidR="001F590D">
          <w:rPr>
            <w:noProof/>
            <w:webHidden/>
          </w:rPr>
          <w:fldChar w:fldCharType="separate"/>
        </w:r>
        <w:r w:rsidR="001F590D">
          <w:rPr>
            <w:noProof/>
            <w:webHidden/>
          </w:rPr>
          <w:t>32</w:t>
        </w:r>
        <w:r w:rsidR="001F590D">
          <w:rPr>
            <w:noProof/>
            <w:webHidden/>
          </w:rPr>
          <w:fldChar w:fldCharType="end"/>
        </w:r>
      </w:hyperlink>
    </w:p>
    <w:p w:rsidR="001F590D" w:rsidRDefault="00C35D4A">
      <w:pPr>
        <w:pStyle w:val="TOC1"/>
        <w:rPr>
          <w:rFonts w:eastAsiaTheme="minorEastAsia" w:cstheme="minorBidi"/>
          <w:noProof/>
          <w:sz w:val="22"/>
          <w:szCs w:val="22"/>
          <w:lang w:bidi="he-IL"/>
        </w:rPr>
      </w:pPr>
      <w:hyperlink w:anchor="_Toc450748674" w:history="1">
        <w:r w:rsidR="001F590D" w:rsidRPr="004173F1">
          <w:rPr>
            <w:rStyle w:val="Hyperlink"/>
            <w:noProof/>
          </w:rPr>
          <w:t>Chapter 2: Qutbism, the Ideological Foundation for Twenty Years of Suicide Terrorism</w:t>
        </w:r>
        <w:r w:rsidR="001F590D">
          <w:rPr>
            <w:noProof/>
            <w:webHidden/>
          </w:rPr>
          <w:tab/>
        </w:r>
        <w:r w:rsidR="001F590D">
          <w:rPr>
            <w:noProof/>
            <w:webHidden/>
          </w:rPr>
          <w:fldChar w:fldCharType="begin"/>
        </w:r>
        <w:r w:rsidR="001F590D">
          <w:rPr>
            <w:noProof/>
            <w:webHidden/>
          </w:rPr>
          <w:instrText xml:space="preserve"> PAGEREF _Toc450748674 \h </w:instrText>
        </w:r>
        <w:r w:rsidR="001F590D">
          <w:rPr>
            <w:noProof/>
            <w:webHidden/>
          </w:rPr>
        </w:r>
        <w:r w:rsidR="001F590D">
          <w:rPr>
            <w:noProof/>
            <w:webHidden/>
          </w:rPr>
          <w:fldChar w:fldCharType="separate"/>
        </w:r>
        <w:r w:rsidR="001F590D">
          <w:rPr>
            <w:noProof/>
            <w:webHidden/>
          </w:rPr>
          <w:t>35</w:t>
        </w:r>
        <w:r w:rsidR="001F590D">
          <w:rPr>
            <w:noProof/>
            <w:webHidden/>
          </w:rPr>
          <w:fldChar w:fldCharType="end"/>
        </w:r>
      </w:hyperlink>
    </w:p>
    <w:p w:rsidR="001F590D" w:rsidRDefault="00C35D4A">
      <w:pPr>
        <w:pStyle w:val="TOC2"/>
        <w:tabs>
          <w:tab w:val="right" w:leader="dot" w:pos="8486"/>
        </w:tabs>
        <w:rPr>
          <w:rFonts w:eastAsiaTheme="minorEastAsia" w:cstheme="minorBidi"/>
          <w:noProof/>
          <w:sz w:val="22"/>
          <w:szCs w:val="22"/>
          <w:lang w:bidi="he-IL"/>
        </w:rPr>
      </w:pPr>
      <w:hyperlink w:anchor="_Toc450748675" w:history="1">
        <w:r w:rsidR="001F590D" w:rsidRPr="004173F1">
          <w:rPr>
            <w:rStyle w:val="Hyperlink"/>
            <w:i/>
            <w:noProof/>
          </w:rPr>
          <w:t>The Salafist Reaction to the West</w:t>
        </w:r>
        <w:r w:rsidR="001F590D">
          <w:rPr>
            <w:noProof/>
            <w:webHidden/>
          </w:rPr>
          <w:tab/>
        </w:r>
        <w:r w:rsidR="001F590D">
          <w:rPr>
            <w:noProof/>
            <w:webHidden/>
          </w:rPr>
          <w:fldChar w:fldCharType="begin"/>
        </w:r>
        <w:r w:rsidR="001F590D">
          <w:rPr>
            <w:noProof/>
            <w:webHidden/>
          </w:rPr>
          <w:instrText xml:space="preserve"> PAGEREF _Toc450748675 \h </w:instrText>
        </w:r>
        <w:r w:rsidR="001F590D">
          <w:rPr>
            <w:noProof/>
            <w:webHidden/>
          </w:rPr>
        </w:r>
        <w:r w:rsidR="001F590D">
          <w:rPr>
            <w:noProof/>
            <w:webHidden/>
          </w:rPr>
          <w:fldChar w:fldCharType="separate"/>
        </w:r>
        <w:r w:rsidR="001F590D">
          <w:rPr>
            <w:noProof/>
            <w:webHidden/>
          </w:rPr>
          <w:t>35</w:t>
        </w:r>
        <w:r w:rsidR="001F590D">
          <w:rPr>
            <w:noProof/>
            <w:webHidden/>
          </w:rPr>
          <w:fldChar w:fldCharType="end"/>
        </w:r>
      </w:hyperlink>
    </w:p>
    <w:p w:rsidR="001F590D" w:rsidRDefault="00C35D4A">
      <w:pPr>
        <w:pStyle w:val="TOC2"/>
        <w:tabs>
          <w:tab w:val="right" w:leader="dot" w:pos="8486"/>
        </w:tabs>
        <w:rPr>
          <w:rFonts w:eastAsiaTheme="minorEastAsia" w:cstheme="minorBidi"/>
          <w:noProof/>
          <w:sz w:val="22"/>
          <w:szCs w:val="22"/>
          <w:lang w:bidi="he-IL"/>
        </w:rPr>
      </w:pPr>
      <w:hyperlink w:anchor="_Toc450748676" w:history="1">
        <w:r w:rsidR="001F590D" w:rsidRPr="004173F1">
          <w:rPr>
            <w:rStyle w:val="Hyperlink"/>
            <w:i/>
            <w:noProof/>
          </w:rPr>
          <w:t>Qutbism</w:t>
        </w:r>
        <w:r w:rsidR="001F590D">
          <w:rPr>
            <w:noProof/>
            <w:webHidden/>
          </w:rPr>
          <w:tab/>
        </w:r>
        <w:r w:rsidR="001F590D">
          <w:rPr>
            <w:noProof/>
            <w:webHidden/>
          </w:rPr>
          <w:fldChar w:fldCharType="begin"/>
        </w:r>
        <w:r w:rsidR="001F590D">
          <w:rPr>
            <w:noProof/>
            <w:webHidden/>
          </w:rPr>
          <w:instrText xml:space="preserve"> PAGEREF _Toc450748676 \h </w:instrText>
        </w:r>
        <w:r w:rsidR="001F590D">
          <w:rPr>
            <w:noProof/>
            <w:webHidden/>
          </w:rPr>
        </w:r>
        <w:r w:rsidR="001F590D">
          <w:rPr>
            <w:noProof/>
            <w:webHidden/>
          </w:rPr>
          <w:fldChar w:fldCharType="separate"/>
        </w:r>
        <w:r w:rsidR="001F590D">
          <w:rPr>
            <w:noProof/>
            <w:webHidden/>
          </w:rPr>
          <w:t>39</w:t>
        </w:r>
        <w:r w:rsidR="001F590D">
          <w:rPr>
            <w:noProof/>
            <w:webHidden/>
          </w:rPr>
          <w:fldChar w:fldCharType="end"/>
        </w:r>
      </w:hyperlink>
    </w:p>
    <w:p w:rsidR="001F590D" w:rsidRDefault="00C35D4A">
      <w:pPr>
        <w:pStyle w:val="TOC2"/>
        <w:tabs>
          <w:tab w:val="right" w:leader="dot" w:pos="8486"/>
        </w:tabs>
        <w:rPr>
          <w:rFonts w:eastAsiaTheme="minorEastAsia" w:cstheme="minorBidi"/>
          <w:noProof/>
          <w:sz w:val="22"/>
          <w:szCs w:val="22"/>
          <w:lang w:bidi="he-IL"/>
        </w:rPr>
      </w:pPr>
      <w:hyperlink w:anchor="_Toc450748677" w:history="1">
        <w:r w:rsidR="001F590D" w:rsidRPr="004173F1">
          <w:rPr>
            <w:rStyle w:val="Hyperlink"/>
            <w:i/>
            <w:noProof/>
          </w:rPr>
          <w:t>Radicalization: Characteristics of Self-Selected Qutbist Martyrs</w:t>
        </w:r>
        <w:r w:rsidR="001F590D">
          <w:rPr>
            <w:noProof/>
            <w:webHidden/>
          </w:rPr>
          <w:tab/>
        </w:r>
        <w:r w:rsidR="001F590D">
          <w:rPr>
            <w:noProof/>
            <w:webHidden/>
          </w:rPr>
          <w:fldChar w:fldCharType="begin"/>
        </w:r>
        <w:r w:rsidR="001F590D">
          <w:rPr>
            <w:noProof/>
            <w:webHidden/>
          </w:rPr>
          <w:instrText xml:space="preserve"> PAGEREF _Toc450748677 \h </w:instrText>
        </w:r>
        <w:r w:rsidR="001F590D">
          <w:rPr>
            <w:noProof/>
            <w:webHidden/>
          </w:rPr>
        </w:r>
        <w:r w:rsidR="001F590D">
          <w:rPr>
            <w:noProof/>
            <w:webHidden/>
          </w:rPr>
          <w:fldChar w:fldCharType="separate"/>
        </w:r>
        <w:r w:rsidR="001F590D">
          <w:rPr>
            <w:noProof/>
            <w:webHidden/>
          </w:rPr>
          <w:t>44</w:t>
        </w:r>
        <w:r w:rsidR="001F590D">
          <w:rPr>
            <w:noProof/>
            <w:webHidden/>
          </w:rPr>
          <w:fldChar w:fldCharType="end"/>
        </w:r>
      </w:hyperlink>
    </w:p>
    <w:p w:rsidR="001F590D" w:rsidRDefault="00C35D4A">
      <w:pPr>
        <w:pStyle w:val="TOC1"/>
        <w:rPr>
          <w:rFonts w:eastAsiaTheme="minorEastAsia" w:cstheme="minorBidi"/>
          <w:noProof/>
          <w:sz w:val="22"/>
          <w:szCs w:val="22"/>
          <w:lang w:bidi="he-IL"/>
        </w:rPr>
      </w:pPr>
      <w:hyperlink w:anchor="_Toc450748678" w:history="1">
        <w:r w:rsidR="001F590D" w:rsidRPr="004173F1">
          <w:rPr>
            <w:rStyle w:val="Hyperlink"/>
            <w:noProof/>
          </w:rPr>
          <w:t>Chapter 3: Historic Review of Suicide Bombing Campaigns</w:t>
        </w:r>
        <w:r w:rsidR="001F590D">
          <w:rPr>
            <w:noProof/>
            <w:webHidden/>
          </w:rPr>
          <w:tab/>
        </w:r>
        <w:r w:rsidR="001F590D">
          <w:rPr>
            <w:noProof/>
            <w:webHidden/>
          </w:rPr>
          <w:fldChar w:fldCharType="begin"/>
        </w:r>
        <w:r w:rsidR="001F590D">
          <w:rPr>
            <w:noProof/>
            <w:webHidden/>
          </w:rPr>
          <w:instrText xml:space="preserve"> PAGEREF _Toc450748678 \h </w:instrText>
        </w:r>
        <w:r w:rsidR="001F590D">
          <w:rPr>
            <w:noProof/>
            <w:webHidden/>
          </w:rPr>
        </w:r>
        <w:r w:rsidR="001F590D">
          <w:rPr>
            <w:noProof/>
            <w:webHidden/>
          </w:rPr>
          <w:fldChar w:fldCharType="separate"/>
        </w:r>
        <w:r w:rsidR="001F590D">
          <w:rPr>
            <w:noProof/>
            <w:webHidden/>
          </w:rPr>
          <w:t>49</w:t>
        </w:r>
        <w:r w:rsidR="001F590D">
          <w:rPr>
            <w:noProof/>
            <w:webHidden/>
          </w:rPr>
          <w:fldChar w:fldCharType="end"/>
        </w:r>
      </w:hyperlink>
    </w:p>
    <w:p w:rsidR="001F590D" w:rsidRDefault="00C35D4A">
      <w:pPr>
        <w:pStyle w:val="TOC2"/>
        <w:tabs>
          <w:tab w:val="right" w:leader="dot" w:pos="8486"/>
        </w:tabs>
        <w:rPr>
          <w:rFonts w:eastAsiaTheme="minorEastAsia" w:cstheme="minorBidi"/>
          <w:noProof/>
          <w:sz w:val="22"/>
          <w:szCs w:val="22"/>
          <w:lang w:bidi="he-IL"/>
        </w:rPr>
      </w:pPr>
      <w:hyperlink w:anchor="_Toc450748679" w:history="1">
        <w:r w:rsidR="001F590D" w:rsidRPr="004173F1">
          <w:rPr>
            <w:rStyle w:val="Hyperlink"/>
            <w:i/>
            <w:noProof/>
          </w:rPr>
          <w:t>The Shift in Ideology across Groups Led to Shift in Targets</w:t>
        </w:r>
        <w:r w:rsidR="001F590D">
          <w:rPr>
            <w:noProof/>
            <w:webHidden/>
          </w:rPr>
          <w:tab/>
        </w:r>
        <w:r w:rsidR="001F590D">
          <w:rPr>
            <w:noProof/>
            <w:webHidden/>
          </w:rPr>
          <w:fldChar w:fldCharType="begin"/>
        </w:r>
        <w:r w:rsidR="001F590D">
          <w:rPr>
            <w:noProof/>
            <w:webHidden/>
          </w:rPr>
          <w:instrText xml:space="preserve"> PAGEREF _Toc450748679 \h </w:instrText>
        </w:r>
        <w:r w:rsidR="001F590D">
          <w:rPr>
            <w:noProof/>
            <w:webHidden/>
          </w:rPr>
        </w:r>
        <w:r w:rsidR="001F590D">
          <w:rPr>
            <w:noProof/>
            <w:webHidden/>
          </w:rPr>
          <w:fldChar w:fldCharType="separate"/>
        </w:r>
        <w:r w:rsidR="001F590D">
          <w:rPr>
            <w:noProof/>
            <w:webHidden/>
          </w:rPr>
          <w:t>49</w:t>
        </w:r>
        <w:r w:rsidR="001F590D">
          <w:rPr>
            <w:noProof/>
            <w:webHidden/>
          </w:rPr>
          <w:fldChar w:fldCharType="end"/>
        </w:r>
      </w:hyperlink>
    </w:p>
    <w:p w:rsidR="001F590D" w:rsidRDefault="00C35D4A">
      <w:pPr>
        <w:pStyle w:val="TOC2"/>
        <w:tabs>
          <w:tab w:val="right" w:leader="dot" w:pos="8486"/>
        </w:tabs>
        <w:rPr>
          <w:rFonts w:eastAsiaTheme="minorEastAsia" w:cstheme="minorBidi"/>
          <w:noProof/>
          <w:sz w:val="22"/>
          <w:szCs w:val="22"/>
          <w:lang w:bidi="he-IL"/>
        </w:rPr>
      </w:pPr>
      <w:hyperlink w:anchor="_Toc450748680" w:history="1">
        <w:r w:rsidR="001F590D" w:rsidRPr="004173F1">
          <w:rPr>
            <w:rStyle w:val="Hyperlink"/>
            <w:i/>
            <w:noProof/>
          </w:rPr>
          <w:t>The Ideological Foundation of Suicide Terrorism in the 1980s</w:t>
        </w:r>
        <w:r w:rsidR="001F590D">
          <w:rPr>
            <w:noProof/>
            <w:webHidden/>
          </w:rPr>
          <w:tab/>
        </w:r>
        <w:r w:rsidR="001F590D">
          <w:rPr>
            <w:noProof/>
            <w:webHidden/>
          </w:rPr>
          <w:fldChar w:fldCharType="begin"/>
        </w:r>
        <w:r w:rsidR="001F590D">
          <w:rPr>
            <w:noProof/>
            <w:webHidden/>
          </w:rPr>
          <w:instrText xml:space="preserve"> PAGEREF _Toc450748680 \h </w:instrText>
        </w:r>
        <w:r w:rsidR="001F590D">
          <w:rPr>
            <w:noProof/>
            <w:webHidden/>
          </w:rPr>
        </w:r>
        <w:r w:rsidR="001F590D">
          <w:rPr>
            <w:noProof/>
            <w:webHidden/>
          </w:rPr>
          <w:fldChar w:fldCharType="separate"/>
        </w:r>
        <w:r w:rsidR="001F590D">
          <w:rPr>
            <w:noProof/>
            <w:webHidden/>
          </w:rPr>
          <w:t>53</w:t>
        </w:r>
        <w:r w:rsidR="001F590D">
          <w:rPr>
            <w:noProof/>
            <w:webHidden/>
          </w:rPr>
          <w:fldChar w:fldCharType="end"/>
        </w:r>
      </w:hyperlink>
    </w:p>
    <w:p w:rsidR="001F590D" w:rsidRDefault="00C35D4A">
      <w:pPr>
        <w:pStyle w:val="TOC2"/>
        <w:tabs>
          <w:tab w:val="right" w:leader="dot" w:pos="8486"/>
        </w:tabs>
        <w:rPr>
          <w:rFonts w:eastAsiaTheme="minorEastAsia" w:cstheme="minorBidi"/>
          <w:noProof/>
          <w:sz w:val="22"/>
          <w:szCs w:val="22"/>
          <w:lang w:bidi="he-IL"/>
        </w:rPr>
      </w:pPr>
      <w:hyperlink w:anchor="_Toc450748681" w:history="1">
        <w:r w:rsidR="001F590D" w:rsidRPr="004173F1">
          <w:rPr>
            <w:rStyle w:val="Hyperlink"/>
            <w:i/>
            <w:noProof/>
          </w:rPr>
          <w:t>Hezbollah and Syrian Groups in Lebanon</w:t>
        </w:r>
        <w:r w:rsidR="001F590D">
          <w:rPr>
            <w:noProof/>
            <w:webHidden/>
          </w:rPr>
          <w:tab/>
        </w:r>
        <w:r w:rsidR="001F590D">
          <w:rPr>
            <w:noProof/>
            <w:webHidden/>
          </w:rPr>
          <w:fldChar w:fldCharType="begin"/>
        </w:r>
        <w:r w:rsidR="001F590D">
          <w:rPr>
            <w:noProof/>
            <w:webHidden/>
          </w:rPr>
          <w:instrText xml:space="preserve"> PAGEREF _Toc450748681 \h </w:instrText>
        </w:r>
        <w:r w:rsidR="001F590D">
          <w:rPr>
            <w:noProof/>
            <w:webHidden/>
          </w:rPr>
        </w:r>
        <w:r w:rsidR="001F590D">
          <w:rPr>
            <w:noProof/>
            <w:webHidden/>
          </w:rPr>
          <w:fldChar w:fldCharType="separate"/>
        </w:r>
        <w:r w:rsidR="001F590D">
          <w:rPr>
            <w:noProof/>
            <w:webHidden/>
          </w:rPr>
          <w:t>56</w:t>
        </w:r>
        <w:r w:rsidR="001F590D">
          <w:rPr>
            <w:noProof/>
            <w:webHidden/>
          </w:rPr>
          <w:fldChar w:fldCharType="end"/>
        </w:r>
      </w:hyperlink>
    </w:p>
    <w:p w:rsidR="001F590D" w:rsidRDefault="00C35D4A">
      <w:pPr>
        <w:pStyle w:val="TOC3"/>
        <w:tabs>
          <w:tab w:val="right" w:leader="dot" w:pos="8486"/>
        </w:tabs>
        <w:rPr>
          <w:rFonts w:eastAsiaTheme="minorEastAsia" w:cstheme="minorBidi"/>
          <w:noProof/>
          <w:sz w:val="22"/>
          <w:szCs w:val="22"/>
          <w:lang w:bidi="he-IL"/>
        </w:rPr>
      </w:pPr>
      <w:hyperlink w:anchor="_Toc450748682" w:history="1">
        <w:r w:rsidR="001F590D" w:rsidRPr="004173F1">
          <w:rPr>
            <w:rStyle w:val="Hyperlink"/>
            <w:noProof/>
          </w:rPr>
          <w:t>Cognitive Terrain of Lebanese Bombers</w:t>
        </w:r>
        <w:r w:rsidR="001F590D">
          <w:rPr>
            <w:noProof/>
            <w:webHidden/>
          </w:rPr>
          <w:tab/>
        </w:r>
        <w:r w:rsidR="001F590D">
          <w:rPr>
            <w:noProof/>
            <w:webHidden/>
          </w:rPr>
          <w:fldChar w:fldCharType="begin"/>
        </w:r>
        <w:r w:rsidR="001F590D">
          <w:rPr>
            <w:noProof/>
            <w:webHidden/>
          </w:rPr>
          <w:instrText xml:space="preserve"> PAGEREF _Toc450748682 \h </w:instrText>
        </w:r>
        <w:r w:rsidR="001F590D">
          <w:rPr>
            <w:noProof/>
            <w:webHidden/>
          </w:rPr>
        </w:r>
        <w:r w:rsidR="001F590D">
          <w:rPr>
            <w:noProof/>
            <w:webHidden/>
          </w:rPr>
          <w:fldChar w:fldCharType="separate"/>
        </w:r>
        <w:r w:rsidR="001F590D">
          <w:rPr>
            <w:noProof/>
            <w:webHidden/>
          </w:rPr>
          <w:t>59</w:t>
        </w:r>
        <w:r w:rsidR="001F590D">
          <w:rPr>
            <w:noProof/>
            <w:webHidden/>
          </w:rPr>
          <w:fldChar w:fldCharType="end"/>
        </w:r>
      </w:hyperlink>
    </w:p>
    <w:p w:rsidR="001F590D" w:rsidRDefault="00C35D4A">
      <w:pPr>
        <w:pStyle w:val="TOC3"/>
        <w:tabs>
          <w:tab w:val="right" w:leader="dot" w:pos="8486"/>
        </w:tabs>
        <w:rPr>
          <w:rFonts w:eastAsiaTheme="minorEastAsia" w:cstheme="minorBidi"/>
          <w:noProof/>
          <w:sz w:val="22"/>
          <w:szCs w:val="22"/>
          <w:lang w:bidi="he-IL"/>
        </w:rPr>
      </w:pPr>
      <w:hyperlink w:anchor="_Toc450748683" w:history="1">
        <w:r w:rsidR="001F590D" w:rsidRPr="004173F1">
          <w:rPr>
            <w:rStyle w:val="Hyperlink"/>
            <w:noProof/>
          </w:rPr>
          <w:t>The Campaigns of the Nationalist-Marxist Organizations in Lebanon</w:t>
        </w:r>
        <w:r w:rsidR="001F590D">
          <w:rPr>
            <w:noProof/>
            <w:webHidden/>
          </w:rPr>
          <w:tab/>
        </w:r>
        <w:r w:rsidR="001F590D">
          <w:rPr>
            <w:noProof/>
            <w:webHidden/>
          </w:rPr>
          <w:fldChar w:fldCharType="begin"/>
        </w:r>
        <w:r w:rsidR="001F590D">
          <w:rPr>
            <w:noProof/>
            <w:webHidden/>
          </w:rPr>
          <w:instrText xml:space="preserve"> PAGEREF _Toc450748683 \h </w:instrText>
        </w:r>
        <w:r w:rsidR="001F590D">
          <w:rPr>
            <w:noProof/>
            <w:webHidden/>
          </w:rPr>
        </w:r>
        <w:r w:rsidR="001F590D">
          <w:rPr>
            <w:noProof/>
            <w:webHidden/>
          </w:rPr>
          <w:fldChar w:fldCharType="separate"/>
        </w:r>
        <w:r w:rsidR="001F590D">
          <w:rPr>
            <w:noProof/>
            <w:webHidden/>
          </w:rPr>
          <w:t>61</w:t>
        </w:r>
        <w:r w:rsidR="001F590D">
          <w:rPr>
            <w:noProof/>
            <w:webHidden/>
          </w:rPr>
          <w:fldChar w:fldCharType="end"/>
        </w:r>
      </w:hyperlink>
    </w:p>
    <w:p w:rsidR="001F590D" w:rsidRDefault="00C35D4A">
      <w:pPr>
        <w:pStyle w:val="TOC2"/>
        <w:tabs>
          <w:tab w:val="right" w:leader="dot" w:pos="8486"/>
        </w:tabs>
        <w:rPr>
          <w:rFonts w:eastAsiaTheme="minorEastAsia" w:cstheme="minorBidi"/>
          <w:noProof/>
          <w:sz w:val="22"/>
          <w:szCs w:val="22"/>
          <w:lang w:bidi="he-IL"/>
        </w:rPr>
      </w:pPr>
      <w:hyperlink w:anchor="_Toc450748684" w:history="1">
        <w:r w:rsidR="001F590D" w:rsidRPr="004173F1">
          <w:rPr>
            <w:rStyle w:val="Hyperlink"/>
            <w:i/>
            <w:noProof/>
          </w:rPr>
          <w:t>Tamil Tigers Innovation, Adoption, and Use of Suicide Terrorism</w:t>
        </w:r>
        <w:r w:rsidR="001F590D">
          <w:rPr>
            <w:noProof/>
            <w:webHidden/>
          </w:rPr>
          <w:tab/>
        </w:r>
        <w:r w:rsidR="001F590D">
          <w:rPr>
            <w:noProof/>
            <w:webHidden/>
          </w:rPr>
          <w:fldChar w:fldCharType="begin"/>
        </w:r>
        <w:r w:rsidR="001F590D">
          <w:rPr>
            <w:noProof/>
            <w:webHidden/>
          </w:rPr>
          <w:instrText xml:space="preserve"> PAGEREF _Toc450748684 \h </w:instrText>
        </w:r>
        <w:r w:rsidR="001F590D">
          <w:rPr>
            <w:noProof/>
            <w:webHidden/>
          </w:rPr>
        </w:r>
        <w:r w:rsidR="001F590D">
          <w:rPr>
            <w:noProof/>
            <w:webHidden/>
          </w:rPr>
          <w:fldChar w:fldCharType="separate"/>
        </w:r>
        <w:r w:rsidR="001F590D">
          <w:rPr>
            <w:noProof/>
            <w:webHidden/>
          </w:rPr>
          <w:t>62</w:t>
        </w:r>
        <w:r w:rsidR="001F590D">
          <w:rPr>
            <w:noProof/>
            <w:webHidden/>
          </w:rPr>
          <w:fldChar w:fldCharType="end"/>
        </w:r>
      </w:hyperlink>
    </w:p>
    <w:p w:rsidR="001F590D" w:rsidRDefault="00C35D4A">
      <w:pPr>
        <w:pStyle w:val="TOC1"/>
        <w:rPr>
          <w:rFonts w:eastAsiaTheme="minorEastAsia" w:cstheme="minorBidi"/>
          <w:noProof/>
          <w:sz w:val="22"/>
          <w:szCs w:val="22"/>
          <w:lang w:bidi="he-IL"/>
        </w:rPr>
      </w:pPr>
      <w:hyperlink w:anchor="_Toc450748685" w:history="1">
        <w:r w:rsidR="001F590D" w:rsidRPr="004173F1">
          <w:rPr>
            <w:rStyle w:val="Hyperlink"/>
            <w:noProof/>
          </w:rPr>
          <w:t>Chapter 4: The Operationalization of Martyrdom and Qutbism: Hamas, Al Qaeda, and ISIS</w:t>
        </w:r>
        <w:r w:rsidR="001F590D">
          <w:rPr>
            <w:noProof/>
            <w:webHidden/>
          </w:rPr>
          <w:tab/>
        </w:r>
        <w:r w:rsidR="001F590D">
          <w:rPr>
            <w:noProof/>
            <w:webHidden/>
          </w:rPr>
          <w:fldChar w:fldCharType="begin"/>
        </w:r>
        <w:r w:rsidR="001F590D">
          <w:rPr>
            <w:noProof/>
            <w:webHidden/>
          </w:rPr>
          <w:instrText xml:space="preserve"> PAGEREF _Toc450748685 \h </w:instrText>
        </w:r>
        <w:r w:rsidR="001F590D">
          <w:rPr>
            <w:noProof/>
            <w:webHidden/>
          </w:rPr>
        </w:r>
        <w:r w:rsidR="001F590D">
          <w:rPr>
            <w:noProof/>
            <w:webHidden/>
          </w:rPr>
          <w:fldChar w:fldCharType="separate"/>
        </w:r>
        <w:r w:rsidR="001F590D">
          <w:rPr>
            <w:noProof/>
            <w:webHidden/>
          </w:rPr>
          <w:t>66</w:t>
        </w:r>
        <w:r w:rsidR="001F590D">
          <w:rPr>
            <w:noProof/>
            <w:webHidden/>
          </w:rPr>
          <w:fldChar w:fldCharType="end"/>
        </w:r>
      </w:hyperlink>
    </w:p>
    <w:p w:rsidR="001F590D" w:rsidRDefault="00C35D4A">
      <w:pPr>
        <w:pStyle w:val="TOC2"/>
        <w:tabs>
          <w:tab w:val="right" w:leader="dot" w:pos="8486"/>
        </w:tabs>
        <w:rPr>
          <w:rFonts w:eastAsiaTheme="minorEastAsia" w:cstheme="minorBidi"/>
          <w:noProof/>
          <w:sz w:val="22"/>
          <w:szCs w:val="22"/>
          <w:lang w:bidi="he-IL"/>
        </w:rPr>
      </w:pPr>
      <w:hyperlink w:anchor="_Toc450748686" w:history="1">
        <w:r w:rsidR="001F590D" w:rsidRPr="004173F1">
          <w:rPr>
            <w:rStyle w:val="Hyperlink"/>
            <w:i/>
            <w:noProof/>
          </w:rPr>
          <w:t>The Palestinian Campaigns</w:t>
        </w:r>
        <w:r w:rsidR="001F590D">
          <w:rPr>
            <w:noProof/>
            <w:webHidden/>
          </w:rPr>
          <w:tab/>
        </w:r>
        <w:r w:rsidR="001F590D">
          <w:rPr>
            <w:noProof/>
            <w:webHidden/>
          </w:rPr>
          <w:fldChar w:fldCharType="begin"/>
        </w:r>
        <w:r w:rsidR="001F590D">
          <w:rPr>
            <w:noProof/>
            <w:webHidden/>
          </w:rPr>
          <w:instrText xml:space="preserve"> PAGEREF _Toc450748686 \h </w:instrText>
        </w:r>
        <w:r w:rsidR="001F590D">
          <w:rPr>
            <w:noProof/>
            <w:webHidden/>
          </w:rPr>
        </w:r>
        <w:r w:rsidR="001F590D">
          <w:rPr>
            <w:noProof/>
            <w:webHidden/>
          </w:rPr>
          <w:fldChar w:fldCharType="separate"/>
        </w:r>
        <w:r w:rsidR="001F590D">
          <w:rPr>
            <w:noProof/>
            <w:webHidden/>
          </w:rPr>
          <w:t>66</w:t>
        </w:r>
        <w:r w:rsidR="001F590D">
          <w:rPr>
            <w:noProof/>
            <w:webHidden/>
          </w:rPr>
          <w:fldChar w:fldCharType="end"/>
        </w:r>
      </w:hyperlink>
    </w:p>
    <w:p w:rsidR="001F590D" w:rsidRDefault="00C35D4A">
      <w:pPr>
        <w:pStyle w:val="TOC3"/>
        <w:tabs>
          <w:tab w:val="right" w:leader="dot" w:pos="8486"/>
        </w:tabs>
        <w:rPr>
          <w:rFonts w:eastAsiaTheme="minorEastAsia" w:cstheme="minorBidi"/>
          <w:noProof/>
          <w:sz w:val="22"/>
          <w:szCs w:val="22"/>
          <w:lang w:bidi="he-IL"/>
        </w:rPr>
      </w:pPr>
      <w:hyperlink w:anchor="_Toc450748687" w:history="1">
        <w:r w:rsidR="001F590D" w:rsidRPr="004173F1">
          <w:rPr>
            <w:rStyle w:val="Hyperlink"/>
            <w:noProof/>
          </w:rPr>
          <w:t>The Development of Hamas and Palestinian Islamic Jihad</w:t>
        </w:r>
        <w:r w:rsidR="001F590D">
          <w:rPr>
            <w:noProof/>
            <w:webHidden/>
          </w:rPr>
          <w:tab/>
        </w:r>
        <w:r w:rsidR="001F590D">
          <w:rPr>
            <w:noProof/>
            <w:webHidden/>
          </w:rPr>
          <w:fldChar w:fldCharType="begin"/>
        </w:r>
        <w:r w:rsidR="001F590D">
          <w:rPr>
            <w:noProof/>
            <w:webHidden/>
          </w:rPr>
          <w:instrText xml:space="preserve"> PAGEREF _Toc450748687 \h </w:instrText>
        </w:r>
        <w:r w:rsidR="001F590D">
          <w:rPr>
            <w:noProof/>
            <w:webHidden/>
          </w:rPr>
        </w:r>
        <w:r w:rsidR="001F590D">
          <w:rPr>
            <w:noProof/>
            <w:webHidden/>
          </w:rPr>
          <w:fldChar w:fldCharType="separate"/>
        </w:r>
        <w:r w:rsidR="001F590D">
          <w:rPr>
            <w:noProof/>
            <w:webHidden/>
          </w:rPr>
          <w:t>66</w:t>
        </w:r>
        <w:r w:rsidR="001F590D">
          <w:rPr>
            <w:noProof/>
            <w:webHidden/>
          </w:rPr>
          <w:fldChar w:fldCharType="end"/>
        </w:r>
      </w:hyperlink>
    </w:p>
    <w:p w:rsidR="001F590D" w:rsidRDefault="00C35D4A">
      <w:pPr>
        <w:pStyle w:val="TOC3"/>
        <w:tabs>
          <w:tab w:val="right" w:leader="dot" w:pos="8486"/>
        </w:tabs>
        <w:rPr>
          <w:rFonts w:eastAsiaTheme="minorEastAsia" w:cstheme="minorBidi"/>
          <w:noProof/>
          <w:sz w:val="22"/>
          <w:szCs w:val="22"/>
          <w:lang w:bidi="he-IL"/>
        </w:rPr>
      </w:pPr>
      <w:hyperlink w:anchor="_Toc450748688" w:history="1">
        <w:r w:rsidR="001F590D" w:rsidRPr="004173F1">
          <w:rPr>
            <w:rStyle w:val="Hyperlink"/>
            <w:noProof/>
          </w:rPr>
          <w:t>Palestinian Use of Suicide Terrorism</w:t>
        </w:r>
        <w:r w:rsidR="001F590D">
          <w:rPr>
            <w:noProof/>
            <w:webHidden/>
          </w:rPr>
          <w:tab/>
        </w:r>
        <w:r w:rsidR="001F590D">
          <w:rPr>
            <w:noProof/>
            <w:webHidden/>
          </w:rPr>
          <w:fldChar w:fldCharType="begin"/>
        </w:r>
        <w:r w:rsidR="001F590D">
          <w:rPr>
            <w:noProof/>
            <w:webHidden/>
          </w:rPr>
          <w:instrText xml:space="preserve"> PAGEREF _Toc450748688 \h </w:instrText>
        </w:r>
        <w:r w:rsidR="001F590D">
          <w:rPr>
            <w:noProof/>
            <w:webHidden/>
          </w:rPr>
        </w:r>
        <w:r w:rsidR="001F590D">
          <w:rPr>
            <w:noProof/>
            <w:webHidden/>
          </w:rPr>
          <w:fldChar w:fldCharType="separate"/>
        </w:r>
        <w:r w:rsidR="001F590D">
          <w:rPr>
            <w:noProof/>
            <w:webHidden/>
          </w:rPr>
          <w:t>68</w:t>
        </w:r>
        <w:r w:rsidR="001F590D">
          <w:rPr>
            <w:noProof/>
            <w:webHidden/>
          </w:rPr>
          <w:fldChar w:fldCharType="end"/>
        </w:r>
      </w:hyperlink>
    </w:p>
    <w:p w:rsidR="001F590D" w:rsidRDefault="00C35D4A">
      <w:pPr>
        <w:pStyle w:val="TOC3"/>
        <w:tabs>
          <w:tab w:val="right" w:leader="dot" w:pos="8486"/>
        </w:tabs>
        <w:rPr>
          <w:rFonts w:eastAsiaTheme="minorEastAsia" w:cstheme="minorBidi"/>
          <w:noProof/>
          <w:sz w:val="22"/>
          <w:szCs w:val="22"/>
          <w:lang w:bidi="he-IL"/>
        </w:rPr>
      </w:pPr>
      <w:hyperlink w:anchor="_Toc450748689" w:history="1">
        <w:r w:rsidR="001F590D" w:rsidRPr="004173F1">
          <w:rPr>
            <w:rStyle w:val="Hyperlink"/>
            <w:noProof/>
          </w:rPr>
          <w:t>Cognitive Terrain of Palestinian Bombers</w:t>
        </w:r>
        <w:r w:rsidR="001F590D">
          <w:rPr>
            <w:noProof/>
            <w:webHidden/>
          </w:rPr>
          <w:tab/>
        </w:r>
        <w:r w:rsidR="001F590D">
          <w:rPr>
            <w:noProof/>
            <w:webHidden/>
          </w:rPr>
          <w:fldChar w:fldCharType="begin"/>
        </w:r>
        <w:r w:rsidR="001F590D">
          <w:rPr>
            <w:noProof/>
            <w:webHidden/>
          </w:rPr>
          <w:instrText xml:space="preserve"> PAGEREF _Toc450748689 \h </w:instrText>
        </w:r>
        <w:r w:rsidR="001F590D">
          <w:rPr>
            <w:noProof/>
            <w:webHidden/>
          </w:rPr>
        </w:r>
        <w:r w:rsidR="001F590D">
          <w:rPr>
            <w:noProof/>
            <w:webHidden/>
          </w:rPr>
          <w:fldChar w:fldCharType="separate"/>
        </w:r>
        <w:r w:rsidR="001F590D">
          <w:rPr>
            <w:noProof/>
            <w:webHidden/>
          </w:rPr>
          <w:t>73</w:t>
        </w:r>
        <w:r w:rsidR="001F590D">
          <w:rPr>
            <w:noProof/>
            <w:webHidden/>
          </w:rPr>
          <w:fldChar w:fldCharType="end"/>
        </w:r>
      </w:hyperlink>
    </w:p>
    <w:p w:rsidR="001F590D" w:rsidRDefault="00C35D4A">
      <w:pPr>
        <w:pStyle w:val="TOC2"/>
        <w:tabs>
          <w:tab w:val="right" w:leader="dot" w:pos="8486"/>
        </w:tabs>
        <w:rPr>
          <w:rFonts w:eastAsiaTheme="minorEastAsia" w:cstheme="minorBidi"/>
          <w:noProof/>
          <w:sz w:val="22"/>
          <w:szCs w:val="22"/>
          <w:lang w:bidi="he-IL"/>
        </w:rPr>
      </w:pPr>
      <w:hyperlink w:anchor="_Toc450748690" w:history="1">
        <w:r w:rsidR="001F590D" w:rsidRPr="004173F1">
          <w:rPr>
            <w:rStyle w:val="Hyperlink"/>
            <w:i/>
            <w:noProof/>
          </w:rPr>
          <w:t>The Role of the Chechen Conflict in Driving Suicide Terrorism</w:t>
        </w:r>
        <w:r w:rsidR="001F590D">
          <w:rPr>
            <w:noProof/>
            <w:webHidden/>
          </w:rPr>
          <w:tab/>
        </w:r>
        <w:r w:rsidR="001F590D">
          <w:rPr>
            <w:noProof/>
            <w:webHidden/>
          </w:rPr>
          <w:fldChar w:fldCharType="begin"/>
        </w:r>
        <w:r w:rsidR="001F590D">
          <w:rPr>
            <w:noProof/>
            <w:webHidden/>
          </w:rPr>
          <w:instrText xml:space="preserve"> PAGEREF _Toc450748690 \h </w:instrText>
        </w:r>
        <w:r w:rsidR="001F590D">
          <w:rPr>
            <w:noProof/>
            <w:webHidden/>
          </w:rPr>
        </w:r>
        <w:r w:rsidR="001F590D">
          <w:rPr>
            <w:noProof/>
            <w:webHidden/>
          </w:rPr>
          <w:fldChar w:fldCharType="separate"/>
        </w:r>
        <w:r w:rsidR="001F590D">
          <w:rPr>
            <w:noProof/>
            <w:webHidden/>
          </w:rPr>
          <w:t>76</w:t>
        </w:r>
        <w:r w:rsidR="001F590D">
          <w:rPr>
            <w:noProof/>
            <w:webHidden/>
          </w:rPr>
          <w:fldChar w:fldCharType="end"/>
        </w:r>
      </w:hyperlink>
    </w:p>
    <w:p w:rsidR="001F590D" w:rsidRDefault="00C35D4A">
      <w:pPr>
        <w:pStyle w:val="TOC2"/>
        <w:tabs>
          <w:tab w:val="right" w:leader="dot" w:pos="8486"/>
        </w:tabs>
        <w:rPr>
          <w:rFonts w:eastAsiaTheme="minorEastAsia" w:cstheme="minorBidi"/>
          <w:noProof/>
          <w:sz w:val="22"/>
          <w:szCs w:val="22"/>
          <w:lang w:bidi="he-IL"/>
        </w:rPr>
      </w:pPr>
      <w:hyperlink w:anchor="_Toc450748691" w:history="1">
        <w:r w:rsidR="001F590D" w:rsidRPr="004173F1">
          <w:rPr>
            <w:rStyle w:val="Hyperlink"/>
            <w:i/>
            <w:noProof/>
          </w:rPr>
          <w:t>Al Qaeda</w:t>
        </w:r>
        <w:r w:rsidR="001F590D">
          <w:rPr>
            <w:noProof/>
            <w:webHidden/>
          </w:rPr>
          <w:tab/>
        </w:r>
        <w:r w:rsidR="001F590D">
          <w:rPr>
            <w:noProof/>
            <w:webHidden/>
          </w:rPr>
          <w:fldChar w:fldCharType="begin"/>
        </w:r>
        <w:r w:rsidR="001F590D">
          <w:rPr>
            <w:noProof/>
            <w:webHidden/>
          </w:rPr>
          <w:instrText xml:space="preserve"> PAGEREF _Toc450748691 \h </w:instrText>
        </w:r>
        <w:r w:rsidR="001F590D">
          <w:rPr>
            <w:noProof/>
            <w:webHidden/>
          </w:rPr>
        </w:r>
        <w:r w:rsidR="001F590D">
          <w:rPr>
            <w:noProof/>
            <w:webHidden/>
          </w:rPr>
          <w:fldChar w:fldCharType="separate"/>
        </w:r>
        <w:r w:rsidR="001F590D">
          <w:rPr>
            <w:noProof/>
            <w:webHidden/>
          </w:rPr>
          <w:t>79</w:t>
        </w:r>
        <w:r w:rsidR="001F590D">
          <w:rPr>
            <w:noProof/>
            <w:webHidden/>
          </w:rPr>
          <w:fldChar w:fldCharType="end"/>
        </w:r>
      </w:hyperlink>
    </w:p>
    <w:p w:rsidR="001F590D" w:rsidRDefault="00C35D4A">
      <w:pPr>
        <w:pStyle w:val="TOC3"/>
        <w:tabs>
          <w:tab w:val="right" w:leader="dot" w:pos="8486"/>
        </w:tabs>
        <w:rPr>
          <w:rFonts w:eastAsiaTheme="minorEastAsia" w:cstheme="minorBidi"/>
          <w:noProof/>
          <w:sz w:val="22"/>
          <w:szCs w:val="22"/>
          <w:lang w:bidi="he-IL"/>
        </w:rPr>
      </w:pPr>
      <w:hyperlink w:anchor="_Toc450748692" w:history="1">
        <w:r w:rsidR="001F590D" w:rsidRPr="004173F1">
          <w:rPr>
            <w:rStyle w:val="Hyperlink"/>
            <w:noProof/>
          </w:rPr>
          <w:t>Al Qaeda Development of Suicide Terrorism</w:t>
        </w:r>
        <w:r w:rsidR="001F590D">
          <w:rPr>
            <w:noProof/>
            <w:webHidden/>
          </w:rPr>
          <w:tab/>
        </w:r>
        <w:r w:rsidR="001F590D">
          <w:rPr>
            <w:noProof/>
            <w:webHidden/>
          </w:rPr>
          <w:fldChar w:fldCharType="begin"/>
        </w:r>
        <w:r w:rsidR="001F590D">
          <w:rPr>
            <w:noProof/>
            <w:webHidden/>
          </w:rPr>
          <w:instrText xml:space="preserve"> PAGEREF _Toc450748692 \h </w:instrText>
        </w:r>
        <w:r w:rsidR="001F590D">
          <w:rPr>
            <w:noProof/>
            <w:webHidden/>
          </w:rPr>
        </w:r>
        <w:r w:rsidR="001F590D">
          <w:rPr>
            <w:noProof/>
            <w:webHidden/>
          </w:rPr>
          <w:fldChar w:fldCharType="separate"/>
        </w:r>
        <w:r w:rsidR="001F590D">
          <w:rPr>
            <w:noProof/>
            <w:webHidden/>
          </w:rPr>
          <w:t>79</w:t>
        </w:r>
        <w:r w:rsidR="001F590D">
          <w:rPr>
            <w:noProof/>
            <w:webHidden/>
          </w:rPr>
          <w:fldChar w:fldCharType="end"/>
        </w:r>
      </w:hyperlink>
    </w:p>
    <w:p w:rsidR="001F590D" w:rsidRDefault="00C35D4A">
      <w:pPr>
        <w:pStyle w:val="TOC3"/>
        <w:tabs>
          <w:tab w:val="right" w:leader="dot" w:pos="8486"/>
        </w:tabs>
        <w:rPr>
          <w:rFonts w:eastAsiaTheme="minorEastAsia" w:cstheme="minorBidi"/>
          <w:noProof/>
          <w:sz w:val="22"/>
          <w:szCs w:val="22"/>
          <w:lang w:bidi="he-IL"/>
        </w:rPr>
      </w:pPr>
      <w:hyperlink w:anchor="_Toc450748693" w:history="1">
        <w:r w:rsidR="001F590D" w:rsidRPr="004173F1">
          <w:rPr>
            <w:rStyle w:val="Hyperlink"/>
            <w:noProof/>
          </w:rPr>
          <w:t>Cognitive Terrain of Al Qaeda Bombers</w:t>
        </w:r>
        <w:r w:rsidR="001F590D">
          <w:rPr>
            <w:noProof/>
            <w:webHidden/>
          </w:rPr>
          <w:tab/>
        </w:r>
        <w:r w:rsidR="001F590D">
          <w:rPr>
            <w:noProof/>
            <w:webHidden/>
          </w:rPr>
          <w:fldChar w:fldCharType="begin"/>
        </w:r>
        <w:r w:rsidR="001F590D">
          <w:rPr>
            <w:noProof/>
            <w:webHidden/>
          </w:rPr>
          <w:instrText xml:space="preserve"> PAGEREF _Toc450748693 \h </w:instrText>
        </w:r>
        <w:r w:rsidR="001F590D">
          <w:rPr>
            <w:noProof/>
            <w:webHidden/>
          </w:rPr>
        </w:r>
        <w:r w:rsidR="001F590D">
          <w:rPr>
            <w:noProof/>
            <w:webHidden/>
          </w:rPr>
          <w:fldChar w:fldCharType="separate"/>
        </w:r>
        <w:r w:rsidR="001F590D">
          <w:rPr>
            <w:noProof/>
            <w:webHidden/>
          </w:rPr>
          <w:t>82</w:t>
        </w:r>
        <w:r w:rsidR="001F590D">
          <w:rPr>
            <w:noProof/>
            <w:webHidden/>
          </w:rPr>
          <w:fldChar w:fldCharType="end"/>
        </w:r>
      </w:hyperlink>
    </w:p>
    <w:p w:rsidR="001F590D" w:rsidRDefault="00C35D4A">
      <w:pPr>
        <w:pStyle w:val="TOC2"/>
        <w:tabs>
          <w:tab w:val="right" w:leader="dot" w:pos="8486"/>
        </w:tabs>
        <w:rPr>
          <w:rFonts w:eastAsiaTheme="minorEastAsia" w:cstheme="minorBidi"/>
          <w:noProof/>
          <w:sz w:val="22"/>
          <w:szCs w:val="22"/>
          <w:lang w:bidi="he-IL"/>
        </w:rPr>
      </w:pPr>
      <w:hyperlink w:anchor="_Toc450748694" w:history="1">
        <w:r w:rsidR="001F590D" w:rsidRPr="004173F1">
          <w:rPr>
            <w:rStyle w:val="Hyperlink"/>
            <w:i/>
            <w:noProof/>
          </w:rPr>
          <w:t>ISIS</w:t>
        </w:r>
        <w:r w:rsidR="001F590D">
          <w:rPr>
            <w:noProof/>
            <w:webHidden/>
          </w:rPr>
          <w:tab/>
        </w:r>
        <w:r w:rsidR="001F590D">
          <w:rPr>
            <w:noProof/>
            <w:webHidden/>
          </w:rPr>
          <w:fldChar w:fldCharType="begin"/>
        </w:r>
        <w:r w:rsidR="001F590D">
          <w:rPr>
            <w:noProof/>
            <w:webHidden/>
          </w:rPr>
          <w:instrText xml:space="preserve"> PAGEREF _Toc450748694 \h </w:instrText>
        </w:r>
        <w:r w:rsidR="001F590D">
          <w:rPr>
            <w:noProof/>
            <w:webHidden/>
          </w:rPr>
        </w:r>
        <w:r w:rsidR="001F590D">
          <w:rPr>
            <w:noProof/>
            <w:webHidden/>
          </w:rPr>
          <w:fldChar w:fldCharType="separate"/>
        </w:r>
        <w:r w:rsidR="001F590D">
          <w:rPr>
            <w:noProof/>
            <w:webHidden/>
          </w:rPr>
          <w:t>85</w:t>
        </w:r>
        <w:r w:rsidR="001F590D">
          <w:rPr>
            <w:noProof/>
            <w:webHidden/>
          </w:rPr>
          <w:fldChar w:fldCharType="end"/>
        </w:r>
      </w:hyperlink>
    </w:p>
    <w:p w:rsidR="001F590D" w:rsidRDefault="00C35D4A">
      <w:pPr>
        <w:pStyle w:val="TOC3"/>
        <w:tabs>
          <w:tab w:val="right" w:leader="dot" w:pos="8486"/>
        </w:tabs>
        <w:rPr>
          <w:rFonts w:eastAsiaTheme="minorEastAsia" w:cstheme="minorBidi"/>
          <w:noProof/>
          <w:sz w:val="22"/>
          <w:szCs w:val="22"/>
          <w:lang w:bidi="he-IL"/>
        </w:rPr>
      </w:pPr>
      <w:hyperlink w:anchor="_Toc450748695" w:history="1">
        <w:r w:rsidR="001F590D" w:rsidRPr="004173F1">
          <w:rPr>
            <w:rStyle w:val="Hyperlink"/>
            <w:noProof/>
          </w:rPr>
          <w:t>ISIS Use of Suicide Terrorism, Trends in Targets</w:t>
        </w:r>
        <w:r w:rsidR="001F590D">
          <w:rPr>
            <w:noProof/>
            <w:webHidden/>
          </w:rPr>
          <w:tab/>
        </w:r>
        <w:r w:rsidR="001F590D">
          <w:rPr>
            <w:noProof/>
            <w:webHidden/>
          </w:rPr>
          <w:fldChar w:fldCharType="begin"/>
        </w:r>
        <w:r w:rsidR="001F590D">
          <w:rPr>
            <w:noProof/>
            <w:webHidden/>
          </w:rPr>
          <w:instrText xml:space="preserve"> PAGEREF _Toc450748695 \h </w:instrText>
        </w:r>
        <w:r w:rsidR="001F590D">
          <w:rPr>
            <w:noProof/>
            <w:webHidden/>
          </w:rPr>
        </w:r>
        <w:r w:rsidR="001F590D">
          <w:rPr>
            <w:noProof/>
            <w:webHidden/>
          </w:rPr>
          <w:fldChar w:fldCharType="separate"/>
        </w:r>
        <w:r w:rsidR="001F590D">
          <w:rPr>
            <w:noProof/>
            <w:webHidden/>
          </w:rPr>
          <w:t>85</w:t>
        </w:r>
        <w:r w:rsidR="001F590D">
          <w:rPr>
            <w:noProof/>
            <w:webHidden/>
          </w:rPr>
          <w:fldChar w:fldCharType="end"/>
        </w:r>
      </w:hyperlink>
    </w:p>
    <w:p w:rsidR="001F590D" w:rsidRDefault="00C35D4A">
      <w:pPr>
        <w:pStyle w:val="TOC3"/>
        <w:tabs>
          <w:tab w:val="right" w:leader="dot" w:pos="8486"/>
        </w:tabs>
        <w:rPr>
          <w:rFonts w:eastAsiaTheme="minorEastAsia" w:cstheme="minorBidi"/>
          <w:noProof/>
          <w:sz w:val="22"/>
          <w:szCs w:val="22"/>
          <w:lang w:bidi="he-IL"/>
        </w:rPr>
      </w:pPr>
      <w:hyperlink w:anchor="_Toc450748696" w:history="1">
        <w:r w:rsidR="001F590D" w:rsidRPr="004173F1">
          <w:rPr>
            <w:rStyle w:val="Hyperlink"/>
            <w:noProof/>
          </w:rPr>
          <w:t>Cognitive Terrain of ISIS</w:t>
        </w:r>
        <w:r w:rsidR="001F590D">
          <w:rPr>
            <w:noProof/>
            <w:webHidden/>
          </w:rPr>
          <w:tab/>
        </w:r>
        <w:r w:rsidR="001F590D">
          <w:rPr>
            <w:noProof/>
            <w:webHidden/>
          </w:rPr>
          <w:fldChar w:fldCharType="begin"/>
        </w:r>
        <w:r w:rsidR="001F590D">
          <w:rPr>
            <w:noProof/>
            <w:webHidden/>
          </w:rPr>
          <w:instrText xml:space="preserve"> PAGEREF _Toc450748696 \h </w:instrText>
        </w:r>
        <w:r w:rsidR="001F590D">
          <w:rPr>
            <w:noProof/>
            <w:webHidden/>
          </w:rPr>
        </w:r>
        <w:r w:rsidR="001F590D">
          <w:rPr>
            <w:noProof/>
            <w:webHidden/>
          </w:rPr>
          <w:fldChar w:fldCharType="separate"/>
        </w:r>
        <w:r w:rsidR="001F590D">
          <w:rPr>
            <w:noProof/>
            <w:webHidden/>
          </w:rPr>
          <w:t>90</w:t>
        </w:r>
        <w:r w:rsidR="001F590D">
          <w:rPr>
            <w:noProof/>
            <w:webHidden/>
          </w:rPr>
          <w:fldChar w:fldCharType="end"/>
        </w:r>
      </w:hyperlink>
    </w:p>
    <w:p w:rsidR="001F590D" w:rsidRDefault="00C35D4A">
      <w:pPr>
        <w:pStyle w:val="TOC1"/>
        <w:rPr>
          <w:rFonts w:eastAsiaTheme="minorEastAsia" w:cstheme="minorBidi"/>
          <w:noProof/>
          <w:sz w:val="22"/>
          <w:szCs w:val="22"/>
          <w:lang w:bidi="he-IL"/>
        </w:rPr>
      </w:pPr>
      <w:hyperlink w:anchor="_Toc450748697" w:history="1">
        <w:r w:rsidR="001F590D" w:rsidRPr="004173F1">
          <w:rPr>
            <w:rStyle w:val="Hyperlink"/>
            <w:noProof/>
          </w:rPr>
          <w:t>Chapter 5: Conclusion</w:t>
        </w:r>
        <w:r w:rsidR="001F590D">
          <w:rPr>
            <w:noProof/>
            <w:webHidden/>
          </w:rPr>
          <w:tab/>
        </w:r>
        <w:r w:rsidR="001F590D">
          <w:rPr>
            <w:noProof/>
            <w:webHidden/>
          </w:rPr>
          <w:fldChar w:fldCharType="begin"/>
        </w:r>
        <w:r w:rsidR="001F590D">
          <w:rPr>
            <w:noProof/>
            <w:webHidden/>
          </w:rPr>
          <w:instrText xml:space="preserve"> PAGEREF _Toc450748697 \h </w:instrText>
        </w:r>
        <w:r w:rsidR="001F590D">
          <w:rPr>
            <w:noProof/>
            <w:webHidden/>
          </w:rPr>
        </w:r>
        <w:r w:rsidR="001F590D">
          <w:rPr>
            <w:noProof/>
            <w:webHidden/>
          </w:rPr>
          <w:fldChar w:fldCharType="separate"/>
        </w:r>
        <w:r w:rsidR="001F590D">
          <w:rPr>
            <w:noProof/>
            <w:webHidden/>
          </w:rPr>
          <w:t>96</w:t>
        </w:r>
        <w:r w:rsidR="001F590D">
          <w:rPr>
            <w:noProof/>
            <w:webHidden/>
          </w:rPr>
          <w:fldChar w:fldCharType="end"/>
        </w:r>
      </w:hyperlink>
    </w:p>
    <w:p w:rsidR="001F590D" w:rsidRDefault="00C35D4A">
      <w:pPr>
        <w:pStyle w:val="TOC2"/>
        <w:tabs>
          <w:tab w:val="right" w:leader="dot" w:pos="8486"/>
        </w:tabs>
        <w:rPr>
          <w:rFonts w:eastAsiaTheme="minorEastAsia" w:cstheme="minorBidi"/>
          <w:noProof/>
          <w:sz w:val="22"/>
          <w:szCs w:val="22"/>
          <w:lang w:bidi="he-IL"/>
        </w:rPr>
      </w:pPr>
      <w:hyperlink w:anchor="_Toc450748698" w:history="1">
        <w:r w:rsidR="001F590D" w:rsidRPr="004173F1">
          <w:rPr>
            <w:rStyle w:val="Hyperlink"/>
            <w:i/>
            <w:noProof/>
          </w:rPr>
          <w:t>Shadows in the Cognitive Terrain:  Competition Over Sacred Values</w:t>
        </w:r>
        <w:r w:rsidR="001F590D">
          <w:rPr>
            <w:noProof/>
            <w:webHidden/>
          </w:rPr>
          <w:tab/>
        </w:r>
        <w:r w:rsidR="001F590D">
          <w:rPr>
            <w:noProof/>
            <w:webHidden/>
          </w:rPr>
          <w:fldChar w:fldCharType="begin"/>
        </w:r>
        <w:r w:rsidR="001F590D">
          <w:rPr>
            <w:noProof/>
            <w:webHidden/>
          </w:rPr>
          <w:instrText xml:space="preserve"> PAGEREF _Toc450748698 \h </w:instrText>
        </w:r>
        <w:r w:rsidR="001F590D">
          <w:rPr>
            <w:noProof/>
            <w:webHidden/>
          </w:rPr>
        </w:r>
        <w:r w:rsidR="001F590D">
          <w:rPr>
            <w:noProof/>
            <w:webHidden/>
          </w:rPr>
          <w:fldChar w:fldCharType="separate"/>
        </w:r>
        <w:r w:rsidR="001F590D">
          <w:rPr>
            <w:noProof/>
            <w:webHidden/>
          </w:rPr>
          <w:t>96</w:t>
        </w:r>
        <w:r w:rsidR="001F590D">
          <w:rPr>
            <w:noProof/>
            <w:webHidden/>
          </w:rPr>
          <w:fldChar w:fldCharType="end"/>
        </w:r>
      </w:hyperlink>
    </w:p>
    <w:p w:rsidR="001F590D" w:rsidRDefault="00C35D4A">
      <w:pPr>
        <w:pStyle w:val="TOC2"/>
        <w:tabs>
          <w:tab w:val="right" w:leader="dot" w:pos="8486"/>
        </w:tabs>
        <w:rPr>
          <w:rFonts w:eastAsiaTheme="minorEastAsia" w:cstheme="minorBidi"/>
          <w:noProof/>
          <w:sz w:val="22"/>
          <w:szCs w:val="22"/>
          <w:lang w:bidi="he-IL"/>
        </w:rPr>
      </w:pPr>
      <w:hyperlink w:anchor="_Toc450748699" w:history="1">
        <w:r w:rsidR="001F590D" w:rsidRPr="004173F1">
          <w:rPr>
            <w:rStyle w:val="Hyperlink"/>
            <w:i/>
            <w:noProof/>
          </w:rPr>
          <w:t>Vital Needs and the Cognitive Terrain: The Case of Jake Bilardi</w:t>
        </w:r>
        <w:r w:rsidR="001F590D">
          <w:rPr>
            <w:noProof/>
            <w:webHidden/>
          </w:rPr>
          <w:tab/>
        </w:r>
        <w:r w:rsidR="001F590D">
          <w:rPr>
            <w:noProof/>
            <w:webHidden/>
          </w:rPr>
          <w:fldChar w:fldCharType="begin"/>
        </w:r>
        <w:r w:rsidR="001F590D">
          <w:rPr>
            <w:noProof/>
            <w:webHidden/>
          </w:rPr>
          <w:instrText xml:space="preserve"> PAGEREF _Toc450748699 \h </w:instrText>
        </w:r>
        <w:r w:rsidR="001F590D">
          <w:rPr>
            <w:noProof/>
            <w:webHidden/>
          </w:rPr>
        </w:r>
        <w:r w:rsidR="001F590D">
          <w:rPr>
            <w:noProof/>
            <w:webHidden/>
          </w:rPr>
          <w:fldChar w:fldCharType="separate"/>
        </w:r>
        <w:r w:rsidR="001F590D">
          <w:rPr>
            <w:noProof/>
            <w:webHidden/>
          </w:rPr>
          <w:t>97</w:t>
        </w:r>
        <w:r w:rsidR="001F590D">
          <w:rPr>
            <w:noProof/>
            <w:webHidden/>
          </w:rPr>
          <w:fldChar w:fldCharType="end"/>
        </w:r>
      </w:hyperlink>
    </w:p>
    <w:p w:rsidR="001F590D" w:rsidRDefault="00C35D4A">
      <w:pPr>
        <w:pStyle w:val="TOC2"/>
        <w:tabs>
          <w:tab w:val="right" w:leader="dot" w:pos="8486"/>
        </w:tabs>
        <w:rPr>
          <w:rFonts w:eastAsiaTheme="minorEastAsia" w:cstheme="minorBidi"/>
          <w:noProof/>
          <w:sz w:val="22"/>
          <w:szCs w:val="22"/>
          <w:lang w:bidi="he-IL"/>
        </w:rPr>
      </w:pPr>
      <w:hyperlink w:anchor="_Toc450748700" w:history="1">
        <w:r w:rsidR="001F590D" w:rsidRPr="004173F1">
          <w:rPr>
            <w:rStyle w:val="Hyperlink"/>
            <w:i/>
            <w:noProof/>
          </w:rPr>
          <w:t>Policy Implications for the Individual Logic of Suicide Terrorism</w:t>
        </w:r>
        <w:r w:rsidR="001F590D">
          <w:rPr>
            <w:noProof/>
            <w:webHidden/>
          </w:rPr>
          <w:tab/>
        </w:r>
        <w:r w:rsidR="001F590D">
          <w:rPr>
            <w:noProof/>
            <w:webHidden/>
          </w:rPr>
          <w:fldChar w:fldCharType="begin"/>
        </w:r>
        <w:r w:rsidR="001F590D">
          <w:rPr>
            <w:noProof/>
            <w:webHidden/>
          </w:rPr>
          <w:instrText xml:space="preserve"> PAGEREF _Toc450748700 \h </w:instrText>
        </w:r>
        <w:r w:rsidR="001F590D">
          <w:rPr>
            <w:noProof/>
            <w:webHidden/>
          </w:rPr>
        </w:r>
        <w:r w:rsidR="001F590D">
          <w:rPr>
            <w:noProof/>
            <w:webHidden/>
          </w:rPr>
          <w:fldChar w:fldCharType="separate"/>
        </w:r>
        <w:r w:rsidR="001F590D">
          <w:rPr>
            <w:noProof/>
            <w:webHidden/>
          </w:rPr>
          <w:t>105</w:t>
        </w:r>
        <w:r w:rsidR="001F590D">
          <w:rPr>
            <w:noProof/>
            <w:webHidden/>
          </w:rPr>
          <w:fldChar w:fldCharType="end"/>
        </w:r>
      </w:hyperlink>
    </w:p>
    <w:p w:rsidR="001F590D" w:rsidRDefault="00C35D4A">
      <w:pPr>
        <w:pStyle w:val="TOC1"/>
        <w:rPr>
          <w:rFonts w:eastAsiaTheme="minorEastAsia" w:cstheme="minorBidi"/>
          <w:noProof/>
          <w:sz w:val="22"/>
          <w:szCs w:val="22"/>
          <w:lang w:bidi="he-IL"/>
        </w:rPr>
      </w:pPr>
      <w:hyperlink w:anchor="_Toc450748701" w:history="1">
        <w:r w:rsidR="001F590D" w:rsidRPr="004173F1">
          <w:rPr>
            <w:rStyle w:val="Hyperlink"/>
            <w:noProof/>
            <w:lang w:bidi="ar-SA"/>
          </w:rPr>
          <w:t>References</w:t>
        </w:r>
        <w:r w:rsidR="001F590D">
          <w:rPr>
            <w:noProof/>
            <w:webHidden/>
          </w:rPr>
          <w:tab/>
        </w:r>
        <w:r w:rsidR="001F590D">
          <w:rPr>
            <w:noProof/>
            <w:webHidden/>
          </w:rPr>
          <w:fldChar w:fldCharType="begin"/>
        </w:r>
        <w:r w:rsidR="001F590D">
          <w:rPr>
            <w:noProof/>
            <w:webHidden/>
          </w:rPr>
          <w:instrText xml:space="preserve"> PAGEREF _Toc450748701 \h </w:instrText>
        </w:r>
        <w:r w:rsidR="001F590D">
          <w:rPr>
            <w:noProof/>
            <w:webHidden/>
          </w:rPr>
        </w:r>
        <w:r w:rsidR="001F590D">
          <w:rPr>
            <w:noProof/>
            <w:webHidden/>
          </w:rPr>
          <w:fldChar w:fldCharType="separate"/>
        </w:r>
        <w:r w:rsidR="001F590D">
          <w:rPr>
            <w:noProof/>
            <w:webHidden/>
          </w:rPr>
          <w:t>109</w:t>
        </w:r>
        <w:r w:rsidR="001F590D">
          <w:rPr>
            <w:noProof/>
            <w:webHidden/>
          </w:rPr>
          <w:fldChar w:fldCharType="end"/>
        </w:r>
      </w:hyperlink>
    </w:p>
    <w:p w:rsidR="001F590D" w:rsidRDefault="00C35D4A">
      <w:pPr>
        <w:pStyle w:val="TOC1"/>
        <w:rPr>
          <w:rFonts w:eastAsiaTheme="minorEastAsia" w:cstheme="minorBidi"/>
          <w:noProof/>
          <w:sz w:val="22"/>
          <w:szCs w:val="22"/>
          <w:lang w:bidi="he-IL"/>
        </w:rPr>
      </w:pPr>
      <w:hyperlink w:anchor="_Toc450748702" w:history="1">
        <w:r w:rsidR="001F590D" w:rsidRPr="004173F1">
          <w:rPr>
            <w:rStyle w:val="Hyperlink"/>
            <w:noProof/>
          </w:rPr>
          <w:t>Appendix 1: Graphs, Number of Suicide Attacks Total by Era</w:t>
        </w:r>
        <w:r w:rsidR="001F590D">
          <w:rPr>
            <w:noProof/>
            <w:webHidden/>
          </w:rPr>
          <w:tab/>
        </w:r>
        <w:r w:rsidR="001F590D">
          <w:rPr>
            <w:noProof/>
            <w:webHidden/>
          </w:rPr>
          <w:fldChar w:fldCharType="begin"/>
        </w:r>
        <w:r w:rsidR="001F590D">
          <w:rPr>
            <w:noProof/>
            <w:webHidden/>
          </w:rPr>
          <w:instrText xml:space="preserve"> PAGEREF _Toc450748702 \h </w:instrText>
        </w:r>
        <w:r w:rsidR="001F590D">
          <w:rPr>
            <w:noProof/>
            <w:webHidden/>
          </w:rPr>
        </w:r>
        <w:r w:rsidR="001F590D">
          <w:rPr>
            <w:noProof/>
            <w:webHidden/>
          </w:rPr>
          <w:fldChar w:fldCharType="separate"/>
        </w:r>
        <w:r w:rsidR="001F590D">
          <w:rPr>
            <w:noProof/>
            <w:webHidden/>
          </w:rPr>
          <w:t>126</w:t>
        </w:r>
        <w:r w:rsidR="001F590D">
          <w:rPr>
            <w:noProof/>
            <w:webHidden/>
          </w:rPr>
          <w:fldChar w:fldCharType="end"/>
        </w:r>
      </w:hyperlink>
    </w:p>
    <w:p w:rsidR="001F590D" w:rsidRDefault="00C35D4A">
      <w:pPr>
        <w:pStyle w:val="TOC1"/>
        <w:rPr>
          <w:rFonts w:eastAsiaTheme="minorEastAsia" w:cstheme="minorBidi"/>
          <w:noProof/>
          <w:sz w:val="22"/>
          <w:szCs w:val="22"/>
          <w:lang w:bidi="he-IL"/>
        </w:rPr>
      </w:pPr>
      <w:hyperlink w:anchor="_Toc450748703" w:history="1">
        <w:r w:rsidR="001F590D" w:rsidRPr="004173F1">
          <w:rPr>
            <w:rStyle w:val="Hyperlink"/>
            <w:noProof/>
          </w:rPr>
          <w:t>Appendix 2: Graphs, Number of Suicide Attacks by Country</w:t>
        </w:r>
        <w:r w:rsidR="001F590D">
          <w:rPr>
            <w:noProof/>
            <w:webHidden/>
          </w:rPr>
          <w:tab/>
        </w:r>
        <w:r w:rsidR="001F590D">
          <w:rPr>
            <w:noProof/>
            <w:webHidden/>
          </w:rPr>
          <w:fldChar w:fldCharType="begin"/>
        </w:r>
        <w:r w:rsidR="001F590D">
          <w:rPr>
            <w:noProof/>
            <w:webHidden/>
          </w:rPr>
          <w:instrText xml:space="preserve"> PAGEREF _Toc450748703 \h </w:instrText>
        </w:r>
        <w:r w:rsidR="001F590D">
          <w:rPr>
            <w:noProof/>
            <w:webHidden/>
          </w:rPr>
        </w:r>
        <w:r w:rsidR="001F590D">
          <w:rPr>
            <w:noProof/>
            <w:webHidden/>
          </w:rPr>
          <w:fldChar w:fldCharType="separate"/>
        </w:r>
        <w:r w:rsidR="001F590D">
          <w:rPr>
            <w:noProof/>
            <w:webHidden/>
          </w:rPr>
          <w:t>130</w:t>
        </w:r>
        <w:r w:rsidR="001F590D">
          <w:rPr>
            <w:noProof/>
            <w:webHidden/>
          </w:rPr>
          <w:fldChar w:fldCharType="end"/>
        </w:r>
      </w:hyperlink>
    </w:p>
    <w:p w:rsidR="00DA1971" w:rsidRDefault="0015339F" w:rsidP="00DA1971">
      <w:r>
        <w:fldChar w:fldCharType="end"/>
      </w:r>
      <w:r w:rsidR="00C92079">
        <w:t xml:space="preserve"> </w:t>
      </w:r>
    </w:p>
    <w:p w:rsidR="00775701" w:rsidRDefault="00DA1971" w:rsidP="00DD0216">
      <w:pPr>
        <w:pStyle w:val="Heading1"/>
      </w:pPr>
      <w:r>
        <w:br w:type="page"/>
      </w:r>
      <w:bookmarkStart w:id="2" w:name="_Toc310579465"/>
      <w:bookmarkStart w:id="3" w:name="_Toc450748665"/>
      <w:r>
        <w:lastRenderedPageBreak/>
        <w:t>List of Tables</w:t>
      </w:r>
      <w:bookmarkEnd w:id="2"/>
      <w:bookmarkEnd w:id="3"/>
    </w:p>
    <w:p w:rsidR="009C4FEF" w:rsidRDefault="009C4FEF" w:rsidP="009C4FEF">
      <w:pPr>
        <w:pStyle w:val="NoSpacing"/>
      </w:pPr>
    </w:p>
    <w:p w:rsidR="00B131ED" w:rsidRDefault="0015339F">
      <w:pPr>
        <w:pStyle w:val="TableofFigures"/>
        <w:tabs>
          <w:tab w:val="right" w:leader="dot" w:pos="8486"/>
        </w:tabs>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450569729" w:history="1">
        <w:r w:rsidR="00B131ED" w:rsidRPr="001961D7">
          <w:rPr>
            <w:rStyle w:val="Hyperlink"/>
            <w:rFonts w:ascii="Times New Roman" w:eastAsia="Calibri" w:hAnsi="Times New Roman"/>
            <w:bCs/>
            <w:noProof/>
          </w:rPr>
          <w:t>Table 1 – Era of Nationalism, Global Suicide Attacks, By Year, By Target (START)</w:t>
        </w:r>
        <w:r w:rsidR="00B131ED">
          <w:rPr>
            <w:noProof/>
            <w:webHidden/>
          </w:rPr>
          <w:tab/>
        </w:r>
        <w:r w:rsidR="00B131ED">
          <w:rPr>
            <w:noProof/>
            <w:webHidden/>
          </w:rPr>
          <w:fldChar w:fldCharType="begin"/>
        </w:r>
        <w:r w:rsidR="00B131ED">
          <w:rPr>
            <w:noProof/>
            <w:webHidden/>
          </w:rPr>
          <w:instrText xml:space="preserve"> PAGEREF _Toc450569729 \h </w:instrText>
        </w:r>
        <w:r w:rsidR="00B131ED">
          <w:rPr>
            <w:noProof/>
            <w:webHidden/>
          </w:rPr>
        </w:r>
        <w:r w:rsidR="00B131ED">
          <w:rPr>
            <w:noProof/>
            <w:webHidden/>
          </w:rPr>
          <w:fldChar w:fldCharType="separate"/>
        </w:r>
        <w:r w:rsidR="001F590D">
          <w:rPr>
            <w:noProof/>
            <w:webHidden/>
          </w:rPr>
          <w:t>50</w:t>
        </w:r>
        <w:r w:rsidR="00B131ED">
          <w:rPr>
            <w:noProof/>
            <w:webHidden/>
          </w:rPr>
          <w:fldChar w:fldCharType="end"/>
        </w:r>
      </w:hyperlink>
    </w:p>
    <w:p w:rsidR="00B131ED" w:rsidRDefault="00C35D4A">
      <w:pPr>
        <w:pStyle w:val="TableofFigures"/>
        <w:tabs>
          <w:tab w:val="right" w:leader="dot" w:pos="8486"/>
        </w:tabs>
        <w:rPr>
          <w:rFonts w:eastAsiaTheme="minorEastAsia" w:cstheme="minorBidi"/>
          <w:noProof/>
          <w:sz w:val="22"/>
          <w:szCs w:val="22"/>
          <w:lang w:bidi="ar-SA"/>
        </w:rPr>
      </w:pPr>
      <w:hyperlink w:anchor="_Toc450569730" w:history="1">
        <w:r w:rsidR="00B131ED" w:rsidRPr="001961D7">
          <w:rPr>
            <w:rStyle w:val="Hyperlink"/>
            <w:noProof/>
          </w:rPr>
          <w:t>Table 2 – Era of Religious Nationalism, Total Global Suicide Attacks, by Year, by Target (START)</w:t>
        </w:r>
        <w:r w:rsidR="00B131ED">
          <w:rPr>
            <w:noProof/>
            <w:webHidden/>
          </w:rPr>
          <w:tab/>
        </w:r>
        <w:r w:rsidR="00B131ED">
          <w:rPr>
            <w:noProof/>
            <w:webHidden/>
          </w:rPr>
          <w:fldChar w:fldCharType="begin"/>
        </w:r>
        <w:r w:rsidR="00B131ED">
          <w:rPr>
            <w:noProof/>
            <w:webHidden/>
          </w:rPr>
          <w:instrText xml:space="preserve"> PAGEREF _Toc450569730 \h </w:instrText>
        </w:r>
        <w:r w:rsidR="00B131ED">
          <w:rPr>
            <w:noProof/>
            <w:webHidden/>
          </w:rPr>
        </w:r>
        <w:r w:rsidR="00B131ED">
          <w:rPr>
            <w:noProof/>
            <w:webHidden/>
          </w:rPr>
          <w:fldChar w:fldCharType="separate"/>
        </w:r>
        <w:r w:rsidR="001F590D">
          <w:rPr>
            <w:noProof/>
            <w:webHidden/>
          </w:rPr>
          <w:t>51</w:t>
        </w:r>
        <w:r w:rsidR="00B131ED">
          <w:rPr>
            <w:noProof/>
            <w:webHidden/>
          </w:rPr>
          <w:fldChar w:fldCharType="end"/>
        </w:r>
      </w:hyperlink>
    </w:p>
    <w:p w:rsidR="00B131ED" w:rsidRDefault="00C35D4A">
      <w:pPr>
        <w:pStyle w:val="TableofFigures"/>
        <w:tabs>
          <w:tab w:val="right" w:leader="dot" w:pos="8486"/>
        </w:tabs>
        <w:rPr>
          <w:rFonts w:eastAsiaTheme="minorEastAsia" w:cstheme="minorBidi"/>
          <w:noProof/>
          <w:sz w:val="22"/>
          <w:szCs w:val="22"/>
          <w:lang w:bidi="ar-SA"/>
        </w:rPr>
      </w:pPr>
      <w:hyperlink w:anchor="_Toc450569731" w:history="1">
        <w:r w:rsidR="00B131ED" w:rsidRPr="001961D7">
          <w:rPr>
            <w:rStyle w:val="Hyperlink"/>
            <w:noProof/>
          </w:rPr>
          <w:t>Table 3 – Era of Fitna, Total Global Suicide Attacks, by Year, by Target (START)</w:t>
        </w:r>
        <w:r w:rsidR="00B131ED">
          <w:rPr>
            <w:noProof/>
            <w:webHidden/>
          </w:rPr>
          <w:tab/>
        </w:r>
        <w:r w:rsidR="00B131ED">
          <w:rPr>
            <w:noProof/>
            <w:webHidden/>
          </w:rPr>
          <w:fldChar w:fldCharType="begin"/>
        </w:r>
        <w:r w:rsidR="00B131ED">
          <w:rPr>
            <w:noProof/>
            <w:webHidden/>
          </w:rPr>
          <w:instrText xml:space="preserve"> PAGEREF _Toc450569731 \h </w:instrText>
        </w:r>
        <w:r w:rsidR="00B131ED">
          <w:rPr>
            <w:noProof/>
            <w:webHidden/>
          </w:rPr>
        </w:r>
        <w:r w:rsidR="00B131ED">
          <w:rPr>
            <w:noProof/>
            <w:webHidden/>
          </w:rPr>
          <w:fldChar w:fldCharType="separate"/>
        </w:r>
        <w:r w:rsidR="001F590D">
          <w:rPr>
            <w:noProof/>
            <w:webHidden/>
          </w:rPr>
          <w:t>52</w:t>
        </w:r>
        <w:r w:rsidR="00B131ED">
          <w:rPr>
            <w:noProof/>
            <w:webHidden/>
          </w:rPr>
          <w:fldChar w:fldCharType="end"/>
        </w:r>
      </w:hyperlink>
    </w:p>
    <w:p w:rsidR="00B131ED" w:rsidRDefault="00C35D4A">
      <w:pPr>
        <w:pStyle w:val="TableofFigures"/>
        <w:tabs>
          <w:tab w:val="right" w:leader="dot" w:pos="8486"/>
        </w:tabs>
        <w:rPr>
          <w:rFonts w:eastAsiaTheme="minorEastAsia" w:cstheme="minorBidi"/>
          <w:noProof/>
          <w:sz w:val="22"/>
          <w:szCs w:val="22"/>
          <w:lang w:bidi="ar-SA"/>
        </w:rPr>
      </w:pPr>
      <w:hyperlink w:anchor="_Toc450569732" w:history="1">
        <w:r w:rsidR="00B131ED" w:rsidRPr="001961D7">
          <w:rPr>
            <w:rStyle w:val="Hyperlink"/>
            <w:noProof/>
          </w:rPr>
          <w:t>Table 4 - Iraq Suicide Attacks, by Target (START)</w:t>
        </w:r>
        <w:r w:rsidR="00B131ED">
          <w:rPr>
            <w:noProof/>
            <w:webHidden/>
          </w:rPr>
          <w:tab/>
        </w:r>
        <w:r w:rsidR="00B131ED">
          <w:rPr>
            <w:noProof/>
            <w:webHidden/>
          </w:rPr>
          <w:fldChar w:fldCharType="begin"/>
        </w:r>
        <w:r w:rsidR="00B131ED">
          <w:rPr>
            <w:noProof/>
            <w:webHidden/>
          </w:rPr>
          <w:instrText xml:space="preserve"> PAGEREF _Toc450569732 \h </w:instrText>
        </w:r>
        <w:r w:rsidR="00B131ED">
          <w:rPr>
            <w:noProof/>
            <w:webHidden/>
          </w:rPr>
        </w:r>
        <w:r w:rsidR="00B131ED">
          <w:rPr>
            <w:noProof/>
            <w:webHidden/>
          </w:rPr>
          <w:fldChar w:fldCharType="separate"/>
        </w:r>
        <w:r w:rsidR="001F590D">
          <w:rPr>
            <w:noProof/>
            <w:webHidden/>
          </w:rPr>
          <w:t>85</w:t>
        </w:r>
        <w:r w:rsidR="00B131ED">
          <w:rPr>
            <w:noProof/>
            <w:webHidden/>
          </w:rPr>
          <w:fldChar w:fldCharType="end"/>
        </w:r>
      </w:hyperlink>
    </w:p>
    <w:p w:rsidR="00DF4630" w:rsidRDefault="00DF4630">
      <w:pPr>
        <w:spacing w:line="240" w:lineRule="auto"/>
        <w:rPr>
          <w:rFonts w:asciiTheme="majorHAnsi" w:hAnsiTheme="majorHAnsi"/>
          <w:b/>
          <w:bCs/>
          <w:iCs/>
          <w:noProof/>
          <w:sz w:val="28"/>
          <w:szCs w:val="32"/>
        </w:rPr>
      </w:pPr>
      <w:r>
        <w:rPr>
          <w:noProof/>
        </w:rPr>
        <w:br w:type="page"/>
      </w:r>
    </w:p>
    <w:p w:rsidR="00BF18F8" w:rsidRPr="00EE3EDB" w:rsidRDefault="0015339F" w:rsidP="00DD0216">
      <w:pPr>
        <w:pStyle w:val="Heading1"/>
      </w:pPr>
      <w:r>
        <w:lastRenderedPageBreak/>
        <w:fldChar w:fldCharType="end"/>
      </w:r>
      <w:bookmarkStart w:id="4" w:name="_Toc310579466"/>
      <w:bookmarkStart w:id="5" w:name="_Toc315681360"/>
      <w:bookmarkStart w:id="6" w:name="_Toc450748666"/>
      <w:bookmarkStart w:id="7" w:name="_Toc310579468"/>
      <w:sdt>
        <w:sdtPr>
          <w:alias w:val="List of Figures/Illustrations"/>
          <w:tag w:val="List of Figures/Illustrations"/>
          <w:id w:val="30091882"/>
          <w:placeholder>
            <w:docPart w:val="64923E8763454755A8FA393A8D4C2399"/>
          </w:placeholder>
          <w:dropDownList>
            <w:listItem w:displayText="List of Figures" w:value="List of Figures"/>
            <w:listItem w:displayText="List of Illustrations" w:value="List of Illustrations"/>
          </w:dropDownList>
        </w:sdtPr>
        <w:sdtEndPr/>
        <w:sdtContent>
          <w:r w:rsidR="00BF18F8">
            <w:t>List of Figures</w:t>
          </w:r>
        </w:sdtContent>
      </w:sdt>
      <w:bookmarkEnd w:id="4"/>
      <w:bookmarkEnd w:id="5"/>
      <w:bookmarkEnd w:id="6"/>
    </w:p>
    <w:p w:rsidR="00B131ED" w:rsidRDefault="0015339F">
      <w:pPr>
        <w:pStyle w:val="TableofFigures"/>
        <w:tabs>
          <w:tab w:val="right" w:leader="dot" w:pos="8486"/>
        </w:tabs>
        <w:rPr>
          <w:rFonts w:eastAsiaTheme="minorEastAsia" w:cstheme="minorBidi"/>
          <w:noProof/>
          <w:sz w:val="22"/>
          <w:szCs w:val="22"/>
          <w:lang w:bidi="ar-SA"/>
        </w:rPr>
      </w:pPr>
      <w:r>
        <w:fldChar w:fldCharType="begin"/>
      </w:r>
      <w:r w:rsidR="00BF18F8">
        <w:instrText xml:space="preserve"> TOC \h \z \c "Figure" </w:instrText>
      </w:r>
      <w:r>
        <w:fldChar w:fldCharType="separate"/>
      </w:r>
      <w:hyperlink w:anchor="_Toc450569733" w:history="1">
        <w:r w:rsidR="00B131ED" w:rsidRPr="00B14A7E">
          <w:rPr>
            <w:rStyle w:val="Hyperlink"/>
            <w:bCs/>
            <w:noProof/>
          </w:rPr>
          <w:t>Figure 1 –Global Suicide Attacks, by Target, by Year, All Time</w:t>
        </w:r>
        <w:r w:rsidR="00B131ED">
          <w:rPr>
            <w:noProof/>
            <w:webHidden/>
          </w:rPr>
          <w:tab/>
        </w:r>
        <w:r w:rsidR="00B131ED">
          <w:rPr>
            <w:noProof/>
            <w:webHidden/>
          </w:rPr>
          <w:fldChar w:fldCharType="begin"/>
        </w:r>
        <w:r w:rsidR="00B131ED">
          <w:rPr>
            <w:noProof/>
            <w:webHidden/>
          </w:rPr>
          <w:instrText xml:space="preserve"> PAGEREF _Toc450569733 \h </w:instrText>
        </w:r>
        <w:r w:rsidR="00B131ED">
          <w:rPr>
            <w:noProof/>
            <w:webHidden/>
          </w:rPr>
        </w:r>
        <w:r w:rsidR="00B131ED">
          <w:rPr>
            <w:noProof/>
            <w:webHidden/>
          </w:rPr>
          <w:fldChar w:fldCharType="separate"/>
        </w:r>
        <w:r w:rsidR="001F590D">
          <w:rPr>
            <w:noProof/>
            <w:webHidden/>
          </w:rPr>
          <w:t>3</w:t>
        </w:r>
        <w:r w:rsidR="00B131ED">
          <w:rPr>
            <w:noProof/>
            <w:webHidden/>
          </w:rPr>
          <w:fldChar w:fldCharType="end"/>
        </w:r>
      </w:hyperlink>
    </w:p>
    <w:p w:rsidR="00B131ED" w:rsidRDefault="00C35D4A">
      <w:pPr>
        <w:pStyle w:val="TableofFigures"/>
        <w:tabs>
          <w:tab w:val="right" w:leader="dot" w:pos="8486"/>
        </w:tabs>
        <w:rPr>
          <w:rFonts w:eastAsiaTheme="minorEastAsia" w:cstheme="minorBidi"/>
          <w:noProof/>
          <w:sz w:val="22"/>
          <w:szCs w:val="22"/>
          <w:lang w:bidi="ar-SA"/>
        </w:rPr>
      </w:pPr>
      <w:hyperlink w:anchor="_Toc450569734" w:history="1">
        <w:r w:rsidR="00B131ED" w:rsidRPr="00B14A7E">
          <w:rPr>
            <w:rStyle w:val="Hyperlink"/>
            <w:bCs/>
            <w:noProof/>
          </w:rPr>
          <w:t>Figure 2 – START:  Suicide Attacks Total, by Country, by Year</w:t>
        </w:r>
        <w:r w:rsidR="00B131ED">
          <w:rPr>
            <w:noProof/>
            <w:webHidden/>
          </w:rPr>
          <w:tab/>
        </w:r>
        <w:r w:rsidR="00B131ED">
          <w:rPr>
            <w:noProof/>
            <w:webHidden/>
          </w:rPr>
          <w:fldChar w:fldCharType="begin"/>
        </w:r>
        <w:r w:rsidR="00B131ED">
          <w:rPr>
            <w:noProof/>
            <w:webHidden/>
          </w:rPr>
          <w:instrText xml:space="preserve"> PAGEREF _Toc450569734 \h </w:instrText>
        </w:r>
        <w:r w:rsidR="00B131ED">
          <w:rPr>
            <w:noProof/>
            <w:webHidden/>
          </w:rPr>
        </w:r>
        <w:r w:rsidR="00B131ED">
          <w:rPr>
            <w:noProof/>
            <w:webHidden/>
          </w:rPr>
          <w:fldChar w:fldCharType="separate"/>
        </w:r>
        <w:r w:rsidR="001F590D">
          <w:rPr>
            <w:noProof/>
            <w:webHidden/>
          </w:rPr>
          <w:t>126</w:t>
        </w:r>
        <w:r w:rsidR="00B131ED">
          <w:rPr>
            <w:noProof/>
            <w:webHidden/>
          </w:rPr>
          <w:fldChar w:fldCharType="end"/>
        </w:r>
      </w:hyperlink>
    </w:p>
    <w:p w:rsidR="00B131ED" w:rsidRDefault="00C35D4A">
      <w:pPr>
        <w:pStyle w:val="TableofFigures"/>
        <w:tabs>
          <w:tab w:val="right" w:leader="dot" w:pos="8486"/>
        </w:tabs>
        <w:rPr>
          <w:rFonts w:eastAsiaTheme="minorEastAsia" w:cstheme="minorBidi"/>
          <w:noProof/>
          <w:sz w:val="22"/>
          <w:szCs w:val="22"/>
          <w:lang w:bidi="ar-SA"/>
        </w:rPr>
      </w:pPr>
      <w:hyperlink w:anchor="_Toc450569735" w:history="1">
        <w:r w:rsidR="00B131ED" w:rsidRPr="00B14A7E">
          <w:rPr>
            <w:rStyle w:val="Hyperlink"/>
            <w:bCs/>
            <w:noProof/>
          </w:rPr>
          <w:t>Figure 3- CPOST:  Suicide Attacks Total, by Target, by Year</w:t>
        </w:r>
        <w:r w:rsidR="00B131ED">
          <w:rPr>
            <w:noProof/>
            <w:webHidden/>
          </w:rPr>
          <w:tab/>
        </w:r>
        <w:r w:rsidR="00B131ED">
          <w:rPr>
            <w:noProof/>
            <w:webHidden/>
          </w:rPr>
          <w:fldChar w:fldCharType="begin"/>
        </w:r>
        <w:r w:rsidR="00B131ED">
          <w:rPr>
            <w:noProof/>
            <w:webHidden/>
          </w:rPr>
          <w:instrText xml:space="preserve"> PAGEREF _Toc450569735 \h </w:instrText>
        </w:r>
        <w:r w:rsidR="00B131ED">
          <w:rPr>
            <w:noProof/>
            <w:webHidden/>
          </w:rPr>
        </w:r>
        <w:r w:rsidR="00B131ED">
          <w:rPr>
            <w:noProof/>
            <w:webHidden/>
          </w:rPr>
          <w:fldChar w:fldCharType="separate"/>
        </w:r>
        <w:r w:rsidR="001F590D">
          <w:rPr>
            <w:noProof/>
            <w:webHidden/>
          </w:rPr>
          <w:t>127</w:t>
        </w:r>
        <w:r w:rsidR="00B131ED">
          <w:rPr>
            <w:noProof/>
            <w:webHidden/>
          </w:rPr>
          <w:fldChar w:fldCharType="end"/>
        </w:r>
      </w:hyperlink>
    </w:p>
    <w:p w:rsidR="00B131ED" w:rsidRDefault="00C35D4A">
      <w:pPr>
        <w:pStyle w:val="TableofFigures"/>
        <w:tabs>
          <w:tab w:val="right" w:leader="dot" w:pos="8486"/>
        </w:tabs>
        <w:rPr>
          <w:rFonts w:eastAsiaTheme="minorEastAsia" w:cstheme="minorBidi"/>
          <w:noProof/>
          <w:sz w:val="22"/>
          <w:szCs w:val="22"/>
          <w:lang w:bidi="ar-SA"/>
        </w:rPr>
      </w:pPr>
      <w:hyperlink w:anchor="_Toc450569736" w:history="1">
        <w:r w:rsidR="00B131ED" w:rsidRPr="00B14A7E">
          <w:rPr>
            <w:rStyle w:val="Hyperlink"/>
            <w:bCs/>
            <w:noProof/>
          </w:rPr>
          <w:t>Figure 4 – CPOST:  Suicide Attack Target Breakdown, All Time</w:t>
        </w:r>
        <w:r w:rsidR="00B131ED">
          <w:rPr>
            <w:noProof/>
            <w:webHidden/>
          </w:rPr>
          <w:tab/>
        </w:r>
        <w:r w:rsidR="00B131ED">
          <w:rPr>
            <w:noProof/>
            <w:webHidden/>
          </w:rPr>
          <w:fldChar w:fldCharType="begin"/>
        </w:r>
        <w:r w:rsidR="00B131ED">
          <w:rPr>
            <w:noProof/>
            <w:webHidden/>
          </w:rPr>
          <w:instrText xml:space="preserve"> PAGEREF _Toc450569736 \h </w:instrText>
        </w:r>
        <w:r w:rsidR="00B131ED">
          <w:rPr>
            <w:noProof/>
            <w:webHidden/>
          </w:rPr>
        </w:r>
        <w:r w:rsidR="00B131ED">
          <w:rPr>
            <w:noProof/>
            <w:webHidden/>
          </w:rPr>
          <w:fldChar w:fldCharType="separate"/>
        </w:r>
        <w:r w:rsidR="001F590D">
          <w:rPr>
            <w:noProof/>
            <w:webHidden/>
          </w:rPr>
          <w:t>127</w:t>
        </w:r>
        <w:r w:rsidR="00B131ED">
          <w:rPr>
            <w:noProof/>
            <w:webHidden/>
          </w:rPr>
          <w:fldChar w:fldCharType="end"/>
        </w:r>
      </w:hyperlink>
    </w:p>
    <w:p w:rsidR="00B131ED" w:rsidRDefault="00C35D4A">
      <w:pPr>
        <w:pStyle w:val="TableofFigures"/>
        <w:tabs>
          <w:tab w:val="right" w:leader="dot" w:pos="8486"/>
        </w:tabs>
        <w:rPr>
          <w:rFonts w:eastAsiaTheme="minorEastAsia" w:cstheme="minorBidi"/>
          <w:noProof/>
          <w:sz w:val="22"/>
          <w:szCs w:val="22"/>
          <w:lang w:bidi="ar-SA"/>
        </w:rPr>
      </w:pPr>
      <w:hyperlink w:anchor="_Toc450569737" w:history="1">
        <w:r w:rsidR="00B131ED" w:rsidRPr="00B14A7E">
          <w:rPr>
            <w:rStyle w:val="Hyperlink"/>
            <w:bCs/>
            <w:noProof/>
          </w:rPr>
          <w:t>Figure 5 – START:  Suicide Attack Target Breakdown, All Time</w:t>
        </w:r>
        <w:r w:rsidR="00B131ED">
          <w:rPr>
            <w:noProof/>
            <w:webHidden/>
          </w:rPr>
          <w:tab/>
        </w:r>
        <w:r w:rsidR="00B131ED">
          <w:rPr>
            <w:noProof/>
            <w:webHidden/>
          </w:rPr>
          <w:fldChar w:fldCharType="begin"/>
        </w:r>
        <w:r w:rsidR="00B131ED">
          <w:rPr>
            <w:noProof/>
            <w:webHidden/>
          </w:rPr>
          <w:instrText xml:space="preserve"> PAGEREF _Toc450569737 \h </w:instrText>
        </w:r>
        <w:r w:rsidR="00B131ED">
          <w:rPr>
            <w:noProof/>
            <w:webHidden/>
          </w:rPr>
        </w:r>
        <w:r w:rsidR="00B131ED">
          <w:rPr>
            <w:noProof/>
            <w:webHidden/>
          </w:rPr>
          <w:fldChar w:fldCharType="separate"/>
        </w:r>
        <w:r w:rsidR="001F590D">
          <w:rPr>
            <w:noProof/>
            <w:webHidden/>
          </w:rPr>
          <w:t>128</w:t>
        </w:r>
        <w:r w:rsidR="00B131ED">
          <w:rPr>
            <w:noProof/>
            <w:webHidden/>
          </w:rPr>
          <w:fldChar w:fldCharType="end"/>
        </w:r>
      </w:hyperlink>
    </w:p>
    <w:p w:rsidR="00B131ED" w:rsidRDefault="00C35D4A">
      <w:pPr>
        <w:pStyle w:val="TableofFigures"/>
        <w:tabs>
          <w:tab w:val="right" w:leader="dot" w:pos="8486"/>
        </w:tabs>
        <w:rPr>
          <w:rFonts w:eastAsiaTheme="minorEastAsia" w:cstheme="minorBidi"/>
          <w:noProof/>
          <w:sz w:val="22"/>
          <w:szCs w:val="22"/>
          <w:lang w:bidi="ar-SA"/>
        </w:rPr>
      </w:pPr>
      <w:hyperlink w:anchor="_Toc450569738" w:history="1">
        <w:r w:rsidR="00B131ED" w:rsidRPr="00B14A7E">
          <w:rPr>
            <w:rStyle w:val="Hyperlink"/>
            <w:noProof/>
          </w:rPr>
          <w:t>Figure 6 – Era of Nationalism (1981-1992), Target Breakdown</w:t>
        </w:r>
        <w:r w:rsidR="00B131ED">
          <w:rPr>
            <w:noProof/>
            <w:webHidden/>
          </w:rPr>
          <w:tab/>
        </w:r>
        <w:r w:rsidR="00B131ED">
          <w:rPr>
            <w:noProof/>
            <w:webHidden/>
          </w:rPr>
          <w:fldChar w:fldCharType="begin"/>
        </w:r>
        <w:r w:rsidR="00B131ED">
          <w:rPr>
            <w:noProof/>
            <w:webHidden/>
          </w:rPr>
          <w:instrText xml:space="preserve"> PAGEREF _Toc450569738 \h </w:instrText>
        </w:r>
        <w:r w:rsidR="00B131ED">
          <w:rPr>
            <w:noProof/>
            <w:webHidden/>
          </w:rPr>
        </w:r>
        <w:r w:rsidR="00B131ED">
          <w:rPr>
            <w:noProof/>
            <w:webHidden/>
          </w:rPr>
          <w:fldChar w:fldCharType="separate"/>
        </w:r>
        <w:r w:rsidR="001F590D">
          <w:rPr>
            <w:noProof/>
            <w:webHidden/>
          </w:rPr>
          <w:t>129</w:t>
        </w:r>
        <w:r w:rsidR="00B131ED">
          <w:rPr>
            <w:noProof/>
            <w:webHidden/>
          </w:rPr>
          <w:fldChar w:fldCharType="end"/>
        </w:r>
      </w:hyperlink>
    </w:p>
    <w:p w:rsidR="00B131ED" w:rsidRDefault="00C35D4A">
      <w:pPr>
        <w:pStyle w:val="TableofFigures"/>
        <w:tabs>
          <w:tab w:val="right" w:leader="dot" w:pos="8486"/>
        </w:tabs>
        <w:rPr>
          <w:rFonts w:eastAsiaTheme="minorEastAsia" w:cstheme="minorBidi"/>
          <w:noProof/>
          <w:sz w:val="22"/>
          <w:szCs w:val="22"/>
          <w:lang w:bidi="ar-SA"/>
        </w:rPr>
      </w:pPr>
      <w:hyperlink w:anchor="_Toc450569739" w:history="1">
        <w:r w:rsidR="00B131ED" w:rsidRPr="00B14A7E">
          <w:rPr>
            <w:rStyle w:val="Hyperlink"/>
            <w:noProof/>
          </w:rPr>
          <w:t>Figure 7 - Era of Religious Nationalism (1993-2004), Target Breakdown</w:t>
        </w:r>
        <w:r w:rsidR="00B131ED">
          <w:rPr>
            <w:noProof/>
            <w:webHidden/>
          </w:rPr>
          <w:tab/>
        </w:r>
        <w:r w:rsidR="00B131ED">
          <w:rPr>
            <w:noProof/>
            <w:webHidden/>
          </w:rPr>
          <w:fldChar w:fldCharType="begin"/>
        </w:r>
        <w:r w:rsidR="00B131ED">
          <w:rPr>
            <w:noProof/>
            <w:webHidden/>
          </w:rPr>
          <w:instrText xml:space="preserve"> PAGEREF _Toc450569739 \h </w:instrText>
        </w:r>
        <w:r w:rsidR="00B131ED">
          <w:rPr>
            <w:noProof/>
            <w:webHidden/>
          </w:rPr>
        </w:r>
        <w:r w:rsidR="00B131ED">
          <w:rPr>
            <w:noProof/>
            <w:webHidden/>
          </w:rPr>
          <w:fldChar w:fldCharType="separate"/>
        </w:r>
        <w:r w:rsidR="001F590D">
          <w:rPr>
            <w:noProof/>
            <w:webHidden/>
          </w:rPr>
          <w:t>129</w:t>
        </w:r>
        <w:r w:rsidR="00B131ED">
          <w:rPr>
            <w:noProof/>
            <w:webHidden/>
          </w:rPr>
          <w:fldChar w:fldCharType="end"/>
        </w:r>
      </w:hyperlink>
    </w:p>
    <w:p w:rsidR="00B131ED" w:rsidRDefault="00C35D4A">
      <w:pPr>
        <w:pStyle w:val="TableofFigures"/>
        <w:tabs>
          <w:tab w:val="right" w:leader="dot" w:pos="8486"/>
        </w:tabs>
        <w:rPr>
          <w:rFonts w:eastAsiaTheme="minorEastAsia" w:cstheme="minorBidi"/>
          <w:noProof/>
          <w:sz w:val="22"/>
          <w:szCs w:val="22"/>
          <w:lang w:bidi="ar-SA"/>
        </w:rPr>
      </w:pPr>
      <w:hyperlink w:anchor="_Toc450569740" w:history="1">
        <w:r w:rsidR="00B131ED" w:rsidRPr="00B14A7E">
          <w:rPr>
            <w:rStyle w:val="Hyperlink"/>
            <w:noProof/>
          </w:rPr>
          <w:t>Figure 8 – Era of Fitna (2005-2014), Target Breakdown</w:t>
        </w:r>
        <w:r w:rsidR="00B131ED">
          <w:rPr>
            <w:noProof/>
            <w:webHidden/>
          </w:rPr>
          <w:tab/>
        </w:r>
        <w:r w:rsidR="00B131ED">
          <w:rPr>
            <w:noProof/>
            <w:webHidden/>
          </w:rPr>
          <w:fldChar w:fldCharType="begin"/>
        </w:r>
        <w:r w:rsidR="00B131ED">
          <w:rPr>
            <w:noProof/>
            <w:webHidden/>
          </w:rPr>
          <w:instrText xml:space="preserve"> PAGEREF _Toc450569740 \h </w:instrText>
        </w:r>
        <w:r w:rsidR="00B131ED">
          <w:rPr>
            <w:noProof/>
            <w:webHidden/>
          </w:rPr>
        </w:r>
        <w:r w:rsidR="00B131ED">
          <w:rPr>
            <w:noProof/>
            <w:webHidden/>
          </w:rPr>
          <w:fldChar w:fldCharType="separate"/>
        </w:r>
        <w:r w:rsidR="001F590D">
          <w:rPr>
            <w:noProof/>
            <w:webHidden/>
          </w:rPr>
          <w:t>129</w:t>
        </w:r>
        <w:r w:rsidR="00B131ED">
          <w:rPr>
            <w:noProof/>
            <w:webHidden/>
          </w:rPr>
          <w:fldChar w:fldCharType="end"/>
        </w:r>
      </w:hyperlink>
    </w:p>
    <w:p w:rsidR="00B131ED" w:rsidRDefault="00C35D4A">
      <w:pPr>
        <w:pStyle w:val="TableofFigures"/>
        <w:tabs>
          <w:tab w:val="right" w:leader="dot" w:pos="8486"/>
        </w:tabs>
        <w:rPr>
          <w:rFonts w:eastAsiaTheme="minorEastAsia" w:cstheme="minorBidi"/>
          <w:noProof/>
          <w:sz w:val="22"/>
          <w:szCs w:val="22"/>
          <w:lang w:bidi="ar-SA"/>
        </w:rPr>
      </w:pPr>
      <w:hyperlink w:anchor="_Toc450569741" w:history="1">
        <w:r w:rsidR="00B131ED" w:rsidRPr="00B14A7E">
          <w:rPr>
            <w:rStyle w:val="Hyperlink"/>
            <w:noProof/>
          </w:rPr>
          <w:t>Figure 9 – Lebanon, Total Suicide Attacks, By Year, By Target</w:t>
        </w:r>
        <w:r w:rsidR="00B131ED">
          <w:rPr>
            <w:noProof/>
            <w:webHidden/>
          </w:rPr>
          <w:tab/>
        </w:r>
        <w:r w:rsidR="00B131ED">
          <w:rPr>
            <w:noProof/>
            <w:webHidden/>
          </w:rPr>
          <w:fldChar w:fldCharType="begin"/>
        </w:r>
        <w:r w:rsidR="00B131ED">
          <w:rPr>
            <w:noProof/>
            <w:webHidden/>
          </w:rPr>
          <w:instrText xml:space="preserve"> PAGEREF _Toc450569741 \h </w:instrText>
        </w:r>
        <w:r w:rsidR="00B131ED">
          <w:rPr>
            <w:noProof/>
            <w:webHidden/>
          </w:rPr>
        </w:r>
        <w:r w:rsidR="00B131ED">
          <w:rPr>
            <w:noProof/>
            <w:webHidden/>
          </w:rPr>
          <w:fldChar w:fldCharType="separate"/>
        </w:r>
        <w:r w:rsidR="001F590D">
          <w:rPr>
            <w:noProof/>
            <w:webHidden/>
          </w:rPr>
          <w:t>130</w:t>
        </w:r>
        <w:r w:rsidR="00B131ED">
          <w:rPr>
            <w:noProof/>
            <w:webHidden/>
          </w:rPr>
          <w:fldChar w:fldCharType="end"/>
        </w:r>
      </w:hyperlink>
    </w:p>
    <w:p w:rsidR="00B131ED" w:rsidRDefault="00C35D4A">
      <w:pPr>
        <w:pStyle w:val="TableofFigures"/>
        <w:tabs>
          <w:tab w:val="right" w:leader="dot" w:pos="8486"/>
        </w:tabs>
        <w:rPr>
          <w:rFonts w:eastAsiaTheme="minorEastAsia" w:cstheme="minorBidi"/>
          <w:noProof/>
          <w:sz w:val="22"/>
          <w:szCs w:val="22"/>
          <w:lang w:bidi="ar-SA"/>
        </w:rPr>
      </w:pPr>
      <w:hyperlink w:anchor="_Toc450569742" w:history="1">
        <w:r w:rsidR="00B131ED" w:rsidRPr="00B14A7E">
          <w:rPr>
            <w:rStyle w:val="Hyperlink"/>
            <w:noProof/>
          </w:rPr>
          <w:t>Figure 10 - Sri Lanka, Total Suicide Attacks, By Year, by Target</w:t>
        </w:r>
        <w:r w:rsidR="00B131ED">
          <w:rPr>
            <w:noProof/>
            <w:webHidden/>
          </w:rPr>
          <w:tab/>
        </w:r>
        <w:r w:rsidR="00B131ED">
          <w:rPr>
            <w:noProof/>
            <w:webHidden/>
          </w:rPr>
          <w:fldChar w:fldCharType="begin"/>
        </w:r>
        <w:r w:rsidR="00B131ED">
          <w:rPr>
            <w:noProof/>
            <w:webHidden/>
          </w:rPr>
          <w:instrText xml:space="preserve"> PAGEREF _Toc450569742 \h </w:instrText>
        </w:r>
        <w:r w:rsidR="00B131ED">
          <w:rPr>
            <w:noProof/>
            <w:webHidden/>
          </w:rPr>
        </w:r>
        <w:r w:rsidR="00B131ED">
          <w:rPr>
            <w:noProof/>
            <w:webHidden/>
          </w:rPr>
          <w:fldChar w:fldCharType="separate"/>
        </w:r>
        <w:r w:rsidR="001F590D">
          <w:rPr>
            <w:noProof/>
            <w:webHidden/>
          </w:rPr>
          <w:t>130</w:t>
        </w:r>
        <w:r w:rsidR="00B131ED">
          <w:rPr>
            <w:noProof/>
            <w:webHidden/>
          </w:rPr>
          <w:fldChar w:fldCharType="end"/>
        </w:r>
      </w:hyperlink>
    </w:p>
    <w:p w:rsidR="00B131ED" w:rsidRDefault="00C35D4A">
      <w:pPr>
        <w:pStyle w:val="TableofFigures"/>
        <w:tabs>
          <w:tab w:val="right" w:leader="dot" w:pos="8486"/>
        </w:tabs>
        <w:rPr>
          <w:rFonts w:eastAsiaTheme="minorEastAsia" w:cstheme="minorBidi"/>
          <w:noProof/>
          <w:sz w:val="22"/>
          <w:szCs w:val="22"/>
          <w:lang w:bidi="ar-SA"/>
        </w:rPr>
      </w:pPr>
      <w:hyperlink w:anchor="_Toc450569743" w:history="1">
        <w:r w:rsidR="00B131ED" w:rsidRPr="00B14A7E">
          <w:rPr>
            <w:rStyle w:val="Hyperlink"/>
            <w:noProof/>
          </w:rPr>
          <w:t>Figure 11 - Turkey, Total Attacks, by Year, by Target</w:t>
        </w:r>
        <w:r w:rsidR="00B131ED">
          <w:rPr>
            <w:noProof/>
            <w:webHidden/>
          </w:rPr>
          <w:tab/>
        </w:r>
        <w:r w:rsidR="00B131ED">
          <w:rPr>
            <w:noProof/>
            <w:webHidden/>
          </w:rPr>
          <w:fldChar w:fldCharType="begin"/>
        </w:r>
        <w:r w:rsidR="00B131ED">
          <w:rPr>
            <w:noProof/>
            <w:webHidden/>
          </w:rPr>
          <w:instrText xml:space="preserve"> PAGEREF _Toc450569743 \h </w:instrText>
        </w:r>
        <w:r w:rsidR="00B131ED">
          <w:rPr>
            <w:noProof/>
            <w:webHidden/>
          </w:rPr>
        </w:r>
        <w:r w:rsidR="00B131ED">
          <w:rPr>
            <w:noProof/>
            <w:webHidden/>
          </w:rPr>
          <w:fldChar w:fldCharType="separate"/>
        </w:r>
        <w:r w:rsidR="001F590D">
          <w:rPr>
            <w:noProof/>
            <w:webHidden/>
          </w:rPr>
          <w:t>131</w:t>
        </w:r>
        <w:r w:rsidR="00B131ED">
          <w:rPr>
            <w:noProof/>
            <w:webHidden/>
          </w:rPr>
          <w:fldChar w:fldCharType="end"/>
        </w:r>
      </w:hyperlink>
    </w:p>
    <w:p w:rsidR="00B131ED" w:rsidRDefault="00C35D4A">
      <w:pPr>
        <w:pStyle w:val="TableofFigures"/>
        <w:tabs>
          <w:tab w:val="right" w:leader="dot" w:pos="8486"/>
        </w:tabs>
        <w:rPr>
          <w:rFonts w:eastAsiaTheme="minorEastAsia" w:cstheme="minorBidi"/>
          <w:noProof/>
          <w:sz w:val="22"/>
          <w:szCs w:val="22"/>
          <w:lang w:bidi="ar-SA"/>
        </w:rPr>
      </w:pPr>
      <w:hyperlink w:anchor="_Toc450569744" w:history="1">
        <w:r w:rsidR="00B131ED" w:rsidRPr="00B14A7E">
          <w:rPr>
            <w:rStyle w:val="Hyperlink"/>
            <w:noProof/>
          </w:rPr>
          <w:t>Figure 12 - Russia, Total Suicide Attacks, By Year, by Target</w:t>
        </w:r>
        <w:r w:rsidR="00B131ED">
          <w:rPr>
            <w:noProof/>
            <w:webHidden/>
          </w:rPr>
          <w:tab/>
        </w:r>
        <w:r w:rsidR="00B131ED">
          <w:rPr>
            <w:noProof/>
            <w:webHidden/>
          </w:rPr>
          <w:fldChar w:fldCharType="begin"/>
        </w:r>
        <w:r w:rsidR="00B131ED">
          <w:rPr>
            <w:noProof/>
            <w:webHidden/>
          </w:rPr>
          <w:instrText xml:space="preserve"> PAGEREF _Toc450569744 \h </w:instrText>
        </w:r>
        <w:r w:rsidR="00B131ED">
          <w:rPr>
            <w:noProof/>
            <w:webHidden/>
          </w:rPr>
        </w:r>
        <w:r w:rsidR="00B131ED">
          <w:rPr>
            <w:noProof/>
            <w:webHidden/>
          </w:rPr>
          <w:fldChar w:fldCharType="separate"/>
        </w:r>
        <w:r w:rsidR="001F590D">
          <w:rPr>
            <w:noProof/>
            <w:webHidden/>
          </w:rPr>
          <w:t>131</w:t>
        </w:r>
        <w:r w:rsidR="00B131ED">
          <w:rPr>
            <w:noProof/>
            <w:webHidden/>
          </w:rPr>
          <w:fldChar w:fldCharType="end"/>
        </w:r>
      </w:hyperlink>
    </w:p>
    <w:p w:rsidR="00B131ED" w:rsidRDefault="00C35D4A">
      <w:pPr>
        <w:pStyle w:val="TableofFigures"/>
        <w:tabs>
          <w:tab w:val="right" w:leader="dot" w:pos="8486"/>
        </w:tabs>
        <w:rPr>
          <w:rFonts w:eastAsiaTheme="minorEastAsia" w:cstheme="minorBidi"/>
          <w:noProof/>
          <w:sz w:val="22"/>
          <w:szCs w:val="22"/>
          <w:lang w:bidi="ar-SA"/>
        </w:rPr>
      </w:pPr>
      <w:hyperlink w:anchor="_Toc450569745" w:history="1">
        <w:r w:rsidR="00B131ED" w:rsidRPr="00B14A7E">
          <w:rPr>
            <w:rStyle w:val="Hyperlink"/>
            <w:noProof/>
          </w:rPr>
          <w:t>Figure 13 - Israel and Occupied Territories, Total Attacks, By Year, by Target</w:t>
        </w:r>
        <w:r w:rsidR="00B131ED">
          <w:rPr>
            <w:noProof/>
            <w:webHidden/>
          </w:rPr>
          <w:tab/>
        </w:r>
        <w:r w:rsidR="00B131ED">
          <w:rPr>
            <w:noProof/>
            <w:webHidden/>
          </w:rPr>
          <w:fldChar w:fldCharType="begin"/>
        </w:r>
        <w:r w:rsidR="00B131ED">
          <w:rPr>
            <w:noProof/>
            <w:webHidden/>
          </w:rPr>
          <w:instrText xml:space="preserve"> PAGEREF _Toc450569745 \h </w:instrText>
        </w:r>
        <w:r w:rsidR="00B131ED">
          <w:rPr>
            <w:noProof/>
            <w:webHidden/>
          </w:rPr>
        </w:r>
        <w:r w:rsidR="00B131ED">
          <w:rPr>
            <w:noProof/>
            <w:webHidden/>
          </w:rPr>
          <w:fldChar w:fldCharType="separate"/>
        </w:r>
        <w:r w:rsidR="001F590D">
          <w:rPr>
            <w:noProof/>
            <w:webHidden/>
          </w:rPr>
          <w:t>132</w:t>
        </w:r>
        <w:r w:rsidR="00B131ED">
          <w:rPr>
            <w:noProof/>
            <w:webHidden/>
          </w:rPr>
          <w:fldChar w:fldCharType="end"/>
        </w:r>
      </w:hyperlink>
    </w:p>
    <w:p w:rsidR="00B131ED" w:rsidRDefault="00C35D4A">
      <w:pPr>
        <w:pStyle w:val="TableofFigures"/>
        <w:tabs>
          <w:tab w:val="right" w:leader="dot" w:pos="8486"/>
        </w:tabs>
        <w:rPr>
          <w:rFonts w:eastAsiaTheme="minorEastAsia" w:cstheme="minorBidi"/>
          <w:noProof/>
          <w:sz w:val="22"/>
          <w:szCs w:val="22"/>
          <w:lang w:bidi="ar-SA"/>
        </w:rPr>
      </w:pPr>
      <w:hyperlink w:anchor="_Toc450569746" w:history="1">
        <w:r w:rsidR="00B131ED" w:rsidRPr="00B14A7E">
          <w:rPr>
            <w:rStyle w:val="Hyperlink"/>
            <w:noProof/>
          </w:rPr>
          <w:t>Figure 14 - Iraq, Total Attacks, By Target, By Year</w:t>
        </w:r>
        <w:r w:rsidR="00B131ED">
          <w:rPr>
            <w:noProof/>
            <w:webHidden/>
          </w:rPr>
          <w:tab/>
        </w:r>
        <w:r w:rsidR="00B131ED">
          <w:rPr>
            <w:noProof/>
            <w:webHidden/>
          </w:rPr>
          <w:fldChar w:fldCharType="begin"/>
        </w:r>
        <w:r w:rsidR="00B131ED">
          <w:rPr>
            <w:noProof/>
            <w:webHidden/>
          </w:rPr>
          <w:instrText xml:space="preserve"> PAGEREF _Toc450569746 \h </w:instrText>
        </w:r>
        <w:r w:rsidR="00B131ED">
          <w:rPr>
            <w:noProof/>
            <w:webHidden/>
          </w:rPr>
        </w:r>
        <w:r w:rsidR="00B131ED">
          <w:rPr>
            <w:noProof/>
            <w:webHidden/>
          </w:rPr>
          <w:fldChar w:fldCharType="separate"/>
        </w:r>
        <w:r w:rsidR="001F590D">
          <w:rPr>
            <w:noProof/>
            <w:webHidden/>
          </w:rPr>
          <w:t>133</w:t>
        </w:r>
        <w:r w:rsidR="00B131ED">
          <w:rPr>
            <w:noProof/>
            <w:webHidden/>
          </w:rPr>
          <w:fldChar w:fldCharType="end"/>
        </w:r>
      </w:hyperlink>
    </w:p>
    <w:p w:rsidR="00B131ED" w:rsidRDefault="00C35D4A">
      <w:pPr>
        <w:pStyle w:val="TableofFigures"/>
        <w:tabs>
          <w:tab w:val="right" w:leader="dot" w:pos="8486"/>
        </w:tabs>
        <w:rPr>
          <w:rFonts w:eastAsiaTheme="minorEastAsia" w:cstheme="minorBidi"/>
          <w:noProof/>
          <w:sz w:val="22"/>
          <w:szCs w:val="22"/>
          <w:lang w:bidi="ar-SA"/>
        </w:rPr>
      </w:pPr>
      <w:hyperlink w:anchor="_Toc450569747" w:history="1">
        <w:r w:rsidR="00B131ED" w:rsidRPr="00B14A7E">
          <w:rPr>
            <w:rStyle w:val="Hyperlink"/>
            <w:noProof/>
          </w:rPr>
          <w:t>Figure 17 - Syria, Total Attacks, By Target, By Year</w:t>
        </w:r>
        <w:r w:rsidR="00B131ED">
          <w:rPr>
            <w:noProof/>
            <w:webHidden/>
          </w:rPr>
          <w:tab/>
        </w:r>
        <w:r w:rsidR="00B131ED">
          <w:rPr>
            <w:noProof/>
            <w:webHidden/>
          </w:rPr>
          <w:fldChar w:fldCharType="begin"/>
        </w:r>
        <w:r w:rsidR="00B131ED">
          <w:rPr>
            <w:noProof/>
            <w:webHidden/>
          </w:rPr>
          <w:instrText xml:space="preserve"> PAGEREF _Toc450569747 \h </w:instrText>
        </w:r>
        <w:r w:rsidR="00B131ED">
          <w:rPr>
            <w:noProof/>
            <w:webHidden/>
          </w:rPr>
        </w:r>
        <w:r w:rsidR="00B131ED">
          <w:rPr>
            <w:noProof/>
            <w:webHidden/>
          </w:rPr>
          <w:fldChar w:fldCharType="separate"/>
        </w:r>
        <w:r w:rsidR="001F590D">
          <w:rPr>
            <w:noProof/>
            <w:webHidden/>
          </w:rPr>
          <w:t>133</w:t>
        </w:r>
        <w:r w:rsidR="00B131ED">
          <w:rPr>
            <w:noProof/>
            <w:webHidden/>
          </w:rPr>
          <w:fldChar w:fldCharType="end"/>
        </w:r>
      </w:hyperlink>
    </w:p>
    <w:p w:rsidR="00B131ED" w:rsidRDefault="00C35D4A">
      <w:pPr>
        <w:pStyle w:val="TableofFigures"/>
        <w:tabs>
          <w:tab w:val="right" w:leader="dot" w:pos="8486"/>
        </w:tabs>
        <w:rPr>
          <w:rFonts w:eastAsiaTheme="minorEastAsia" w:cstheme="minorBidi"/>
          <w:noProof/>
          <w:sz w:val="22"/>
          <w:szCs w:val="22"/>
          <w:lang w:bidi="ar-SA"/>
        </w:rPr>
      </w:pPr>
      <w:hyperlink w:anchor="_Toc450569748" w:history="1">
        <w:r w:rsidR="00B131ED" w:rsidRPr="00B14A7E">
          <w:rPr>
            <w:rStyle w:val="Hyperlink"/>
            <w:noProof/>
          </w:rPr>
          <w:t>Figure 16 – Pakistan, Total Attacks, By Target, By Year</w:t>
        </w:r>
        <w:r w:rsidR="00B131ED">
          <w:rPr>
            <w:noProof/>
            <w:webHidden/>
          </w:rPr>
          <w:tab/>
        </w:r>
        <w:r w:rsidR="00B131ED">
          <w:rPr>
            <w:noProof/>
            <w:webHidden/>
          </w:rPr>
          <w:fldChar w:fldCharType="begin"/>
        </w:r>
        <w:r w:rsidR="00B131ED">
          <w:rPr>
            <w:noProof/>
            <w:webHidden/>
          </w:rPr>
          <w:instrText xml:space="preserve"> PAGEREF _Toc450569748 \h </w:instrText>
        </w:r>
        <w:r w:rsidR="00B131ED">
          <w:rPr>
            <w:noProof/>
            <w:webHidden/>
          </w:rPr>
        </w:r>
        <w:r w:rsidR="00B131ED">
          <w:rPr>
            <w:noProof/>
            <w:webHidden/>
          </w:rPr>
          <w:fldChar w:fldCharType="separate"/>
        </w:r>
        <w:r w:rsidR="001F590D">
          <w:rPr>
            <w:noProof/>
            <w:webHidden/>
          </w:rPr>
          <w:t>134</w:t>
        </w:r>
        <w:r w:rsidR="00B131ED">
          <w:rPr>
            <w:noProof/>
            <w:webHidden/>
          </w:rPr>
          <w:fldChar w:fldCharType="end"/>
        </w:r>
      </w:hyperlink>
    </w:p>
    <w:p w:rsidR="00B131ED" w:rsidRDefault="00C35D4A">
      <w:pPr>
        <w:pStyle w:val="TableofFigures"/>
        <w:tabs>
          <w:tab w:val="right" w:leader="dot" w:pos="8486"/>
        </w:tabs>
        <w:rPr>
          <w:rFonts w:eastAsiaTheme="minorEastAsia" w:cstheme="minorBidi"/>
          <w:noProof/>
          <w:sz w:val="22"/>
          <w:szCs w:val="22"/>
          <w:lang w:bidi="ar-SA"/>
        </w:rPr>
      </w:pPr>
      <w:hyperlink w:anchor="_Toc450569749" w:history="1">
        <w:r w:rsidR="00B131ED" w:rsidRPr="00B14A7E">
          <w:rPr>
            <w:rStyle w:val="Hyperlink"/>
            <w:noProof/>
          </w:rPr>
          <w:t>Figure 15 – Afghanistan, Total Attacks, By Target, By Year</w:t>
        </w:r>
        <w:r w:rsidR="00B131ED">
          <w:rPr>
            <w:noProof/>
            <w:webHidden/>
          </w:rPr>
          <w:tab/>
        </w:r>
        <w:r w:rsidR="00B131ED">
          <w:rPr>
            <w:noProof/>
            <w:webHidden/>
          </w:rPr>
          <w:fldChar w:fldCharType="begin"/>
        </w:r>
        <w:r w:rsidR="00B131ED">
          <w:rPr>
            <w:noProof/>
            <w:webHidden/>
          </w:rPr>
          <w:instrText xml:space="preserve"> PAGEREF _Toc450569749 \h </w:instrText>
        </w:r>
        <w:r w:rsidR="00B131ED">
          <w:rPr>
            <w:noProof/>
            <w:webHidden/>
          </w:rPr>
        </w:r>
        <w:r w:rsidR="00B131ED">
          <w:rPr>
            <w:noProof/>
            <w:webHidden/>
          </w:rPr>
          <w:fldChar w:fldCharType="separate"/>
        </w:r>
        <w:r w:rsidR="001F590D">
          <w:rPr>
            <w:noProof/>
            <w:webHidden/>
          </w:rPr>
          <w:t>134</w:t>
        </w:r>
        <w:r w:rsidR="00B131ED">
          <w:rPr>
            <w:noProof/>
            <w:webHidden/>
          </w:rPr>
          <w:fldChar w:fldCharType="end"/>
        </w:r>
      </w:hyperlink>
    </w:p>
    <w:p w:rsidR="00B131ED" w:rsidRDefault="00C35D4A">
      <w:pPr>
        <w:pStyle w:val="TableofFigures"/>
        <w:tabs>
          <w:tab w:val="right" w:leader="dot" w:pos="8486"/>
        </w:tabs>
        <w:rPr>
          <w:rFonts w:eastAsiaTheme="minorEastAsia" w:cstheme="minorBidi"/>
          <w:noProof/>
          <w:sz w:val="22"/>
          <w:szCs w:val="22"/>
          <w:lang w:bidi="ar-SA"/>
        </w:rPr>
      </w:pPr>
      <w:hyperlink w:anchor="_Toc450569750" w:history="1">
        <w:r w:rsidR="00B131ED" w:rsidRPr="00B14A7E">
          <w:rPr>
            <w:rStyle w:val="Hyperlink"/>
            <w:noProof/>
          </w:rPr>
          <w:t>Figure 18 - Somalia, Total Attacks, By Target, By Year</w:t>
        </w:r>
        <w:r w:rsidR="00B131ED">
          <w:rPr>
            <w:noProof/>
            <w:webHidden/>
          </w:rPr>
          <w:tab/>
        </w:r>
        <w:r w:rsidR="00B131ED">
          <w:rPr>
            <w:noProof/>
            <w:webHidden/>
          </w:rPr>
          <w:fldChar w:fldCharType="begin"/>
        </w:r>
        <w:r w:rsidR="00B131ED">
          <w:rPr>
            <w:noProof/>
            <w:webHidden/>
          </w:rPr>
          <w:instrText xml:space="preserve"> PAGEREF _Toc450569750 \h </w:instrText>
        </w:r>
        <w:r w:rsidR="00B131ED">
          <w:rPr>
            <w:noProof/>
            <w:webHidden/>
          </w:rPr>
        </w:r>
        <w:r w:rsidR="00B131ED">
          <w:rPr>
            <w:noProof/>
            <w:webHidden/>
          </w:rPr>
          <w:fldChar w:fldCharType="separate"/>
        </w:r>
        <w:r w:rsidR="001F590D">
          <w:rPr>
            <w:noProof/>
            <w:webHidden/>
          </w:rPr>
          <w:t>135</w:t>
        </w:r>
        <w:r w:rsidR="00B131ED">
          <w:rPr>
            <w:noProof/>
            <w:webHidden/>
          </w:rPr>
          <w:fldChar w:fldCharType="end"/>
        </w:r>
      </w:hyperlink>
    </w:p>
    <w:p w:rsidR="00B131ED" w:rsidRDefault="00C35D4A">
      <w:pPr>
        <w:pStyle w:val="TableofFigures"/>
        <w:tabs>
          <w:tab w:val="right" w:leader="dot" w:pos="8486"/>
        </w:tabs>
        <w:rPr>
          <w:rFonts w:eastAsiaTheme="minorEastAsia" w:cstheme="minorBidi"/>
          <w:noProof/>
          <w:sz w:val="22"/>
          <w:szCs w:val="22"/>
          <w:lang w:bidi="ar-SA"/>
        </w:rPr>
      </w:pPr>
      <w:hyperlink w:anchor="_Toc450569751" w:history="1">
        <w:r w:rsidR="00B131ED" w:rsidRPr="00B14A7E">
          <w:rPr>
            <w:rStyle w:val="Hyperlink"/>
            <w:noProof/>
          </w:rPr>
          <w:t>Figure 19 - Nigeria, Total Attacks, By Target, By Year</w:t>
        </w:r>
        <w:r w:rsidR="00B131ED">
          <w:rPr>
            <w:noProof/>
            <w:webHidden/>
          </w:rPr>
          <w:tab/>
        </w:r>
        <w:r w:rsidR="00B131ED">
          <w:rPr>
            <w:noProof/>
            <w:webHidden/>
          </w:rPr>
          <w:fldChar w:fldCharType="begin"/>
        </w:r>
        <w:r w:rsidR="00B131ED">
          <w:rPr>
            <w:noProof/>
            <w:webHidden/>
          </w:rPr>
          <w:instrText xml:space="preserve"> PAGEREF _Toc450569751 \h </w:instrText>
        </w:r>
        <w:r w:rsidR="00B131ED">
          <w:rPr>
            <w:noProof/>
            <w:webHidden/>
          </w:rPr>
        </w:r>
        <w:r w:rsidR="00B131ED">
          <w:rPr>
            <w:noProof/>
            <w:webHidden/>
          </w:rPr>
          <w:fldChar w:fldCharType="separate"/>
        </w:r>
        <w:r w:rsidR="001F590D">
          <w:rPr>
            <w:noProof/>
            <w:webHidden/>
          </w:rPr>
          <w:t>135</w:t>
        </w:r>
        <w:r w:rsidR="00B131ED">
          <w:rPr>
            <w:noProof/>
            <w:webHidden/>
          </w:rPr>
          <w:fldChar w:fldCharType="end"/>
        </w:r>
      </w:hyperlink>
    </w:p>
    <w:p w:rsidR="00B131ED" w:rsidRDefault="00C35D4A">
      <w:pPr>
        <w:pStyle w:val="TableofFigures"/>
        <w:tabs>
          <w:tab w:val="right" w:leader="dot" w:pos="8486"/>
        </w:tabs>
        <w:rPr>
          <w:rFonts w:eastAsiaTheme="minorEastAsia" w:cstheme="minorBidi"/>
          <w:noProof/>
          <w:sz w:val="22"/>
          <w:szCs w:val="22"/>
          <w:lang w:bidi="ar-SA"/>
        </w:rPr>
      </w:pPr>
      <w:hyperlink w:anchor="_Toc450569752" w:history="1">
        <w:r w:rsidR="00B131ED" w:rsidRPr="00B14A7E">
          <w:rPr>
            <w:rStyle w:val="Hyperlink"/>
            <w:noProof/>
          </w:rPr>
          <w:t>Figure 20 - Yemen, Total Attacks, By Target, By Year</w:t>
        </w:r>
        <w:r w:rsidR="00B131ED">
          <w:rPr>
            <w:noProof/>
            <w:webHidden/>
          </w:rPr>
          <w:tab/>
        </w:r>
        <w:r w:rsidR="00B131ED">
          <w:rPr>
            <w:noProof/>
            <w:webHidden/>
          </w:rPr>
          <w:fldChar w:fldCharType="begin"/>
        </w:r>
        <w:r w:rsidR="00B131ED">
          <w:rPr>
            <w:noProof/>
            <w:webHidden/>
          </w:rPr>
          <w:instrText xml:space="preserve"> PAGEREF _Toc450569752 \h </w:instrText>
        </w:r>
        <w:r w:rsidR="00B131ED">
          <w:rPr>
            <w:noProof/>
            <w:webHidden/>
          </w:rPr>
        </w:r>
        <w:r w:rsidR="00B131ED">
          <w:rPr>
            <w:noProof/>
            <w:webHidden/>
          </w:rPr>
          <w:fldChar w:fldCharType="separate"/>
        </w:r>
        <w:r w:rsidR="001F590D">
          <w:rPr>
            <w:noProof/>
            <w:webHidden/>
          </w:rPr>
          <w:t>135</w:t>
        </w:r>
        <w:r w:rsidR="00B131ED">
          <w:rPr>
            <w:noProof/>
            <w:webHidden/>
          </w:rPr>
          <w:fldChar w:fldCharType="end"/>
        </w:r>
      </w:hyperlink>
    </w:p>
    <w:p w:rsidR="00907F2A" w:rsidRPr="00FB1E77" w:rsidRDefault="0015339F" w:rsidP="00FB1E77">
      <w:pPr>
        <w:pStyle w:val="TableofFigures"/>
        <w:tabs>
          <w:tab w:val="right" w:leader="dot" w:pos="8486"/>
        </w:tabs>
        <w:rPr>
          <w:rFonts w:eastAsiaTheme="minorEastAsia" w:cstheme="minorBidi"/>
          <w:noProof/>
          <w:sz w:val="22"/>
          <w:szCs w:val="22"/>
          <w:lang w:bidi="he-IL"/>
        </w:rPr>
      </w:pPr>
      <w:r>
        <w:fldChar w:fldCharType="end"/>
      </w:r>
      <w:r w:rsidR="00907F2A">
        <w:br w:type="page"/>
      </w:r>
    </w:p>
    <w:p w:rsidR="00F31958" w:rsidRDefault="00F31958" w:rsidP="00DD0216">
      <w:pPr>
        <w:pStyle w:val="Heading1"/>
        <w:sectPr w:rsidR="00F31958" w:rsidSect="00F31958">
          <w:footerReference w:type="default" r:id="rId9"/>
          <w:pgSz w:w="12240" w:h="15840" w:code="1"/>
          <w:pgMar w:top="1440" w:right="1440" w:bottom="1440" w:left="2304" w:header="720" w:footer="720" w:gutter="0"/>
          <w:pgNumType w:fmt="lowerRoman" w:start="4"/>
          <w:cols w:space="720"/>
          <w:docGrid w:linePitch="360"/>
        </w:sectPr>
      </w:pPr>
    </w:p>
    <w:p w:rsidR="00DA1971" w:rsidRDefault="00DA1971" w:rsidP="00DD0216">
      <w:pPr>
        <w:pStyle w:val="Heading1"/>
      </w:pPr>
      <w:bookmarkStart w:id="8" w:name="_Toc450748667"/>
      <w:r w:rsidRPr="000F56FF">
        <w:lastRenderedPageBreak/>
        <w:t xml:space="preserve">Chapter </w:t>
      </w:r>
      <w:r w:rsidR="00111915" w:rsidRPr="000F56FF">
        <w:t>1</w:t>
      </w:r>
      <w:r w:rsidR="009245C5" w:rsidRPr="000F56FF">
        <w:t xml:space="preserve">: </w:t>
      </w:r>
      <w:r w:rsidRPr="000F56FF">
        <w:t>Introduction</w:t>
      </w:r>
      <w:bookmarkEnd w:id="7"/>
      <w:r w:rsidR="00EC41DA">
        <w:t>, the Individual Logic of Suicide Terrorism</w:t>
      </w:r>
      <w:bookmarkEnd w:id="8"/>
    </w:p>
    <w:p w:rsidR="00BD3DCE" w:rsidRPr="00BD3DCE" w:rsidRDefault="00BD3DCE" w:rsidP="00BD3DCE">
      <w:pPr>
        <w:ind w:firstLine="720"/>
        <w:contextualSpacing/>
        <w:rPr>
          <w:rFonts w:ascii="Times New Roman" w:eastAsia="Calibri" w:hAnsi="Times New Roman"/>
          <w:noProof/>
          <w:lang w:bidi="ar-SA"/>
        </w:rPr>
      </w:pPr>
      <w:r w:rsidRPr="00BD3DCE">
        <w:rPr>
          <w:rFonts w:ascii="Times New Roman" w:eastAsia="Calibri" w:hAnsi="Times New Roman"/>
          <w:noProof/>
          <w:lang w:bidi="ar-SA"/>
        </w:rPr>
        <w:t xml:space="preserve">Outside the </w:t>
      </w:r>
      <w:r w:rsidR="00D418E4">
        <w:rPr>
          <w:rFonts w:ascii="Times New Roman" w:eastAsia="Calibri" w:hAnsi="Times New Roman"/>
          <w:noProof/>
          <w:lang w:bidi="ar-SA"/>
        </w:rPr>
        <w:t>Shia</w:t>
      </w:r>
      <w:r w:rsidRPr="00BD3DCE">
        <w:rPr>
          <w:rFonts w:ascii="Times New Roman" w:eastAsia="Calibri" w:hAnsi="Times New Roman"/>
          <w:noProof/>
          <w:lang w:bidi="ar-SA"/>
        </w:rPr>
        <w:t xml:space="preserve"> town of Fua in Syria, a young and frightened Uzbek militant named Jafar al-Tayyar sits in the open deck of an armored personal carrier</w:t>
      </w:r>
      <w:r w:rsidR="004555DB">
        <w:rPr>
          <w:rFonts w:ascii="Times New Roman" w:eastAsia="Calibri" w:hAnsi="Times New Roman"/>
          <w:noProof/>
          <w:lang w:bidi="ar-SA"/>
        </w:rPr>
        <w:t xml:space="preserve">.  </w:t>
      </w:r>
      <w:r w:rsidRPr="00BD3DCE">
        <w:rPr>
          <w:rFonts w:ascii="Times New Roman" w:eastAsia="Calibri" w:hAnsi="Times New Roman"/>
          <w:noProof/>
          <w:lang w:bidi="ar-SA"/>
        </w:rPr>
        <w:t>Jafar, barely in his 20s, bursts into tears</w:t>
      </w:r>
      <w:r w:rsidR="004555DB">
        <w:rPr>
          <w:rFonts w:ascii="Times New Roman" w:eastAsia="Calibri" w:hAnsi="Times New Roman"/>
          <w:noProof/>
          <w:lang w:bidi="ar-SA"/>
        </w:rPr>
        <w:t xml:space="preserve">.  </w:t>
      </w:r>
      <w:r w:rsidRPr="00BD3DCE">
        <w:rPr>
          <w:rFonts w:ascii="Times New Roman" w:eastAsia="Calibri" w:hAnsi="Times New Roman"/>
          <w:noProof/>
          <w:lang w:bidi="ar-SA"/>
        </w:rPr>
        <w:t>His comrades in Al Qaeda’s al-Nusra front, one of two competing militant Islamist groups in Syria (the other being the Islamic State of Syria and Iraq (ISIS)),</w:t>
      </w:r>
      <w:r w:rsidR="004555DB">
        <w:rPr>
          <w:rFonts w:ascii="Times New Roman" w:eastAsia="Calibri" w:hAnsi="Times New Roman"/>
          <w:noProof/>
          <w:lang w:bidi="ar-SA"/>
        </w:rPr>
        <w:t xml:space="preserve"> </w:t>
      </w:r>
      <w:r w:rsidRPr="00BD3DCE">
        <w:rPr>
          <w:rFonts w:ascii="Times New Roman" w:eastAsia="Calibri" w:hAnsi="Times New Roman"/>
          <w:noProof/>
          <w:lang w:bidi="ar-SA"/>
        </w:rPr>
        <w:t>quickly surround the deck</w:t>
      </w:r>
      <w:r w:rsidR="004555DB">
        <w:rPr>
          <w:rFonts w:ascii="Times New Roman" w:eastAsia="Calibri" w:hAnsi="Times New Roman"/>
          <w:noProof/>
          <w:lang w:bidi="ar-SA"/>
        </w:rPr>
        <w:t xml:space="preserve">.  </w:t>
      </w:r>
      <w:r w:rsidRPr="00BD3DCE">
        <w:rPr>
          <w:rFonts w:ascii="Times New Roman" w:eastAsia="Calibri" w:hAnsi="Times New Roman"/>
          <w:noProof/>
          <w:lang w:bidi="ar-SA"/>
        </w:rPr>
        <w:t>They embrace and encourage the young man</w:t>
      </w:r>
      <w:r w:rsidR="004555DB">
        <w:rPr>
          <w:rFonts w:ascii="Times New Roman" w:eastAsia="Calibri" w:hAnsi="Times New Roman"/>
          <w:noProof/>
          <w:lang w:bidi="ar-SA"/>
        </w:rPr>
        <w:t xml:space="preserve">.  </w:t>
      </w:r>
      <w:r w:rsidRPr="00BD3DCE">
        <w:rPr>
          <w:rFonts w:ascii="Times New Roman" w:eastAsia="Calibri" w:hAnsi="Times New Roman"/>
          <w:noProof/>
          <w:lang w:bidi="ar-SA"/>
        </w:rPr>
        <w:t>One of his friends tells him, “Jafar, my brother, don’t be afraid</w:t>
      </w:r>
      <w:r w:rsidR="004555DB">
        <w:rPr>
          <w:rFonts w:ascii="Times New Roman" w:eastAsia="Calibri" w:hAnsi="Times New Roman"/>
          <w:noProof/>
          <w:lang w:bidi="ar-SA"/>
        </w:rPr>
        <w:t xml:space="preserve">.  </w:t>
      </w:r>
      <w:r w:rsidRPr="00BD3DCE">
        <w:rPr>
          <w:rFonts w:ascii="Times New Roman" w:eastAsia="Calibri" w:hAnsi="Times New Roman"/>
          <w:noProof/>
          <w:lang w:bidi="ar-SA"/>
        </w:rPr>
        <w:t>When you are scared, remember Allah.”</w:t>
      </w:r>
      <w:r w:rsidR="004555DB">
        <w:rPr>
          <w:rFonts w:ascii="Times New Roman" w:eastAsia="Calibri" w:hAnsi="Times New Roman"/>
          <w:noProof/>
          <w:lang w:bidi="ar-SA"/>
        </w:rPr>
        <w:t xml:space="preserve"> </w:t>
      </w:r>
      <w:r w:rsidRPr="00BD3DCE">
        <w:rPr>
          <w:rFonts w:ascii="Times New Roman" w:eastAsia="Calibri" w:hAnsi="Times New Roman"/>
          <w:noProof/>
          <w:lang w:bidi="ar-SA"/>
        </w:rPr>
        <w:t>Jafar responds, “I’m just scared I won’t succeed.”</w:t>
      </w:r>
      <w:r w:rsidRPr="00BD3DCE">
        <w:rPr>
          <w:rFonts w:ascii="Times New Roman" w:eastAsia="Calibri" w:hAnsi="Times New Roman"/>
          <w:noProof/>
          <w:vertAlign w:val="superscript"/>
          <w:lang w:bidi="ar-SA"/>
        </w:rPr>
        <w:footnoteReference w:id="1"/>
      </w:r>
      <w:r w:rsidR="00D7256A">
        <w:rPr>
          <w:rFonts w:ascii="Times New Roman" w:eastAsia="Calibri" w:hAnsi="Times New Roman"/>
          <w:noProof/>
          <w:lang w:bidi="ar-SA"/>
        </w:rPr>
        <w:t xml:space="preserve">  </w:t>
      </w:r>
      <w:r w:rsidR="004555DB">
        <w:rPr>
          <w:rFonts w:ascii="Times New Roman" w:eastAsia="Calibri" w:hAnsi="Times New Roman"/>
          <w:noProof/>
          <w:lang w:bidi="ar-SA"/>
        </w:rPr>
        <w:t xml:space="preserve">Jafar composes himself, </w:t>
      </w:r>
      <w:r w:rsidRPr="00BD3DCE">
        <w:rPr>
          <w:rFonts w:ascii="Times New Roman" w:eastAsia="Calibri" w:hAnsi="Times New Roman"/>
          <w:noProof/>
          <w:lang w:bidi="ar-SA"/>
        </w:rPr>
        <w:t>wipes his face, and starts to drive the explosives laden carrier along a barren road into town</w:t>
      </w:r>
      <w:r w:rsidR="004555DB">
        <w:rPr>
          <w:rFonts w:ascii="Times New Roman" w:eastAsia="Calibri" w:hAnsi="Times New Roman"/>
          <w:noProof/>
          <w:lang w:bidi="ar-SA"/>
        </w:rPr>
        <w:t xml:space="preserve">.  </w:t>
      </w:r>
    </w:p>
    <w:p w:rsidR="00BD3DCE" w:rsidRPr="00BD3DCE" w:rsidRDefault="00BD3DCE" w:rsidP="00BD3DCE">
      <w:pPr>
        <w:ind w:firstLine="720"/>
        <w:contextualSpacing/>
        <w:rPr>
          <w:rFonts w:ascii="Times New Roman" w:eastAsia="Calibri" w:hAnsi="Times New Roman"/>
          <w:noProof/>
          <w:lang w:bidi="ar-SA"/>
        </w:rPr>
      </w:pPr>
      <w:r w:rsidRPr="00BD3DCE">
        <w:rPr>
          <w:rFonts w:ascii="Times New Roman" w:eastAsia="Calibri" w:hAnsi="Times New Roman"/>
          <w:noProof/>
          <w:lang w:bidi="ar-SA"/>
        </w:rPr>
        <w:t>Al-Nusra members record t</w:t>
      </w:r>
      <w:r w:rsidR="00F731AA">
        <w:rPr>
          <w:rFonts w:ascii="Times New Roman" w:eastAsia="Calibri" w:hAnsi="Times New Roman"/>
          <w:noProof/>
          <w:lang w:bidi="ar-SA"/>
        </w:rPr>
        <w:t xml:space="preserve">he scene from two perspectives, </w:t>
      </w:r>
      <w:r w:rsidRPr="00BD3DCE">
        <w:rPr>
          <w:rFonts w:ascii="Times New Roman" w:eastAsia="Calibri" w:hAnsi="Times New Roman"/>
          <w:noProof/>
          <w:lang w:bidi="ar-SA"/>
        </w:rPr>
        <w:t>with a handheld camera that catches the martyrdom encouragement and with a unarmed aerial vehical (UAV) that will catch the act of martyrdom itself</w:t>
      </w:r>
      <w:r w:rsidR="004555DB">
        <w:rPr>
          <w:rFonts w:ascii="Times New Roman" w:eastAsia="Calibri" w:hAnsi="Times New Roman"/>
          <w:noProof/>
          <w:lang w:bidi="ar-SA"/>
        </w:rPr>
        <w:t xml:space="preserve">.  </w:t>
      </w:r>
      <w:r w:rsidRPr="00BD3DCE">
        <w:rPr>
          <w:rFonts w:ascii="Times New Roman" w:eastAsia="Calibri" w:hAnsi="Times New Roman"/>
          <w:noProof/>
          <w:lang w:bidi="ar-SA"/>
        </w:rPr>
        <w:t>The UAV hovers into the sky, follows the car from a distance, tracks the car turning into downtown, and records an explosion from the center of town</w:t>
      </w:r>
      <w:r w:rsidR="004555DB">
        <w:rPr>
          <w:rFonts w:ascii="Times New Roman" w:eastAsia="Calibri" w:hAnsi="Times New Roman"/>
          <w:noProof/>
          <w:lang w:bidi="ar-SA"/>
        </w:rPr>
        <w:t xml:space="preserve">.  </w:t>
      </w:r>
      <w:r w:rsidRPr="00BD3DCE">
        <w:rPr>
          <w:rFonts w:ascii="Times New Roman" w:eastAsia="Calibri" w:hAnsi="Times New Roman"/>
          <w:noProof/>
          <w:lang w:bidi="ar-SA"/>
        </w:rPr>
        <w:t>The al-Nusra video narrator describes Jafar as the first martyr from Mawarannahr, the Arabic name for the area of Central Asia that strad</w:t>
      </w:r>
      <w:r w:rsidR="004555DB">
        <w:rPr>
          <w:rFonts w:ascii="Times New Roman" w:eastAsia="Calibri" w:hAnsi="Times New Roman"/>
          <w:noProof/>
          <w:lang w:bidi="ar-SA"/>
        </w:rPr>
        <w:t xml:space="preserve">dles the borders of Uzbekistan, </w:t>
      </w:r>
      <w:r w:rsidRPr="00BD3DCE">
        <w:rPr>
          <w:rFonts w:ascii="Times New Roman" w:eastAsia="Calibri" w:hAnsi="Times New Roman"/>
          <w:noProof/>
          <w:lang w:bidi="ar-SA"/>
        </w:rPr>
        <w:t>Tajikistan, Krygrstan, and Kazakhstan, likely mentioned to recruit more martyrs from Central Asia</w:t>
      </w:r>
      <w:r w:rsidR="004555DB">
        <w:rPr>
          <w:rFonts w:ascii="Times New Roman" w:eastAsia="Calibri" w:hAnsi="Times New Roman"/>
          <w:noProof/>
          <w:lang w:bidi="ar-SA"/>
        </w:rPr>
        <w:t xml:space="preserve">.  </w:t>
      </w:r>
    </w:p>
    <w:p w:rsidR="00BD3DCE" w:rsidRPr="00BD3DCE" w:rsidRDefault="00BD3DCE" w:rsidP="00BD3DCE">
      <w:pPr>
        <w:ind w:firstLine="720"/>
        <w:contextualSpacing/>
        <w:rPr>
          <w:rFonts w:ascii="Times New Roman" w:eastAsia="Calibri" w:hAnsi="Times New Roman"/>
          <w:noProof/>
          <w:lang w:bidi="ar-SA"/>
        </w:rPr>
      </w:pPr>
      <w:r w:rsidRPr="00BD3DCE">
        <w:rPr>
          <w:rFonts w:ascii="Times New Roman" w:eastAsia="Calibri" w:hAnsi="Times New Roman"/>
          <w:noProof/>
          <w:lang w:bidi="ar-SA"/>
        </w:rPr>
        <w:t>The event represents many trends, developments, and questions concerning modern suicide bombing campaigns:</w:t>
      </w:r>
    </w:p>
    <w:p w:rsidR="00BD3DCE" w:rsidRPr="00BD3DCE" w:rsidRDefault="00BD3DCE" w:rsidP="00BD3DCE">
      <w:pPr>
        <w:numPr>
          <w:ilvl w:val="0"/>
          <w:numId w:val="10"/>
        </w:numPr>
        <w:spacing w:line="240" w:lineRule="auto"/>
        <w:contextualSpacing/>
        <w:rPr>
          <w:rFonts w:ascii="Times New Roman" w:eastAsia="Calibri" w:hAnsi="Times New Roman"/>
          <w:noProof/>
          <w:lang w:bidi="ar-SA"/>
        </w:rPr>
      </w:pPr>
      <w:r w:rsidRPr="00BD3DCE">
        <w:rPr>
          <w:rFonts w:ascii="Times New Roman" w:eastAsia="Calibri" w:hAnsi="Times New Roman"/>
          <w:noProof/>
          <w:lang w:bidi="ar-SA"/>
        </w:rPr>
        <w:t>The human smart bomb, guiding a payload to a destination that otherwise could not be reached without sophisticated technology</w:t>
      </w:r>
    </w:p>
    <w:p w:rsidR="00BD3DCE" w:rsidRPr="00BD3DCE" w:rsidRDefault="00BD3DCE" w:rsidP="00BD3DCE">
      <w:pPr>
        <w:numPr>
          <w:ilvl w:val="0"/>
          <w:numId w:val="10"/>
        </w:numPr>
        <w:spacing w:line="240" w:lineRule="auto"/>
        <w:contextualSpacing/>
        <w:rPr>
          <w:rFonts w:ascii="Times New Roman" w:eastAsia="Calibri" w:hAnsi="Times New Roman"/>
          <w:noProof/>
          <w:lang w:bidi="ar-SA"/>
        </w:rPr>
      </w:pPr>
      <w:r w:rsidRPr="00BD3DCE">
        <w:rPr>
          <w:rFonts w:ascii="Times New Roman" w:eastAsia="Calibri" w:hAnsi="Times New Roman"/>
          <w:noProof/>
          <w:lang w:bidi="ar-SA"/>
        </w:rPr>
        <w:lastRenderedPageBreak/>
        <w:t xml:space="preserve">The required organizational support and encouragement </w:t>
      </w:r>
      <w:r w:rsidR="00D7256A">
        <w:rPr>
          <w:rFonts w:ascii="Times New Roman" w:eastAsia="Calibri" w:hAnsi="Times New Roman"/>
          <w:noProof/>
          <w:lang w:bidi="ar-SA"/>
        </w:rPr>
        <w:t xml:space="preserve">for the individual </w:t>
      </w:r>
      <w:r w:rsidRPr="00BD3DCE">
        <w:rPr>
          <w:rFonts w:ascii="Times New Roman" w:eastAsia="Calibri" w:hAnsi="Times New Roman"/>
          <w:noProof/>
          <w:lang w:bidi="ar-SA"/>
        </w:rPr>
        <w:t>to go through with the attack</w:t>
      </w:r>
    </w:p>
    <w:p w:rsidR="00BD3DCE" w:rsidRPr="00BD3DCE" w:rsidRDefault="00BD3DCE" w:rsidP="00BD3DCE">
      <w:pPr>
        <w:numPr>
          <w:ilvl w:val="0"/>
          <w:numId w:val="10"/>
        </w:numPr>
        <w:spacing w:line="240" w:lineRule="auto"/>
        <w:contextualSpacing/>
        <w:rPr>
          <w:rFonts w:ascii="Times New Roman" w:eastAsia="Calibri" w:hAnsi="Times New Roman"/>
          <w:noProof/>
          <w:lang w:bidi="ar-SA"/>
        </w:rPr>
      </w:pPr>
      <w:r w:rsidRPr="00BD3DCE">
        <w:rPr>
          <w:rFonts w:ascii="Times New Roman" w:eastAsia="Calibri" w:hAnsi="Times New Roman"/>
          <w:noProof/>
          <w:lang w:bidi="ar-SA"/>
        </w:rPr>
        <w:t>The notion of national identity, or lack thereof, and the transnational (or supranational) component of modern suicide bombing campaigns</w:t>
      </w:r>
    </w:p>
    <w:p w:rsidR="00BD3DCE" w:rsidRPr="00BD3DCE" w:rsidRDefault="00BD3DCE" w:rsidP="00BD3DCE">
      <w:pPr>
        <w:numPr>
          <w:ilvl w:val="0"/>
          <w:numId w:val="10"/>
        </w:numPr>
        <w:spacing w:line="240" w:lineRule="auto"/>
        <w:contextualSpacing/>
        <w:rPr>
          <w:rFonts w:ascii="Times New Roman" w:eastAsia="Calibri" w:hAnsi="Times New Roman"/>
          <w:noProof/>
          <w:lang w:bidi="ar-SA"/>
        </w:rPr>
      </w:pPr>
      <w:r w:rsidRPr="00BD3DCE">
        <w:rPr>
          <w:rFonts w:ascii="Times New Roman" w:eastAsia="Calibri" w:hAnsi="Times New Roman"/>
          <w:noProof/>
          <w:lang w:bidi="ar-SA"/>
        </w:rPr>
        <w:t>The decision-making of the suicide bomber himself—his</w:t>
      </w:r>
      <w:r w:rsidR="004555DB">
        <w:rPr>
          <w:rFonts w:ascii="Times New Roman" w:eastAsia="Calibri" w:hAnsi="Times New Roman"/>
          <w:noProof/>
          <w:lang w:bidi="ar-SA"/>
        </w:rPr>
        <w:t xml:space="preserve"> </w:t>
      </w:r>
      <w:r w:rsidRPr="00BD3DCE">
        <w:rPr>
          <w:rFonts w:ascii="Times New Roman" w:eastAsia="Calibri" w:hAnsi="Times New Roman"/>
          <w:noProof/>
          <w:lang w:bidi="ar-SA"/>
        </w:rPr>
        <w:t>inner conflict and emotions</w:t>
      </w:r>
    </w:p>
    <w:p w:rsidR="00BD3DCE" w:rsidRPr="00BD3DCE" w:rsidRDefault="00BD3DCE" w:rsidP="00BD3DCE">
      <w:pPr>
        <w:numPr>
          <w:ilvl w:val="0"/>
          <w:numId w:val="10"/>
        </w:numPr>
        <w:spacing w:line="240" w:lineRule="auto"/>
        <w:contextualSpacing/>
        <w:rPr>
          <w:rFonts w:ascii="Times New Roman" w:eastAsia="Calibri" w:hAnsi="Times New Roman"/>
          <w:noProof/>
          <w:lang w:bidi="ar-SA"/>
        </w:rPr>
      </w:pPr>
      <w:r w:rsidRPr="00BD3DCE">
        <w:rPr>
          <w:rFonts w:ascii="Times New Roman" w:eastAsia="Calibri" w:hAnsi="Times New Roman"/>
          <w:noProof/>
          <w:lang w:bidi="ar-SA"/>
        </w:rPr>
        <w:t>The cult of martyrdom, to recruit future volunteers to replenish the arsenal</w:t>
      </w:r>
    </w:p>
    <w:p w:rsidR="00BD3DCE" w:rsidRDefault="00BD3DCE" w:rsidP="00BD3DCE">
      <w:pPr>
        <w:numPr>
          <w:ilvl w:val="0"/>
          <w:numId w:val="10"/>
        </w:numPr>
        <w:spacing w:line="240" w:lineRule="auto"/>
        <w:contextualSpacing/>
        <w:rPr>
          <w:rFonts w:ascii="Times New Roman" w:eastAsia="Calibri" w:hAnsi="Times New Roman"/>
          <w:noProof/>
          <w:lang w:bidi="ar-SA"/>
        </w:rPr>
      </w:pPr>
      <w:r w:rsidRPr="00BD3DCE">
        <w:rPr>
          <w:rFonts w:ascii="Times New Roman" w:eastAsia="Calibri" w:hAnsi="Times New Roman"/>
          <w:noProof/>
          <w:lang w:bidi="ar-SA"/>
        </w:rPr>
        <w:t xml:space="preserve">The motivational power of </w:t>
      </w:r>
      <w:r w:rsidR="00D7256A">
        <w:rPr>
          <w:rFonts w:ascii="Times New Roman" w:eastAsia="Calibri" w:hAnsi="Times New Roman"/>
          <w:noProof/>
          <w:lang w:bidi="ar-SA"/>
        </w:rPr>
        <w:t xml:space="preserve">sacred </w:t>
      </w:r>
      <w:r w:rsidR="00551DC8">
        <w:rPr>
          <w:rFonts w:ascii="Times New Roman" w:eastAsia="Calibri" w:hAnsi="Times New Roman"/>
          <w:noProof/>
          <w:lang w:bidi="ar-SA"/>
        </w:rPr>
        <w:t>value</w:t>
      </w:r>
      <w:r w:rsidRPr="00BD3DCE">
        <w:rPr>
          <w:rFonts w:ascii="Times New Roman" w:eastAsia="Calibri" w:hAnsi="Times New Roman"/>
          <w:noProof/>
          <w:lang w:bidi="ar-SA"/>
        </w:rPr>
        <w:t>s</w:t>
      </w:r>
      <w:r w:rsidR="00D7256A">
        <w:rPr>
          <w:rFonts w:ascii="Times New Roman" w:eastAsia="Calibri" w:hAnsi="Times New Roman"/>
          <w:noProof/>
          <w:lang w:bidi="ar-SA"/>
        </w:rPr>
        <w:t xml:space="preserve">  (</w:t>
      </w:r>
      <w:r w:rsidRPr="00BD3DCE">
        <w:rPr>
          <w:rFonts w:ascii="Times New Roman" w:eastAsia="Calibri" w:hAnsi="Times New Roman"/>
          <w:noProof/>
          <w:lang w:bidi="ar-SA"/>
        </w:rPr>
        <w:t>jihad,</w:t>
      </w:r>
      <w:r w:rsidR="00D7256A">
        <w:rPr>
          <w:rFonts w:ascii="Times New Roman" w:eastAsia="Calibri" w:hAnsi="Times New Roman"/>
          <w:noProof/>
          <w:lang w:bidi="ar-SA"/>
        </w:rPr>
        <w:t xml:space="preserve"> martyrdom)</w:t>
      </w:r>
      <w:r w:rsidRPr="00BD3DCE">
        <w:rPr>
          <w:rFonts w:ascii="Times New Roman" w:eastAsia="Calibri" w:hAnsi="Times New Roman"/>
          <w:noProof/>
          <w:lang w:bidi="ar-SA"/>
        </w:rPr>
        <w:t xml:space="preserve"> substantiating the act of martyrdom</w:t>
      </w:r>
    </w:p>
    <w:p w:rsidR="00E527F0" w:rsidRPr="00BD3DCE" w:rsidRDefault="00E527F0" w:rsidP="00365B41">
      <w:pPr>
        <w:spacing w:line="240" w:lineRule="auto"/>
        <w:contextualSpacing/>
        <w:rPr>
          <w:rFonts w:ascii="Times New Roman" w:eastAsia="Calibri" w:hAnsi="Times New Roman"/>
          <w:noProof/>
          <w:lang w:bidi="ar-SA"/>
        </w:rPr>
      </w:pPr>
    </w:p>
    <w:p w:rsidR="00E3324E" w:rsidRDefault="007203C8" w:rsidP="00E3324E">
      <w:pPr>
        <w:ind w:firstLine="720"/>
        <w:rPr>
          <w:rFonts w:ascii="Times New Roman" w:eastAsia="Calibri" w:hAnsi="Times New Roman"/>
          <w:noProof/>
          <w:lang w:bidi="he-IL"/>
        </w:rPr>
      </w:pPr>
      <w:r>
        <w:rPr>
          <w:rFonts w:ascii="Times New Roman" w:eastAsia="Calibri" w:hAnsi="Times New Roman"/>
          <w:noProof/>
          <w:lang w:bidi="he-IL"/>
        </w:rPr>
        <w:t xml:space="preserve">More </w:t>
      </w:r>
      <w:r w:rsidR="006D0608">
        <w:rPr>
          <w:rFonts w:ascii="Times New Roman" w:eastAsia="Calibri" w:hAnsi="Times New Roman"/>
          <w:noProof/>
          <w:lang w:bidi="he-IL"/>
        </w:rPr>
        <w:t xml:space="preserve">suicide </w:t>
      </w:r>
      <w:r>
        <w:rPr>
          <w:rFonts w:ascii="Times New Roman" w:eastAsia="Calibri" w:hAnsi="Times New Roman"/>
          <w:noProof/>
          <w:lang w:bidi="he-IL"/>
        </w:rPr>
        <w:t xml:space="preserve">attacks occurred in 2014 </w:t>
      </w:r>
      <w:r w:rsidR="00146498">
        <w:rPr>
          <w:rFonts w:ascii="Times New Roman" w:eastAsia="Calibri" w:hAnsi="Times New Roman"/>
          <w:noProof/>
          <w:lang w:bidi="he-IL"/>
        </w:rPr>
        <w:t xml:space="preserve">than </w:t>
      </w:r>
      <w:r>
        <w:rPr>
          <w:rFonts w:ascii="Times New Roman" w:eastAsia="Calibri" w:hAnsi="Times New Roman"/>
          <w:noProof/>
          <w:lang w:bidi="he-IL"/>
        </w:rPr>
        <w:t>in any previous year</w:t>
      </w:r>
      <w:r w:rsidR="004555DB">
        <w:rPr>
          <w:rFonts w:ascii="Times New Roman" w:eastAsia="Calibri" w:hAnsi="Times New Roman"/>
          <w:noProof/>
          <w:lang w:bidi="he-IL"/>
        </w:rPr>
        <w:t xml:space="preserve">.  </w:t>
      </w:r>
      <w:r w:rsidR="00E527F0" w:rsidRPr="00BD3DCE">
        <w:rPr>
          <w:rFonts w:ascii="Times New Roman" w:eastAsia="Calibri" w:hAnsi="Times New Roman"/>
          <w:noProof/>
          <w:lang w:bidi="he-IL"/>
        </w:rPr>
        <w:t>The University of Chicago’s Project on Security and Terrorism (CPOST) open source database register</w:t>
      </w:r>
      <w:r w:rsidR="00E527F0">
        <w:rPr>
          <w:rFonts w:ascii="Times New Roman" w:eastAsia="Calibri" w:hAnsi="Times New Roman"/>
          <w:noProof/>
          <w:lang w:bidi="he-IL"/>
        </w:rPr>
        <w:t>ed</w:t>
      </w:r>
      <w:r w:rsidR="00E527F0" w:rsidRPr="00BD3DCE">
        <w:rPr>
          <w:rFonts w:ascii="Times New Roman" w:eastAsia="Calibri" w:hAnsi="Times New Roman"/>
          <w:noProof/>
          <w:lang w:bidi="he-IL"/>
        </w:rPr>
        <w:t xml:space="preserve"> 545 suicide attacks in 2014, beating the previous high of 525 in 2007.</w:t>
      </w:r>
      <w:r w:rsidR="00E527F0" w:rsidRPr="00BD3DCE">
        <w:rPr>
          <w:rFonts w:ascii="Times New Roman" w:eastAsia="Calibri" w:hAnsi="Times New Roman"/>
          <w:noProof/>
          <w:vertAlign w:val="superscript"/>
          <w:lang w:bidi="he-IL"/>
        </w:rPr>
        <w:footnoteReference w:id="2"/>
      </w:r>
      <w:r w:rsidR="004724A3">
        <w:rPr>
          <w:rFonts w:ascii="Times New Roman" w:eastAsia="Calibri" w:hAnsi="Times New Roman"/>
          <w:noProof/>
          <w:lang w:bidi="he-IL"/>
        </w:rPr>
        <w:t xml:space="preserve">  </w:t>
      </w:r>
      <w:r w:rsidR="00E527F0" w:rsidRPr="00BD3DCE">
        <w:rPr>
          <w:rFonts w:ascii="Times New Roman" w:eastAsia="Calibri" w:hAnsi="Times New Roman"/>
          <w:noProof/>
          <w:lang w:bidi="he-IL"/>
        </w:rPr>
        <w:t xml:space="preserve">The University of Maryland’s Study of Terrorism and the Response to Terrorism (START) records a whopping 738 </w:t>
      </w:r>
      <w:r w:rsidR="00E527F0">
        <w:rPr>
          <w:rFonts w:ascii="Times New Roman" w:eastAsia="Calibri" w:hAnsi="Times New Roman"/>
          <w:noProof/>
          <w:lang w:bidi="he-IL"/>
        </w:rPr>
        <w:t xml:space="preserve">suicide </w:t>
      </w:r>
      <w:r w:rsidR="00E527F0" w:rsidRPr="00BD3DCE">
        <w:rPr>
          <w:rFonts w:ascii="Times New Roman" w:eastAsia="Calibri" w:hAnsi="Times New Roman"/>
          <w:noProof/>
          <w:lang w:bidi="he-IL"/>
        </w:rPr>
        <w:t>attacks in 2014.</w:t>
      </w:r>
      <w:r w:rsidR="00E527F0" w:rsidRPr="00BD3DCE">
        <w:rPr>
          <w:rFonts w:ascii="Times New Roman" w:eastAsia="Calibri" w:hAnsi="Times New Roman"/>
          <w:noProof/>
          <w:vertAlign w:val="superscript"/>
          <w:lang w:bidi="he-IL"/>
        </w:rPr>
        <w:footnoteReference w:id="3"/>
      </w:r>
      <w:r w:rsidR="00D7256A">
        <w:rPr>
          <w:rFonts w:ascii="Times New Roman" w:eastAsia="Calibri" w:hAnsi="Times New Roman"/>
          <w:noProof/>
          <w:lang w:bidi="he-IL"/>
        </w:rPr>
        <w:t xml:space="preserve">  </w:t>
      </w:r>
      <w:r w:rsidR="00E527F0" w:rsidRPr="00BD3DCE">
        <w:rPr>
          <w:rFonts w:ascii="Times New Roman" w:eastAsia="Calibri" w:hAnsi="Times New Roman"/>
          <w:noProof/>
          <w:lang w:bidi="he-IL"/>
        </w:rPr>
        <w:t xml:space="preserve">The Institution for National Security Studies of Tel Aviv records </w:t>
      </w:r>
      <w:r>
        <w:rPr>
          <w:rFonts w:ascii="Times New Roman" w:eastAsia="Calibri" w:hAnsi="Times New Roman"/>
          <w:noProof/>
          <w:lang w:bidi="he-IL"/>
        </w:rPr>
        <w:t xml:space="preserve">increases </w:t>
      </w:r>
      <w:r w:rsidR="0065626E">
        <w:rPr>
          <w:rFonts w:ascii="Times New Roman" w:eastAsia="Calibri" w:hAnsi="Times New Roman"/>
          <w:noProof/>
          <w:lang w:bidi="he-IL"/>
        </w:rPr>
        <w:t xml:space="preserve">in suicide attacks </w:t>
      </w:r>
      <w:r>
        <w:rPr>
          <w:rFonts w:ascii="Times New Roman" w:eastAsia="Calibri" w:hAnsi="Times New Roman"/>
          <w:noProof/>
          <w:lang w:bidi="he-IL"/>
        </w:rPr>
        <w:t>from 2013 to 2014 in the following countries:</w:t>
      </w:r>
      <w:r w:rsidR="004555DB">
        <w:rPr>
          <w:rFonts w:ascii="Times New Roman" w:eastAsia="Calibri" w:hAnsi="Times New Roman"/>
          <w:noProof/>
          <w:lang w:bidi="he-IL"/>
        </w:rPr>
        <w:t xml:space="preserve"> </w:t>
      </w:r>
      <w:r w:rsidR="00E527F0" w:rsidRPr="00BD3DCE">
        <w:rPr>
          <w:rFonts w:ascii="Times New Roman" w:eastAsia="Calibri" w:hAnsi="Times New Roman"/>
          <w:noProof/>
          <w:lang w:bidi="he-IL"/>
        </w:rPr>
        <w:t>Iraq (177%), Yemen (190%), Lebanon (333%, from 3 to 13), Afghanistan (94%), Nigeria (937%, from 3 to 32), and Libya (1000%, from 1 to 11).</w:t>
      </w:r>
      <w:r w:rsidR="00E527F0" w:rsidRPr="00BD3DCE">
        <w:rPr>
          <w:rFonts w:ascii="Times New Roman" w:eastAsia="Calibri" w:hAnsi="Times New Roman"/>
          <w:noProof/>
          <w:vertAlign w:val="superscript"/>
          <w:lang w:bidi="he-IL"/>
        </w:rPr>
        <w:footnoteReference w:id="4"/>
      </w:r>
      <w:r w:rsidR="00DE0823">
        <w:rPr>
          <w:rFonts w:ascii="Times New Roman" w:eastAsia="Calibri" w:hAnsi="Times New Roman"/>
          <w:noProof/>
          <w:lang w:bidi="he-IL"/>
        </w:rPr>
        <w:t xml:space="preserve">  </w:t>
      </w:r>
      <w:r w:rsidR="00E3324E">
        <w:rPr>
          <w:rFonts w:ascii="Times New Roman" w:eastAsia="Calibri" w:hAnsi="Times New Roman"/>
          <w:noProof/>
          <w:lang w:bidi="he-IL"/>
        </w:rPr>
        <w:t xml:space="preserve">Figure 1 below represents the </w:t>
      </w:r>
      <w:r w:rsidR="00985C42">
        <w:rPr>
          <w:rFonts w:ascii="Times New Roman" w:eastAsia="Calibri" w:hAnsi="Times New Roman"/>
          <w:noProof/>
          <w:lang w:bidi="he-IL"/>
        </w:rPr>
        <w:t xml:space="preserve">dramatic </w:t>
      </w:r>
      <w:r w:rsidR="00E3324E">
        <w:rPr>
          <w:rFonts w:ascii="Times New Roman" w:eastAsia="Calibri" w:hAnsi="Times New Roman"/>
          <w:noProof/>
          <w:lang w:bidi="he-IL"/>
        </w:rPr>
        <w:t xml:space="preserve">increase in suicide attacks by year, displayed by target type (Total, </w:t>
      </w:r>
      <w:r w:rsidR="0097526B">
        <w:rPr>
          <w:rFonts w:ascii="Times New Roman" w:eastAsia="Calibri" w:hAnsi="Times New Roman"/>
          <w:noProof/>
          <w:lang w:bidi="he-IL"/>
        </w:rPr>
        <w:t>Security-</w:t>
      </w:r>
      <w:r w:rsidR="00E3324E">
        <w:rPr>
          <w:rFonts w:ascii="Times New Roman" w:eastAsia="Calibri" w:hAnsi="Times New Roman"/>
          <w:noProof/>
          <w:lang w:bidi="he-IL"/>
        </w:rPr>
        <w:t xml:space="preserve">Military, </w:t>
      </w:r>
      <w:r w:rsidR="0097526B">
        <w:rPr>
          <w:rFonts w:ascii="Times New Roman" w:eastAsia="Calibri" w:hAnsi="Times New Roman"/>
          <w:noProof/>
          <w:lang w:bidi="he-IL"/>
        </w:rPr>
        <w:t>Security-Police, Government</w:t>
      </w:r>
      <w:r w:rsidR="00E3324E">
        <w:rPr>
          <w:rFonts w:ascii="Times New Roman" w:eastAsia="Calibri" w:hAnsi="Times New Roman"/>
          <w:noProof/>
          <w:lang w:bidi="he-IL"/>
        </w:rPr>
        <w:t>, Civilian</w:t>
      </w:r>
      <w:r w:rsidR="0097526B">
        <w:rPr>
          <w:rFonts w:ascii="Times New Roman" w:eastAsia="Calibri" w:hAnsi="Times New Roman"/>
          <w:noProof/>
          <w:lang w:bidi="he-IL"/>
        </w:rPr>
        <w:t>,</w:t>
      </w:r>
      <w:r w:rsidR="00E3324E">
        <w:rPr>
          <w:rFonts w:ascii="Times New Roman" w:eastAsia="Calibri" w:hAnsi="Times New Roman"/>
          <w:noProof/>
          <w:lang w:bidi="he-IL"/>
        </w:rPr>
        <w:t xml:space="preserve"> and Informal Group</w:t>
      </w:r>
      <w:r w:rsidR="0097526B">
        <w:rPr>
          <w:rFonts w:ascii="Times New Roman" w:eastAsia="Calibri" w:hAnsi="Times New Roman"/>
          <w:noProof/>
          <w:lang w:bidi="he-IL"/>
        </w:rPr>
        <w:t>s</w:t>
      </w:r>
      <w:r w:rsidR="00E3324E">
        <w:rPr>
          <w:rFonts w:ascii="Times New Roman" w:eastAsia="Calibri" w:hAnsi="Times New Roman"/>
          <w:noProof/>
          <w:lang w:bidi="he-IL"/>
        </w:rPr>
        <w:t>, which are attacks against competing insurgent groups)</w:t>
      </w:r>
      <w:r w:rsidR="004555DB">
        <w:rPr>
          <w:rFonts w:ascii="Times New Roman" w:eastAsia="Calibri" w:hAnsi="Times New Roman"/>
          <w:noProof/>
          <w:lang w:bidi="he-IL"/>
        </w:rPr>
        <w:t xml:space="preserve">.  </w:t>
      </w:r>
    </w:p>
    <w:p w:rsidR="00E527F0" w:rsidRDefault="00E527F0" w:rsidP="00985C42">
      <w:pPr>
        <w:ind w:firstLine="720"/>
        <w:rPr>
          <w:rFonts w:ascii="Times New Roman" w:eastAsia="Calibri" w:hAnsi="Times New Roman"/>
          <w:noProof/>
          <w:lang w:bidi="he-IL"/>
        </w:rPr>
      </w:pPr>
      <w:r w:rsidRPr="00BD3DCE">
        <w:rPr>
          <w:rFonts w:ascii="Times New Roman" w:eastAsia="Calibri" w:hAnsi="Times New Roman"/>
          <w:noProof/>
          <w:lang w:bidi="he-IL"/>
        </w:rPr>
        <w:t>The number of suicide attacks in Iraq in 2014 was the highest since 2008 and accounted for 45 percent of all such attacks in the world</w:t>
      </w:r>
      <w:r w:rsidR="004555DB">
        <w:rPr>
          <w:rFonts w:ascii="Times New Roman" w:eastAsia="Calibri" w:hAnsi="Times New Roman"/>
          <w:noProof/>
          <w:lang w:bidi="he-IL"/>
        </w:rPr>
        <w:t xml:space="preserve">.  </w:t>
      </w:r>
      <w:r w:rsidR="00CB7F57" w:rsidRPr="00BD3DCE">
        <w:rPr>
          <w:rFonts w:ascii="Times New Roman" w:eastAsia="Calibri" w:hAnsi="Times New Roman"/>
          <w:noProof/>
          <w:lang w:bidi="ar-SA"/>
        </w:rPr>
        <w:t xml:space="preserve">As radicalized fighters return from conflicts abroad, many have been primed for suicide missions—and can bring that </w:t>
      </w:r>
      <w:r w:rsidR="00CB7F57" w:rsidRPr="00BD3DCE">
        <w:rPr>
          <w:rFonts w:ascii="Times New Roman" w:eastAsia="Calibri" w:hAnsi="Times New Roman"/>
          <w:noProof/>
          <w:lang w:bidi="ar-SA"/>
        </w:rPr>
        <w:lastRenderedPageBreak/>
        <w:t>mindset and institutional knowledge back home</w:t>
      </w:r>
      <w:r w:rsidR="004555DB">
        <w:rPr>
          <w:rFonts w:ascii="Times New Roman" w:eastAsia="Calibri" w:hAnsi="Times New Roman"/>
          <w:noProof/>
          <w:lang w:bidi="ar-SA"/>
        </w:rPr>
        <w:t xml:space="preserve">.  </w:t>
      </w:r>
      <w:r w:rsidR="00CB7F57" w:rsidRPr="00BD3DCE">
        <w:rPr>
          <w:rFonts w:ascii="Times New Roman" w:eastAsia="Calibri" w:hAnsi="Times New Roman"/>
          <w:noProof/>
          <w:lang w:bidi="ar-SA"/>
        </w:rPr>
        <w:t>Europol estimates that 3,500 to 5,000 jihadists returned to Europe from the conflict in Syria.</w:t>
      </w:r>
      <w:r w:rsidR="00CB7F57" w:rsidRPr="00BD3DCE">
        <w:rPr>
          <w:rFonts w:ascii="Times New Roman" w:eastAsia="Calibri" w:hAnsi="Times New Roman"/>
          <w:noProof/>
          <w:vertAlign w:val="superscript"/>
          <w:lang w:bidi="ar-SA"/>
        </w:rPr>
        <w:footnoteReference w:id="5"/>
      </w:r>
      <w:r w:rsidR="0097526B">
        <w:rPr>
          <w:rFonts w:ascii="Times New Roman" w:eastAsia="Calibri" w:hAnsi="Times New Roman"/>
          <w:noProof/>
          <w:lang w:bidi="ar-SA"/>
        </w:rPr>
        <w:t xml:space="preserve">  </w:t>
      </w:r>
      <w:r w:rsidR="00263F37">
        <w:rPr>
          <w:rFonts w:ascii="Times New Roman" w:eastAsia="Calibri" w:hAnsi="Times New Roman"/>
          <w:noProof/>
          <w:lang w:bidi="ar-SA"/>
        </w:rPr>
        <w:t>Suicide terrorism is not going away, as demonstrated by the</w:t>
      </w:r>
      <w:r w:rsidR="00CB7F57" w:rsidRPr="00BD3DCE">
        <w:rPr>
          <w:rFonts w:ascii="Times New Roman" w:eastAsia="Calibri" w:hAnsi="Times New Roman"/>
          <w:noProof/>
          <w:lang w:bidi="ar-SA"/>
        </w:rPr>
        <w:t xml:space="preserve"> </w:t>
      </w:r>
      <w:r w:rsidR="00263F37">
        <w:rPr>
          <w:rFonts w:ascii="Times New Roman" w:eastAsia="Calibri" w:hAnsi="Times New Roman"/>
          <w:noProof/>
          <w:lang w:bidi="ar-SA"/>
        </w:rPr>
        <w:t>October 2015 suicide attacks</w:t>
      </w:r>
      <w:r w:rsidR="00CB7F57" w:rsidRPr="00BD3DCE">
        <w:rPr>
          <w:rFonts w:ascii="Times New Roman" w:eastAsia="Calibri" w:hAnsi="Times New Roman"/>
          <w:noProof/>
          <w:lang w:bidi="ar-SA"/>
        </w:rPr>
        <w:t xml:space="preserve"> in France</w:t>
      </w:r>
      <w:r w:rsidR="00263F37">
        <w:rPr>
          <w:rFonts w:ascii="Times New Roman" w:eastAsia="Calibri" w:hAnsi="Times New Roman"/>
          <w:noProof/>
          <w:lang w:bidi="ar-SA"/>
        </w:rPr>
        <w:t>,</w:t>
      </w:r>
      <w:r w:rsidR="00CB7F57" w:rsidRPr="00BD3DCE">
        <w:rPr>
          <w:rFonts w:ascii="Times New Roman" w:eastAsia="Calibri" w:hAnsi="Times New Roman"/>
          <w:noProof/>
          <w:lang w:bidi="ar-SA"/>
        </w:rPr>
        <w:t xml:space="preserve"> </w:t>
      </w:r>
      <w:r w:rsidR="00263F37">
        <w:rPr>
          <w:rFonts w:ascii="Times New Roman" w:eastAsia="Calibri" w:hAnsi="Times New Roman"/>
          <w:noProof/>
          <w:lang w:bidi="ar-SA"/>
        </w:rPr>
        <w:t xml:space="preserve">the March 2016 suicide attacks in Belgium, and the </w:t>
      </w:r>
      <w:r w:rsidR="0097526B">
        <w:rPr>
          <w:rFonts w:ascii="Times New Roman" w:eastAsia="Calibri" w:hAnsi="Times New Roman"/>
          <w:noProof/>
          <w:lang w:bidi="ar-SA"/>
        </w:rPr>
        <w:t xml:space="preserve">continued </w:t>
      </w:r>
      <w:r w:rsidR="00263F37">
        <w:rPr>
          <w:rFonts w:ascii="Times New Roman" w:eastAsia="Calibri" w:hAnsi="Times New Roman"/>
          <w:noProof/>
          <w:lang w:bidi="ar-SA"/>
        </w:rPr>
        <w:t xml:space="preserve">suicide bombing campaigns </w:t>
      </w:r>
      <w:r w:rsidR="00CB7F57">
        <w:rPr>
          <w:rFonts w:ascii="Times New Roman" w:eastAsia="Calibri" w:hAnsi="Times New Roman"/>
          <w:noProof/>
          <w:lang w:bidi="ar-SA"/>
        </w:rPr>
        <w:t xml:space="preserve">in </w:t>
      </w:r>
      <w:r w:rsidR="00CB7F57" w:rsidRPr="00BD3DCE">
        <w:rPr>
          <w:rFonts w:ascii="Times New Roman" w:eastAsia="Calibri" w:hAnsi="Times New Roman"/>
          <w:noProof/>
          <w:lang w:bidi="ar-SA"/>
        </w:rPr>
        <w:t xml:space="preserve">Iraq, Syria, </w:t>
      </w:r>
      <w:r w:rsidR="00263F37">
        <w:rPr>
          <w:rFonts w:ascii="Times New Roman" w:eastAsia="Calibri" w:hAnsi="Times New Roman"/>
          <w:noProof/>
          <w:lang w:bidi="ar-SA"/>
        </w:rPr>
        <w:t xml:space="preserve">Afghanistan, </w:t>
      </w:r>
      <w:r w:rsidR="00CB7F57" w:rsidRPr="00BD3DCE">
        <w:rPr>
          <w:rFonts w:ascii="Times New Roman" w:eastAsia="Calibri" w:hAnsi="Times New Roman"/>
          <w:noProof/>
          <w:lang w:bidi="ar-SA"/>
        </w:rPr>
        <w:t>and Nigeria</w:t>
      </w:r>
      <w:r w:rsidR="004555DB">
        <w:rPr>
          <w:rFonts w:ascii="Times New Roman" w:eastAsia="Calibri" w:hAnsi="Times New Roman"/>
          <w:noProof/>
          <w:lang w:bidi="he-IL"/>
        </w:rPr>
        <w:t xml:space="preserve">.  </w:t>
      </w:r>
    </w:p>
    <w:p w:rsidR="00E3324E" w:rsidRPr="00BF18F8" w:rsidRDefault="00E3324E" w:rsidP="00C32979">
      <w:pPr>
        <w:keepNext/>
        <w:jc w:val="center"/>
        <w:rPr>
          <w:bCs/>
        </w:rPr>
      </w:pPr>
      <w:bookmarkStart w:id="9" w:name="_Toc448664219"/>
      <w:bookmarkStart w:id="10" w:name="_Toc450569733"/>
      <w:r w:rsidRPr="00BF18F8">
        <w:rPr>
          <w:bCs/>
        </w:rPr>
        <w:t xml:space="preserve">Figure </w:t>
      </w:r>
      <w:r w:rsidR="0015339F">
        <w:rPr>
          <w:bCs/>
        </w:rPr>
        <w:fldChar w:fldCharType="begin"/>
      </w:r>
      <w:r w:rsidR="004409A1">
        <w:rPr>
          <w:bCs/>
        </w:rPr>
        <w:instrText xml:space="preserve"> SEQ Figure \* ARABIC </w:instrText>
      </w:r>
      <w:r w:rsidR="0015339F">
        <w:rPr>
          <w:bCs/>
        </w:rPr>
        <w:fldChar w:fldCharType="separate"/>
      </w:r>
      <w:r w:rsidR="00C962B2">
        <w:rPr>
          <w:bCs/>
          <w:noProof/>
        </w:rPr>
        <w:t>1</w:t>
      </w:r>
      <w:r w:rsidR="0015339F">
        <w:rPr>
          <w:bCs/>
        </w:rPr>
        <w:fldChar w:fldCharType="end"/>
      </w:r>
      <w:r w:rsidRPr="00BF18F8">
        <w:rPr>
          <w:bCs/>
        </w:rPr>
        <w:t xml:space="preserve"> </w:t>
      </w:r>
      <w:r w:rsidR="004724A3">
        <w:rPr>
          <w:bCs/>
        </w:rPr>
        <w:t>–</w:t>
      </w:r>
      <w:bookmarkEnd w:id="9"/>
      <w:r w:rsidR="004724A3">
        <w:rPr>
          <w:bCs/>
        </w:rPr>
        <w:t>Global Suic</w:t>
      </w:r>
      <w:r w:rsidR="00C32979">
        <w:rPr>
          <w:bCs/>
        </w:rPr>
        <w:t>ide Attacks, by Target, by Year, All Time</w:t>
      </w:r>
      <w:bookmarkEnd w:id="10"/>
    </w:p>
    <w:p w:rsidR="00E3324E" w:rsidRPr="003776BC" w:rsidRDefault="00E3324E" w:rsidP="00E3324E">
      <w:pPr>
        <w:contextualSpacing/>
        <w:rPr>
          <w:lang w:bidi="he-IL"/>
        </w:rPr>
      </w:pPr>
      <w:bookmarkStart w:id="11" w:name="_GoBack"/>
      <w:r w:rsidRPr="003776BC">
        <w:rPr>
          <w:noProof/>
          <w:lang w:bidi="he-IL"/>
        </w:rPr>
        <w:drawing>
          <wp:inline distT="0" distB="0" distL="0" distR="0" wp14:anchorId="35F7CE63" wp14:editId="7EB5788A">
            <wp:extent cx="5367847" cy="5326911"/>
            <wp:effectExtent l="0" t="0" r="4445" b="762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bookmarkEnd w:id="11"/>
    <w:p w:rsidR="007203C8" w:rsidRDefault="007203C8" w:rsidP="00A54D6D">
      <w:pPr>
        <w:ind w:firstLine="720"/>
        <w:contextualSpacing/>
        <w:rPr>
          <w:rFonts w:ascii="Times New Roman" w:eastAsia="Calibri" w:hAnsi="Times New Roman"/>
          <w:noProof/>
          <w:lang w:bidi="ar-SA"/>
        </w:rPr>
      </w:pPr>
      <w:r>
        <w:rPr>
          <w:rFonts w:ascii="Times New Roman" w:eastAsia="Calibri" w:hAnsi="Times New Roman"/>
          <w:noProof/>
          <w:lang w:bidi="he-IL"/>
        </w:rPr>
        <w:lastRenderedPageBreak/>
        <w:t xml:space="preserve">In terms of </w:t>
      </w:r>
      <w:r w:rsidR="006D0608">
        <w:rPr>
          <w:rFonts w:ascii="Times New Roman" w:eastAsia="Calibri" w:hAnsi="Times New Roman"/>
          <w:noProof/>
          <w:lang w:bidi="he-IL"/>
        </w:rPr>
        <w:t>effective kill rate, t</w:t>
      </w:r>
      <w:r>
        <w:rPr>
          <w:rFonts w:ascii="Times New Roman" w:eastAsia="Calibri" w:hAnsi="Times New Roman"/>
          <w:noProof/>
          <w:lang w:bidi="he-IL"/>
        </w:rPr>
        <w:t>he suicide bomb is one of the most devastating attacks an organization can conduct</w:t>
      </w:r>
      <w:r w:rsidR="004555DB">
        <w:rPr>
          <w:rFonts w:ascii="Times New Roman" w:eastAsia="Calibri" w:hAnsi="Times New Roman"/>
          <w:noProof/>
          <w:lang w:bidi="he-IL"/>
        </w:rPr>
        <w:t xml:space="preserve">.  </w:t>
      </w:r>
      <w:r w:rsidR="006D0608" w:rsidRPr="00BD3DCE">
        <w:rPr>
          <w:rFonts w:ascii="Times New Roman" w:eastAsia="Calibri" w:hAnsi="Times New Roman"/>
          <w:noProof/>
          <w:lang w:bidi="ar-SA"/>
        </w:rPr>
        <w:t>Suicide bombings kill more civilians than any other terror attack, including</w:t>
      </w:r>
      <w:r w:rsidR="006D0608">
        <w:rPr>
          <w:rFonts w:ascii="Times New Roman" w:eastAsia="Calibri" w:hAnsi="Times New Roman"/>
          <w:noProof/>
          <w:lang w:bidi="ar-SA"/>
        </w:rPr>
        <w:t xml:space="preserve"> Improvised Explosive Devices (</w:t>
      </w:r>
      <w:r w:rsidR="006D0608" w:rsidRPr="00BD3DCE">
        <w:rPr>
          <w:rFonts w:ascii="Times New Roman" w:eastAsia="Calibri" w:hAnsi="Times New Roman"/>
          <w:noProof/>
          <w:lang w:bidi="ar-SA"/>
        </w:rPr>
        <w:t>IED</w:t>
      </w:r>
      <w:r w:rsidR="006D0608">
        <w:rPr>
          <w:rFonts w:ascii="Times New Roman" w:eastAsia="Calibri" w:hAnsi="Times New Roman"/>
          <w:noProof/>
          <w:lang w:bidi="ar-SA"/>
        </w:rPr>
        <w:t>)</w:t>
      </w:r>
      <w:r w:rsidR="006D0608" w:rsidRPr="00BD3DCE">
        <w:rPr>
          <w:rFonts w:ascii="Times New Roman" w:eastAsia="Calibri" w:hAnsi="Times New Roman"/>
          <w:noProof/>
          <w:lang w:bidi="ar-SA"/>
        </w:rPr>
        <w:t>, with a</w:t>
      </w:r>
      <w:r w:rsidR="006D0608">
        <w:rPr>
          <w:rFonts w:ascii="Times New Roman" w:eastAsia="Calibri" w:hAnsi="Times New Roman"/>
          <w:noProof/>
          <w:lang w:bidi="ar-SA"/>
        </w:rPr>
        <w:t>n</w:t>
      </w:r>
      <w:r w:rsidR="006D0608" w:rsidRPr="00BD3DCE">
        <w:rPr>
          <w:rFonts w:ascii="Times New Roman" w:eastAsia="Calibri" w:hAnsi="Times New Roman"/>
          <w:noProof/>
          <w:lang w:bidi="ar-SA"/>
        </w:rPr>
        <w:t xml:space="preserve"> average of </w:t>
      </w:r>
      <w:r w:rsidR="0065626E">
        <w:rPr>
          <w:rFonts w:ascii="Times New Roman" w:eastAsia="Calibri" w:hAnsi="Times New Roman"/>
          <w:noProof/>
          <w:lang w:bidi="ar-SA"/>
        </w:rPr>
        <w:t>twelve</w:t>
      </w:r>
      <w:r w:rsidR="006D0608" w:rsidRPr="00BD3DCE">
        <w:rPr>
          <w:rFonts w:ascii="Times New Roman" w:eastAsia="Calibri" w:hAnsi="Times New Roman"/>
          <w:noProof/>
          <w:lang w:bidi="ar-SA"/>
        </w:rPr>
        <w:t xml:space="preserve"> </w:t>
      </w:r>
      <w:r w:rsidR="001C3E4D">
        <w:rPr>
          <w:rFonts w:ascii="Times New Roman" w:eastAsia="Calibri" w:hAnsi="Times New Roman"/>
          <w:noProof/>
          <w:lang w:bidi="ar-SA"/>
        </w:rPr>
        <w:t xml:space="preserve">killed </w:t>
      </w:r>
      <w:r w:rsidR="006D0608" w:rsidRPr="00BD3DCE">
        <w:rPr>
          <w:rFonts w:ascii="Times New Roman" w:eastAsia="Calibri" w:hAnsi="Times New Roman"/>
          <w:noProof/>
          <w:lang w:bidi="ar-SA"/>
        </w:rPr>
        <w:t>per attack</w:t>
      </w:r>
      <w:r w:rsidR="004555DB">
        <w:rPr>
          <w:rFonts w:ascii="Times New Roman" w:eastAsia="Calibri" w:hAnsi="Times New Roman"/>
          <w:noProof/>
          <w:lang w:bidi="ar-SA"/>
        </w:rPr>
        <w:t xml:space="preserve">.  </w:t>
      </w:r>
      <w:r w:rsidR="006D0608" w:rsidRPr="00BD3DCE">
        <w:rPr>
          <w:rFonts w:ascii="Times New Roman" w:eastAsia="Calibri" w:hAnsi="Times New Roman"/>
          <w:noProof/>
          <w:lang w:bidi="ar-SA"/>
        </w:rPr>
        <w:t xml:space="preserve">The conventional terrorist incident </w:t>
      </w:r>
      <w:r w:rsidR="0065626E">
        <w:rPr>
          <w:rFonts w:ascii="Times New Roman" w:eastAsia="Calibri" w:hAnsi="Times New Roman"/>
          <w:noProof/>
          <w:lang w:bidi="ar-SA"/>
        </w:rPr>
        <w:t xml:space="preserve">only </w:t>
      </w:r>
      <w:r w:rsidR="006D0608" w:rsidRPr="00BD3DCE">
        <w:rPr>
          <w:rFonts w:ascii="Times New Roman" w:eastAsia="Calibri" w:hAnsi="Times New Roman"/>
          <w:noProof/>
          <w:lang w:bidi="ar-SA"/>
        </w:rPr>
        <w:t>kills one person per attack.</w:t>
      </w:r>
      <w:r w:rsidR="006D0608" w:rsidRPr="00BD3DCE">
        <w:rPr>
          <w:rFonts w:ascii="Times New Roman" w:eastAsia="Calibri" w:hAnsi="Times New Roman"/>
          <w:noProof/>
          <w:vertAlign w:val="superscript"/>
          <w:lang w:bidi="ar-SA"/>
        </w:rPr>
        <w:footnoteReference w:id="6"/>
      </w:r>
      <w:r w:rsidR="004555DB">
        <w:rPr>
          <w:rFonts w:ascii="Times New Roman" w:eastAsia="Calibri" w:hAnsi="Times New Roman"/>
          <w:noProof/>
          <w:lang w:bidi="ar-SA"/>
        </w:rPr>
        <w:t xml:space="preserve"> </w:t>
      </w:r>
      <w:r w:rsidR="0065626E">
        <w:rPr>
          <w:rFonts w:ascii="Times New Roman" w:eastAsia="Calibri" w:hAnsi="Times New Roman"/>
          <w:noProof/>
          <w:lang w:bidi="ar-SA"/>
        </w:rPr>
        <w:t xml:space="preserve"> </w:t>
      </w:r>
      <w:r w:rsidR="004E37F1" w:rsidRPr="00BD3DCE">
        <w:rPr>
          <w:rFonts w:ascii="Times New Roman" w:eastAsia="Calibri" w:hAnsi="Times New Roman"/>
          <w:noProof/>
          <w:lang w:bidi="ar-SA"/>
        </w:rPr>
        <w:t>The leader of Al Qaeda, Ayman Zawahir</w:t>
      </w:r>
      <w:r w:rsidR="0097526B">
        <w:rPr>
          <w:rFonts w:ascii="Times New Roman" w:eastAsia="Calibri" w:hAnsi="Times New Roman"/>
          <w:noProof/>
          <w:lang w:bidi="ar-SA"/>
        </w:rPr>
        <w:t>i, describes the suicide bomb</w:t>
      </w:r>
      <w:r w:rsidR="004E37F1" w:rsidRPr="00BD3DCE">
        <w:rPr>
          <w:rFonts w:ascii="Times New Roman" w:eastAsia="Calibri" w:hAnsi="Times New Roman"/>
          <w:noProof/>
          <w:lang w:bidi="ar-SA"/>
        </w:rPr>
        <w:t xml:space="preserve"> as the </w:t>
      </w:r>
      <w:r w:rsidR="004E37F1" w:rsidRPr="00BD3DCE">
        <w:rPr>
          <w:rFonts w:ascii="Times New Roman" w:hAnsi="Times New Roman"/>
          <w:noProof/>
          <w:lang w:bidi="ar-SA"/>
        </w:rPr>
        <w:t>“most successful in inflicting damage on the opponent and the least costly in terms of casualties among the Mujahedeen.”</w:t>
      </w:r>
      <w:r w:rsidR="004E37F1" w:rsidRPr="00BD3DCE">
        <w:rPr>
          <w:rFonts w:ascii="Times New Roman" w:eastAsia="Calibri" w:hAnsi="Times New Roman"/>
          <w:noProof/>
          <w:vertAlign w:val="superscript"/>
          <w:lang w:bidi="ar-SA"/>
        </w:rPr>
        <w:footnoteReference w:id="7"/>
      </w:r>
      <w:r w:rsidR="005B2B85">
        <w:rPr>
          <w:rFonts w:ascii="Times New Roman" w:hAnsi="Times New Roman"/>
          <w:noProof/>
          <w:lang w:bidi="ar-SA"/>
        </w:rPr>
        <w:t xml:space="preserve">  </w:t>
      </w:r>
      <w:r w:rsidR="006D0608" w:rsidRPr="00BD3DCE">
        <w:rPr>
          <w:rFonts w:ascii="Times New Roman" w:eastAsia="Calibri" w:hAnsi="Times New Roman"/>
          <w:noProof/>
          <w:lang w:bidi="ar-SA"/>
        </w:rPr>
        <w:t xml:space="preserve">Because of these </w:t>
      </w:r>
      <w:r w:rsidR="006D0608">
        <w:rPr>
          <w:rFonts w:ascii="Times New Roman" w:eastAsia="Calibri" w:hAnsi="Times New Roman"/>
          <w:noProof/>
          <w:lang w:bidi="ar-SA"/>
        </w:rPr>
        <w:t>characteristics</w:t>
      </w:r>
      <w:r w:rsidR="006D0608" w:rsidRPr="00BD3DCE">
        <w:rPr>
          <w:rFonts w:ascii="Times New Roman" w:eastAsia="Calibri" w:hAnsi="Times New Roman"/>
          <w:noProof/>
          <w:lang w:bidi="ar-SA"/>
        </w:rPr>
        <w:t>, suicide bombing campaigns present a difficult challenge to security forces, particularly when the</w:t>
      </w:r>
      <w:r w:rsidR="006D0608">
        <w:rPr>
          <w:rFonts w:ascii="Times New Roman" w:eastAsia="Calibri" w:hAnsi="Times New Roman"/>
          <w:noProof/>
          <w:lang w:bidi="ar-SA"/>
        </w:rPr>
        <w:t>se forces</w:t>
      </w:r>
      <w:r w:rsidR="006D0608" w:rsidRPr="00BD3DCE">
        <w:rPr>
          <w:rFonts w:ascii="Times New Roman" w:eastAsia="Calibri" w:hAnsi="Times New Roman"/>
          <w:noProof/>
          <w:lang w:bidi="ar-SA"/>
        </w:rPr>
        <w:t xml:space="preserve"> </w:t>
      </w:r>
      <w:r w:rsidR="00A54D6D">
        <w:rPr>
          <w:rFonts w:ascii="Times New Roman" w:eastAsia="Calibri" w:hAnsi="Times New Roman"/>
          <w:noProof/>
          <w:lang w:bidi="ar-SA"/>
        </w:rPr>
        <w:t>must</w:t>
      </w:r>
      <w:r w:rsidR="006D0608" w:rsidRPr="00BD3DCE">
        <w:rPr>
          <w:rFonts w:ascii="Times New Roman" w:eastAsia="Calibri" w:hAnsi="Times New Roman"/>
          <w:noProof/>
          <w:lang w:bidi="ar-SA"/>
        </w:rPr>
        <w:t xml:space="preserve"> provide security to </w:t>
      </w:r>
      <w:r w:rsidR="006D0608">
        <w:rPr>
          <w:rFonts w:ascii="Times New Roman" w:eastAsia="Calibri" w:hAnsi="Times New Roman"/>
          <w:noProof/>
          <w:lang w:bidi="ar-SA"/>
        </w:rPr>
        <w:t>soft targets</w:t>
      </w:r>
      <w:r w:rsidR="004555DB">
        <w:rPr>
          <w:rFonts w:ascii="Times New Roman" w:eastAsia="Calibri" w:hAnsi="Times New Roman"/>
          <w:noProof/>
          <w:lang w:bidi="ar-SA"/>
        </w:rPr>
        <w:t xml:space="preserve">.  </w:t>
      </w:r>
      <w:r w:rsidR="006D0608">
        <w:rPr>
          <w:rFonts w:ascii="Times New Roman" w:eastAsia="Calibri" w:hAnsi="Times New Roman"/>
          <w:noProof/>
          <w:lang w:bidi="ar-SA"/>
        </w:rPr>
        <w:t>The second order effects of terrori</w:t>
      </w:r>
      <w:r w:rsidR="004E37F1">
        <w:rPr>
          <w:rFonts w:ascii="Times New Roman" w:eastAsia="Calibri" w:hAnsi="Times New Roman"/>
          <w:noProof/>
          <w:lang w:bidi="ar-SA"/>
        </w:rPr>
        <w:t>fying</w:t>
      </w:r>
      <w:r w:rsidR="006D0608">
        <w:rPr>
          <w:rFonts w:ascii="Times New Roman" w:eastAsia="Calibri" w:hAnsi="Times New Roman"/>
          <w:noProof/>
          <w:lang w:bidi="ar-SA"/>
        </w:rPr>
        <w:t xml:space="preserve"> the enemy populace, which is the political center of gravity among democracies, </w:t>
      </w:r>
      <w:r w:rsidR="000468D5">
        <w:rPr>
          <w:rFonts w:ascii="Times New Roman" w:eastAsia="Calibri" w:hAnsi="Times New Roman"/>
          <w:noProof/>
          <w:lang w:bidi="ar-SA"/>
        </w:rPr>
        <w:t>increases its viability as a tool</w:t>
      </w:r>
      <w:r w:rsidR="004555DB">
        <w:rPr>
          <w:rFonts w:ascii="Times New Roman" w:eastAsia="Calibri" w:hAnsi="Times New Roman"/>
          <w:noProof/>
          <w:lang w:bidi="ar-SA"/>
        </w:rPr>
        <w:t xml:space="preserve">.  </w:t>
      </w:r>
    </w:p>
    <w:p w:rsidR="00413BD4" w:rsidRDefault="00F63F0A" w:rsidP="003931AE">
      <w:pPr>
        <w:ind w:firstLine="720"/>
        <w:contextualSpacing/>
        <w:rPr>
          <w:rFonts w:ascii="Times New Roman" w:eastAsia="Calibri" w:hAnsi="Times New Roman"/>
          <w:noProof/>
          <w:lang w:bidi="ar-SA"/>
        </w:rPr>
      </w:pPr>
      <w:r>
        <w:rPr>
          <w:rFonts w:ascii="Times New Roman" w:eastAsia="Calibri" w:hAnsi="Times New Roman"/>
          <w:noProof/>
          <w:lang w:bidi="ar-SA"/>
        </w:rPr>
        <w:t xml:space="preserve">The purpose of this paper is to answer </w:t>
      </w:r>
      <w:r w:rsidRPr="00F63F0A">
        <w:rPr>
          <w:rFonts w:ascii="Times New Roman" w:eastAsia="Calibri" w:hAnsi="Times New Roman"/>
          <w:i/>
          <w:iCs/>
          <w:noProof/>
          <w:lang w:bidi="ar-SA"/>
        </w:rPr>
        <w:t xml:space="preserve">why </w:t>
      </w:r>
      <w:r>
        <w:rPr>
          <w:rFonts w:ascii="Times New Roman" w:eastAsia="Calibri" w:hAnsi="Times New Roman"/>
          <w:noProof/>
          <w:lang w:bidi="ar-SA"/>
        </w:rPr>
        <w:t>individuals will voluntarily kil</w:t>
      </w:r>
      <w:r w:rsidR="00D9014B">
        <w:rPr>
          <w:rFonts w:ascii="Times New Roman" w:eastAsia="Calibri" w:hAnsi="Times New Roman"/>
          <w:noProof/>
          <w:lang w:bidi="ar-SA"/>
        </w:rPr>
        <w:t>l themselves to kill civilians</w:t>
      </w:r>
      <w:r w:rsidR="00985C42">
        <w:rPr>
          <w:rFonts w:ascii="Times New Roman" w:eastAsia="Calibri" w:hAnsi="Times New Roman"/>
          <w:noProof/>
          <w:lang w:bidi="ar-SA"/>
        </w:rPr>
        <w:t>, and in doing so, explain the dramatic rise in suicide attacks beginning in 2000</w:t>
      </w:r>
      <w:r w:rsidR="004555DB">
        <w:rPr>
          <w:rFonts w:ascii="Times New Roman" w:eastAsia="Calibri" w:hAnsi="Times New Roman"/>
          <w:noProof/>
          <w:lang w:bidi="ar-SA"/>
        </w:rPr>
        <w:t xml:space="preserve">.  </w:t>
      </w:r>
      <w:r w:rsidR="00D9014B">
        <w:rPr>
          <w:rFonts w:ascii="Times New Roman" w:eastAsia="Calibri" w:hAnsi="Times New Roman"/>
          <w:noProof/>
          <w:lang w:bidi="ar-SA"/>
        </w:rPr>
        <w:t xml:space="preserve">No </w:t>
      </w:r>
      <w:r w:rsidR="00C218FA" w:rsidRPr="00BD3DCE">
        <w:rPr>
          <w:rFonts w:ascii="Times New Roman" w:eastAsia="Calibri" w:hAnsi="Times New Roman"/>
          <w:noProof/>
          <w:lang w:bidi="ar-SA"/>
        </w:rPr>
        <w:t>model to explain suicide terrorism will work if it ignores the method of payload delivery</w:t>
      </w:r>
      <w:r w:rsidR="004555DB">
        <w:rPr>
          <w:rFonts w:ascii="Times New Roman" w:eastAsia="Calibri" w:hAnsi="Times New Roman"/>
          <w:noProof/>
          <w:lang w:bidi="ar-SA"/>
        </w:rPr>
        <w:t xml:space="preserve">.  </w:t>
      </w:r>
      <w:r w:rsidR="00D4304B">
        <w:rPr>
          <w:rFonts w:ascii="Times New Roman" w:eastAsia="Calibri" w:hAnsi="Times New Roman"/>
          <w:noProof/>
          <w:lang w:bidi="ar-SA"/>
        </w:rPr>
        <w:t xml:space="preserve">A suicide attack, by definition, is one in which the tactic </w:t>
      </w:r>
      <w:r w:rsidR="00E8717D" w:rsidRPr="00BD3DCE">
        <w:rPr>
          <w:rFonts w:ascii="Times New Roman" w:eastAsia="Calibri" w:hAnsi="Times New Roman"/>
          <w:noProof/>
          <w:lang w:bidi="ar-SA"/>
        </w:rPr>
        <w:t xml:space="preserve">succeeds </w:t>
      </w:r>
      <w:r w:rsidR="00E8717D" w:rsidRPr="00BD3DCE">
        <w:rPr>
          <w:rFonts w:ascii="Times New Roman" w:eastAsia="Calibri" w:hAnsi="Times New Roman"/>
          <w:i/>
          <w:iCs/>
          <w:noProof/>
          <w:lang w:bidi="ar-SA"/>
        </w:rPr>
        <w:t xml:space="preserve">only </w:t>
      </w:r>
      <w:r w:rsidR="00E8717D" w:rsidRPr="00BD3DCE">
        <w:rPr>
          <w:rFonts w:ascii="Times New Roman" w:eastAsia="Calibri" w:hAnsi="Times New Roman"/>
          <w:noProof/>
          <w:lang w:bidi="ar-SA"/>
        </w:rPr>
        <w:t>through the intention</w:t>
      </w:r>
      <w:r w:rsidR="00E8717D">
        <w:rPr>
          <w:rFonts w:ascii="Times New Roman" w:eastAsia="Calibri" w:hAnsi="Times New Roman"/>
          <w:noProof/>
          <w:lang w:bidi="ar-SA"/>
        </w:rPr>
        <w:t>al suicide of the attacker.</w:t>
      </w:r>
      <w:r w:rsidR="002222A8">
        <w:rPr>
          <w:rStyle w:val="FootnoteReference"/>
          <w:rFonts w:ascii="Times New Roman" w:eastAsia="Calibri" w:hAnsi="Times New Roman"/>
          <w:noProof/>
          <w:lang w:bidi="ar-SA"/>
        </w:rPr>
        <w:footnoteReference w:id="8"/>
      </w:r>
      <w:r w:rsidR="004555DB">
        <w:rPr>
          <w:rFonts w:ascii="Times New Roman" w:eastAsia="Calibri" w:hAnsi="Times New Roman"/>
          <w:noProof/>
          <w:lang w:bidi="ar-SA"/>
        </w:rPr>
        <w:t xml:space="preserve"> </w:t>
      </w:r>
      <w:r w:rsidR="0065626E">
        <w:rPr>
          <w:rFonts w:ascii="Times New Roman" w:eastAsia="Calibri" w:hAnsi="Times New Roman"/>
          <w:noProof/>
          <w:lang w:bidi="ar-SA"/>
        </w:rPr>
        <w:t xml:space="preserve"> </w:t>
      </w:r>
      <w:r w:rsidR="00141FAB">
        <w:rPr>
          <w:rFonts w:ascii="Times New Roman" w:eastAsia="Calibri" w:hAnsi="Times New Roman"/>
          <w:noProof/>
          <w:lang w:bidi="ar-SA"/>
        </w:rPr>
        <w:t xml:space="preserve">Suicide terrorism </w:t>
      </w:r>
      <w:r w:rsidR="00141FAB" w:rsidRPr="00BD3DCE">
        <w:rPr>
          <w:rFonts w:ascii="Times New Roman" w:eastAsia="Calibri" w:hAnsi="Times New Roman"/>
          <w:noProof/>
          <w:lang w:bidi="ar-SA"/>
        </w:rPr>
        <w:lastRenderedPageBreak/>
        <w:t>conflates two separate moral acts</w:t>
      </w:r>
      <w:r w:rsidR="00141FAB">
        <w:rPr>
          <w:rFonts w:ascii="Times New Roman" w:eastAsia="Calibri" w:hAnsi="Times New Roman"/>
          <w:noProof/>
          <w:lang w:bidi="ar-SA"/>
        </w:rPr>
        <w:t>—murder and suicide</w:t>
      </w:r>
      <w:r w:rsidR="00141FAB" w:rsidRPr="00BD3DCE">
        <w:rPr>
          <w:rFonts w:ascii="Times New Roman" w:eastAsia="Calibri" w:hAnsi="Times New Roman"/>
          <w:noProof/>
          <w:lang w:bidi="ar-SA"/>
        </w:rPr>
        <w:t>.</w:t>
      </w:r>
      <w:r w:rsidR="00141FAB" w:rsidRPr="00BD3DCE">
        <w:rPr>
          <w:rFonts w:ascii="Times New Roman" w:eastAsia="Calibri" w:hAnsi="Times New Roman"/>
          <w:noProof/>
          <w:vertAlign w:val="superscript"/>
          <w:lang w:bidi="ar-SA"/>
        </w:rPr>
        <w:footnoteReference w:id="9"/>
      </w:r>
      <w:r w:rsidR="00141FAB">
        <w:rPr>
          <w:rFonts w:ascii="Times New Roman" w:eastAsia="Calibri" w:hAnsi="Times New Roman"/>
          <w:noProof/>
          <w:lang w:bidi="ar-SA"/>
        </w:rPr>
        <w:t xml:space="preserve">  </w:t>
      </w:r>
      <w:r w:rsidR="003A440B">
        <w:rPr>
          <w:rFonts w:ascii="Times New Roman" w:eastAsia="Calibri" w:hAnsi="Times New Roman"/>
          <w:noProof/>
          <w:lang w:bidi="ar-SA"/>
        </w:rPr>
        <w:t>Thus, to explain the phenomenon</w:t>
      </w:r>
      <w:r w:rsidR="001C3E4D">
        <w:rPr>
          <w:rFonts w:ascii="Times New Roman" w:eastAsia="Calibri" w:hAnsi="Times New Roman"/>
          <w:noProof/>
          <w:lang w:bidi="ar-SA"/>
        </w:rPr>
        <w:t xml:space="preserve">, we must </w:t>
      </w:r>
      <w:r w:rsidR="003A440B">
        <w:rPr>
          <w:rFonts w:ascii="Times New Roman" w:eastAsia="Calibri" w:hAnsi="Times New Roman"/>
          <w:noProof/>
          <w:lang w:bidi="ar-SA"/>
        </w:rPr>
        <w:t xml:space="preserve">incorporate the decision making of the individual </w:t>
      </w:r>
      <w:r w:rsidR="00141FAB">
        <w:rPr>
          <w:rFonts w:ascii="Times New Roman" w:eastAsia="Calibri" w:hAnsi="Times New Roman"/>
          <w:noProof/>
          <w:lang w:bidi="ar-SA"/>
        </w:rPr>
        <w:t xml:space="preserve">to </w:t>
      </w:r>
      <w:r w:rsidR="003931AE">
        <w:rPr>
          <w:rFonts w:ascii="Times New Roman" w:eastAsia="Calibri" w:hAnsi="Times New Roman"/>
          <w:noProof/>
          <w:lang w:bidi="ar-SA"/>
        </w:rPr>
        <w:t>transgress two separate moral boundaries</w:t>
      </w:r>
      <w:r w:rsidR="003A440B">
        <w:rPr>
          <w:rFonts w:ascii="Times New Roman" w:eastAsia="Calibri" w:hAnsi="Times New Roman"/>
          <w:noProof/>
          <w:lang w:bidi="ar-SA"/>
        </w:rPr>
        <w:t xml:space="preserve">.  </w:t>
      </w:r>
    </w:p>
    <w:p w:rsidR="00FB33AA" w:rsidRDefault="005B2B85" w:rsidP="00E74598">
      <w:pPr>
        <w:ind w:firstLine="720"/>
        <w:contextualSpacing/>
        <w:rPr>
          <w:rFonts w:ascii="Times New Roman" w:eastAsia="Calibri" w:hAnsi="Times New Roman"/>
          <w:noProof/>
          <w:lang w:bidi="ar-SA"/>
        </w:rPr>
      </w:pPr>
      <w:r>
        <w:rPr>
          <w:rFonts w:ascii="Times New Roman" w:eastAsia="Calibri" w:hAnsi="Times New Roman"/>
          <w:noProof/>
          <w:lang w:bidi="ar-SA"/>
        </w:rPr>
        <w:t>In suicide terrorism, t</w:t>
      </w:r>
      <w:r w:rsidR="00413BD4">
        <w:rPr>
          <w:rFonts w:ascii="Times New Roman" w:eastAsia="Calibri" w:hAnsi="Times New Roman"/>
          <w:noProof/>
          <w:lang w:bidi="ar-SA"/>
        </w:rPr>
        <w:t>here are five motives why an individual wil</w:t>
      </w:r>
      <w:r w:rsidR="00141FAB">
        <w:rPr>
          <w:rFonts w:ascii="Times New Roman" w:eastAsia="Calibri" w:hAnsi="Times New Roman"/>
          <w:noProof/>
          <w:lang w:bidi="ar-SA"/>
        </w:rPr>
        <w:t xml:space="preserve">l kill himself and kill others.  These motives may overlap to some degree, but they cover a </w:t>
      </w:r>
      <w:r w:rsidR="00413BD4">
        <w:rPr>
          <w:rFonts w:ascii="Times New Roman" w:eastAsia="Calibri" w:hAnsi="Times New Roman"/>
          <w:noProof/>
          <w:lang w:bidi="ar-SA"/>
        </w:rPr>
        <w:t xml:space="preserve">spectrum </w:t>
      </w:r>
      <w:r w:rsidR="00141FAB">
        <w:rPr>
          <w:rFonts w:ascii="Times New Roman" w:eastAsia="Calibri" w:hAnsi="Times New Roman"/>
          <w:noProof/>
          <w:lang w:bidi="ar-SA"/>
        </w:rPr>
        <w:t>of</w:t>
      </w:r>
      <w:r w:rsidR="00413BD4">
        <w:rPr>
          <w:rFonts w:ascii="Times New Roman" w:eastAsia="Calibri" w:hAnsi="Times New Roman"/>
          <w:noProof/>
          <w:lang w:bidi="ar-SA"/>
        </w:rPr>
        <w:t xml:space="preserve"> external to internal</w:t>
      </w:r>
      <w:r w:rsidR="00141FAB">
        <w:rPr>
          <w:rFonts w:ascii="Times New Roman" w:eastAsia="Calibri" w:hAnsi="Times New Roman"/>
          <w:noProof/>
          <w:lang w:bidi="ar-SA"/>
        </w:rPr>
        <w:t xml:space="preserve"> drivers.  The </w:t>
      </w:r>
      <w:r w:rsidR="00413BD4">
        <w:rPr>
          <w:rFonts w:ascii="Times New Roman" w:eastAsia="Calibri" w:hAnsi="Times New Roman"/>
          <w:noProof/>
          <w:lang w:bidi="ar-SA"/>
        </w:rPr>
        <w:t xml:space="preserve">first </w:t>
      </w:r>
      <w:r w:rsidR="00141FAB">
        <w:rPr>
          <w:rFonts w:ascii="Times New Roman" w:eastAsia="Calibri" w:hAnsi="Times New Roman"/>
          <w:noProof/>
          <w:lang w:bidi="ar-SA"/>
        </w:rPr>
        <w:t xml:space="preserve">external driver </w:t>
      </w:r>
      <w:r w:rsidR="00413BD4">
        <w:rPr>
          <w:rFonts w:ascii="Times New Roman" w:eastAsia="Calibri" w:hAnsi="Times New Roman"/>
          <w:noProof/>
          <w:lang w:bidi="ar-SA"/>
        </w:rPr>
        <w:t xml:space="preserve">is </w:t>
      </w:r>
      <w:r w:rsidR="00413BD4" w:rsidRPr="00C40362">
        <w:rPr>
          <w:rFonts w:ascii="Times New Roman" w:eastAsia="Calibri" w:hAnsi="Times New Roman"/>
          <w:i/>
          <w:noProof/>
          <w:lang w:bidi="ar-SA"/>
        </w:rPr>
        <w:t>coercion</w:t>
      </w:r>
      <w:r w:rsidR="00413BD4">
        <w:rPr>
          <w:rFonts w:ascii="Times New Roman" w:eastAsia="Calibri" w:hAnsi="Times New Roman"/>
          <w:noProof/>
          <w:lang w:bidi="ar-SA"/>
        </w:rPr>
        <w:t>.  Some suicide bombers are forced by the organization to conduct a suicide attack.  The Kurdistan Worker’s Party (PKK) and the Liberation Tigers of Tamil Eelam (LTTE) conscripted their respective bombers, and those who would not go through with the act would be ostracized from the community.</w:t>
      </w:r>
      <w:r w:rsidR="00C40362">
        <w:rPr>
          <w:rStyle w:val="FootnoteReference"/>
          <w:rFonts w:ascii="Times New Roman" w:eastAsia="Calibri" w:hAnsi="Times New Roman"/>
          <w:noProof/>
          <w:lang w:bidi="ar-SA"/>
        </w:rPr>
        <w:footnoteReference w:id="10"/>
      </w:r>
      <w:r w:rsidR="008578FE">
        <w:rPr>
          <w:rFonts w:ascii="Times New Roman" w:eastAsia="Calibri" w:hAnsi="Times New Roman"/>
          <w:noProof/>
          <w:lang w:bidi="ar-SA"/>
        </w:rPr>
        <w:t xml:space="preserve">  </w:t>
      </w:r>
      <w:r w:rsidR="00413BD4">
        <w:rPr>
          <w:rFonts w:ascii="Times New Roman" w:eastAsia="Calibri" w:hAnsi="Times New Roman"/>
          <w:noProof/>
          <w:lang w:bidi="ar-SA"/>
        </w:rPr>
        <w:t xml:space="preserve">The second motive is </w:t>
      </w:r>
      <w:r w:rsidR="00C40362" w:rsidRPr="00C40362">
        <w:rPr>
          <w:rFonts w:ascii="Times New Roman" w:eastAsia="Calibri" w:hAnsi="Times New Roman"/>
          <w:i/>
          <w:noProof/>
          <w:lang w:bidi="ar-SA"/>
        </w:rPr>
        <w:t>financial incentive</w:t>
      </w:r>
      <w:r w:rsidR="004B7320">
        <w:rPr>
          <w:rFonts w:ascii="Times New Roman" w:eastAsia="Calibri" w:hAnsi="Times New Roman"/>
          <w:noProof/>
          <w:lang w:bidi="ar-SA"/>
        </w:rPr>
        <w:t>.  In</w:t>
      </w:r>
      <w:r w:rsidR="004B7320">
        <w:rPr>
          <w:lang w:bidi="he-IL"/>
        </w:rPr>
        <w:t xml:space="preserve"> the early 2000s</w:t>
      </w:r>
      <w:r w:rsidR="00C40362">
        <w:rPr>
          <w:lang w:bidi="he-IL"/>
        </w:rPr>
        <w:t xml:space="preserve">, Iraqi’s </w:t>
      </w:r>
      <w:r w:rsidR="00413BD4">
        <w:rPr>
          <w:lang w:bidi="he-IL"/>
        </w:rPr>
        <w:t>Saddam Hu</w:t>
      </w:r>
      <w:r w:rsidR="003931AE">
        <w:rPr>
          <w:lang w:bidi="he-IL"/>
        </w:rPr>
        <w:t>ssein funneled money from the United Nations (UN)</w:t>
      </w:r>
      <w:r w:rsidR="00413BD4">
        <w:rPr>
          <w:lang w:bidi="he-IL"/>
        </w:rPr>
        <w:t xml:space="preserve"> oil-for-food program intended </w:t>
      </w:r>
      <w:r w:rsidR="003931AE">
        <w:rPr>
          <w:lang w:bidi="he-IL"/>
        </w:rPr>
        <w:t xml:space="preserve">to feed </w:t>
      </w:r>
      <w:r w:rsidR="00413BD4">
        <w:rPr>
          <w:lang w:bidi="he-IL"/>
        </w:rPr>
        <w:t>Iraqi civilians to the families of Palestinian suicide bombers, with payments to each family between $15,000-25,000.</w:t>
      </w:r>
      <w:r w:rsidR="00413BD4">
        <w:rPr>
          <w:rStyle w:val="FootnoteReference"/>
          <w:lang w:bidi="he-IL"/>
        </w:rPr>
        <w:footnoteReference w:id="11"/>
      </w:r>
      <w:r w:rsidR="00E74598">
        <w:rPr>
          <w:lang w:bidi="he-IL"/>
        </w:rPr>
        <w:t xml:space="preserve">  </w:t>
      </w:r>
      <w:r w:rsidR="00C40362">
        <w:rPr>
          <w:lang w:bidi="he-IL"/>
        </w:rPr>
        <w:t>Thus, s</w:t>
      </w:r>
      <w:r w:rsidR="004B7320">
        <w:rPr>
          <w:lang w:bidi="he-IL"/>
        </w:rPr>
        <w:t>ome Palestinians likely choose to become a martyr in able to help</w:t>
      </w:r>
      <w:r w:rsidR="003931AE">
        <w:rPr>
          <w:lang w:bidi="he-IL"/>
        </w:rPr>
        <w:t xml:space="preserve"> their</w:t>
      </w:r>
      <w:r w:rsidR="004B7320">
        <w:rPr>
          <w:lang w:bidi="he-IL"/>
        </w:rPr>
        <w:t xml:space="preserve"> struggling families.  The third motive is </w:t>
      </w:r>
      <w:r w:rsidR="004B7320" w:rsidRPr="00C40362">
        <w:rPr>
          <w:i/>
          <w:lang w:bidi="he-IL"/>
        </w:rPr>
        <w:t>revenge</w:t>
      </w:r>
      <w:r w:rsidR="00C40362">
        <w:rPr>
          <w:lang w:bidi="he-IL"/>
        </w:rPr>
        <w:t>, which straddles external and internal drivers</w:t>
      </w:r>
      <w:r w:rsidR="004B7320">
        <w:rPr>
          <w:lang w:bidi="he-IL"/>
        </w:rPr>
        <w:t xml:space="preserve">.  </w:t>
      </w:r>
      <w:r w:rsidR="00C40362">
        <w:rPr>
          <w:lang w:bidi="he-IL"/>
        </w:rPr>
        <w:t>For example, o</w:t>
      </w:r>
      <w:r w:rsidR="004B7320">
        <w:rPr>
          <w:lang w:bidi="he-IL"/>
        </w:rPr>
        <w:t xml:space="preserve">ne female Chechen martyr conducted a suicide </w:t>
      </w:r>
      <w:r w:rsidR="00C40362">
        <w:rPr>
          <w:lang w:bidi="he-IL"/>
        </w:rPr>
        <w:t>attack</w:t>
      </w:r>
      <w:r w:rsidR="004B7320">
        <w:rPr>
          <w:lang w:bidi="he-IL"/>
        </w:rPr>
        <w:t xml:space="preserve"> near the Russian military unit responsible for the torture and death of her husband.</w:t>
      </w:r>
      <w:r w:rsidR="004B7320">
        <w:rPr>
          <w:rStyle w:val="FootnoteReference"/>
          <w:lang w:bidi="he-IL"/>
        </w:rPr>
        <w:footnoteReference w:id="12"/>
      </w:r>
      <w:r w:rsidR="004B7320">
        <w:rPr>
          <w:lang w:bidi="he-IL"/>
        </w:rPr>
        <w:t xml:space="preserve">  </w:t>
      </w:r>
      <w:r w:rsidR="003931AE">
        <w:rPr>
          <w:lang w:bidi="he-IL"/>
        </w:rPr>
        <w:t>Similar stories can be found</w:t>
      </w:r>
      <w:r w:rsidR="00C40362">
        <w:rPr>
          <w:lang w:bidi="he-IL"/>
        </w:rPr>
        <w:t xml:space="preserve"> in other suicide bombing campaigns.  </w:t>
      </w:r>
      <w:r w:rsidR="004B7320">
        <w:rPr>
          <w:lang w:bidi="he-IL"/>
        </w:rPr>
        <w:t>The fourth motive is</w:t>
      </w:r>
      <w:r w:rsidR="003931AE">
        <w:rPr>
          <w:lang w:bidi="he-IL"/>
        </w:rPr>
        <w:t xml:space="preserve"> to</w:t>
      </w:r>
      <w:r w:rsidR="004B7320">
        <w:rPr>
          <w:lang w:bidi="he-IL"/>
        </w:rPr>
        <w:t xml:space="preserve"> </w:t>
      </w:r>
      <w:r w:rsidR="004B7320" w:rsidRPr="00C40362">
        <w:rPr>
          <w:i/>
          <w:lang w:bidi="he-IL"/>
        </w:rPr>
        <w:t>escape</w:t>
      </w:r>
      <w:r w:rsidR="00C40362" w:rsidRPr="00C40362">
        <w:rPr>
          <w:i/>
          <w:lang w:bidi="he-IL"/>
        </w:rPr>
        <w:t xml:space="preserve"> from life</w:t>
      </w:r>
      <w:r w:rsidR="004B7320">
        <w:rPr>
          <w:lang w:bidi="he-IL"/>
        </w:rPr>
        <w:t xml:space="preserve">.  </w:t>
      </w:r>
      <w:r w:rsidR="00C40362">
        <w:rPr>
          <w:lang w:bidi="he-IL"/>
        </w:rPr>
        <w:t>Some</w:t>
      </w:r>
      <w:r w:rsidR="004B7320">
        <w:rPr>
          <w:lang w:bidi="he-IL"/>
        </w:rPr>
        <w:t xml:space="preserve"> </w:t>
      </w:r>
      <w:r w:rsidR="004B7320">
        <w:rPr>
          <w:lang w:bidi="he-IL"/>
        </w:rPr>
        <w:lastRenderedPageBreak/>
        <w:t>suicide bombers may have been suffering from major depression disorder, and used the martyrdom narrative as a socially acceptable means to commit suicide.</w:t>
      </w:r>
      <w:r w:rsidR="00257C34">
        <w:rPr>
          <w:rStyle w:val="FootnoteReference"/>
          <w:lang w:bidi="he-IL"/>
        </w:rPr>
        <w:footnoteReference w:id="13"/>
      </w:r>
    </w:p>
    <w:p w:rsidR="007D079E" w:rsidRDefault="008E6C80" w:rsidP="004C3E76">
      <w:pPr>
        <w:ind w:firstLine="720"/>
        <w:contextualSpacing/>
        <w:rPr>
          <w:rFonts w:ascii="Times New Roman" w:eastAsia="Calibri" w:hAnsi="Times New Roman"/>
          <w:noProof/>
          <w:lang w:bidi="ar-SA"/>
        </w:rPr>
      </w:pPr>
      <w:r>
        <w:rPr>
          <w:rFonts w:ascii="Times New Roman" w:eastAsia="Calibri" w:hAnsi="Times New Roman"/>
          <w:noProof/>
          <w:lang w:bidi="ar-SA"/>
        </w:rPr>
        <w:t>The focus of this paper is on</w:t>
      </w:r>
      <w:r w:rsidR="00353388">
        <w:rPr>
          <w:rFonts w:ascii="Times New Roman" w:eastAsia="Calibri" w:hAnsi="Times New Roman"/>
          <w:noProof/>
          <w:lang w:bidi="ar-SA"/>
        </w:rPr>
        <w:t xml:space="preserve"> </w:t>
      </w:r>
      <w:r w:rsidR="004B7320">
        <w:rPr>
          <w:rFonts w:ascii="Times New Roman" w:eastAsia="Calibri" w:hAnsi="Times New Roman"/>
          <w:noProof/>
          <w:lang w:bidi="ar-SA"/>
        </w:rPr>
        <w:t>the</w:t>
      </w:r>
      <w:r w:rsidR="00353388">
        <w:rPr>
          <w:rFonts w:ascii="Times New Roman" w:eastAsia="Calibri" w:hAnsi="Times New Roman"/>
          <w:noProof/>
          <w:lang w:bidi="ar-SA"/>
        </w:rPr>
        <w:t xml:space="preserve"> fifth</w:t>
      </w:r>
      <w:r w:rsidR="00BA5AA1">
        <w:rPr>
          <w:rFonts w:ascii="Times New Roman" w:eastAsia="Calibri" w:hAnsi="Times New Roman"/>
          <w:noProof/>
          <w:lang w:bidi="ar-SA"/>
        </w:rPr>
        <w:t xml:space="preserve"> group</w:t>
      </w:r>
      <w:r w:rsidR="00FB33AA">
        <w:rPr>
          <w:rFonts w:ascii="Times New Roman" w:eastAsia="Calibri" w:hAnsi="Times New Roman"/>
          <w:noProof/>
          <w:lang w:bidi="ar-SA"/>
        </w:rPr>
        <w:t>—</w:t>
      </w:r>
      <w:r w:rsidR="0020192B">
        <w:rPr>
          <w:rFonts w:ascii="Times New Roman" w:eastAsia="Calibri" w:hAnsi="Times New Roman"/>
          <w:noProof/>
          <w:lang w:bidi="ar-SA"/>
        </w:rPr>
        <w:t xml:space="preserve">those bombers that </w:t>
      </w:r>
      <w:r w:rsidR="00FB33AA">
        <w:rPr>
          <w:rFonts w:ascii="Times New Roman" w:eastAsia="Calibri" w:hAnsi="Times New Roman"/>
          <w:noProof/>
          <w:lang w:bidi="ar-SA"/>
        </w:rPr>
        <w:t xml:space="preserve">are </w:t>
      </w:r>
      <w:r w:rsidR="00401539">
        <w:rPr>
          <w:rFonts w:ascii="Times New Roman" w:eastAsia="Calibri" w:hAnsi="Times New Roman"/>
          <w:noProof/>
          <w:lang w:bidi="ar-SA"/>
        </w:rPr>
        <w:t>inspired b</w:t>
      </w:r>
      <w:r w:rsidR="004763D4">
        <w:rPr>
          <w:rFonts w:ascii="Times New Roman" w:eastAsia="Calibri" w:hAnsi="Times New Roman"/>
          <w:noProof/>
          <w:lang w:bidi="ar-SA"/>
        </w:rPr>
        <w:t>y a</w:t>
      </w:r>
      <w:r w:rsidR="00353388">
        <w:rPr>
          <w:rFonts w:ascii="Times New Roman" w:eastAsia="Calibri" w:hAnsi="Times New Roman"/>
          <w:noProof/>
          <w:lang w:bidi="ar-SA"/>
        </w:rPr>
        <w:t>n ideologically driven</w:t>
      </w:r>
      <w:r w:rsidR="004763D4">
        <w:rPr>
          <w:rFonts w:ascii="Times New Roman" w:eastAsia="Calibri" w:hAnsi="Times New Roman"/>
          <w:noProof/>
          <w:lang w:bidi="ar-SA"/>
        </w:rPr>
        <w:t xml:space="preserve"> narrative </w:t>
      </w:r>
      <w:r w:rsidR="00353388">
        <w:rPr>
          <w:rFonts w:ascii="Times New Roman" w:eastAsia="Calibri" w:hAnsi="Times New Roman"/>
          <w:noProof/>
          <w:lang w:bidi="ar-SA"/>
        </w:rPr>
        <w:t xml:space="preserve">that encourages and </w:t>
      </w:r>
      <w:r w:rsidR="004763D4">
        <w:rPr>
          <w:rFonts w:ascii="Times New Roman" w:eastAsia="Calibri" w:hAnsi="Times New Roman"/>
          <w:noProof/>
          <w:lang w:bidi="ar-SA"/>
        </w:rPr>
        <w:t>incentivizes murder-suicide</w:t>
      </w:r>
      <w:r w:rsidR="004555DB">
        <w:rPr>
          <w:rFonts w:ascii="Times New Roman" w:eastAsia="Calibri" w:hAnsi="Times New Roman"/>
          <w:noProof/>
          <w:lang w:bidi="ar-SA"/>
        </w:rPr>
        <w:t xml:space="preserve">.  </w:t>
      </w:r>
      <w:r w:rsidR="007D079E">
        <w:rPr>
          <w:rFonts w:ascii="Times New Roman" w:eastAsia="Calibri" w:hAnsi="Times New Roman"/>
          <w:noProof/>
          <w:lang w:bidi="ar-SA"/>
        </w:rPr>
        <w:t xml:space="preserve">These true believers may be influenced by underlying psychological drivers, but these drivers are not necessarily depression </w:t>
      </w:r>
      <w:r w:rsidR="00E74598">
        <w:rPr>
          <w:rFonts w:ascii="Times New Roman" w:eastAsia="Calibri" w:hAnsi="Times New Roman"/>
          <w:noProof/>
          <w:lang w:bidi="ar-SA"/>
        </w:rPr>
        <w:t>n</w:t>
      </w:r>
      <w:r w:rsidR="007D079E">
        <w:rPr>
          <w:rFonts w:ascii="Times New Roman" w:eastAsia="Calibri" w:hAnsi="Times New Roman"/>
          <w:noProof/>
          <w:lang w:bidi="ar-SA"/>
        </w:rPr>
        <w:t>or suicidal thoughts.  The psychological drivers become intertwined with the sacred values of the ideology, to the extent that the individual’s needs and the needs of his perceived in-group are one and the same.</w:t>
      </w:r>
      <w:r w:rsidR="00031196">
        <w:rPr>
          <w:rFonts w:ascii="Times New Roman" w:eastAsia="Calibri" w:hAnsi="Times New Roman"/>
          <w:noProof/>
          <w:lang w:bidi="ar-SA"/>
        </w:rPr>
        <w:t xml:space="preserve">  </w:t>
      </w:r>
      <w:r w:rsidR="0092680A">
        <w:rPr>
          <w:rFonts w:ascii="Times New Roman" w:eastAsia="Calibri" w:hAnsi="Times New Roman"/>
          <w:noProof/>
          <w:lang w:bidi="ar-SA"/>
        </w:rPr>
        <w:t>This paper reviews research on social identity theory, intergroup hostility, suicide ideation, and the history of suicide terrorism’s most influential organizations in order to explain how ideology influences the individual’s will to become a suicide bomber.</w:t>
      </w:r>
    </w:p>
    <w:p w:rsidR="001E3A45" w:rsidRDefault="00B71401" w:rsidP="00E74598">
      <w:pPr>
        <w:ind w:firstLine="720"/>
        <w:contextualSpacing/>
        <w:rPr>
          <w:rFonts w:ascii="Times New Roman" w:eastAsia="Calibri" w:hAnsi="Times New Roman"/>
          <w:noProof/>
          <w:lang w:bidi="ar-SA"/>
        </w:rPr>
      </w:pPr>
      <w:r>
        <w:rPr>
          <w:rFonts w:ascii="Times New Roman" w:eastAsia="Calibri" w:hAnsi="Times New Roman"/>
          <w:noProof/>
          <w:lang w:bidi="ar-SA"/>
        </w:rPr>
        <w:t>Understanding the individual logic of suicide terrorism is vital to completely explain</w:t>
      </w:r>
      <w:r w:rsidR="00146498">
        <w:rPr>
          <w:rFonts w:ascii="Times New Roman" w:eastAsia="Calibri" w:hAnsi="Times New Roman"/>
          <w:noProof/>
          <w:lang w:bidi="ar-SA"/>
        </w:rPr>
        <w:t>ing</w:t>
      </w:r>
      <w:r>
        <w:rPr>
          <w:rFonts w:ascii="Times New Roman" w:eastAsia="Calibri" w:hAnsi="Times New Roman"/>
          <w:noProof/>
          <w:lang w:bidi="ar-SA"/>
        </w:rPr>
        <w:t xml:space="preserve"> the use of the tactic</w:t>
      </w:r>
      <w:r w:rsidR="004555DB">
        <w:rPr>
          <w:rFonts w:ascii="Times New Roman" w:eastAsia="Calibri" w:hAnsi="Times New Roman"/>
          <w:noProof/>
          <w:lang w:bidi="ar-SA"/>
        </w:rPr>
        <w:t xml:space="preserve">.  </w:t>
      </w:r>
      <w:r w:rsidR="00C40362">
        <w:rPr>
          <w:rFonts w:ascii="Times New Roman" w:eastAsia="Calibri" w:hAnsi="Times New Roman"/>
          <w:noProof/>
          <w:lang w:bidi="ar-SA"/>
        </w:rPr>
        <w:t>The organization’s political objectives</w:t>
      </w:r>
      <w:r>
        <w:rPr>
          <w:rFonts w:ascii="Times New Roman" w:eastAsia="Calibri" w:hAnsi="Times New Roman"/>
          <w:noProof/>
          <w:lang w:bidi="ar-SA"/>
        </w:rPr>
        <w:t>, the role of culture, and the functional capabilities of the tactic in asym</w:t>
      </w:r>
      <w:r w:rsidR="00146498">
        <w:rPr>
          <w:rFonts w:ascii="Times New Roman" w:eastAsia="Calibri" w:hAnsi="Times New Roman"/>
          <w:noProof/>
          <w:lang w:bidi="ar-SA"/>
        </w:rPr>
        <w:t>m</w:t>
      </w:r>
      <w:r w:rsidR="00C40362">
        <w:rPr>
          <w:rFonts w:ascii="Times New Roman" w:eastAsia="Calibri" w:hAnsi="Times New Roman"/>
          <w:noProof/>
          <w:lang w:bidi="ar-SA"/>
        </w:rPr>
        <w:t>etric warfare are</w:t>
      </w:r>
      <w:r>
        <w:rPr>
          <w:rFonts w:ascii="Times New Roman" w:eastAsia="Calibri" w:hAnsi="Times New Roman"/>
          <w:noProof/>
          <w:lang w:bidi="ar-SA"/>
        </w:rPr>
        <w:t xml:space="preserve"> important as well</w:t>
      </w:r>
      <w:r w:rsidR="004555DB">
        <w:rPr>
          <w:rFonts w:ascii="Times New Roman" w:eastAsia="Calibri" w:hAnsi="Times New Roman"/>
          <w:noProof/>
          <w:lang w:bidi="ar-SA"/>
        </w:rPr>
        <w:t xml:space="preserve">.  </w:t>
      </w:r>
      <w:r>
        <w:rPr>
          <w:rFonts w:ascii="Times New Roman" w:eastAsia="Calibri" w:hAnsi="Times New Roman"/>
          <w:noProof/>
          <w:lang w:bidi="ar-SA"/>
        </w:rPr>
        <w:t xml:space="preserve">But no explanation is complete unless it can address why the individual goes through with </w:t>
      </w:r>
      <w:r w:rsidR="003931AE">
        <w:rPr>
          <w:rFonts w:ascii="Times New Roman" w:eastAsia="Calibri" w:hAnsi="Times New Roman"/>
          <w:noProof/>
          <w:lang w:bidi="ar-SA"/>
        </w:rPr>
        <w:t>murder-suicide</w:t>
      </w:r>
      <w:r w:rsidR="004555DB">
        <w:rPr>
          <w:rFonts w:ascii="Times New Roman" w:eastAsia="Calibri" w:hAnsi="Times New Roman"/>
          <w:noProof/>
          <w:lang w:bidi="ar-SA"/>
        </w:rPr>
        <w:t>.</w:t>
      </w:r>
      <w:r w:rsidR="003931AE">
        <w:rPr>
          <w:rFonts w:ascii="Times New Roman" w:eastAsia="Calibri" w:hAnsi="Times New Roman"/>
          <w:noProof/>
          <w:lang w:bidi="ar-SA"/>
        </w:rPr>
        <w:t xml:space="preserve">  The</w:t>
      </w:r>
      <w:r w:rsidR="004C3E76">
        <w:rPr>
          <w:rFonts w:ascii="Times New Roman" w:eastAsia="Calibri" w:hAnsi="Times New Roman"/>
          <w:noProof/>
          <w:lang w:bidi="ar-SA"/>
        </w:rPr>
        <w:t xml:space="preserve"> acknowledgement of the fifth group is important because measures can mitigate the other </w:t>
      </w:r>
      <w:r w:rsidR="00987BF5">
        <w:rPr>
          <w:rFonts w:ascii="Times New Roman" w:eastAsia="Calibri" w:hAnsi="Times New Roman"/>
          <w:noProof/>
          <w:lang w:bidi="ar-SA"/>
        </w:rPr>
        <w:t>four</w:t>
      </w:r>
      <w:r w:rsidR="004C3E76">
        <w:rPr>
          <w:rFonts w:ascii="Times New Roman" w:eastAsia="Calibri" w:hAnsi="Times New Roman"/>
          <w:noProof/>
          <w:lang w:bidi="ar-SA"/>
        </w:rPr>
        <w:t xml:space="preserve"> groups.  Coerced bombers are dependent entirely on the organization—defeat the organization, and the tactic is defeated.  </w:t>
      </w:r>
      <w:r w:rsidR="005D26B7">
        <w:rPr>
          <w:rFonts w:ascii="Times New Roman" w:eastAsia="Calibri" w:hAnsi="Times New Roman"/>
          <w:noProof/>
          <w:lang w:bidi="ar-SA"/>
        </w:rPr>
        <w:t xml:space="preserve">For example, there has not been a suicide attack in Sri Lanka since the </w:t>
      </w:r>
      <w:r w:rsidR="00987BF5">
        <w:rPr>
          <w:rFonts w:ascii="Times New Roman" w:eastAsia="Calibri" w:hAnsi="Times New Roman"/>
          <w:noProof/>
          <w:lang w:bidi="ar-SA"/>
        </w:rPr>
        <w:t xml:space="preserve">Sri Lankan government defeated the </w:t>
      </w:r>
      <w:r w:rsidR="005D26B7">
        <w:rPr>
          <w:rFonts w:ascii="Times New Roman" w:eastAsia="Calibri" w:hAnsi="Times New Roman"/>
          <w:noProof/>
          <w:lang w:bidi="ar-SA"/>
        </w:rPr>
        <w:t>LTTE</w:t>
      </w:r>
      <w:r w:rsidR="00987BF5">
        <w:rPr>
          <w:rFonts w:ascii="Times New Roman" w:eastAsia="Calibri" w:hAnsi="Times New Roman"/>
          <w:noProof/>
          <w:lang w:bidi="ar-SA"/>
        </w:rPr>
        <w:t xml:space="preserve"> </w:t>
      </w:r>
      <w:r w:rsidR="005D26B7">
        <w:rPr>
          <w:rFonts w:ascii="Times New Roman" w:eastAsia="Calibri" w:hAnsi="Times New Roman"/>
          <w:noProof/>
          <w:lang w:bidi="ar-SA"/>
        </w:rPr>
        <w:t xml:space="preserve">militarily, specifically after the death of the LTTE leader Villapai Prabhakharan.  Interdiction on external financial support can reduce the number suicide attacks among those motivated.  </w:t>
      </w:r>
      <w:r w:rsidR="004C3E76">
        <w:rPr>
          <w:rFonts w:ascii="Times New Roman" w:eastAsia="Calibri" w:hAnsi="Times New Roman"/>
          <w:noProof/>
          <w:lang w:bidi="ar-SA"/>
        </w:rPr>
        <w:t xml:space="preserve">If occupying forces do not </w:t>
      </w:r>
      <w:r w:rsidR="00987BF5">
        <w:rPr>
          <w:rFonts w:ascii="Times New Roman" w:eastAsia="Calibri" w:hAnsi="Times New Roman"/>
          <w:noProof/>
          <w:lang w:bidi="ar-SA"/>
        </w:rPr>
        <w:t xml:space="preserve">wantonly </w:t>
      </w:r>
      <w:r w:rsidR="004C3E76">
        <w:rPr>
          <w:rFonts w:ascii="Times New Roman" w:eastAsia="Calibri" w:hAnsi="Times New Roman"/>
          <w:noProof/>
          <w:lang w:bidi="ar-SA"/>
        </w:rPr>
        <w:lastRenderedPageBreak/>
        <w:t xml:space="preserve">kill innocent civilians, then </w:t>
      </w:r>
      <w:r w:rsidR="00987BF5">
        <w:rPr>
          <w:rFonts w:ascii="Times New Roman" w:eastAsia="Calibri" w:hAnsi="Times New Roman"/>
          <w:noProof/>
          <w:lang w:bidi="ar-SA"/>
        </w:rPr>
        <w:t xml:space="preserve">the </w:t>
      </w:r>
      <w:r w:rsidR="004C3E76">
        <w:rPr>
          <w:rFonts w:ascii="Times New Roman" w:eastAsia="Calibri" w:hAnsi="Times New Roman"/>
          <w:noProof/>
          <w:lang w:bidi="ar-SA"/>
        </w:rPr>
        <w:t xml:space="preserve">revenge </w:t>
      </w:r>
      <w:r w:rsidR="008578FE">
        <w:rPr>
          <w:rFonts w:ascii="Times New Roman" w:eastAsia="Calibri" w:hAnsi="Times New Roman"/>
          <w:noProof/>
          <w:lang w:bidi="ar-SA"/>
        </w:rPr>
        <w:t xml:space="preserve">motive </w:t>
      </w:r>
      <w:r w:rsidR="004C3E76">
        <w:rPr>
          <w:rFonts w:ascii="Times New Roman" w:eastAsia="Calibri" w:hAnsi="Times New Roman"/>
          <w:noProof/>
          <w:lang w:bidi="ar-SA"/>
        </w:rPr>
        <w:t xml:space="preserve">is </w:t>
      </w:r>
      <w:r w:rsidR="00987BF5">
        <w:rPr>
          <w:rFonts w:ascii="Times New Roman" w:eastAsia="Calibri" w:hAnsi="Times New Roman"/>
          <w:noProof/>
          <w:lang w:bidi="ar-SA"/>
        </w:rPr>
        <w:t>reduced across a potential</w:t>
      </w:r>
      <w:r w:rsidR="005D26B7">
        <w:rPr>
          <w:rFonts w:ascii="Times New Roman" w:eastAsia="Calibri" w:hAnsi="Times New Roman"/>
          <w:noProof/>
          <w:lang w:bidi="ar-SA"/>
        </w:rPr>
        <w:t xml:space="preserve"> segment of the population.  </w:t>
      </w:r>
      <w:r w:rsidR="004C3E76">
        <w:rPr>
          <w:rFonts w:ascii="Times New Roman" w:eastAsia="Calibri" w:hAnsi="Times New Roman"/>
          <w:noProof/>
          <w:lang w:bidi="ar-SA"/>
        </w:rPr>
        <w:t>Albeit challenging, similar interventions are available to identify and assist depressed individuals</w:t>
      </w:r>
      <w:r w:rsidR="005D26B7">
        <w:rPr>
          <w:rFonts w:ascii="Times New Roman" w:eastAsia="Calibri" w:hAnsi="Times New Roman"/>
          <w:noProof/>
          <w:lang w:bidi="ar-SA"/>
        </w:rPr>
        <w:t xml:space="preserve"> that may seek to identify with a violent cause to fulfill a death wish</w:t>
      </w:r>
      <w:r w:rsidR="004C3E76">
        <w:rPr>
          <w:rFonts w:ascii="Times New Roman" w:eastAsia="Calibri" w:hAnsi="Times New Roman"/>
          <w:noProof/>
          <w:lang w:bidi="ar-SA"/>
        </w:rPr>
        <w:t>.  The fifth group, however, are difficult to mitigate.  They are intractably opposed to</w:t>
      </w:r>
      <w:r w:rsidR="005D26B7">
        <w:rPr>
          <w:rFonts w:ascii="Times New Roman" w:eastAsia="Calibri" w:hAnsi="Times New Roman"/>
          <w:noProof/>
          <w:lang w:bidi="ar-SA"/>
        </w:rPr>
        <w:t xml:space="preserve"> a global system that is inimical</w:t>
      </w:r>
      <w:r w:rsidR="004C3E76">
        <w:rPr>
          <w:rFonts w:ascii="Times New Roman" w:eastAsia="Calibri" w:hAnsi="Times New Roman"/>
          <w:noProof/>
          <w:lang w:bidi="ar-SA"/>
        </w:rPr>
        <w:t xml:space="preserve"> to their </w:t>
      </w:r>
      <w:r w:rsidR="005D26B7">
        <w:rPr>
          <w:rFonts w:ascii="Times New Roman" w:eastAsia="Calibri" w:hAnsi="Times New Roman"/>
          <w:noProof/>
          <w:lang w:bidi="ar-SA"/>
        </w:rPr>
        <w:t>self-selected identity</w:t>
      </w:r>
      <w:r w:rsidR="00987BF5">
        <w:rPr>
          <w:rFonts w:ascii="Times New Roman" w:eastAsia="Calibri" w:hAnsi="Times New Roman"/>
          <w:noProof/>
          <w:lang w:bidi="ar-SA"/>
        </w:rPr>
        <w:t>, and there w</w:t>
      </w:r>
      <w:r w:rsidR="00E74598">
        <w:rPr>
          <w:rFonts w:ascii="Times New Roman" w:eastAsia="Calibri" w:hAnsi="Times New Roman"/>
          <w:noProof/>
          <w:lang w:bidi="ar-SA"/>
        </w:rPr>
        <w:t>ill</w:t>
      </w:r>
      <w:r w:rsidR="00987BF5">
        <w:rPr>
          <w:rFonts w:ascii="Times New Roman" w:eastAsia="Calibri" w:hAnsi="Times New Roman"/>
          <w:noProof/>
          <w:lang w:bidi="ar-SA"/>
        </w:rPr>
        <w:t xml:space="preserve"> likely always been an organization seeking to </w:t>
      </w:r>
      <w:r w:rsidR="008578FE">
        <w:rPr>
          <w:rFonts w:ascii="Times New Roman" w:eastAsia="Calibri" w:hAnsi="Times New Roman"/>
          <w:noProof/>
          <w:lang w:bidi="ar-SA"/>
        </w:rPr>
        <w:t xml:space="preserve">act on behalf of </w:t>
      </w:r>
      <w:r w:rsidR="00987BF5">
        <w:rPr>
          <w:rFonts w:ascii="Times New Roman" w:eastAsia="Calibri" w:hAnsi="Times New Roman"/>
          <w:noProof/>
          <w:lang w:bidi="ar-SA"/>
        </w:rPr>
        <w:t>that ideology</w:t>
      </w:r>
      <w:r w:rsidR="004C3E76">
        <w:rPr>
          <w:rFonts w:ascii="Times New Roman" w:eastAsia="Calibri" w:hAnsi="Times New Roman"/>
          <w:noProof/>
          <w:lang w:bidi="ar-SA"/>
        </w:rPr>
        <w:t>.</w:t>
      </w:r>
    </w:p>
    <w:p w:rsidR="004C3E76" w:rsidRDefault="00BD1DA8" w:rsidP="002D3952">
      <w:pPr>
        <w:ind w:firstLine="720"/>
        <w:contextualSpacing/>
        <w:rPr>
          <w:rFonts w:ascii="Times New Roman" w:eastAsia="Calibri" w:hAnsi="Times New Roman"/>
          <w:noProof/>
          <w:lang w:bidi="ar-SA"/>
        </w:rPr>
      </w:pPr>
      <w:r>
        <w:rPr>
          <w:rFonts w:ascii="Times New Roman" w:eastAsia="Calibri" w:hAnsi="Times New Roman"/>
          <w:noProof/>
          <w:lang w:bidi="ar-SA"/>
        </w:rPr>
        <w:t>Suicide ter</w:t>
      </w:r>
      <w:r w:rsidR="00D92B33">
        <w:rPr>
          <w:rFonts w:ascii="Times New Roman" w:eastAsia="Calibri" w:hAnsi="Times New Roman"/>
          <w:noProof/>
          <w:lang w:bidi="ar-SA"/>
        </w:rPr>
        <w:t>rorism relates to two s</w:t>
      </w:r>
      <w:r w:rsidR="00987BF5">
        <w:rPr>
          <w:rFonts w:ascii="Times New Roman" w:eastAsia="Calibri" w:hAnsi="Times New Roman"/>
          <w:noProof/>
          <w:lang w:bidi="ar-SA"/>
        </w:rPr>
        <w:t>imilar</w:t>
      </w:r>
      <w:r w:rsidR="00D92B33">
        <w:rPr>
          <w:rFonts w:ascii="Times New Roman" w:eastAsia="Calibri" w:hAnsi="Times New Roman"/>
          <w:noProof/>
          <w:lang w:bidi="ar-SA"/>
        </w:rPr>
        <w:t xml:space="preserve"> concepts in </w:t>
      </w:r>
      <w:r w:rsidR="00987BF5">
        <w:rPr>
          <w:rFonts w:ascii="Times New Roman" w:eastAsia="Calibri" w:hAnsi="Times New Roman"/>
          <w:noProof/>
          <w:lang w:bidi="ar-SA"/>
        </w:rPr>
        <w:t>combat</w:t>
      </w:r>
      <w:r w:rsidR="00D92B33">
        <w:rPr>
          <w:rFonts w:ascii="Times New Roman" w:eastAsia="Calibri" w:hAnsi="Times New Roman"/>
          <w:noProof/>
          <w:lang w:bidi="ar-SA"/>
        </w:rPr>
        <w:t xml:space="preserve">—suicide missions, and the intentional targetting of civilians—but conflates them into one act executed by individuals at the behest of non-state entities.  Suicide missions in traditional warfare do not specify the manner of death.  These missions gamble with life, but do not guarantee it.  </w:t>
      </w:r>
      <w:r w:rsidR="00987BF5">
        <w:rPr>
          <w:rFonts w:ascii="Times New Roman" w:eastAsia="Calibri" w:hAnsi="Times New Roman"/>
          <w:noProof/>
          <w:lang w:bidi="ar-SA"/>
        </w:rPr>
        <w:t xml:space="preserve">A soldier may fight to the death in a blaze of glory at the hands of the enemy, but in a suicide attack, he </w:t>
      </w:r>
      <w:r w:rsidR="008515CC">
        <w:rPr>
          <w:rFonts w:ascii="Times New Roman" w:eastAsia="Calibri" w:hAnsi="Times New Roman"/>
          <w:noProof/>
          <w:lang w:bidi="ar-SA"/>
        </w:rPr>
        <w:t>dies at his own hand.  The only suicide attacks in military history compared to modern suicide bombing campaigns are the</w:t>
      </w:r>
      <w:r w:rsidR="00FF2F3D">
        <w:rPr>
          <w:rFonts w:ascii="Times New Roman" w:eastAsia="Calibri" w:hAnsi="Times New Roman"/>
          <w:noProof/>
          <w:lang w:bidi="ar-SA"/>
        </w:rPr>
        <w:t xml:space="preserve"> Japanese kamikaze attacks in World War II</w:t>
      </w:r>
      <w:r w:rsidR="008515CC">
        <w:rPr>
          <w:rFonts w:ascii="Times New Roman" w:eastAsia="Calibri" w:hAnsi="Times New Roman"/>
          <w:noProof/>
          <w:lang w:bidi="ar-SA"/>
        </w:rPr>
        <w:t>, which I discuss in Chapter 3.</w:t>
      </w:r>
      <w:r w:rsidR="00FF2F3D">
        <w:rPr>
          <w:rFonts w:ascii="Times New Roman" w:eastAsia="Calibri" w:hAnsi="Times New Roman"/>
          <w:noProof/>
          <w:lang w:bidi="ar-SA"/>
        </w:rPr>
        <w:t xml:space="preserve"> </w:t>
      </w:r>
    </w:p>
    <w:p w:rsidR="00BD1DA8" w:rsidRDefault="00D92B33" w:rsidP="002D3952">
      <w:pPr>
        <w:ind w:firstLine="720"/>
        <w:contextualSpacing/>
        <w:rPr>
          <w:rFonts w:ascii="Times New Roman" w:eastAsia="Calibri" w:hAnsi="Times New Roman"/>
          <w:noProof/>
          <w:lang w:bidi="ar-SA"/>
        </w:rPr>
      </w:pPr>
      <w:r>
        <w:rPr>
          <w:rFonts w:ascii="Times New Roman" w:eastAsia="Calibri" w:hAnsi="Times New Roman"/>
          <w:noProof/>
          <w:lang w:bidi="ar-SA"/>
        </w:rPr>
        <w:t>Secondly, whereas civilians have been targetted</w:t>
      </w:r>
      <w:r w:rsidR="00662CE2">
        <w:rPr>
          <w:rFonts w:ascii="Times New Roman" w:eastAsia="Calibri" w:hAnsi="Times New Roman"/>
          <w:noProof/>
          <w:lang w:bidi="ar-SA"/>
        </w:rPr>
        <w:t xml:space="preserve"> in conventional war—</w:t>
      </w:r>
      <w:r w:rsidR="00E74598">
        <w:rPr>
          <w:rFonts w:ascii="Times New Roman" w:eastAsia="Calibri" w:hAnsi="Times New Roman"/>
          <w:noProof/>
          <w:lang w:bidi="ar-SA"/>
        </w:rPr>
        <w:t xml:space="preserve">such as </w:t>
      </w:r>
      <w:r w:rsidR="00662CE2">
        <w:rPr>
          <w:rFonts w:ascii="Times New Roman" w:eastAsia="Calibri" w:hAnsi="Times New Roman"/>
          <w:noProof/>
          <w:lang w:bidi="ar-SA"/>
        </w:rPr>
        <w:t xml:space="preserve">the </w:t>
      </w:r>
      <w:r w:rsidR="00351F01">
        <w:rPr>
          <w:rFonts w:ascii="Times New Roman" w:eastAsia="Calibri" w:hAnsi="Times New Roman"/>
          <w:noProof/>
          <w:lang w:bidi="ar-SA"/>
        </w:rPr>
        <w:t>recipr</w:t>
      </w:r>
      <w:r w:rsidR="008515CC">
        <w:rPr>
          <w:rFonts w:ascii="Times New Roman" w:eastAsia="Calibri" w:hAnsi="Times New Roman"/>
          <w:noProof/>
          <w:lang w:bidi="ar-SA"/>
        </w:rPr>
        <w:t>o</w:t>
      </w:r>
      <w:r w:rsidR="00351F01">
        <w:rPr>
          <w:rFonts w:ascii="Times New Roman" w:eastAsia="Calibri" w:hAnsi="Times New Roman"/>
          <w:noProof/>
          <w:lang w:bidi="ar-SA"/>
        </w:rPr>
        <w:t>cal bombing of civilians among participants in World War II (such as the attacks on London and Dresden) and the nuclear attacks on Hiroshima and Nagasaki—military objectives</w:t>
      </w:r>
      <w:r w:rsidR="007D079E">
        <w:rPr>
          <w:rFonts w:ascii="Times New Roman" w:eastAsia="Calibri" w:hAnsi="Times New Roman"/>
          <w:noProof/>
          <w:lang w:bidi="ar-SA"/>
        </w:rPr>
        <w:t xml:space="preserve"> of nation-states</w:t>
      </w:r>
      <w:r w:rsidR="00351F01">
        <w:rPr>
          <w:rFonts w:ascii="Times New Roman" w:eastAsia="Calibri" w:hAnsi="Times New Roman"/>
          <w:noProof/>
          <w:lang w:bidi="ar-SA"/>
        </w:rPr>
        <w:t xml:space="preserve"> </w:t>
      </w:r>
      <w:r w:rsidR="00C12672">
        <w:rPr>
          <w:rFonts w:ascii="Times New Roman" w:eastAsia="Calibri" w:hAnsi="Times New Roman"/>
          <w:noProof/>
          <w:lang w:bidi="ar-SA"/>
        </w:rPr>
        <w:t xml:space="preserve">to defeat the </w:t>
      </w:r>
      <w:r w:rsidR="00BD0EFF">
        <w:rPr>
          <w:rFonts w:ascii="Times New Roman" w:eastAsia="Calibri" w:hAnsi="Times New Roman"/>
          <w:noProof/>
          <w:lang w:bidi="ar-SA"/>
        </w:rPr>
        <w:t xml:space="preserve">enemy’s </w:t>
      </w:r>
      <w:r w:rsidR="00C12672">
        <w:rPr>
          <w:rFonts w:ascii="Times New Roman" w:eastAsia="Calibri" w:hAnsi="Times New Roman"/>
          <w:noProof/>
          <w:lang w:bidi="ar-SA"/>
        </w:rPr>
        <w:t xml:space="preserve">capability to sustain protracted warfare </w:t>
      </w:r>
      <w:r w:rsidR="00E74E14">
        <w:rPr>
          <w:rFonts w:ascii="Times New Roman" w:eastAsia="Calibri" w:hAnsi="Times New Roman"/>
          <w:noProof/>
          <w:lang w:bidi="ar-SA"/>
        </w:rPr>
        <w:t xml:space="preserve">overlapped with psychological </w:t>
      </w:r>
      <w:r w:rsidR="007D079E">
        <w:rPr>
          <w:rFonts w:ascii="Times New Roman" w:eastAsia="Calibri" w:hAnsi="Times New Roman"/>
          <w:noProof/>
          <w:lang w:bidi="ar-SA"/>
        </w:rPr>
        <w:t>warfare</w:t>
      </w:r>
      <w:r w:rsidR="00E74E14">
        <w:rPr>
          <w:rFonts w:ascii="Times New Roman" w:eastAsia="Calibri" w:hAnsi="Times New Roman"/>
          <w:noProof/>
          <w:lang w:bidi="ar-SA"/>
        </w:rPr>
        <w:t xml:space="preserve">.  </w:t>
      </w:r>
      <w:r w:rsidR="002D3952">
        <w:rPr>
          <w:rFonts w:ascii="Times New Roman" w:eastAsia="Calibri" w:hAnsi="Times New Roman"/>
          <w:noProof/>
          <w:lang w:bidi="ar-SA"/>
        </w:rPr>
        <w:t xml:space="preserve">Nonstate entities practice suicide terrorism, and the </w:t>
      </w:r>
      <w:r w:rsidR="00E74598">
        <w:rPr>
          <w:rFonts w:ascii="Times New Roman" w:eastAsia="Calibri" w:hAnsi="Times New Roman"/>
          <w:noProof/>
          <w:lang w:bidi="ar-SA"/>
        </w:rPr>
        <w:t xml:space="preserve">prime or exclusive objective is </w:t>
      </w:r>
      <w:r w:rsidR="002D3952">
        <w:rPr>
          <w:rFonts w:ascii="Times New Roman" w:eastAsia="Calibri" w:hAnsi="Times New Roman"/>
          <w:noProof/>
          <w:lang w:bidi="ar-SA"/>
        </w:rPr>
        <w:t>to conduct psychological warfare against the populace</w:t>
      </w:r>
      <w:r w:rsidR="00BD0EFF">
        <w:rPr>
          <w:rFonts w:ascii="Times New Roman" w:eastAsia="Calibri" w:hAnsi="Times New Roman"/>
          <w:noProof/>
          <w:lang w:bidi="ar-SA"/>
        </w:rPr>
        <w:t xml:space="preserve">.  </w:t>
      </w:r>
      <w:r w:rsidR="00C12672">
        <w:rPr>
          <w:rFonts w:ascii="Times New Roman" w:eastAsia="Calibri" w:hAnsi="Times New Roman"/>
          <w:noProof/>
          <w:lang w:bidi="ar-SA"/>
        </w:rPr>
        <w:t xml:space="preserve">A </w:t>
      </w:r>
      <w:r w:rsidR="00BD0EFF">
        <w:rPr>
          <w:rFonts w:ascii="Times New Roman" w:eastAsia="Calibri" w:hAnsi="Times New Roman"/>
          <w:noProof/>
          <w:lang w:bidi="ar-SA"/>
        </w:rPr>
        <w:t>reasonable</w:t>
      </w:r>
      <w:r w:rsidR="00C12672">
        <w:rPr>
          <w:rFonts w:ascii="Times New Roman" w:eastAsia="Calibri" w:hAnsi="Times New Roman"/>
          <w:noProof/>
          <w:lang w:bidi="ar-SA"/>
        </w:rPr>
        <w:t xml:space="preserve"> </w:t>
      </w:r>
      <w:r w:rsidR="00BD0EFF">
        <w:rPr>
          <w:rFonts w:ascii="Times New Roman" w:eastAsia="Calibri" w:hAnsi="Times New Roman"/>
          <w:noProof/>
          <w:lang w:bidi="ar-SA"/>
        </w:rPr>
        <w:t xml:space="preserve">historic </w:t>
      </w:r>
      <w:r w:rsidR="00C12672">
        <w:rPr>
          <w:rFonts w:ascii="Times New Roman" w:eastAsia="Calibri" w:hAnsi="Times New Roman"/>
          <w:noProof/>
          <w:lang w:bidi="ar-SA"/>
        </w:rPr>
        <w:t xml:space="preserve">comparison to the murder </w:t>
      </w:r>
      <w:r w:rsidR="00BD0EFF">
        <w:rPr>
          <w:rFonts w:ascii="Times New Roman" w:eastAsia="Calibri" w:hAnsi="Times New Roman"/>
          <w:noProof/>
          <w:lang w:bidi="ar-SA"/>
        </w:rPr>
        <w:t xml:space="preserve">component </w:t>
      </w:r>
      <w:r w:rsidR="00C12672">
        <w:rPr>
          <w:rFonts w:ascii="Times New Roman" w:eastAsia="Calibri" w:hAnsi="Times New Roman"/>
          <w:noProof/>
          <w:lang w:bidi="ar-SA"/>
        </w:rPr>
        <w:t xml:space="preserve">of suicide terrorism is </w:t>
      </w:r>
      <w:r w:rsidR="00BD0EFF">
        <w:rPr>
          <w:rFonts w:ascii="Times New Roman" w:eastAsia="Calibri" w:hAnsi="Times New Roman"/>
          <w:noProof/>
          <w:lang w:bidi="ar-SA"/>
        </w:rPr>
        <w:t>the dehumanization of out-groups</w:t>
      </w:r>
      <w:r w:rsidR="002D3952">
        <w:rPr>
          <w:rFonts w:ascii="Times New Roman" w:eastAsia="Calibri" w:hAnsi="Times New Roman"/>
          <w:noProof/>
          <w:lang w:bidi="ar-SA"/>
        </w:rPr>
        <w:t xml:space="preserve"> that has led t</w:t>
      </w:r>
      <w:r w:rsidR="008515CC">
        <w:rPr>
          <w:rFonts w:ascii="Times New Roman" w:eastAsia="Calibri" w:hAnsi="Times New Roman"/>
          <w:noProof/>
          <w:lang w:bidi="ar-SA"/>
        </w:rPr>
        <w:t xml:space="preserve">o </w:t>
      </w:r>
      <w:r w:rsidR="00F10257">
        <w:rPr>
          <w:rFonts w:ascii="Times New Roman" w:eastAsia="Calibri" w:hAnsi="Times New Roman"/>
          <w:noProof/>
          <w:lang w:bidi="ar-SA"/>
        </w:rPr>
        <w:t>mass violence and subjugation of those deemed inferior to the in-group in power</w:t>
      </w:r>
      <w:r w:rsidR="002D3952">
        <w:rPr>
          <w:rFonts w:ascii="Times New Roman" w:eastAsia="Calibri" w:hAnsi="Times New Roman"/>
          <w:noProof/>
          <w:lang w:bidi="ar-SA"/>
        </w:rPr>
        <w:t xml:space="preserve">.  This includes </w:t>
      </w:r>
      <w:r w:rsidR="00F10257">
        <w:rPr>
          <w:rFonts w:ascii="Times New Roman" w:eastAsia="Calibri" w:hAnsi="Times New Roman"/>
          <w:noProof/>
          <w:lang w:bidi="ar-SA"/>
        </w:rPr>
        <w:t xml:space="preserve">the ethnic </w:t>
      </w:r>
      <w:r w:rsidR="00F10257">
        <w:rPr>
          <w:rFonts w:ascii="Times New Roman" w:eastAsia="Calibri" w:hAnsi="Times New Roman"/>
          <w:noProof/>
          <w:lang w:bidi="ar-SA"/>
        </w:rPr>
        <w:lastRenderedPageBreak/>
        <w:t>caste system of Nazi Germany</w:t>
      </w:r>
      <w:r w:rsidR="00CD504B">
        <w:rPr>
          <w:rFonts w:ascii="Times New Roman" w:eastAsia="Calibri" w:hAnsi="Times New Roman"/>
          <w:noProof/>
          <w:lang w:bidi="ar-SA"/>
        </w:rPr>
        <w:t xml:space="preserve">, the </w:t>
      </w:r>
      <w:r w:rsidR="00F10257">
        <w:rPr>
          <w:rFonts w:ascii="Times New Roman" w:eastAsia="Calibri" w:hAnsi="Times New Roman"/>
          <w:noProof/>
          <w:lang w:bidi="ar-SA"/>
        </w:rPr>
        <w:t>class and politics based system of the USSR, and the race based</w:t>
      </w:r>
      <w:r w:rsidR="000D42C4">
        <w:rPr>
          <w:rFonts w:ascii="Times New Roman" w:eastAsia="Calibri" w:hAnsi="Times New Roman"/>
          <w:noProof/>
          <w:lang w:bidi="ar-SA"/>
        </w:rPr>
        <w:t xml:space="preserve"> subjugation of Africans</w:t>
      </w:r>
      <w:r w:rsidR="00CD504B">
        <w:rPr>
          <w:rFonts w:ascii="Times New Roman" w:eastAsia="Calibri" w:hAnsi="Times New Roman"/>
          <w:noProof/>
          <w:lang w:bidi="ar-SA"/>
        </w:rPr>
        <w:t xml:space="preserve"> </w:t>
      </w:r>
      <w:r w:rsidR="00816574">
        <w:rPr>
          <w:rFonts w:ascii="Times New Roman" w:eastAsia="Calibri" w:hAnsi="Times New Roman"/>
          <w:noProof/>
          <w:lang w:bidi="ar-SA"/>
        </w:rPr>
        <w:t xml:space="preserve">in </w:t>
      </w:r>
      <w:r w:rsidR="00CD504B">
        <w:rPr>
          <w:rFonts w:ascii="Times New Roman" w:eastAsia="Calibri" w:hAnsi="Times New Roman"/>
          <w:noProof/>
          <w:lang w:bidi="ar-SA"/>
        </w:rPr>
        <w:t>slavery</w:t>
      </w:r>
      <w:r w:rsidR="00C12672">
        <w:rPr>
          <w:rFonts w:ascii="Times New Roman" w:eastAsia="Calibri" w:hAnsi="Times New Roman"/>
          <w:noProof/>
          <w:lang w:bidi="ar-SA"/>
        </w:rPr>
        <w:t xml:space="preserve">.  </w:t>
      </w:r>
      <w:r w:rsidR="000D42C4">
        <w:rPr>
          <w:rFonts w:ascii="Times New Roman" w:eastAsia="Calibri" w:hAnsi="Times New Roman"/>
          <w:noProof/>
          <w:lang w:bidi="ar-SA"/>
        </w:rPr>
        <w:t xml:space="preserve">An ethnic or political based narrative positioned in-groups and out-groups in such a way </w:t>
      </w:r>
      <w:r w:rsidR="00816574">
        <w:rPr>
          <w:rFonts w:ascii="Times New Roman" w:eastAsia="Calibri" w:hAnsi="Times New Roman"/>
          <w:noProof/>
          <w:lang w:bidi="ar-SA"/>
        </w:rPr>
        <w:t>that resulted in dehumanization</w:t>
      </w:r>
      <w:r w:rsidR="002D3952">
        <w:rPr>
          <w:rFonts w:ascii="Times New Roman" w:eastAsia="Calibri" w:hAnsi="Times New Roman"/>
          <w:noProof/>
          <w:lang w:bidi="ar-SA"/>
        </w:rPr>
        <w:t xml:space="preserve"> of the out-group</w:t>
      </w:r>
      <w:r w:rsidR="008578FE">
        <w:rPr>
          <w:rFonts w:ascii="Times New Roman" w:eastAsia="Calibri" w:hAnsi="Times New Roman"/>
          <w:noProof/>
          <w:lang w:bidi="ar-SA"/>
        </w:rPr>
        <w:t>, which makes it easier to kill and brutalize the out-group</w:t>
      </w:r>
      <w:r w:rsidR="003C34EE">
        <w:rPr>
          <w:rFonts w:ascii="Times New Roman" w:eastAsia="Calibri" w:hAnsi="Times New Roman"/>
          <w:noProof/>
          <w:lang w:bidi="ar-SA"/>
        </w:rPr>
        <w:t xml:space="preserve">.  </w:t>
      </w:r>
      <w:r w:rsidR="002D3952">
        <w:rPr>
          <w:rFonts w:ascii="Times New Roman" w:eastAsia="Calibri" w:hAnsi="Times New Roman"/>
          <w:noProof/>
          <w:lang w:bidi="ar-SA"/>
        </w:rPr>
        <w:t>T</w:t>
      </w:r>
      <w:r w:rsidR="003C34EE">
        <w:rPr>
          <w:rFonts w:ascii="Times New Roman" w:eastAsia="Calibri" w:hAnsi="Times New Roman"/>
          <w:noProof/>
          <w:lang w:bidi="ar-SA"/>
        </w:rPr>
        <w:t xml:space="preserve">he ideology </w:t>
      </w:r>
      <w:r w:rsidR="000D42C4">
        <w:rPr>
          <w:rFonts w:ascii="Times New Roman" w:eastAsia="Calibri" w:hAnsi="Times New Roman"/>
          <w:noProof/>
          <w:lang w:bidi="ar-SA"/>
        </w:rPr>
        <w:t>behind modern suicide terrorism</w:t>
      </w:r>
      <w:r w:rsidR="003C34EE">
        <w:rPr>
          <w:rFonts w:ascii="Times New Roman" w:eastAsia="Calibri" w:hAnsi="Times New Roman"/>
          <w:noProof/>
          <w:lang w:bidi="ar-SA"/>
        </w:rPr>
        <w:t xml:space="preserve"> influences its adherents to dehumanize </w:t>
      </w:r>
      <w:r w:rsidR="00816574">
        <w:rPr>
          <w:rFonts w:ascii="Times New Roman" w:eastAsia="Calibri" w:hAnsi="Times New Roman"/>
          <w:noProof/>
          <w:lang w:bidi="ar-SA"/>
        </w:rPr>
        <w:t xml:space="preserve">large </w:t>
      </w:r>
      <w:r w:rsidR="003C34EE">
        <w:rPr>
          <w:rFonts w:ascii="Times New Roman" w:eastAsia="Calibri" w:hAnsi="Times New Roman"/>
          <w:noProof/>
          <w:lang w:bidi="ar-SA"/>
        </w:rPr>
        <w:t>groups of people in a similar manner.</w:t>
      </w:r>
    </w:p>
    <w:p w:rsidR="00D9014B" w:rsidRPr="00E13419" w:rsidRDefault="00E13419" w:rsidP="00E13419">
      <w:pPr>
        <w:pStyle w:val="Heading2"/>
        <w:contextualSpacing/>
        <w:rPr>
          <w:bCs w:val="0"/>
          <w:i/>
          <w:iCs w:val="0"/>
          <w:szCs w:val="24"/>
        </w:rPr>
      </w:pPr>
      <w:bookmarkStart w:id="12" w:name="_Toc450748668"/>
      <w:r w:rsidRPr="003776BC">
        <w:rPr>
          <w:bCs w:val="0"/>
          <w:i/>
          <w:szCs w:val="24"/>
        </w:rPr>
        <w:t xml:space="preserve">The </w:t>
      </w:r>
      <w:r>
        <w:rPr>
          <w:bCs w:val="0"/>
          <w:i/>
          <w:szCs w:val="24"/>
        </w:rPr>
        <w:t xml:space="preserve">Three </w:t>
      </w:r>
      <w:r w:rsidR="004C3E76">
        <w:rPr>
          <w:bCs w:val="0"/>
          <w:i/>
          <w:szCs w:val="24"/>
        </w:rPr>
        <w:t xml:space="preserve">Cognitive </w:t>
      </w:r>
      <w:r>
        <w:rPr>
          <w:bCs w:val="0"/>
          <w:i/>
          <w:szCs w:val="24"/>
        </w:rPr>
        <w:t xml:space="preserve">Components for the </w:t>
      </w:r>
      <w:r w:rsidR="004C3E76">
        <w:rPr>
          <w:bCs w:val="0"/>
          <w:i/>
          <w:szCs w:val="24"/>
        </w:rPr>
        <w:t>Self-Selected Bomber</w:t>
      </w:r>
      <w:bookmarkEnd w:id="12"/>
    </w:p>
    <w:p w:rsidR="00067EA6" w:rsidRDefault="00816574" w:rsidP="003E0E0A">
      <w:pPr>
        <w:ind w:firstLine="720"/>
        <w:contextualSpacing/>
        <w:rPr>
          <w:rFonts w:ascii="Times New Roman" w:eastAsia="Calibri" w:hAnsi="Times New Roman"/>
          <w:noProof/>
          <w:lang w:bidi="ar-SA"/>
        </w:rPr>
      </w:pPr>
      <w:r>
        <w:rPr>
          <w:rFonts w:ascii="Times New Roman" w:eastAsia="Calibri" w:hAnsi="Times New Roman"/>
          <w:noProof/>
          <w:lang w:bidi="ar-SA"/>
        </w:rPr>
        <w:t>Both the dramatic rise in</w:t>
      </w:r>
      <w:r w:rsidR="002D0E6C">
        <w:rPr>
          <w:rFonts w:ascii="Times New Roman" w:eastAsia="Calibri" w:hAnsi="Times New Roman"/>
          <w:noProof/>
          <w:lang w:bidi="ar-SA"/>
        </w:rPr>
        <w:t xml:space="preserve"> </w:t>
      </w:r>
      <w:r>
        <w:rPr>
          <w:rFonts w:ascii="Times New Roman" w:eastAsia="Calibri" w:hAnsi="Times New Roman"/>
          <w:noProof/>
          <w:lang w:bidi="ar-SA"/>
        </w:rPr>
        <w:t xml:space="preserve">suicide attacks the past fifteen years </w:t>
      </w:r>
      <w:r w:rsidR="002D0E6C">
        <w:rPr>
          <w:rFonts w:ascii="Times New Roman" w:eastAsia="Calibri" w:hAnsi="Times New Roman"/>
          <w:noProof/>
          <w:lang w:bidi="ar-SA"/>
        </w:rPr>
        <w:t xml:space="preserve">and the willingness of individuals </w:t>
      </w:r>
      <w:r>
        <w:rPr>
          <w:rFonts w:ascii="Times New Roman" w:eastAsia="Calibri" w:hAnsi="Times New Roman"/>
          <w:noProof/>
          <w:lang w:bidi="ar-SA"/>
        </w:rPr>
        <w:t>to commit murder-suicide result</w:t>
      </w:r>
      <w:r w:rsidR="002D0E6C">
        <w:rPr>
          <w:rFonts w:ascii="Times New Roman" w:eastAsia="Calibri" w:hAnsi="Times New Roman"/>
          <w:noProof/>
          <w:lang w:bidi="ar-SA"/>
        </w:rPr>
        <w:t xml:space="preserve"> from three components:</w:t>
      </w:r>
      <w:r w:rsidR="004555DB">
        <w:rPr>
          <w:rFonts w:ascii="Times New Roman" w:eastAsia="Calibri" w:hAnsi="Times New Roman"/>
          <w:noProof/>
          <w:lang w:bidi="ar-SA"/>
        </w:rPr>
        <w:t xml:space="preserve"> </w:t>
      </w:r>
      <w:r w:rsidR="002D0E6C">
        <w:rPr>
          <w:rFonts w:ascii="Times New Roman" w:eastAsia="Calibri" w:hAnsi="Times New Roman"/>
          <w:noProof/>
          <w:lang w:bidi="ar-SA"/>
        </w:rPr>
        <w:t xml:space="preserve">the </w:t>
      </w:r>
      <w:r w:rsidR="002D0E6C" w:rsidRPr="00067EA6">
        <w:rPr>
          <w:rFonts w:ascii="Times New Roman" w:eastAsia="Calibri" w:hAnsi="Times New Roman"/>
          <w:i/>
          <w:iCs/>
          <w:noProof/>
          <w:lang w:bidi="ar-SA"/>
        </w:rPr>
        <w:t>narrative</w:t>
      </w:r>
      <w:r w:rsidR="002D0E6C">
        <w:rPr>
          <w:rFonts w:ascii="Times New Roman" w:eastAsia="Calibri" w:hAnsi="Times New Roman"/>
          <w:noProof/>
          <w:lang w:bidi="ar-SA"/>
        </w:rPr>
        <w:t xml:space="preserve"> that </w:t>
      </w:r>
      <w:r w:rsidR="00067EA6">
        <w:rPr>
          <w:rFonts w:ascii="Times New Roman" w:eastAsia="Calibri" w:hAnsi="Times New Roman"/>
          <w:noProof/>
          <w:lang w:bidi="ar-SA"/>
        </w:rPr>
        <w:t xml:space="preserve">leverages </w:t>
      </w:r>
      <w:r w:rsidR="00067EA6" w:rsidRPr="00067EA6">
        <w:rPr>
          <w:rFonts w:ascii="Times New Roman" w:eastAsia="Calibri" w:hAnsi="Times New Roman"/>
          <w:i/>
          <w:iCs/>
          <w:noProof/>
          <w:lang w:bidi="ar-SA"/>
        </w:rPr>
        <w:t>sacred values</w:t>
      </w:r>
      <w:r w:rsidR="00067EA6">
        <w:rPr>
          <w:rFonts w:ascii="Times New Roman" w:eastAsia="Calibri" w:hAnsi="Times New Roman"/>
          <w:noProof/>
          <w:lang w:bidi="ar-SA"/>
        </w:rPr>
        <w:t xml:space="preserve"> to describe the ideal </w:t>
      </w:r>
      <w:r w:rsidR="00067EA6" w:rsidRPr="00067EA6">
        <w:rPr>
          <w:rFonts w:ascii="Times New Roman" w:eastAsia="Calibri" w:hAnsi="Times New Roman"/>
          <w:i/>
          <w:iCs/>
          <w:noProof/>
          <w:lang w:bidi="ar-SA"/>
        </w:rPr>
        <w:t>in-group</w:t>
      </w:r>
      <w:r w:rsidR="00067EA6">
        <w:rPr>
          <w:rFonts w:ascii="Times New Roman" w:eastAsia="Calibri" w:hAnsi="Times New Roman"/>
          <w:noProof/>
          <w:lang w:bidi="ar-SA"/>
        </w:rPr>
        <w:t xml:space="preserve"> and why the </w:t>
      </w:r>
      <w:r w:rsidR="002D0E6C" w:rsidRPr="00067EA6">
        <w:rPr>
          <w:rFonts w:ascii="Times New Roman" w:eastAsia="Calibri" w:hAnsi="Times New Roman"/>
          <w:i/>
          <w:iCs/>
          <w:noProof/>
          <w:lang w:bidi="ar-SA"/>
        </w:rPr>
        <w:t>out-</w:t>
      </w:r>
      <w:r w:rsidR="00067EA6" w:rsidRPr="00067EA6">
        <w:rPr>
          <w:rFonts w:ascii="Times New Roman" w:eastAsia="Calibri" w:hAnsi="Times New Roman"/>
          <w:i/>
          <w:iCs/>
          <w:noProof/>
          <w:lang w:bidi="ar-SA"/>
        </w:rPr>
        <w:t>group</w:t>
      </w:r>
      <w:r w:rsidR="002D0E6C" w:rsidRPr="00067EA6">
        <w:rPr>
          <w:rFonts w:ascii="Times New Roman" w:eastAsia="Calibri" w:hAnsi="Times New Roman"/>
          <w:i/>
          <w:iCs/>
          <w:noProof/>
          <w:lang w:bidi="ar-SA"/>
        </w:rPr>
        <w:t xml:space="preserve"> </w:t>
      </w:r>
      <w:r w:rsidR="002D0E6C">
        <w:rPr>
          <w:rFonts w:ascii="Times New Roman" w:eastAsia="Calibri" w:hAnsi="Times New Roman"/>
          <w:noProof/>
          <w:lang w:bidi="ar-SA"/>
        </w:rPr>
        <w:t xml:space="preserve">is </w:t>
      </w:r>
      <w:r w:rsidR="00067EA6">
        <w:rPr>
          <w:rFonts w:ascii="Times New Roman" w:eastAsia="Calibri" w:hAnsi="Times New Roman"/>
          <w:noProof/>
          <w:lang w:bidi="ar-SA"/>
        </w:rPr>
        <w:t>the enemy</w:t>
      </w:r>
      <w:r w:rsidR="002D0E6C">
        <w:rPr>
          <w:rFonts w:ascii="Times New Roman" w:eastAsia="Calibri" w:hAnsi="Times New Roman"/>
          <w:noProof/>
          <w:lang w:bidi="ar-SA"/>
        </w:rPr>
        <w:t xml:space="preserve">, the psychological </w:t>
      </w:r>
      <w:r w:rsidR="00067EA6">
        <w:rPr>
          <w:rFonts w:ascii="Times New Roman" w:eastAsia="Calibri" w:hAnsi="Times New Roman"/>
          <w:noProof/>
          <w:lang w:bidi="ar-SA"/>
        </w:rPr>
        <w:t xml:space="preserve">consequences </w:t>
      </w:r>
      <w:r w:rsidR="000D42C4">
        <w:rPr>
          <w:rFonts w:ascii="Times New Roman" w:eastAsia="Calibri" w:hAnsi="Times New Roman"/>
          <w:noProof/>
          <w:lang w:bidi="ar-SA"/>
        </w:rPr>
        <w:t xml:space="preserve">of the in-group and out-group divide </w:t>
      </w:r>
      <w:r w:rsidR="002D0E6C">
        <w:rPr>
          <w:rFonts w:ascii="Times New Roman" w:eastAsia="Calibri" w:hAnsi="Times New Roman"/>
          <w:noProof/>
          <w:lang w:bidi="ar-SA"/>
        </w:rPr>
        <w:t xml:space="preserve">that </w:t>
      </w:r>
      <w:r w:rsidR="00263F37">
        <w:rPr>
          <w:rFonts w:ascii="Times New Roman" w:eastAsia="Calibri" w:hAnsi="Times New Roman"/>
          <w:noProof/>
          <w:lang w:bidi="ar-SA"/>
        </w:rPr>
        <w:t xml:space="preserve">incites </w:t>
      </w:r>
      <w:r w:rsidR="00067EA6" w:rsidRPr="00067EA6">
        <w:rPr>
          <w:rFonts w:ascii="Times New Roman" w:eastAsia="Calibri" w:hAnsi="Times New Roman"/>
          <w:i/>
          <w:iCs/>
          <w:noProof/>
          <w:lang w:bidi="ar-SA"/>
        </w:rPr>
        <w:t>dehumanization</w:t>
      </w:r>
      <w:r w:rsidR="00067EA6">
        <w:rPr>
          <w:rFonts w:ascii="Times New Roman" w:eastAsia="Calibri" w:hAnsi="Times New Roman"/>
          <w:noProof/>
          <w:lang w:bidi="ar-SA"/>
        </w:rPr>
        <w:t xml:space="preserve"> of the </w:t>
      </w:r>
      <w:r w:rsidR="002D0E6C">
        <w:rPr>
          <w:rFonts w:ascii="Times New Roman" w:eastAsia="Calibri" w:hAnsi="Times New Roman"/>
          <w:noProof/>
          <w:lang w:bidi="ar-SA"/>
        </w:rPr>
        <w:t xml:space="preserve">out-group, and the narrative of martyrdom that </w:t>
      </w:r>
      <w:r w:rsidR="002D0E6C" w:rsidRPr="00067EA6">
        <w:rPr>
          <w:rFonts w:ascii="Times New Roman" w:eastAsia="Calibri" w:hAnsi="Times New Roman"/>
          <w:i/>
          <w:iCs/>
          <w:noProof/>
          <w:lang w:bidi="ar-SA"/>
        </w:rPr>
        <w:t>removes the fear of suicide</w:t>
      </w:r>
      <w:r w:rsidR="004555DB">
        <w:rPr>
          <w:rFonts w:ascii="Times New Roman" w:eastAsia="Calibri" w:hAnsi="Times New Roman"/>
          <w:noProof/>
          <w:lang w:bidi="ar-SA"/>
        </w:rPr>
        <w:t xml:space="preserve">.  </w:t>
      </w:r>
      <w:r w:rsidR="000D42C4">
        <w:rPr>
          <w:rFonts w:ascii="Times New Roman" w:eastAsia="Calibri" w:hAnsi="Times New Roman"/>
          <w:noProof/>
          <w:lang w:bidi="ar-SA"/>
        </w:rPr>
        <w:t xml:space="preserve">With some rare exceptions, </w:t>
      </w:r>
      <w:r w:rsidR="003E0E0A">
        <w:rPr>
          <w:rFonts w:ascii="Times New Roman" w:eastAsia="Calibri" w:hAnsi="Times New Roman"/>
          <w:noProof/>
          <w:lang w:bidi="ar-SA"/>
        </w:rPr>
        <w:t xml:space="preserve">the ideology of </w:t>
      </w:r>
      <w:r w:rsidR="003E0E0A">
        <w:rPr>
          <w:rFonts w:ascii="Times New Roman" w:eastAsia="Calibri" w:hAnsi="Times New Roman"/>
          <w:i/>
          <w:iCs/>
          <w:noProof/>
          <w:lang w:bidi="ar-SA"/>
        </w:rPr>
        <w:t xml:space="preserve">Qutbism </w:t>
      </w:r>
      <w:r w:rsidR="003E0E0A">
        <w:rPr>
          <w:rFonts w:ascii="Times New Roman" w:eastAsia="Calibri" w:hAnsi="Times New Roman"/>
          <w:noProof/>
          <w:lang w:bidi="ar-SA"/>
        </w:rPr>
        <w:t xml:space="preserve">influences </w:t>
      </w:r>
      <w:r w:rsidR="000D42C4">
        <w:rPr>
          <w:rFonts w:ascii="Times New Roman" w:eastAsia="Calibri" w:hAnsi="Times New Roman"/>
          <w:noProof/>
          <w:lang w:bidi="ar-SA"/>
        </w:rPr>
        <w:t>all modern suicide bombing campaigns</w:t>
      </w:r>
      <w:r w:rsidR="000D42C4">
        <w:rPr>
          <w:rFonts w:ascii="Times New Roman" w:eastAsia="Calibri" w:hAnsi="Times New Roman"/>
          <w:i/>
          <w:noProof/>
          <w:lang w:bidi="ar-SA"/>
        </w:rPr>
        <w:t xml:space="preserve">.  </w:t>
      </w:r>
      <w:r w:rsidR="002D0E6C">
        <w:rPr>
          <w:rFonts w:ascii="Times New Roman" w:eastAsia="Calibri" w:hAnsi="Times New Roman"/>
          <w:noProof/>
          <w:lang w:bidi="ar-SA"/>
        </w:rPr>
        <w:t>Qutbism</w:t>
      </w:r>
      <w:r w:rsidR="00377584">
        <w:rPr>
          <w:rFonts w:ascii="Times New Roman" w:eastAsia="Calibri" w:hAnsi="Times New Roman"/>
          <w:noProof/>
          <w:lang w:bidi="ar-SA"/>
        </w:rPr>
        <w:t xml:space="preserve"> </w:t>
      </w:r>
      <w:r w:rsidR="000D42C4">
        <w:rPr>
          <w:rFonts w:ascii="Times New Roman" w:eastAsia="Calibri" w:hAnsi="Times New Roman"/>
          <w:noProof/>
          <w:lang w:bidi="ar-SA"/>
        </w:rPr>
        <w:t>is the ideology</w:t>
      </w:r>
      <w:r w:rsidR="002D0E6C">
        <w:rPr>
          <w:rFonts w:ascii="Times New Roman" w:eastAsia="Calibri" w:hAnsi="Times New Roman"/>
          <w:noProof/>
          <w:lang w:bidi="ar-SA"/>
        </w:rPr>
        <w:t xml:space="preserve"> </w:t>
      </w:r>
      <w:r w:rsidR="00377584">
        <w:rPr>
          <w:rFonts w:ascii="Times New Roman" w:eastAsia="Calibri" w:hAnsi="Times New Roman"/>
          <w:noProof/>
          <w:lang w:bidi="ar-SA"/>
        </w:rPr>
        <w:t xml:space="preserve">of the militant Salafist writer Sayyid Qutb, whose seminal work </w:t>
      </w:r>
      <w:r w:rsidR="00377584">
        <w:rPr>
          <w:rFonts w:ascii="Times New Roman" w:eastAsia="Calibri" w:hAnsi="Times New Roman"/>
          <w:i/>
          <w:iCs/>
          <w:noProof/>
          <w:lang w:bidi="ar-SA"/>
        </w:rPr>
        <w:t xml:space="preserve">Milestones </w:t>
      </w:r>
      <w:r w:rsidR="00377584">
        <w:rPr>
          <w:rFonts w:ascii="Times New Roman" w:eastAsia="Calibri" w:hAnsi="Times New Roman"/>
          <w:noProof/>
          <w:lang w:bidi="ar-SA"/>
        </w:rPr>
        <w:t>is cited by Al Qaeda leaders</w:t>
      </w:r>
      <w:r w:rsidR="004555DB">
        <w:rPr>
          <w:rFonts w:ascii="Times New Roman" w:eastAsia="Calibri" w:hAnsi="Times New Roman"/>
          <w:noProof/>
          <w:lang w:bidi="ar-SA"/>
        </w:rPr>
        <w:t xml:space="preserve">.  </w:t>
      </w:r>
    </w:p>
    <w:p w:rsidR="00F63F0A" w:rsidRDefault="00816574" w:rsidP="003E0E0A">
      <w:pPr>
        <w:ind w:firstLine="720"/>
        <w:contextualSpacing/>
        <w:rPr>
          <w:rFonts w:ascii="Times New Roman" w:eastAsia="Calibri" w:hAnsi="Times New Roman"/>
          <w:noProof/>
          <w:lang w:bidi="ar-SA"/>
        </w:rPr>
      </w:pPr>
      <w:r>
        <w:rPr>
          <w:rFonts w:ascii="Times New Roman" w:eastAsia="Calibri" w:hAnsi="Times New Roman"/>
          <w:noProof/>
          <w:lang w:bidi="ar-SA"/>
        </w:rPr>
        <w:t xml:space="preserve">Al Qaeda and its like-minded franchises have used Qutb’s </w:t>
      </w:r>
      <w:r w:rsidR="003E0E0A">
        <w:rPr>
          <w:rFonts w:ascii="Times New Roman" w:eastAsia="Calibri" w:hAnsi="Times New Roman"/>
          <w:noProof/>
          <w:lang w:bidi="ar-SA"/>
        </w:rPr>
        <w:t>group</w:t>
      </w:r>
      <w:r>
        <w:rPr>
          <w:rFonts w:ascii="Times New Roman" w:eastAsia="Calibri" w:hAnsi="Times New Roman"/>
          <w:noProof/>
          <w:lang w:bidi="ar-SA"/>
        </w:rPr>
        <w:t xml:space="preserve"> categori</w:t>
      </w:r>
      <w:r w:rsidR="003E0E0A">
        <w:rPr>
          <w:rFonts w:ascii="Times New Roman" w:eastAsia="Calibri" w:hAnsi="Times New Roman"/>
          <w:noProof/>
          <w:lang w:bidi="ar-SA"/>
        </w:rPr>
        <w:t>zation</w:t>
      </w:r>
      <w:r>
        <w:rPr>
          <w:rFonts w:ascii="Times New Roman" w:eastAsia="Calibri" w:hAnsi="Times New Roman"/>
          <w:noProof/>
          <w:lang w:bidi="ar-SA"/>
        </w:rPr>
        <w:t xml:space="preserve"> </w:t>
      </w:r>
      <w:r w:rsidR="002325BA">
        <w:rPr>
          <w:rFonts w:ascii="Times New Roman" w:eastAsia="Calibri" w:hAnsi="Times New Roman"/>
          <w:noProof/>
          <w:lang w:bidi="ar-SA"/>
        </w:rPr>
        <w:t xml:space="preserve">to justify </w:t>
      </w:r>
      <w:r>
        <w:rPr>
          <w:rFonts w:ascii="Times New Roman" w:eastAsia="Calibri" w:hAnsi="Times New Roman"/>
          <w:noProof/>
          <w:lang w:bidi="ar-SA"/>
        </w:rPr>
        <w:t xml:space="preserve">a wide range </w:t>
      </w:r>
      <w:r w:rsidR="002325BA">
        <w:rPr>
          <w:rFonts w:ascii="Times New Roman" w:eastAsia="Calibri" w:hAnsi="Times New Roman"/>
          <w:noProof/>
          <w:lang w:bidi="ar-SA"/>
        </w:rPr>
        <w:t xml:space="preserve">of </w:t>
      </w:r>
      <w:r w:rsidR="003E0E0A">
        <w:rPr>
          <w:rFonts w:ascii="Times New Roman" w:eastAsia="Calibri" w:hAnsi="Times New Roman"/>
          <w:noProof/>
          <w:lang w:bidi="ar-SA"/>
        </w:rPr>
        <w:t xml:space="preserve">acceptable </w:t>
      </w:r>
      <w:r w:rsidR="002325BA">
        <w:rPr>
          <w:rFonts w:ascii="Times New Roman" w:eastAsia="Calibri" w:hAnsi="Times New Roman"/>
          <w:noProof/>
          <w:lang w:bidi="ar-SA"/>
        </w:rPr>
        <w:t>targets</w:t>
      </w:r>
      <w:r w:rsidR="00FB33AA">
        <w:rPr>
          <w:rFonts w:ascii="Times New Roman" w:eastAsia="Calibri" w:hAnsi="Times New Roman"/>
          <w:noProof/>
          <w:lang w:bidi="ar-SA"/>
        </w:rPr>
        <w:t>.</w:t>
      </w:r>
      <w:r w:rsidR="00E3324E">
        <w:rPr>
          <w:rStyle w:val="FootnoteReference"/>
          <w:rFonts w:ascii="Times New Roman" w:eastAsia="Calibri" w:hAnsi="Times New Roman"/>
          <w:noProof/>
          <w:lang w:bidi="ar-SA"/>
        </w:rPr>
        <w:footnoteReference w:id="14"/>
      </w:r>
      <w:r>
        <w:rPr>
          <w:rFonts w:ascii="Times New Roman" w:eastAsia="Calibri" w:hAnsi="Times New Roman"/>
          <w:noProof/>
          <w:lang w:bidi="ar-SA"/>
        </w:rPr>
        <w:t xml:space="preserve">  </w:t>
      </w:r>
      <w:r w:rsidR="003E0E0A">
        <w:rPr>
          <w:rFonts w:ascii="Times New Roman" w:eastAsia="Calibri" w:hAnsi="Times New Roman"/>
          <w:noProof/>
          <w:lang w:bidi="ar-SA"/>
        </w:rPr>
        <w:t xml:space="preserve">Qutb never argued for martyrdom operations—he was executed fifteen years before the first suicide bomb—but the Qutbist worldview creates a small in-group and a very large out-group.  </w:t>
      </w:r>
      <w:r w:rsidR="00032BEA">
        <w:rPr>
          <w:rFonts w:ascii="Times New Roman" w:eastAsia="Calibri" w:hAnsi="Times New Roman"/>
          <w:noProof/>
          <w:lang w:bidi="ar-SA"/>
        </w:rPr>
        <w:t>T</w:t>
      </w:r>
      <w:r w:rsidR="002325BA">
        <w:rPr>
          <w:rFonts w:ascii="Times New Roman" w:eastAsia="Calibri" w:hAnsi="Times New Roman"/>
          <w:noProof/>
          <w:lang w:bidi="ar-SA"/>
        </w:rPr>
        <w:t>he Qutbist worldview</w:t>
      </w:r>
      <w:r w:rsidR="00AB7672">
        <w:rPr>
          <w:rFonts w:ascii="Times New Roman" w:eastAsia="Calibri" w:hAnsi="Times New Roman"/>
          <w:noProof/>
          <w:lang w:bidi="ar-SA"/>
        </w:rPr>
        <w:t xml:space="preserve"> presents a framework where the “them” represents nefarious forces beyond </w:t>
      </w:r>
      <w:r w:rsidR="00AB7672">
        <w:rPr>
          <w:rFonts w:ascii="Times New Roman" w:eastAsia="Calibri" w:hAnsi="Times New Roman"/>
          <w:noProof/>
          <w:lang w:bidi="ar-SA"/>
        </w:rPr>
        <w:lastRenderedPageBreak/>
        <w:t>simply being an Iraqi Shia or American civilian</w:t>
      </w:r>
      <w:r w:rsidR="004555DB">
        <w:rPr>
          <w:rFonts w:ascii="Times New Roman" w:eastAsia="Calibri" w:hAnsi="Times New Roman"/>
          <w:noProof/>
          <w:lang w:bidi="ar-SA"/>
        </w:rPr>
        <w:t xml:space="preserve">.  </w:t>
      </w:r>
      <w:r w:rsidR="002D0E6C">
        <w:rPr>
          <w:rFonts w:ascii="Times New Roman" w:eastAsia="Calibri" w:hAnsi="Times New Roman"/>
          <w:noProof/>
          <w:lang w:bidi="ar-SA"/>
        </w:rPr>
        <w:t xml:space="preserve">To explain the psychological impact of a strident in-group and out-group divide on intergroup hostility, </w:t>
      </w:r>
      <w:r w:rsidR="00FB33AA">
        <w:rPr>
          <w:rFonts w:ascii="Times New Roman" w:eastAsia="Calibri" w:hAnsi="Times New Roman"/>
          <w:noProof/>
          <w:lang w:bidi="ar-SA"/>
        </w:rPr>
        <w:t>I pull upon resear</w:t>
      </w:r>
      <w:r w:rsidR="008578FE">
        <w:rPr>
          <w:rFonts w:ascii="Times New Roman" w:eastAsia="Calibri" w:hAnsi="Times New Roman"/>
          <w:noProof/>
          <w:lang w:bidi="ar-SA"/>
        </w:rPr>
        <w:t>ch from</w:t>
      </w:r>
      <w:r w:rsidR="00FB33AA">
        <w:rPr>
          <w:rFonts w:ascii="Times New Roman" w:eastAsia="Calibri" w:hAnsi="Times New Roman"/>
          <w:noProof/>
          <w:lang w:bidi="ar-SA"/>
        </w:rPr>
        <w:t xml:space="preserve"> social identity theory to demons</w:t>
      </w:r>
      <w:r w:rsidR="00AB7672">
        <w:rPr>
          <w:rFonts w:ascii="Times New Roman" w:eastAsia="Calibri" w:hAnsi="Times New Roman"/>
          <w:noProof/>
          <w:lang w:bidi="ar-SA"/>
        </w:rPr>
        <w:t>trate that strong in-group narcissism</w:t>
      </w:r>
      <w:r w:rsidR="00FB33AA">
        <w:rPr>
          <w:rFonts w:ascii="Times New Roman" w:eastAsia="Calibri" w:hAnsi="Times New Roman"/>
          <w:noProof/>
          <w:lang w:bidi="ar-SA"/>
        </w:rPr>
        <w:t xml:space="preserve"> </w:t>
      </w:r>
      <w:r>
        <w:rPr>
          <w:rFonts w:ascii="Times New Roman" w:eastAsia="Calibri" w:hAnsi="Times New Roman"/>
          <w:noProof/>
          <w:lang w:bidi="ar-SA"/>
        </w:rPr>
        <w:t xml:space="preserve">incites </w:t>
      </w:r>
      <w:r w:rsidR="0020192B">
        <w:rPr>
          <w:rFonts w:ascii="Times New Roman" w:eastAsia="Calibri" w:hAnsi="Times New Roman"/>
          <w:noProof/>
          <w:lang w:bidi="ar-SA"/>
        </w:rPr>
        <w:t>individuals to harm representatives of the out-group</w:t>
      </w:r>
      <w:r w:rsidR="009A06B0">
        <w:rPr>
          <w:rFonts w:ascii="Times New Roman" w:eastAsia="Calibri" w:hAnsi="Times New Roman"/>
          <w:noProof/>
          <w:lang w:bidi="ar-SA"/>
        </w:rPr>
        <w:t>.</w:t>
      </w:r>
      <w:r w:rsidR="004555DB">
        <w:rPr>
          <w:rFonts w:ascii="Times New Roman" w:eastAsia="Calibri" w:hAnsi="Times New Roman"/>
          <w:noProof/>
          <w:lang w:bidi="ar-SA"/>
        </w:rPr>
        <w:t xml:space="preserve"> </w:t>
      </w:r>
    </w:p>
    <w:p w:rsidR="008C6F29" w:rsidRPr="002E10E7" w:rsidRDefault="009D7375" w:rsidP="00C2499C">
      <w:pPr>
        <w:ind w:firstLine="720"/>
        <w:contextualSpacing/>
        <w:rPr>
          <w:rFonts w:eastAsia="Calibri"/>
          <w:lang w:bidi="he-IL"/>
        </w:rPr>
      </w:pPr>
      <w:r>
        <w:rPr>
          <w:rFonts w:ascii="Times New Roman" w:eastAsia="Calibri" w:hAnsi="Times New Roman"/>
          <w:noProof/>
          <w:lang w:bidi="ar-SA"/>
        </w:rPr>
        <w:t xml:space="preserve">The </w:t>
      </w:r>
      <w:r w:rsidRPr="009A06B0">
        <w:rPr>
          <w:rFonts w:ascii="Times New Roman" w:eastAsia="Calibri" w:hAnsi="Times New Roman"/>
          <w:i/>
          <w:noProof/>
          <w:lang w:bidi="ar-SA"/>
        </w:rPr>
        <w:t>sacred values</w:t>
      </w:r>
      <w:r>
        <w:rPr>
          <w:rFonts w:ascii="Times New Roman" w:eastAsia="Calibri" w:hAnsi="Times New Roman"/>
          <w:noProof/>
          <w:lang w:bidi="ar-SA"/>
        </w:rPr>
        <w:t xml:space="preserve"> that </w:t>
      </w:r>
      <w:r w:rsidR="009A06B0">
        <w:rPr>
          <w:rFonts w:ascii="Times New Roman" w:eastAsia="Calibri" w:hAnsi="Times New Roman"/>
          <w:noProof/>
          <w:lang w:bidi="ar-SA"/>
        </w:rPr>
        <w:t>lay the foundation for</w:t>
      </w:r>
      <w:r>
        <w:rPr>
          <w:rFonts w:ascii="Times New Roman" w:eastAsia="Calibri" w:hAnsi="Times New Roman"/>
          <w:noProof/>
          <w:lang w:bidi="ar-SA"/>
        </w:rPr>
        <w:t xml:space="preserve"> the Qutbist narrative</w:t>
      </w:r>
      <w:r w:rsidR="003D1C8F">
        <w:rPr>
          <w:rFonts w:ascii="Times New Roman" w:eastAsia="Calibri" w:hAnsi="Times New Roman"/>
          <w:noProof/>
          <w:lang w:bidi="ar-SA"/>
        </w:rPr>
        <w:t xml:space="preserve"> orient the individual</w:t>
      </w:r>
      <w:r w:rsidR="003E0E0A">
        <w:rPr>
          <w:rFonts w:ascii="Times New Roman" w:eastAsia="Calibri" w:hAnsi="Times New Roman"/>
          <w:noProof/>
          <w:lang w:bidi="ar-SA"/>
        </w:rPr>
        <w:t xml:space="preserve"> to a strident new in-group identity</w:t>
      </w:r>
      <w:r w:rsidR="004555DB">
        <w:rPr>
          <w:rFonts w:ascii="Times New Roman" w:eastAsia="Calibri" w:hAnsi="Times New Roman"/>
          <w:noProof/>
          <w:lang w:bidi="ar-SA"/>
        </w:rPr>
        <w:t xml:space="preserve">.  </w:t>
      </w:r>
      <w:r w:rsidR="003D1C8F" w:rsidRPr="003776BC">
        <w:rPr>
          <w:rFonts w:eastAsia="Calibri"/>
          <w:lang w:bidi="he-IL"/>
        </w:rPr>
        <w:t>Anthro</w:t>
      </w:r>
      <w:r>
        <w:rPr>
          <w:rFonts w:eastAsia="Calibri"/>
          <w:lang w:bidi="he-IL"/>
        </w:rPr>
        <w:t>pologist Scott Atran defines</w:t>
      </w:r>
      <w:r w:rsidR="003D1C8F">
        <w:rPr>
          <w:rFonts w:eastAsia="Calibri"/>
          <w:lang w:bidi="he-IL"/>
        </w:rPr>
        <w:t xml:space="preserve"> sacred values as</w:t>
      </w:r>
      <w:r>
        <w:rPr>
          <w:rFonts w:eastAsia="Calibri"/>
          <w:lang w:bidi="he-IL"/>
        </w:rPr>
        <w:t xml:space="preserve"> foundational beliefs about community, honor, justice, religion</w:t>
      </w:r>
      <w:r w:rsidR="009A06B0">
        <w:rPr>
          <w:rFonts w:eastAsia="Calibri"/>
          <w:lang w:bidi="he-IL"/>
        </w:rPr>
        <w:t>, and similar</w:t>
      </w:r>
      <w:r w:rsidR="00AD27B4">
        <w:rPr>
          <w:rFonts w:eastAsia="Calibri"/>
          <w:lang w:bidi="he-IL"/>
        </w:rPr>
        <w:t xml:space="preserve"> core</w:t>
      </w:r>
      <w:r w:rsidR="009A06B0">
        <w:rPr>
          <w:rFonts w:eastAsia="Calibri"/>
          <w:lang w:bidi="he-IL"/>
        </w:rPr>
        <w:t xml:space="preserve"> beliefs</w:t>
      </w:r>
      <w:r w:rsidR="00D97772">
        <w:rPr>
          <w:rFonts w:eastAsia="Calibri"/>
          <w:lang w:bidi="he-IL"/>
        </w:rPr>
        <w:t xml:space="preserve"> that provide collective identity to the in-group and personal meaning to </w:t>
      </w:r>
      <w:r w:rsidR="003E0E0A">
        <w:rPr>
          <w:rFonts w:eastAsia="Calibri"/>
          <w:lang w:bidi="he-IL"/>
        </w:rPr>
        <w:t>the group members</w:t>
      </w:r>
      <w:r w:rsidR="00D97772">
        <w:rPr>
          <w:rFonts w:eastAsia="Calibri"/>
          <w:lang w:bidi="he-IL"/>
        </w:rPr>
        <w:t>.</w:t>
      </w:r>
      <w:r w:rsidR="00D97772" w:rsidRPr="003776BC">
        <w:rPr>
          <w:rFonts w:eastAsia="Calibri"/>
          <w:iCs/>
          <w:vertAlign w:val="superscript"/>
          <w:lang w:bidi="he-IL"/>
        </w:rPr>
        <w:footnoteReference w:id="15"/>
      </w:r>
      <w:r w:rsidR="003E0E0A">
        <w:rPr>
          <w:rFonts w:eastAsia="Calibri"/>
          <w:lang w:bidi="he-IL"/>
        </w:rPr>
        <w:t xml:space="preserve"> </w:t>
      </w:r>
      <w:r w:rsidR="00D7256A">
        <w:rPr>
          <w:rFonts w:eastAsia="Calibri"/>
          <w:iCs/>
          <w:lang w:bidi="he-IL"/>
        </w:rPr>
        <w:t xml:space="preserve"> </w:t>
      </w:r>
      <w:r w:rsidR="00D97772">
        <w:rPr>
          <w:rFonts w:eastAsia="Calibri"/>
          <w:lang w:bidi="he-IL"/>
        </w:rPr>
        <w:t>Individuals and groups view the</w:t>
      </w:r>
      <w:r w:rsidR="00C2499C">
        <w:rPr>
          <w:rFonts w:eastAsia="Calibri"/>
          <w:lang w:bidi="he-IL"/>
        </w:rPr>
        <w:t>se sacred vales as morally invio</w:t>
      </w:r>
      <w:r w:rsidR="00D97772">
        <w:rPr>
          <w:rFonts w:eastAsia="Calibri"/>
          <w:lang w:bidi="he-IL"/>
        </w:rPr>
        <w:t xml:space="preserve">lable, and act on them </w:t>
      </w:r>
      <w:r w:rsidR="003D1C8F" w:rsidRPr="003776BC">
        <w:rPr>
          <w:rFonts w:eastAsia="Calibri"/>
          <w:lang w:bidi="he-IL"/>
        </w:rPr>
        <w:t xml:space="preserve">beyond </w:t>
      </w:r>
      <w:r w:rsidR="00D97772">
        <w:rPr>
          <w:rFonts w:eastAsia="Calibri"/>
          <w:lang w:bidi="he-IL"/>
        </w:rPr>
        <w:t xml:space="preserve">what external observers may view as </w:t>
      </w:r>
      <w:r w:rsidR="003D1C8F" w:rsidRPr="003776BC">
        <w:rPr>
          <w:rFonts w:eastAsia="Calibri"/>
          <w:lang w:bidi="he-IL"/>
        </w:rPr>
        <w:t>rational cost-benefi</w:t>
      </w:r>
      <w:r>
        <w:rPr>
          <w:rFonts w:eastAsia="Calibri"/>
          <w:lang w:bidi="he-IL"/>
        </w:rPr>
        <w:t>t analyses of success</w:t>
      </w:r>
      <w:r w:rsidR="00E375FB">
        <w:rPr>
          <w:rFonts w:eastAsia="Calibri"/>
          <w:lang w:bidi="he-IL"/>
        </w:rPr>
        <w:t xml:space="preserve"> in political, military, or economic </w:t>
      </w:r>
      <w:r w:rsidR="00AD27B4">
        <w:rPr>
          <w:rFonts w:eastAsia="Calibri"/>
          <w:lang w:bidi="he-IL"/>
        </w:rPr>
        <w:t>endeavors</w:t>
      </w:r>
      <w:r w:rsidR="003D1C8F" w:rsidRPr="003776BC">
        <w:rPr>
          <w:rFonts w:eastAsia="Calibri"/>
          <w:iCs/>
          <w:lang w:bidi="he-IL"/>
        </w:rPr>
        <w:t>.</w:t>
      </w:r>
      <w:r w:rsidR="003D1C8F" w:rsidRPr="003776BC">
        <w:rPr>
          <w:rFonts w:eastAsia="Calibri"/>
          <w:iCs/>
          <w:vertAlign w:val="superscript"/>
          <w:lang w:bidi="he-IL"/>
        </w:rPr>
        <w:footnoteReference w:id="16"/>
      </w:r>
      <w:r w:rsidR="004555DB">
        <w:rPr>
          <w:rFonts w:eastAsia="Calibri"/>
          <w:iCs/>
          <w:lang w:bidi="he-IL"/>
        </w:rPr>
        <w:t xml:space="preserve"> </w:t>
      </w:r>
      <w:r w:rsidR="00E13419">
        <w:rPr>
          <w:rFonts w:eastAsia="Calibri"/>
          <w:iCs/>
          <w:lang w:bidi="he-IL"/>
        </w:rPr>
        <w:t xml:space="preserve"> </w:t>
      </w:r>
      <w:r w:rsidR="00D97772">
        <w:rPr>
          <w:rFonts w:eastAsia="Calibri"/>
          <w:iCs/>
          <w:lang w:bidi="he-IL"/>
        </w:rPr>
        <w:t>Compromising on these values is a compromise of identity.</w:t>
      </w:r>
      <w:r w:rsidR="00E375FB" w:rsidRPr="00E375FB">
        <w:rPr>
          <w:rFonts w:eastAsia="Calibri"/>
          <w:lang w:bidi="he-IL"/>
        </w:rPr>
        <w:t xml:space="preserve"> </w:t>
      </w:r>
      <w:r w:rsidR="00E375FB">
        <w:rPr>
          <w:rFonts w:eastAsia="Calibri"/>
          <w:lang w:bidi="he-IL"/>
        </w:rPr>
        <w:t xml:space="preserve"> </w:t>
      </w:r>
      <w:r w:rsidR="00AD27B4">
        <w:rPr>
          <w:rFonts w:eastAsia="Calibri"/>
          <w:lang w:bidi="he-IL"/>
        </w:rPr>
        <w:t xml:space="preserve">Thus, </w:t>
      </w:r>
      <w:r w:rsidR="0003375C">
        <w:rPr>
          <w:rFonts w:eastAsia="Calibri"/>
          <w:lang w:bidi="he-IL"/>
        </w:rPr>
        <w:t xml:space="preserve">Atran categorizes agents as </w:t>
      </w:r>
      <w:r w:rsidR="0003375C">
        <w:rPr>
          <w:rFonts w:eastAsia="Calibri"/>
          <w:i/>
          <w:lang w:bidi="he-IL"/>
        </w:rPr>
        <w:t xml:space="preserve">rational actors </w:t>
      </w:r>
      <w:r w:rsidR="0003375C">
        <w:rPr>
          <w:rFonts w:eastAsia="Calibri"/>
          <w:lang w:bidi="he-IL"/>
        </w:rPr>
        <w:t xml:space="preserve">and </w:t>
      </w:r>
      <w:r w:rsidR="0003375C">
        <w:rPr>
          <w:rFonts w:eastAsia="Calibri"/>
          <w:i/>
          <w:lang w:bidi="he-IL"/>
        </w:rPr>
        <w:t>devoted</w:t>
      </w:r>
      <w:r w:rsidR="002E10E7">
        <w:rPr>
          <w:rFonts w:eastAsia="Calibri"/>
          <w:i/>
          <w:lang w:bidi="he-IL"/>
        </w:rPr>
        <w:t xml:space="preserve"> actor.</w:t>
      </w:r>
      <w:r w:rsidR="002E10E7" w:rsidRPr="003776BC">
        <w:rPr>
          <w:rFonts w:eastAsia="Calibri"/>
          <w:iCs/>
          <w:vertAlign w:val="superscript"/>
          <w:lang w:bidi="he-IL"/>
        </w:rPr>
        <w:footnoteReference w:id="17"/>
      </w:r>
      <w:r w:rsidR="0003375C">
        <w:rPr>
          <w:rFonts w:eastAsia="Calibri"/>
          <w:i/>
          <w:lang w:bidi="he-IL"/>
        </w:rPr>
        <w:t xml:space="preserve">  </w:t>
      </w:r>
      <w:r w:rsidR="002E10E7">
        <w:rPr>
          <w:rFonts w:eastAsia="Calibri"/>
          <w:lang w:bidi="he-IL"/>
        </w:rPr>
        <w:t xml:space="preserve">Groups and individuals can be </w:t>
      </w:r>
      <w:r w:rsidR="00AD27B4">
        <w:rPr>
          <w:rFonts w:eastAsia="Calibri"/>
          <w:lang w:bidi="he-IL"/>
        </w:rPr>
        <w:t>a</w:t>
      </w:r>
      <w:r w:rsidR="002E10E7">
        <w:rPr>
          <w:rFonts w:eastAsia="Calibri"/>
          <w:lang w:bidi="he-IL"/>
        </w:rPr>
        <w:t xml:space="preserve"> mix of both, but </w:t>
      </w:r>
      <w:r w:rsidR="007E2D5B">
        <w:rPr>
          <w:rFonts w:eastAsia="Calibri"/>
          <w:lang w:bidi="he-IL"/>
        </w:rPr>
        <w:t xml:space="preserve">the units of analysis involved in </w:t>
      </w:r>
      <w:r w:rsidR="002E10E7">
        <w:rPr>
          <w:rFonts w:eastAsia="Calibri"/>
          <w:lang w:bidi="he-IL"/>
        </w:rPr>
        <w:t>suicide terrorism</w:t>
      </w:r>
      <w:r w:rsidR="00AD27B4">
        <w:rPr>
          <w:rFonts w:eastAsia="Calibri"/>
          <w:lang w:bidi="he-IL"/>
        </w:rPr>
        <w:t xml:space="preserve"> reveal a divide between the organization and the individual.  T</w:t>
      </w:r>
      <w:r w:rsidR="002E10E7">
        <w:rPr>
          <w:rFonts w:eastAsia="Calibri"/>
          <w:lang w:bidi="he-IL"/>
        </w:rPr>
        <w:t xml:space="preserve">he organization </w:t>
      </w:r>
      <w:r w:rsidR="009A06B0">
        <w:rPr>
          <w:rFonts w:eastAsia="Calibri"/>
          <w:lang w:bidi="he-IL"/>
        </w:rPr>
        <w:t xml:space="preserve">primarily </w:t>
      </w:r>
      <w:r w:rsidR="002E10E7">
        <w:rPr>
          <w:rFonts w:eastAsia="Calibri"/>
          <w:lang w:bidi="he-IL"/>
        </w:rPr>
        <w:t xml:space="preserve">is a </w:t>
      </w:r>
      <w:r w:rsidR="002E10E7">
        <w:rPr>
          <w:rFonts w:eastAsia="Calibri"/>
          <w:i/>
          <w:lang w:bidi="he-IL"/>
        </w:rPr>
        <w:t xml:space="preserve">rational actor </w:t>
      </w:r>
      <w:r w:rsidR="007E2D5B">
        <w:rPr>
          <w:rFonts w:eastAsia="Calibri"/>
          <w:lang w:bidi="he-IL"/>
        </w:rPr>
        <w:t xml:space="preserve">acting on sacred values to achieve tangible political </w:t>
      </w:r>
      <w:r w:rsidR="002E10E7">
        <w:rPr>
          <w:rFonts w:eastAsia="Calibri"/>
          <w:lang w:bidi="he-IL"/>
        </w:rPr>
        <w:t>objectives</w:t>
      </w:r>
      <w:r w:rsidR="007E2D5B">
        <w:rPr>
          <w:rFonts w:eastAsia="Calibri"/>
          <w:lang w:bidi="he-IL"/>
        </w:rPr>
        <w:t xml:space="preserve">, </w:t>
      </w:r>
      <w:r w:rsidR="002E10E7">
        <w:rPr>
          <w:rFonts w:eastAsia="Calibri"/>
          <w:lang w:bidi="he-IL"/>
        </w:rPr>
        <w:t xml:space="preserve">while the individual is a </w:t>
      </w:r>
      <w:r w:rsidR="002E10E7" w:rsidRPr="009A06B0">
        <w:rPr>
          <w:rFonts w:eastAsia="Calibri"/>
          <w:i/>
          <w:lang w:bidi="he-IL"/>
        </w:rPr>
        <w:t>devoted</w:t>
      </w:r>
      <w:r w:rsidR="002E10E7">
        <w:rPr>
          <w:rFonts w:eastAsia="Calibri"/>
          <w:lang w:bidi="he-IL"/>
        </w:rPr>
        <w:t xml:space="preserve"> actor</w:t>
      </w:r>
      <w:r w:rsidR="007E2D5B">
        <w:rPr>
          <w:rFonts w:eastAsia="Calibri"/>
          <w:lang w:bidi="he-IL"/>
        </w:rPr>
        <w:t xml:space="preserve"> acting on sacred values to achieve intangible objectives in this life</w:t>
      </w:r>
      <w:r w:rsidR="003E0E0A">
        <w:rPr>
          <w:rFonts w:eastAsia="Calibri"/>
          <w:lang w:bidi="he-IL"/>
        </w:rPr>
        <w:t xml:space="preserve"> and the next</w:t>
      </w:r>
      <w:r w:rsidR="002E10E7">
        <w:rPr>
          <w:rFonts w:eastAsia="Calibri"/>
          <w:lang w:bidi="he-IL"/>
        </w:rPr>
        <w:t xml:space="preserve">.  </w:t>
      </w:r>
      <w:r w:rsidR="00C2499C">
        <w:rPr>
          <w:rFonts w:eastAsia="Calibri"/>
          <w:lang w:bidi="he-IL"/>
        </w:rPr>
        <w:t>In a suicide bombing campaign, the rational actor needs an arsenal of devoted actors.</w:t>
      </w:r>
    </w:p>
    <w:p w:rsidR="003D1C8F" w:rsidRDefault="00E375FB" w:rsidP="003030BA">
      <w:pPr>
        <w:ind w:firstLine="720"/>
        <w:contextualSpacing/>
        <w:rPr>
          <w:rFonts w:eastAsia="Calibri"/>
          <w:lang w:bidi="he-IL"/>
        </w:rPr>
      </w:pPr>
      <w:r>
        <w:rPr>
          <w:rFonts w:eastAsia="Calibri"/>
          <w:lang w:bidi="he-IL"/>
        </w:rPr>
        <w:t>Sacred values structure</w:t>
      </w:r>
      <w:r w:rsidR="003D1C8F">
        <w:rPr>
          <w:rFonts w:eastAsia="Calibri"/>
          <w:lang w:bidi="he-IL"/>
        </w:rPr>
        <w:t xml:space="preserve"> the world and give it meaning, thus shaking these values challenge the worldview itself</w:t>
      </w:r>
      <w:r w:rsidR="004555DB">
        <w:rPr>
          <w:rFonts w:eastAsia="Calibri"/>
          <w:lang w:bidi="he-IL"/>
        </w:rPr>
        <w:t xml:space="preserve">.  </w:t>
      </w:r>
      <w:r w:rsidR="00374C3F">
        <w:rPr>
          <w:rFonts w:eastAsia="Calibri"/>
          <w:lang w:bidi="he-IL"/>
        </w:rPr>
        <w:t xml:space="preserve">These values are the rationale for strategic end-states, </w:t>
      </w:r>
      <w:r w:rsidR="00374C3F">
        <w:rPr>
          <w:rFonts w:eastAsia="Calibri"/>
          <w:lang w:bidi="he-IL"/>
        </w:rPr>
        <w:lastRenderedPageBreak/>
        <w:t xml:space="preserve">objectives, and even the viable tactics to achieve those objectives.  ISIS’ suicide bombing campaign </w:t>
      </w:r>
      <w:r w:rsidR="001D745D">
        <w:rPr>
          <w:rFonts w:eastAsia="Calibri"/>
          <w:lang w:bidi="he-IL"/>
        </w:rPr>
        <w:t xml:space="preserve">against civilians </w:t>
      </w:r>
      <w:r w:rsidR="00374C3F">
        <w:rPr>
          <w:rFonts w:eastAsia="Calibri"/>
          <w:lang w:bidi="he-IL"/>
        </w:rPr>
        <w:t>is the product of</w:t>
      </w:r>
      <w:r w:rsidR="00374C3F">
        <w:rPr>
          <w:rFonts w:ascii="Times New Roman" w:eastAsia="Calibri" w:hAnsi="Times New Roman"/>
          <w:noProof/>
          <w:lang w:bidi="ar-SA"/>
        </w:rPr>
        <w:t xml:space="preserve"> how the </w:t>
      </w:r>
      <w:r w:rsidR="003030BA">
        <w:rPr>
          <w:rFonts w:ascii="Times New Roman" w:eastAsia="Calibri" w:hAnsi="Times New Roman"/>
          <w:noProof/>
          <w:lang w:bidi="ar-SA"/>
        </w:rPr>
        <w:t>Q</w:t>
      </w:r>
      <w:r w:rsidR="00374C3F">
        <w:rPr>
          <w:rFonts w:ascii="Times New Roman" w:eastAsia="Calibri" w:hAnsi="Times New Roman"/>
          <w:noProof/>
          <w:lang w:bidi="ar-SA"/>
        </w:rPr>
        <w:t>utbist narrative contorts selected sacred values from Islam</w:t>
      </w:r>
      <w:r w:rsidR="003030BA">
        <w:rPr>
          <w:rFonts w:ascii="Times New Roman" w:eastAsia="Calibri" w:hAnsi="Times New Roman"/>
          <w:noProof/>
          <w:lang w:bidi="ar-SA"/>
        </w:rPr>
        <w:t xml:space="preserve">.  The world outside of pure Sunni Islam is </w:t>
      </w:r>
      <w:r w:rsidR="00424565">
        <w:rPr>
          <w:rFonts w:ascii="Times New Roman" w:eastAsia="Calibri" w:hAnsi="Times New Roman"/>
          <w:i/>
          <w:iCs/>
          <w:noProof/>
          <w:lang w:bidi="ar-SA"/>
        </w:rPr>
        <w:t>Jahiliyya</w:t>
      </w:r>
      <w:r w:rsidR="003030BA">
        <w:rPr>
          <w:rFonts w:ascii="Times New Roman" w:eastAsia="Calibri" w:hAnsi="Times New Roman"/>
          <w:i/>
          <w:iCs/>
          <w:noProof/>
          <w:lang w:bidi="ar-SA"/>
        </w:rPr>
        <w:t xml:space="preserve"> </w:t>
      </w:r>
      <w:r w:rsidR="003030BA">
        <w:rPr>
          <w:rFonts w:ascii="Times New Roman" w:eastAsia="Calibri" w:hAnsi="Times New Roman"/>
          <w:noProof/>
          <w:lang w:bidi="ar-SA"/>
        </w:rPr>
        <w:t xml:space="preserve">(“ignorance,” </w:t>
      </w:r>
      <w:r w:rsidR="003030BA">
        <w:rPr>
          <w:rFonts w:ascii="Times New Roman" w:eastAsia="Calibri" w:hAnsi="Times New Roman"/>
          <w:i/>
          <w:iCs/>
          <w:noProof/>
          <w:lang w:bidi="ar-SA"/>
        </w:rPr>
        <w:t xml:space="preserve">jahil </w:t>
      </w:r>
      <w:r w:rsidR="003030BA">
        <w:rPr>
          <w:rFonts w:ascii="Times New Roman" w:eastAsia="Calibri" w:hAnsi="Times New Roman"/>
          <w:noProof/>
          <w:lang w:bidi="ar-SA"/>
        </w:rPr>
        <w:t xml:space="preserve">as adjective).  All regimes in the world are </w:t>
      </w:r>
      <w:r w:rsidR="003030BA">
        <w:rPr>
          <w:rFonts w:ascii="Times New Roman" w:eastAsia="Calibri" w:hAnsi="Times New Roman"/>
          <w:i/>
          <w:iCs/>
          <w:noProof/>
          <w:lang w:bidi="ar-SA"/>
        </w:rPr>
        <w:t xml:space="preserve">jahil, </w:t>
      </w:r>
      <w:r w:rsidR="003030BA">
        <w:rPr>
          <w:rFonts w:ascii="Times New Roman" w:eastAsia="Calibri" w:hAnsi="Times New Roman"/>
          <w:noProof/>
          <w:lang w:bidi="ar-SA"/>
        </w:rPr>
        <w:t>and those who participate in the continuation of ignorance are like the pagan tribes that persecuted the Prophet Mohammed.  Many so-call</w:t>
      </w:r>
      <w:r w:rsidR="00374C3F">
        <w:rPr>
          <w:rFonts w:ascii="Times New Roman" w:eastAsia="Calibri" w:hAnsi="Times New Roman"/>
          <w:noProof/>
          <w:lang w:bidi="ar-SA"/>
        </w:rPr>
        <w:t>ed Muslims are</w:t>
      </w:r>
      <w:r w:rsidR="003030BA">
        <w:rPr>
          <w:rFonts w:ascii="Times New Roman" w:eastAsia="Calibri" w:hAnsi="Times New Roman"/>
          <w:noProof/>
          <w:lang w:bidi="ar-SA"/>
        </w:rPr>
        <w:t xml:space="preserve"> </w:t>
      </w:r>
      <w:r w:rsidR="003030BA">
        <w:rPr>
          <w:rFonts w:ascii="Times New Roman" w:eastAsia="Calibri" w:hAnsi="Times New Roman"/>
          <w:i/>
          <w:iCs/>
          <w:noProof/>
          <w:lang w:bidi="ar-SA"/>
        </w:rPr>
        <w:t xml:space="preserve">kuffar </w:t>
      </w:r>
      <w:r w:rsidR="003030BA">
        <w:rPr>
          <w:rFonts w:ascii="Times New Roman" w:eastAsia="Calibri" w:hAnsi="Times New Roman"/>
          <w:noProof/>
          <w:lang w:bidi="ar-SA"/>
        </w:rPr>
        <w:t xml:space="preserve">(“infidels,” </w:t>
      </w:r>
      <w:r w:rsidR="003030BA">
        <w:rPr>
          <w:rFonts w:ascii="Times New Roman" w:eastAsia="Calibri" w:hAnsi="Times New Roman"/>
          <w:i/>
          <w:noProof/>
          <w:lang w:bidi="ar-SA"/>
        </w:rPr>
        <w:t xml:space="preserve">takfir </w:t>
      </w:r>
      <w:r w:rsidR="003030BA">
        <w:rPr>
          <w:rFonts w:ascii="Times New Roman" w:eastAsia="Calibri" w:hAnsi="Times New Roman"/>
          <w:noProof/>
          <w:lang w:bidi="ar-SA"/>
        </w:rPr>
        <w:t xml:space="preserve">is the accusation of being an unbeliever), and are worse than non-believers.  The ideal identity one can have is </w:t>
      </w:r>
      <w:r w:rsidR="003030BA">
        <w:rPr>
          <w:rFonts w:ascii="Times New Roman" w:eastAsia="Calibri" w:hAnsi="Times New Roman"/>
          <w:i/>
          <w:iCs/>
          <w:noProof/>
          <w:lang w:bidi="ar-SA"/>
        </w:rPr>
        <w:t xml:space="preserve">shaheed </w:t>
      </w:r>
      <w:r w:rsidR="003030BA">
        <w:rPr>
          <w:rFonts w:ascii="Times New Roman" w:eastAsia="Calibri" w:hAnsi="Times New Roman"/>
          <w:noProof/>
          <w:lang w:bidi="ar-SA"/>
        </w:rPr>
        <w:t xml:space="preserve">(“witness” or martyr, those killed in battle), on behalf of </w:t>
      </w:r>
      <w:r w:rsidR="003030BA">
        <w:rPr>
          <w:rFonts w:ascii="Times New Roman" w:eastAsia="Calibri" w:hAnsi="Times New Roman"/>
          <w:i/>
          <w:iCs/>
          <w:noProof/>
          <w:lang w:bidi="ar-SA"/>
        </w:rPr>
        <w:t xml:space="preserve">jihad </w:t>
      </w:r>
      <w:r w:rsidR="003030BA">
        <w:rPr>
          <w:rFonts w:ascii="Times New Roman" w:eastAsia="Calibri" w:hAnsi="Times New Roman"/>
          <w:noProof/>
          <w:lang w:bidi="ar-SA"/>
        </w:rPr>
        <w:t xml:space="preserve">(struggle in the name of God), against the </w:t>
      </w:r>
      <w:r w:rsidR="003030BA">
        <w:rPr>
          <w:rFonts w:ascii="Times New Roman" w:eastAsia="Calibri" w:hAnsi="Times New Roman"/>
          <w:i/>
          <w:iCs/>
          <w:noProof/>
          <w:lang w:bidi="ar-SA"/>
        </w:rPr>
        <w:t xml:space="preserve">kuffar </w:t>
      </w:r>
      <w:r w:rsidR="003030BA">
        <w:rPr>
          <w:rFonts w:ascii="Times New Roman" w:eastAsia="Calibri" w:hAnsi="Times New Roman"/>
          <w:noProof/>
          <w:lang w:bidi="ar-SA"/>
        </w:rPr>
        <w:t xml:space="preserve">and </w:t>
      </w:r>
      <w:r w:rsidR="003030BA">
        <w:rPr>
          <w:rFonts w:ascii="Times New Roman" w:eastAsia="Calibri" w:hAnsi="Times New Roman"/>
          <w:i/>
          <w:iCs/>
          <w:noProof/>
          <w:lang w:bidi="ar-SA"/>
        </w:rPr>
        <w:t xml:space="preserve">jahil </w:t>
      </w:r>
      <w:r w:rsidR="003030BA">
        <w:rPr>
          <w:rFonts w:ascii="Times New Roman" w:eastAsia="Calibri" w:hAnsi="Times New Roman"/>
          <w:noProof/>
          <w:lang w:bidi="ar-SA"/>
        </w:rPr>
        <w:t xml:space="preserve">regimes.  Thus, the quickest way to actualize the benefits of martyrdom in the name of jihad is the martyrdom operation, the name Qutbists give for suicide attack.  </w:t>
      </w:r>
      <w:r>
        <w:rPr>
          <w:rFonts w:eastAsia="Calibri"/>
          <w:lang w:bidi="he-IL"/>
        </w:rPr>
        <w:t xml:space="preserve">Qutbism is unique in that </w:t>
      </w:r>
      <w:r w:rsidR="00D97772">
        <w:rPr>
          <w:rFonts w:eastAsia="Calibri"/>
          <w:lang w:bidi="he-IL"/>
        </w:rPr>
        <w:t>these sacred values are not necessarily inherited from the individual’s upbringin</w:t>
      </w:r>
      <w:r>
        <w:rPr>
          <w:rFonts w:eastAsia="Calibri"/>
          <w:lang w:bidi="he-IL"/>
        </w:rPr>
        <w:t>g.  Radicalized individuals choose</w:t>
      </w:r>
      <w:r w:rsidR="00D97772">
        <w:rPr>
          <w:rFonts w:eastAsia="Calibri"/>
          <w:lang w:bidi="he-IL"/>
        </w:rPr>
        <w:t xml:space="preserve"> Qutbism</w:t>
      </w:r>
      <w:r w:rsidR="00841BAF">
        <w:rPr>
          <w:rFonts w:eastAsia="Calibri"/>
          <w:lang w:bidi="he-IL"/>
        </w:rPr>
        <w:t xml:space="preserve">, often renouncing the values of their family for a new </w:t>
      </w:r>
      <w:r>
        <w:rPr>
          <w:rFonts w:eastAsia="Calibri"/>
          <w:lang w:bidi="he-IL"/>
        </w:rPr>
        <w:t xml:space="preserve">separate </w:t>
      </w:r>
      <w:r w:rsidR="00841BAF">
        <w:rPr>
          <w:rFonts w:eastAsia="Calibri"/>
          <w:lang w:bidi="he-IL"/>
        </w:rPr>
        <w:t xml:space="preserve">identity.  </w:t>
      </w:r>
    </w:p>
    <w:p w:rsidR="00CD7996" w:rsidRDefault="00711ACE" w:rsidP="00563097">
      <w:pPr>
        <w:ind w:firstLine="720"/>
        <w:contextualSpacing/>
        <w:rPr>
          <w:rFonts w:eastAsia="Calibri"/>
          <w:lang w:bidi="he-IL"/>
        </w:rPr>
      </w:pPr>
      <w:r>
        <w:rPr>
          <w:rFonts w:eastAsia="Calibri"/>
          <w:lang w:bidi="he-IL"/>
        </w:rPr>
        <w:t>When i</w:t>
      </w:r>
      <w:r w:rsidR="003E0E0A">
        <w:rPr>
          <w:rFonts w:eastAsia="Calibri"/>
          <w:lang w:bidi="he-IL"/>
        </w:rPr>
        <w:t>nternalized s</w:t>
      </w:r>
      <w:r w:rsidR="00FC77B2">
        <w:rPr>
          <w:rFonts w:eastAsia="Calibri"/>
          <w:lang w:bidi="he-IL"/>
        </w:rPr>
        <w:t xml:space="preserve">acred values </w:t>
      </w:r>
      <w:r>
        <w:rPr>
          <w:rFonts w:eastAsia="Calibri"/>
          <w:lang w:bidi="he-IL"/>
        </w:rPr>
        <w:t xml:space="preserve">become vital needs to the individual, the violation of those sacred values </w:t>
      </w:r>
      <w:r w:rsidR="00FC77B2">
        <w:rPr>
          <w:rFonts w:eastAsia="Calibri"/>
          <w:lang w:bidi="he-IL"/>
        </w:rPr>
        <w:t xml:space="preserve">contribute to the willingness of an individual to </w:t>
      </w:r>
      <w:r w:rsidR="00AD27B4">
        <w:rPr>
          <w:rFonts w:eastAsia="Calibri"/>
          <w:lang w:bidi="he-IL"/>
        </w:rPr>
        <w:t>attempt suicide</w:t>
      </w:r>
      <w:r>
        <w:rPr>
          <w:rFonts w:eastAsia="Calibri"/>
          <w:lang w:bidi="he-IL"/>
        </w:rPr>
        <w:t xml:space="preserve">.  </w:t>
      </w:r>
      <w:r w:rsidR="00DA743B">
        <w:rPr>
          <w:rFonts w:eastAsia="Calibri"/>
          <w:lang w:bidi="he-IL"/>
        </w:rPr>
        <w:t xml:space="preserve">Suicidologist Edwin Shneidman </w:t>
      </w:r>
      <w:r w:rsidR="00EC3D78">
        <w:rPr>
          <w:rFonts w:eastAsia="Calibri"/>
          <w:lang w:bidi="he-IL"/>
        </w:rPr>
        <w:t>identified</w:t>
      </w:r>
      <w:r w:rsidR="00FC77B2">
        <w:rPr>
          <w:rFonts w:eastAsia="Calibri"/>
          <w:lang w:bidi="he-IL"/>
        </w:rPr>
        <w:t xml:space="preserve"> </w:t>
      </w:r>
      <w:r w:rsidR="00FC77B2">
        <w:rPr>
          <w:rFonts w:eastAsia="Calibri"/>
          <w:i/>
          <w:lang w:bidi="he-IL"/>
        </w:rPr>
        <w:t xml:space="preserve">psychache </w:t>
      </w:r>
      <w:r w:rsidR="00FC77B2">
        <w:rPr>
          <w:rFonts w:eastAsia="Calibri"/>
          <w:lang w:bidi="he-IL"/>
        </w:rPr>
        <w:t>(unbearable psychological pain)</w:t>
      </w:r>
      <w:r w:rsidR="00FC77B2">
        <w:rPr>
          <w:rFonts w:eastAsia="Calibri"/>
          <w:i/>
          <w:lang w:bidi="he-IL"/>
        </w:rPr>
        <w:t xml:space="preserve"> </w:t>
      </w:r>
      <w:r w:rsidR="00FC77B2">
        <w:rPr>
          <w:rFonts w:eastAsia="Calibri"/>
          <w:lang w:bidi="he-IL"/>
        </w:rPr>
        <w:t xml:space="preserve">as an integral component for a successful suicide.  Psychache is the </w:t>
      </w:r>
      <w:r w:rsidR="00350354">
        <w:rPr>
          <w:rFonts w:eastAsia="Calibri"/>
          <w:lang w:bidi="he-IL"/>
        </w:rPr>
        <w:t xml:space="preserve">pain that results from the perceived </w:t>
      </w:r>
      <w:r w:rsidR="00FC77B2">
        <w:rPr>
          <w:rFonts w:eastAsia="Calibri"/>
          <w:lang w:bidi="he-IL"/>
        </w:rPr>
        <w:t xml:space="preserve">discrepancy between </w:t>
      </w:r>
      <w:r w:rsidR="00350354">
        <w:rPr>
          <w:rFonts w:eastAsia="Calibri"/>
          <w:lang w:bidi="he-IL"/>
        </w:rPr>
        <w:t>the individual’s</w:t>
      </w:r>
      <w:r w:rsidR="00FC77B2">
        <w:rPr>
          <w:rFonts w:eastAsia="Calibri"/>
          <w:lang w:bidi="he-IL"/>
        </w:rPr>
        <w:t xml:space="preserve"> </w:t>
      </w:r>
      <w:r w:rsidR="003E0E0A" w:rsidRPr="003E0E0A">
        <w:rPr>
          <w:rFonts w:eastAsia="Calibri"/>
          <w:i/>
          <w:iCs/>
          <w:lang w:bidi="he-IL"/>
        </w:rPr>
        <w:t xml:space="preserve">vital </w:t>
      </w:r>
      <w:r w:rsidR="00FC77B2" w:rsidRPr="003E0E0A">
        <w:rPr>
          <w:rFonts w:eastAsia="Calibri"/>
          <w:i/>
          <w:iCs/>
          <w:lang w:bidi="he-IL"/>
        </w:rPr>
        <w:t>needs</w:t>
      </w:r>
      <w:r w:rsidR="00FC77B2">
        <w:rPr>
          <w:rFonts w:eastAsia="Calibri"/>
          <w:lang w:bidi="he-IL"/>
        </w:rPr>
        <w:t xml:space="preserve"> and his ability to fulfill those needs</w:t>
      </w:r>
      <w:r w:rsidR="00D1684B">
        <w:rPr>
          <w:rFonts w:eastAsia="Calibri"/>
          <w:lang w:bidi="he-IL"/>
        </w:rPr>
        <w:t xml:space="preserve"> in the present and future</w:t>
      </w:r>
      <w:r w:rsidR="00FC77B2">
        <w:rPr>
          <w:rFonts w:eastAsia="Calibri"/>
          <w:lang w:bidi="he-IL"/>
        </w:rPr>
        <w:t xml:space="preserve">.  </w:t>
      </w:r>
      <w:r w:rsidR="008578FE">
        <w:rPr>
          <w:rFonts w:eastAsia="Calibri"/>
          <w:lang w:bidi="he-IL"/>
        </w:rPr>
        <w:t>What is considered a v</w:t>
      </w:r>
      <w:r w:rsidR="00347F16">
        <w:rPr>
          <w:rFonts w:eastAsia="Calibri"/>
          <w:lang w:bidi="he-IL"/>
        </w:rPr>
        <w:t xml:space="preserve">ital needs may vary from individual to individual—they include getting married, becoming a parent, receiving acceptance from loved ones, a sense of achievement, career </w:t>
      </w:r>
      <w:r w:rsidR="00347F16">
        <w:rPr>
          <w:rFonts w:eastAsia="Calibri"/>
          <w:lang w:bidi="he-IL"/>
        </w:rPr>
        <w:lastRenderedPageBreak/>
        <w:t>success—but they are foundational to the identity of the individual and his place in the world.</w:t>
      </w:r>
      <w:r w:rsidR="00347F16" w:rsidRPr="00D1684B">
        <w:rPr>
          <w:rFonts w:ascii="Times New Roman" w:eastAsia="Calibri" w:hAnsi="Times New Roman" w:cs="Arial"/>
          <w:sz w:val="22"/>
          <w:szCs w:val="22"/>
          <w:vertAlign w:val="superscript"/>
          <w:lang w:bidi="he-IL"/>
        </w:rPr>
        <w:footnoteReference w:id="18"/>
      </w:r>
      <w:r w:rsidR="00347F16">
        <w:rPr>
          <w:rFonts w:eastAsia="Calibri"/>
          <w:lang w:bidi="he-IL"/>
        </w:rPr>
        <w:t xml:space="preserve">  </w:t>
      </w:r>
    </w:p>
    <w:p w:rsidR="00DA743B" w:rsidRPr="00FC77B2" w:rsidRDefault="00563097" w:rsidP="00563097">
      <w:pPr>
        <w:ind w:firstLine="720"/>
        <w:contextualSpacing/>
        <w:rPr>
          <w:rFonts w:eastAsia="Calibri"/>
          <w:iCs/>
          <w:lang w:bidi="he-IL"/>
        </w:rPr>
      </w:pPr>
      <w:r>
        <w:rPr>
          <w:rFonts w:eastAsia="Calibri"/>
          <w:lang w:bidi="he-IL"/>
        </w:rPr>
        <w:t xml:space="preserve">Atran’s definition of sacred values and Shneidman’s vital needs overlap in the mind of the true believer.  </w:t>
      </w:r>
      <w:r w:rsidR="00D1684B">
        <w:rPr>
          <w:rFonts w:eastAsia="Calibri"/>
          <w:lang w:bidi="he-IL"/>
        </w:rPr>
        <w:t xml:space="preserve">If the individual has internalized the sacred values of his in-group as his </w:t>
      </w:r>
      <w:r w:rsidR="00350354">
        <w:rPr>
          <w:rFonts w:eastAsia="Calibri"/>
          <w:lang w:bidi="he-IL"/>
        </w:rPr>
        <w:t xml:space="preserve">vital </w:t>
      </w:r>
      <w:r w:rsidR="00D1684B">
        <w:rPr>
          <w:rFonts w:eastAsia="Calibri"/>
          <w:lang w:bidi="he-IL"/>
        </w:rPr>
        <w:t xml:space="preserve">needs, and </w:t>
      </w:r>
      <w:r w:rsidR="00CD7996">
        <w:rPr>
          <w:rFonts w:eastAsia="Calibri"/>
          <w:lang w:bidi="he-IL"/>
        </w:rPr>
        <w:t>political realities violate those sacred values</w:t>
      </w:r>
      <w:r w:rsidR="00D1684B">
        <w:rPr>
          <w:rFonts w:eastAsia="Calibri"/>
          <w:lang w:bidi="he-IL"/>
        </w:rPr>
        <w:t>, then the individual may experien</w:t>
      </w:r>
      <w:r w:rsidR="00FE3CAC">
        <w:rPr>
          <w:rFonts w:eastAsia="Calibri"/>
          <w:lang w:bidi="he-IL"/>
        </w:rPr>
        <w:t>ce psychache</w:t>
      </w:r>
      <w:r w:rsidR="00CD7996">
        <w:rPr>
          <w:rFonts w:eastAsia="Calibri"/>
          <w:lang w:bidi="he-IL"/>
        </w:rPr>
        <w:t xml:space="preserve"> on behalf of his community, nation, or religion</w:t>
      </w:r>
      <w:r w:rsidR="00D1684B">
        <w:rPr>
          <w:rFonts w:eastAsia="Calibri"/>
          <w:lang w:bidi="he-IL"/>
        </w:rPr>
        <w:t xml:space="preserve">.  </w:t>
      </w:r>
      <w:r w:rsidR="008578FE">
        <w:rPr>
          <w:rFonts w:eastAsia="Calibri"/>
          <w:lang w:bidi="he-IL"/>
        </w:rPr>
        <w:t xml:space="preserve">He </w:t>
      </w:r>
      <w:r w:rsidR="00FE3CAC">
        <w:rPr>
          <w:rFonts w:eastAsia="Calibri"/>
          <w:lang w:bidi="he-IL"/>
        </w:rPr>
        <w:t>internalize</w:t>
      </w:r>
      <w:r w:rsidR="008578FE">
        <w:rPr>
          <w:rFonts w:eastAsia="Calibri"/>
          <w:lang w:bidi="he-IL"/>
        </w:rPr>
        <w:t>s the shaming of his in-group</w:t>
      </w:r>
      <w:r w:rsidR="00C12672">
        <w:rPr>
          <w:rFonts w:eastAsia="Calibri"/>
          <w:lang w:bidi="he-IL"/>
        </w:rPr>
        <w:t xml:space="preserve"> at the hands of the out-group, and view murder-suicide as a means not only to combat the enemy but to escape from the psychache</w:t>
      </w:r>
      <w:r w:rsidR="00350354">
        <w:rPr>
          <w:rFonts w:eastAsia="Calibri"/>
          <w:lang w:bidi="he-IL"/>
        </w:rPr>
        <w:t xml:space="preserve"> caused by his immersion in the group identity</w:t>
      </w:r>
      <w:r w:rsidR="00C12672">
        <w:rPr>
          <w:rFonts w:eastAsia="Calibri"/>
          <w:lang w:bidi="he-IL"/>
        </w:rPr>
        <w:t xml:space="preserve">.  </w:t>
      </w:r>
      <w:r w:rsidR="00CE1C9B">
        <w:rPr>
          <w:rFonts w:eastAsia="Calibri"/>
          <w:lang w:bidi="he-IL"/>
        </w:rPr>
        <w:t>O</w:t>
      </w:r>
      <w:r w:rsidR="00711ACE">
        <w:rPr>
          <w:rFonts w:eastAsia="Calibri"/>
          <w:lang w:bidi="he-IL"/>
        </w:rPr>
        <w:t xml:space="preserve">ne Syrian said that his </w:t>
      </w:r>
      <w:r w:rsidR="00CD7996">
        <w:rPr>
          <w:rFonts w:eastAsia="Calibri"/>
          <w:lang w:bidi="he-IL"/>
        </w:rPr>
        <w:t>emotional</w:t>
      </w:r>
      <w:r w:rsidR="00CE1C9B">
        <w:rPr>
          <w:rFonts w:eastAsia="Calibri"/>
          <w:lang w:bidi="he-IL"/>
        </w:rPr>
        <w:t xml:space="preserve"> trauma at American act</w:t>
      </w:r>
      <w:r w:rsidR="00711ACE">
        <w:rPr>
          <w:rFonts w:eastAsia="Calibri"/>
          <w:lang w:bidi="he-IL"/>
        </w:rPr>
        <w:t>ions at Abu Ghraib drove him</w:t>
      </w:r>
      <w:r w:rsidR="00CE1C9B">
        <w:rPr>
          <w:rFonts w:eastAsia="Calibri"/>
          <w:lang w:bidi="he-IL"/>
        </w:rPr>
        <w:t xml:space="preserve"> to become a suicide bomber in response</w:t>
      </w:r>
      <w:r w:rsidR="00711ACE">
        <w:rPr>
          <w:rFonts w:eastAsia="Calibri"/>
          <w:lang w:bidi="he-IL"/>
        </w:rPr>
        <w:t xml:space="preserve"> to the shaming of his people</w:t>
      </w:r>
      <w:r w:rsidR="00CE1C9B">
        <w:rPr>
          <w:rFonts w:eastAsia="Calibri"/>
          <w:lang w:bidi="he-IL"/>
        </w:rPr>
        <w:t>.</w:t>
      </w:r>
      <w:r w:rsidR="00CE1C9B">
        <w:rPr>
          <w:rStyle w:val="FootnoteReference"/>
          <w:rFonts w:eastAsia="Calibri"/>
          <w:lang w:bidi="he-IL"/>
        </w:rPr>
        <w:footnoteReference w:id="19"/>
      </w:r>
      <w:r w:rsidR="00CE1C9B">
        <w:rPr>
          <w:rFonts w:eastAsia="Calibri"/>
          <w:lang w:bidi="he-IL"/>
        </w:rPr>
        <w:t xml:space="preserve"> </w:t>
      </w:r>
      <w:r w:rsidR="00D1684B">
        <w:rPr>
          <w:rFonts w:eastAsia="Calibri"/>
          <w:lang w:bidi="he-IL"/>
        </w:rPr>
        <w:t xml:space="preserve"> </w:t>
      </w:r>
      <w:r w:rsidR="00CE1C9B">
        <w:rPr>
          <w:rFonts w:eastAsia="Calibri"/>
          <w:lang w:bidi="he-IL"/>
        </w:rPr>
        <w:t xml:space="preserve">The </w:t>
      </w:r>
      <w:r w:rsidR="005141EC">
        <w:rPr>
          <w:rFonts w:eastAsia="Calibri"/>
          <w:lang w:bidi="he-IL"/>
        </w:rPr>
        <w:t>lack of a p</w:t>
      </w:r>
      <w:r w:rsidR="00FE3CAC">
        <w:rPr>
          <w:rFonts w:eastAsia="Calibri"/>
          <w:lang w:bidi="he-IL"/>
        </w:rPr>
        <w:t>ure Islamic State f</w:t>
      </w:r>
      <w:r w:rsidR="009D0132">
        <w:rPr>
          <w:rFonts w:eastAsia="Calibri"/>
          <w:lang w:bidi="he-IL"/>
        </w:rPr>
        <w:t xml:space="preserve">or the Islamic </w:t>
      </w:r>
      <w:r w:rsidR="009D0132" w:rsidRPr="009D0132">
        <w:rPr>
          <w:rFonts w:eastAsia="Calibri"/>
          <w:i/>
          <w:lang w:bidi="he-IL"/>
        </w:rPr>
        <w:t>Ummah</w:t>
      </w:r>
      <w:r w:rsidR="009D0132">
        <w:rPr>
          <w:rFonts w:eastAsia="Calibri"/>
          <w:lang w:bidi="he-IL"/>
        </w:rPr>
        <w:t xml:space="preserve"> (the collective community for all Muslims) </w:t>
      </w:r>
      <w:r w:rsidR="005141EC">
        <w:rPr>
          <w:rFonts w:eastAsia="Calibri"/>
          <w:lang w:bidi="he-IL"/>
        </w:rPr>
        <w:t>may lead to psychache among true believers</w:t>
      </w:r>
      <w:r w:rsidR="009D0132">
        <w:rPr>
          <w:rFonts w:eastAsia="Calibri"/>
          <w:lang w:bidi="he-IL"/>
        </w:rPr>
        <w:t xml:space="preserve"> that have internalized this discrepancy between what should be and what is, and how the out-group has </w:t>
      </w:r>
      <w:r w:rsidR="00350354">
        <w:rPr>
          <w:rFonts w:eastAsia="Calibri"/>
          <w:lang w:bidi="he-IL"/>
        </w:rPr>
        <w:t xml:space="preserve">suppressed </w:t>
      </w:r>
      <w:r w:rsidR="009D0132">
        <w:rPr>
          <w:rFonts w:eastAsia="Calibri"/>
          <w:lang w:bidi="he-IL"/>
        </w:rPr>
        <w:t xml:space="preserve">the </w:t>
      </w:r>
      <w:r w:rsidR="00C7260D">
        <w:rPr>
          <w:rFonts w:eastAsia="Calibri"/>
          <w:lang w:bidi="he-IL"/>
        </w:rPr>
        <w:t>fulfillment of a sacred value</w:t>
      </w:r>
      <w:r w:rsidR="005141EC">
        <w:rPr>
          <w:rFonts w:eastAsia="Calibri"/>
          <w:lang w:bidi="he-IL"/>
        </w:rPr>
        <w:t>.</w:t>
      </w:r>
    </w:p>
    <w:p w:rsidR="00A40D3B" w:rsidRDefault="00067EA6" w:rsidP="00350354">
      <w:pPr>
        <w:ind w:firstLine="720"/>
        <w:contextualSpacing/>
        <w:rPr>
          <w:rFonts w:ascii="Times New Roman" w:eastAsia="Calibri" w:hAnsi="Times New Roman"/>
          <w:noProof/>
          <w:lang w:bidi="ar-SA"/>
        </w:rPr>
      </w:pPr>
      <w:r>
        <w:rPr>
          <w:rFonts w:ascii="Times New Roman" w:eastAsia="Calibri" w:hAnsi="Times New Roman"/>
          <w:noProof/>
          <w:lang w:bidi="ar-SA"/>
        </w:rPr>
        <w:t xml:space="preserve">The heavenly rewards for martyrdom mitigates the fear of suicide.  </w:t>
      </w:r>
      <w:r w:rsidR="001E3A83">
        <w:rPr>
          <w:rFonts w:ascii="Times New Roman" w:eastAsia="Calibri" w:hAnsi="Times New Roman"/>
          <w:noProof/>
          <w:lang w:bidi="ar-SA"/>
        </w:rPr>
        <w:t xml:space="preserve">The </w:t>
      </w:r>
      <w:r w:rsidR="00350354">
        <w:rPr>
          <w:rFonts w:ascii="Times New Roman" w:eastAsia="Calibri" w:hAnsi="Times New Roman"/>
          <w:noProof/>
          <w:lang w:bidi="ar-SA"/>
        </w:rPr>
        <w:t>cultural context</w:t>
      </w:r>
      <w:r w:rsidR="009D0132">
        <w:rPr>
          <w:rFonts w:ascii="Times New Roman" w:eastAsia="Calibri" w:hAnsi="Times New Roman"/>
          <w:noProof/>
          <w:lang w:bidi="ar-SA"/>
        </w:rPr>
        <w:t xml:space="preserve"> surrounding the suicide bombing campaign in Palestine, particularly during the Second</w:t>
      </w:r>
      <w:r>
        <w:rPr>
          <w:rFonts w:ascii="Times New Roman" w:eastAsia="Calibri" w:hAnsi="Times New Roman"/>
          <w:noProof/>
          <w:lang w:bidi="ar-SA"/>
        </w:rPr>
        <w:t xml:space="preserve"> Intifada (2000-2005), created a</w:t>
      </w:r>
      <w:r w:rsidR="00A40D3B">
        <w:rPr>
          <w:rFonts w:ascii="Times New Roman" w:eastAsia="Calibri" w:hAnsi="Times New Roman"/>
          <w:noProof/>
          <w:lang w:bidi="ar-SA"/>
        </w:rPr>
        <w:t xml:space="preserve"> cult of martyrdom that celebrated the martyr and promoted individual heavenly rewards for suicide</w:t>
      </w:r>
      <w:r w:rsidR="004555DB">
        <w:rPr>
          <w:rFonts w:ascii="Times New Roman" w:eastAsia="Calibri" w:hAnsi="Times New Roman"/>
          <w:noProof/>
          <w:lang w:bidi="ar-SA"/>
        </w:rPr>
        <w:t xml:space="preserve">.  </w:t>
      </w:r>
      <w:r w:rsidR="00A40D3B">
        <w:rPr>
          <w:rFonts w:ascii="Times New Roman" w:eastAsia="Calibri" w:hAnsi="Times New Roman"/>
          <w:noProof/>
          <w:lang w:bidi="ar-SA"/>
        </w:rPr>
        <w:t xml:space="preserve">Whereas previous suicide campaigns would allude to some form of immortality, the Palestinian </w:t>
      </w:r>
      <w:r w:rsidR="002D0E6C">
        <w:rPr>
          <w:rFonts w:ascii="Times New Roman" w:eastAsia="Calibri" w:hAnsi="Times New Roman"/>
          <w:noProof/>
          <w:lang w:bidi="ar-SA"/>
        </w:rPr>
        <w:t xml:space="preserve">experience—borne of the complex politics and collective </w:t>
      </w:r>
      <w:r w:rsidR="00A40D3B">
        <w:rPr>
          <w:rFonts w:ascii="Times New Roman" w:eastAsia="Calibri" w:hAnsi="Times New Roman"/>
          <w:noProof/>
          <w:lang w:bidi="ar-SA"/>
        </w:rPr>
        <w:t xml:space="preserve">frustration with </w:t>
      </w:r>
      <w:r w:rsidR="00CD7996">
        <w:rPr>
          <w:rFonts w:ascii="Times New Roman" w:eastAsia="Calibri" w:hAnsi="Times New Roman"/>
          <w:noProof/>
          <w:lang w:bidi="ar-SA"/>
        </w:rPr>
        <w:t xml:space="preserve">Israeli </w:t>
      </w:r>
      <w:r w:rsidR="00A40D3B">
        <w:rPr>
          <w:rFonts w:ascii="Times New Roman" w:eastAsia="Calibri" w:hAnsi="Times New Roman"/>
          <w:noProof/>
          <w:lang w:bidi="ar-SA"/>
        </w:rPr>
        <w:t xml:space="preserve">occupation—created </w:t>
      </w:r>
      <w:r w:rsidR="00A40D3B">
        <w:rPr>
          <w:rFonts w:ascii="Times New Roman" w:eastAsia="Calibri" w:hAnsi="Times New Roman"/>
          <w:noProof/>
          <w:lang w:bidi="ar-SA"/>
        </w:rPr>
        <w:lastRenderedPageBreak/>
        <w:t>an incentivizat</w:t>
      </w:r>
      <w:r w:rsidR="002D0E6C">
        <w:rPr>
          <w:rFonts w:ascii="Times New Roman" w:eastAsia="Calibri" w:hAnsi="Times New Roman"/>
          <w:noProof/>
          <w:lang w:bidi="ar-SA"/>
        </w:rPr>
        <w:t xml:space="preserve">ion </w:t>
      </w:r>
      <w:r w:rsidR="009D0132">
        <w:rPr>
          <w:rFonts w:ascii="Times New Roman" w:eastAsia="Calibri" w:hAnsi="Times New Roman"/>
          <w:noProof/>
          <w:lang w:bidi="ar-SA"/>
        </w:rPr>
        <w:t>for suicide</w:t>
      </w:r>
      <w:r w:rsidR="002D0E6C">
        <w:rPr>
          <w:rFonts w:ascii="Times New Roman" w:eastAsia="Calibri" w:hAnsi="Times New Roman"/>
          <w:noProof/>
          <w:lang w:bidi="ar-SA"/>
        </w:rPr>
        <w:t xml:space="preserve"> that would be exploited </w:t>
      </w:r>
      <w:r w:rsidR="00A40D3B">
        <w:rPr>
          <w:rFonts w:ascii="Times New Roman" w:eastAsia="Calibri" w:hAnsi="Times New Roman"/>
          <w:noProof/>
          <w:lang w:bidi="ar-SA"/>
        </w:rPr>
        <w:t>outside the Palestinian conflict</w:t>
      </w:r>
      <w:r w:rsidR="004555DB">
        <w:rPr>
          <w:rFonts w:ascii="Times New Roman" w:eastAsia="Calibri" w:hAnsi="Times New Roman"/>
          <w:noProof/>
          <w:lang w:bidi="ar-SA"/>
        </w:rPr>
        <w:t xml:space="preserve">.  </w:t>
      </w:r>
      <w:r w:rsidR="00146498">
        <w:rPr>
          <w:rFonts w:ascii="Times New Roman" w:eastAsia="Calibri" w:hAnsi="Times New Roman"/>
          <w:noProof/>
          <w:lang w:bidi="ar-SA"/>
        </w:rPr>
        <w:t>D</w:t>
      </w:r>
      <w:r w:rsidR="009D0132">
        <w:rPr>
          <w:rFonts w:ascii="Times New Roman" w:eastAsia="Calibri" w:hAnsi="Times New Roman"/>
          <w:noProof/>
          <w:lang w:bidi="ar-SA"/>
        </w:rPr>
        <w:t>eath for the cause was</w:t>
      </w:r>
      <w:r w:rsidR="00BC118F">
        <w:rPr>
          <w:rFonts w:ascii="Times New Roman" w:eastAsia="Calibri" w:hAnsi="Times New Roman"/>
          <w:noProof/>
          <w:lang w:bidi="ar-SA"/>
        </w:rPr>
        <w:t xml:space="preserve"> no longer a sacrifice, but an investment</w:t>
      </w:r>
      <w:r w:rsidR="004555DB">
        <w:rPr>
          <w:rFonts w:ascii="Times New Roman" w:eastAsia="Calibri" w:hAnsi="Times New Roman"/>
          <w:noProof/>
          <w:lang w:bidi="ar-SA"/>
        </w:rPr>
        <w:t xml:space="preserve">.  </w:t>
      </w:r>
      <w:r w:rsidR="00CD7996">
        <w:rPr>
          <w:rFonts w:ascii="Times New Roman" w:eastAsia="Calibri" w:hAnsi="Times New Roman"/>
          <w:noProof/>
          <w:lang w:bidi="ar-SA"/>
        </w:rPr>
        <w:t xml:space="preserve">Global and online media disseminated the cult of martyrdom to inspire individuals removed from the trauma in Palestine to become martyrs themselves.  </w:t>
      </w:r>
      <w:r w:rsidR="00A40D3B">
        <w:rPr>
          <w:rFonts w:ascii="Times New Roman" w:eastAsia="Calibri" w:hAnsi="Times New Roman"/>
          <w:noProof/>
          <w:lang w:bidi="ar-SA"/>
        </w:rPr>
        <w:t>Saudis, Libyans, Syrians, and other fighters would cite the same themes from the cult of martyrdom as incentives to go into Iraq to kill Iraqi Shia civilians</w:t>
      </w:r>
      <w:r w:rsidR="004555DB">
        <w:rPr>
          <w:rFonts w:ascii="Times New Roman" w:eastAsia="Calibri" w:hAnsi="Times New Roman"/>
          <w:noProof/>
          <w:lang w:bidi="ar-SA"/>
        </w:rPr>
        <w:t xml:space="preserve">.  </w:t>
      </w:r>
    </w:p>
    <w:p w:rsidR="004931B4" w:rsidRDefault="00BC118F" w:rsidP="00CD7996">
      <w:pPr>
        <w:ind w:firstLine="720"/>
        <w:contextualSpacing/>
        <w:rPr>
          <w:rFonts w:ascii="Times New Roman" w:eastAsia="Calibri" w:hAnsi="Times New Roman"/>
          <w:noProof/>
          <w:lang w:bidi="ar-SA"/>
        </w:rPr>
      </w:pPr>
      <w:r>
        <w:rPr>
          <w:rFonts w:ascii="Times New Roman" w:eastAsia="Calibri" w:hAnsi="Times New Roman"/>
          <w:noProof/>
          <w:lang w:bidi="ar-SA"/>
        </w:rPr>
        <w:t>These two</w:t>
      </w:r>
      <w:r w:rsidR="002D0E6C">
        <w:rPr>
          <w:rFonts w:ascii="Times New Roman" w:eastAsia="Calibri" w:hAnsi="Times New Roman"/>
          <w:noProof/>
          <w:lang w:bidi="ar-SA"/>
        </w:rPr>
        <w:t xml:space="preserve"> narratives</w:t>
      </w:r>
      <w:r w:rsidR="008578FE">
        <w:rPr>
          <w:rFonts w:ascii="Times New Roman" w:eastAsia="Calibri" w:hAnsi="Times New Roman"/>
          <w:noProof/>
          <w:lang w:bidi="ar-SA"/>
        </w:rPr>
        <w:t>—Qutbism’s small in-group and large out-group</w:t>
      </w:r>
      <w:r>
        <w:rPr>
          <w:rFonts w:ascii="Times New Roman" w:eastAsia="Calibri" w:hAnsi="Times New Roman"/>
          <w:noProof/>
          <w:lang w:bidi="ar-SA"/>
        </w:rPr>
        <w:t>, and the over-emphasis of heavenly rewards from the Palestinian experience</w:t>
      </w:r>
      <w:r w:rsidR="00E73A29">
        <w:rPr>
          <w:rFonts w:ascii="Times New Roman" w:eastAsia="Calibri" w:hAnsi="Times New Roman"/>
          <w:noProof/>
          <w:lang w:bidi="ar-SA"/>
        </w:rPr>
        <w:t xml:space="preserve">—converged </w:t>
      </w:r>
      <w:r>
        <w:rPr>
          <w:rFonts w:ascii="Times New Roman" w:eastAsia="Calibri" w:hAnsi="Times New Roman"/>
          <w:noProof/>
          <w:lang w:bidi="ar-SA"/>
        </w:rPr>
        <w:t xml:space="preserve">into </w:t>
      </w:r>
      <w:r w:rsidR="00377584">
        <w:rPr>
          <w:rFonts w:ascii="Times New Roman" w:eastAsia="Calibri" w:hAnsi="Times New Roman"/>
          <w:noProof/>
          <w:lang w:bidi="ar-SA"/>
        </w:rPr>
        <w:t xml:space="preserve">the most devastating suicide bombing campaign the world has seen, </w:t>
      </w:r>
      <w:r w:rsidR="00377919">
        <w:rPr>
          <w:rFonts w:ascii="Times New Roman" w:eastAsia="Calibri" w:hAnsi="Times New Roman"/>
          <w:noProof/>
          <w:lang w:bidi="ar-SA"/>
        </w:rPr>
        <w:t xml:space="preserve">ISIS’ </w:t>
      </w:r>
      <w:r w:rsidR="00377584">
        <w:rPr>
          <w:rFonts w:ascii="Times New Roman" w:eastAsia="Calibri" w:hAnsi="Times New Roman"/>
          <w:noProof/>
          <w:lang w:bidi="ar-SA"/>
        </w:rPr>
        <w:t>assault on Iraqi civilians that started two years after coalition forces invaded Iraq</w:t>
      </w:r>
      <w:r w:rsidR="004555DB">
        <w:rPr>
          <w:rFonts w:ascii="Times New Roman" w:eastAsia="Calibri" w:hAnsi="Times New Roman"/>
          <w:noProof/>
          <w:lang w:bidi="ar-SA"/>
        </w:rPr>
        <w:t xml:space="preserve">.  </w:t>
      </w:r>
      <w:r w:rsidR="008E6C80">
        <w:rPr>
          <w:rFonts w:ascii="Times New Roman" w:eastAsia="Calibri" w:hAnsi="Times New Roman"/>
          <w:noProof/>
          <w:lang w:bidi="ar-SA"/>
        </w:rPr>
        <w:t>ISIS</w:t>
      </w:r>
      <w:r w:rsidR="004555DB">
        <w:rPr>
          <w:rFonts w:ascii="Times New Roman" w:eastAsia="Calibri" w:hAnsi="Times New Roman"/>
          <w:noProof/>
          <w:lang w:bidi="ar-SA"/>
        </w:rPr>
        <w:t xml:space="preserve"> </w:t>
      </w:r>
      <w:r w:rsidR="008E6C80">
        <w:rPr>
          <w:rFonts w:ascii="Times New Roman" w:eastAsia="Calibri" w:hAnsi="Times New Roman"/>
          <w:noProof/>
          <w:lang w:bidi="ar-SA"/>
        </w:rPr>
        <w:t>heavily relied on self-selected volunteers</w:t>
      </w:r>
      <w:r w:rsidR="00E73A29">
        <w:rPr>
          <w:rFonts w:ascii="Times New Roman" w:eastAsia="Calibri" w:hAnsi="Times New Roman"/>
          <w:noProof/>
          <w:lang w:bidi="ar-SA"/>
        </w:rPr>
        <w:t xml:space="preserve"> from Saudi Arabia, Libya, Syria, and Morrocco, countries</w:t>
      </w:r>
      <w:r w:rsidR="008E6C80">
        <w:rPr>
          <w:rFonts w:ascii="Times New Roman" w:eastAsia="Calibri" w:hAnsi="Times New Roman"/>
          <w:noProof/>
          <w:lang w:bidi="ar-SA"/>
        </w:rPr>
        <w:t xml:space="preserve"> </w:t>
      </w:r>
      <w:r>
        <w:rPr>
          <w:rFonts w:ascii="Times New Roman" w:eastAsia="Calibri" w:hAnsi="Times New Roman"/>
          <w:noProof/>
          <w:lang w:bidi="ar-SA"/>
        </w:rPr>
        <w:t>not directly con</w:t>
      </w:r>
      <w:r w:rsidR="00E73A29">
        <w:rPr>
          <w:rFonts w:ascii="Times New Roman" w:eastAsia="Calibri" w:hAnsi="Times New Roman"/>
          <w:noProof/>
          <w:lang w:bidi="ar-SA"/>
        </w:rPr>
        <w:t>nected to the coalition occupation in Iraq</w:t>
      </w:r>
      <w:r w:rsidR="00073C78">
        <w:rPr>
          <w:rFonts w:ascii="Times New Roman" w:eastAsia="Calibri" w:hAnsi="Times New Roman"/>
          <w:noProof/>
          <w:lang w:bidi="ar-SA"/>
        </w:rPr>
        <w:t>.  These</w:t>
      </w:r>
      <w:r w:rsidR="00E73A29">
        <w:rPr>
          <w:rFonts w:ascii="Times New Roman" w:eastAsia="Calibri" w:hAnsi="Times New Roman"/>
          <w:noProof/>
          <w:lang w:bidi="ar-SA"/>
        </w:rPr>
        <w:t xml:space="preserve"> volunteers targeted civilians more often than any camp</w:t>
      </w:r>
      <w:r w:rsidR="00C7260D">
        <w:rPr>
          <w:rFonts w:ascii="Times New Roman" w:eastAsia="Calibri" w:hAnsi="Times New Roman"/>
          <w:noProof/>
          <w:lang w:bidi="ar-SA"/>
        </w:rPr>
        <w:t>aign other than the Palestinian groups</w:t>
      </w:r>
      <w:r w:rsidR="00E73A29">
        <w:rPr>
          <w:rFonts w:ascii="Times New Roman" w:eastAsia="Calibri" w:hAnsi="Times New Roman"/>
          <w:noProof/>
          <w:lang w:bidi="ar-SA"/>
        </w:rPr>
        <w:t xml:space="preserve"> against Israeli targets</w:t>
      </w:r>
      <w:r w:rsidR="004555DB">
        <w:rPr>
          <w:rFonts w:ascii="Times New Roman" w:eastAsia="Calibri" w:hAnsi="Times New Roman"/>
          <w:noProof/>
          <w:lang w:bidi="ar-SA"/>
        </w:rPr>
        <w:t xml:space="preserve">.  </w:t>
      </w:r>
      <w:r w:rsidR="001D745D">
        <w:rPr>
          <w:rFonts w:ascii="Times New Roman" w:eastAsia="Calibri" w:hAnsi="Times New Roman"/>
          <w:noProof/>
          <w:lang w:bidi="ar-SA"/>
        </w:rPr>
        <w:t xml:space="preserve">ISIS is responsible for most of the attacks </w:t>
      </w:r>
      <w:r w:rsidR="00EF390E">
        <w:rPr>
          <w:rFonts w:ascii="Times New Roman" w:eastAsia="Calibri" w:hAnsi="Times New Roman"/>
          <w:noProof/>
          <w:lang w:bidi="ar-SA"/>
        </w:rPr>
        <w:t>in</w:t>
      </w:r>
      <w:r w:rsidR="001D745D">
        <w:rPr>
          <w:rFonts w:ascii="Times New Roman" w:eastAsia="Calibri" w:hAnsi="Times New Roman"/>
          <w:noProof/>
          <w:lang w:bidi="ar-SA"/>
        </w:rPr>
        <w:t xml:space="preserve"> Iraq since 2003, and a</w:t>
      </w:r>
      <w:r w:rsidR="008578FE">
        <w:rPr>
          <w:rFonts w:ascii="Times New Roman" w:eastAsia="Calibri" w:hAnsi="Times New Roman"/>
          <w:noProof/>
          <w:lang w:bidi="ar-SA"/>
        </w:rPr>
        <w:t xml:space="preserve">pproximately 38% of all suicide attacks </w:t>
      </w:r>
      <w:r w:rsidR="001D745D">
        <w:rPr>
          <w:rFonts w:ascii="Times New Roman" w:eastAsia="Calibri" w:hAnsi="Times New Roman"/>
          <w:noProof/>
          <w:lang w:bidi="ar-SA"/>
        </w:rPr>
        <w:t>across the globe</w:t>
      </w:r>
      <w:r w:rsidR="008578FE">
        <w:rPr>
          <w:rFonts w:ascii="Times New Roman" w:eastAsia="Calibri" w:hAnsi="Times New Roman"/>
          <w:noProof/>
          <w:lang w:bidi="ar-SA"/>
        </w:rPr>
        <w:t xml:space="preserve"> have occurred in Iraq.</w:t>
      </w:r>
      <w:r w:rsidR="00EF390E">
        <w:rPr>
          <w:rStyle w:val="FootnoteReference"/>
          <w:rFonts w:ascii="Times New Roman" w:eastAsia="Calibri" w:hAnsi="Times New Roman"/>
          <w:noProof/>
          <w:lang w:bidi="ar-SA"/>
        </w:rPr>
        <w:footnoteReference w:id="20"/>
      </w:r>
    </w:p>
    <w:p w:rsidR="001D6233" w:rsidRPr="00273293" w:rsidRDefault="001D6233" w:rsidP="001D6233">
      <w:pPr>
        <w:pStyle w:val="Heading2"/>
        <w:contextualSpacing/>
        <w:rPr>
          <w:bCs w:val="0"/>
          <w:i/>
          <w:iCs w:val="0"/>
          <w:szCs w:val="24"/>
        </w:rPr>
      </w:pPr>
      <w:bookmarkStart w:id="13" w:name="_Toc450748669"/>
      <w:r w:rsidRPr="003776BC">
        <w:rPr>
          <w:bCs w:val="0"/>
          <w:i/>
          <w:szCs w:val="24"/>
        </w:rPr>
        <w:t>The Cognitive Terrain</w:t>
      </w:r>
      <w:bookmarkEnd w:id="13"/>
    </w:p>
    <w:p w:rsidR="003C73B9" w:rsidRDefault="001D6233" w:rsidP="003C73B9">
      <w:pPr>
        <w:ind w:firstLine="720"/>
        <w:contextualSpacing/>
        <w:rPr>
          <w:rFonts w:ascii="Times New Roman" w:eastAsia="Calibri" w:hAnsi="Times New Roman"/>
          <w:noProof/>
          <w:lang w:bidi="ar-SA"/>
        </w:rPr>
      </w:pPr>
      <w:r>
        <w:rPr>
          <w:rFonts w:ascii="Times New Roman" w:eastAsia="Calibri" w:hAnsi="Times New Roman"/>
          <w:noProof/>
          <w:lang w:bidi="ar-SA"/>
        </w:rPr>
        <w:t>The cognitive terrai</w:t>
      </w:r>
      <w:r w:rsidR="00CA4507">
        <w:rPr>
          <w:rFonts w:ascii="Times New Roman" w:eastAsia="Calibri" w:hAnsi="Times New Roman"/>
          <w:noProof/>
          <w:lang w:bidi="ar-SA"/>
        </w:rPr>
        <w:t xml:space="preserve">n </w:t>
      </w:r>
      <w:r w:rsidR="00273684">
        <w:rPr>
          <w:rFonts w:ascii="Times New Roman" w:eastAsia="Calibri" w:hAnsi="Times New Roman"/>
          <w:noProof/>
          <w:lang w:bidi="ar-SA"/>
        </w:rPr>
        <w:t>is the individual’s imagined nation</w:t>
      </w:r>
      <w:r w:rsidR="00C65C92">
        <w:rPr>
          <w:rFonts w:ascii="Times New Roman" w:eastAsia="Calibri" w:hAnsi="Times New Roman"/>
          <w:noProof/>
          <w:lang w:bidi="ar-SA"/>
        </w:rPr>
        <w:t xml:space="preserve">.  It </w:t>
      </w:r>
      <w:r w:rsidR="00CD7996">
        <w:rPr>
          <w:rFonts w:ascii="Times New Roman" w:eastAsia="Calibri" w:hAnsi="Times New Roman"/>
          <w:noProof/>
          <w:lang w:bidi="ar-SA"/>
        </w:rPr>
        <w:t>define</w:t>
      </w:r>
      <w:r w:rsidR="00EF390E">
        <w:rPr>
          <w:rFonts w:ascii="Times New Roman" w:eastAsia="Calibri" w:hAnsi="Times New Roman"/>
          <w:noProof/>
          <w:lang w:bidi="ar-SA"/>
        </w:rPr>
        <w:t>s</w:t>
      </w:r>
      <w:r w:rsidR="00273684">
        <w:rPr>
          <w:rFonts w:ascii="Times New Roman" w:eastAsia="Calibri" w:hAnsi="Times New Roman"/>
          <w:noProof/>
          <w:lang w:bidi="ar-SA"/>
        </w:rPr>
        <w:t xml:space="preserve"> the characteristics of the</w:t>
      </w:r>
      <w:r w:rsidR="00CA4507">
        <w:rPr>
          <w:rFonts w:ascii="Times New Roman" w:eastAsia="Calibri" w:hAnsi="Times New Roman"/>
          <w:noProof/>
          <w:lang w:bidi="ar-SA"/>
        </w:rPr>
        <w:t xml:space="preserve"> in-group </w:t>
      </w:r>
      <w:r>
        <w:rPr>
          <w:rFonts w:ascii="Times New Roman" w:eastAsia="Calibri" w:hAnsi="Times New Roman"/>
          <w:noProof/>
          <w:lang w:bidi="ar-SA"/>
        </w:rPr>
        <w:t xml:space="preserve">and the parameters </w:t>
      </w:r>
      <w:r w:rsidR="00CA4507">
        <w:rPr>
          <w:rFonts w:ascii="Times New Roman" w:eastAsia="Calibri" w:hAnsi="Times New Roman"/>
          <w:noProof/>
          <w:lang w:bidi="ar-SA"/>
        </w:rPr>
        <w:t xml:space="preserve">of the group’s expected political control </w:t>
      </w:r>
      <w:r>
        <w:rPr>
          <w:rFonts w:ascii="Times New Roman" w:eastAsia="Calibri" w:hAnsi="Times New Roman"/>
          <w:noProof/>
          <w:lang w:bidi="ar-SA"/>
        </w:rPr>
        <w:t xml:space="preserve">in reality.  </w:t>
      </w:r>
      <w:r w:rsidR="001828C2">
        <w:rPr>
          <w:rFonts w:ascii="Times New Roman" w:eastAsia="Calibri" w:hAnsi="Times New Roman"/>
          <w:noProof/>
          <w:lang w:bidi="ar-SA"/>
        </w:rPr>
        <w:t>Idealism is intrinsic to the cognitive terr</w:t>
      </w:r>
      <w:r w:rsidR="00C65C92">
        <w:rPr>
          <w:rFonts w:ascii="Times New Roman" w:eastAsia="Calibri" w:hAnsi="Times New Roman"/>
          <w:noProof/>
          <w:lang w:bidi="ar-SA"/>
        </w:rPr>
        <w:t xml:space="preserve">ain.  The pure imagined nation </w:t>
      </w:r>
      <w:r w:rsidR="001828C2">
        <w:rPr>
          <w:rFonts w:ascii="Times New Roman" w:eastAsia="Calibri" w:hAnsi="Times New Roman"/>
          <w:noProof/>
          <w:lang w:bidi="ar-SA"/>
        </w:rPr>
        <w:t>embodies important sacred values</w:t>
      </w:r>
      <w:r w:rsidR="00C65C92">
        <w:rPr>
          <w:rFonts w:ascii="Times New Roman" w:eastAsia="Calibri" w:hAnsi="Times New Roman"/>
          <w:noProof/>
          <w:lang w:bidi="ar-SA"/>
        </w:rPr>
        <w:t xml:space="preserve"> that current nations fail to uphold, which means </w:t>
      </w:r>
      <w:r w:rsidR="001828C2">
        <w:rPr>
          <w:rFonts w:ascii="Times New Roman" w:eastAsia="Calibri" w:hAnsi="Times New Roman"/>
          <w:noProof/>
          <w:lang w:bidi="ar-SA"/>
        </w:rPr>
        <w:t>any sacrifice is necessary to make t</w:t>
      </w:r>
      <w:r w:rsidR="00C65C92">
        <w:rPr>
          <w:rFonts w:ascii="Times New Roman" w:eastAsia="Calibri" w:hAnsi="Times New Roman"/>
          <w:noProof/>
          <w:lang w:bidi="ar-SA"/>
        </w:rPr>
        <w:t>he translation between ideas and reality</w:t>
      </w:r>
      <w:r w:rsidR="001828C2">
        <w:rPr>
          <w:rFonts w:ascii="Times New Roman" w:eastAsia="Calibri" w:hAnsi="Times New Roman"/>
          <w:noProof/>
          <w:lang w:bidi="ar-SA"/>
        </w:rPr>
        <w:t xml:space="preserve">.  If the sacrifice leads to heavenly rewards in the afterlife, then the sacrifice is even easier to </w:t>
      </w:r>
      <w:r w:rsidR="001828C2">
        <w:rPr>
          <w:rFonts w:ascii="Times New Roman" w:eastAsia="Calibri" w:hAnsi="Times New Roman"/>
          <w:noProof/>
          <w:lang w:bidi="ar-SA"/>
        </w:rPr>
        <w:lastRenderedPageBreak/>
        <w:t xml:space="preserve">make.  By emphasizing the sacred values as cognitive signposts of an ideology, we can identify the </w:t>
      </w:r>
      <w:r w:rsidR="00A259A0">
        <w:rPr>
          <w:rFonts w:ascii="Times New Roman" w:eastAsia="Calibri" w:hAnsi="Times New Roman"/>
          <w:noProof/>
          <w:lang w:bidi="ar-SA"/>
        </w:rPr>
        <w:t xml:space="preserve">reflective beliefs </w:t>
      </w:r>
      <w:r w:rsidR="001828C2">
        <w:rPr>
          <w:rFonts w:ascii="Times New Roman" w:eastAsia="Calibri" w:hAnsi="Times New Roman"/>
          <w:noProof/>
          <w:lang w:bidi="ar-SA"/>
        </w:rPr>
        <w:t xml:space="preserve">that structure the rationale of </w:t>
      </w:r>
      <w:r w:rsidR="00A259A0">
        <w:rPr>
          <w:rFonts w:ascii="Times New Roman" w:eastAsia="Calibri" w:hAnsi="Times New Roman"/>
          <w:noProof/>
          <w:lang w:bidi="ar-SA"/>
        </w:rPr>
        <w:t xml:space="preserve">militant </w:t>
      </w:r>
      <w:r w:rsidR="001828C2">
        <w:rPr>
          <w:rFonts w:ascii="Times New Roman" w:eastAsia="Calibri" w:hAnsi="Times New Roman"/>
          <w:noProof/>
          <w:lang w:bidi="ar-SA"/>
        </w:rPr>
        <w:t xml:space="preserve">groups and individuals. </w:t>
      </w:r>
      <w:r w:rsidR="00F00C3C">
        <w:rPr>
          <w:rFonts w:ascii="Times New Roman" w:eastAsia="Calibri" w:hAnsi="Times New Roman"/>
          <w:noProof/>
          <w:lang w:bidi="ar-SA"/>
        </w:rPr>
        <w:t>What</w:t>
      </w:r>
      <w:r w:rsidR="00E902F3">
        <w:rPr>
          <w:rFonts w:ascii="Times New Roman" w:eastAsia="Calibri" w:hAnsi="Times New Roman"/>
          <w:noProof/>
          <w:lang w:bidi="ar-SA"/>
        </w:rPr>
        <w:t xml:space="preserve"> distinguishes</w:t>
      </w:r>
      <w:r w:rsidR="00F00C3C">
        <w:rPr>
          <w:rFonts w:ascii="Times New Roman" w:eastAsia="Calibri" w:hAnsi="Times New Roman"/>
          <w:noProof/>
          <w:lang w:bidi="ar-SA"/>
        </w:rPr>
        <w:t xml:space="preserve"> the cognitive terrain fro</w:t>
      </w:r>
      <w:r w:rsidR="00CA4507">
        <w:rPr>
          <w:rFonts w:ascii="Times New Roman" w:eastAsia="Calibri" w:hAnsi="Times New Roman"/>
          <w:noProof/>
          <w:lang w:bidi="ar-SA"/>
        </w:rPr>
        <w:t xml:space="preserve">m nationalism is that the </w:t>
      </w:r>
      <w:r w:rsidR="00F00C3C">
        <w:rPr>
          <w:rFonts w:ascii="Times New Roman" w:eastAsia="Calibri" w:hAnsi="Times New Roman"/>
          <w:noProof/>
          <w:lang w:bidi="ar-SA"/>
        </w:rPr>
        <w:t xml:space="preserve">in-group identity of the </w:t>
      </w:r>
      <w:r w:rsidR="00CA4507">
        <w:rPr>
          <w:rFonts w:ascii="Times New Roman" w:eastAsia="Calibri" w:hAnsi="Times New Roman"/>
          <w:noProof/>
          <w:lang w:bidi="ar-SA"/>
        </w:rPr>
        <w:t>cognitive terrain is</w:t>
      </w:r>
      <w:r w:rsidR="00F00C3C">
        <w:rPr>
          <w:rFonts w:ascii="Times New Roman" w:eastAsia="Calibri" w:hAnsi="Times New Roman"/>
          <w:noProof/>
          <w:lang w:bidi="ar-SA"/>
        </w:rPr>
        <w:t xml:space="preserve"> self-selected</w:t>
      </w:r>
      <w:r w:rsidR="00CA4507">
        <w:rPr>
          <w:rFonts w:ascii="Times New Roman" w:eastAsia="Calibri" w:hAnsi="Times New Roman"/>
          <w:noProof/>
          <w:lang w:bidi="ar-SA"/>
        </w:rPr>
        <w:t xml:space="preserve"> and universal in its </w:t>
      </w:r>
      <w:r w:rsidR="00CD7996">
        <w:rPr>
          <w:rFonts w:ascii="Times New Roman" w:eastAsia="Calibri" w:hAnsi="Times New Roman"/>
          <w:noProof/>
          <w:lang w:bidi="ar-SA"/>
        </w:rPr>
        <w:t>political consequences</w:t>
      </w:r>
      <w:r w:rsidR="00C7260D">
        <w:rPr>
          <w:rFonts w:ascii="Times New Roman" w:eastAsia="Calibri" w:hAnsi="Times New Roman"/>
          <w:noProof/>
          <w:lang w:bidi="ar-SA"/>
        </w:rPr>
        <w:t xml:space="preserve"> instead of an inherited </w:t>
      </w:r>
      <w:r w:rsidR="003030BA">
        <w:rPr>
          <w:rFonts w:ascii="Times New Roman" w:eastAsia="Calibri" w:hAnsi="Times New Roman"/>
          <w:noProof/>
          <w:lang w:bidi="ar-SA"/>
        </w:rPr>
        <w:t xml:space="preserve">national </w:t>
      </w:r>
      <w:r w:rsidR="00C7260D">
        <w:rPr>
          <w:rFonts w:ascii="Times New Roman" w:eastAsia="Calibri" w:hAnsi="Times New Roman"/>
          <w:noProof/>
          <w:lang w:bidi="ar-SA"/>
        </w:rPr>
        <w:t>identity with</w:t>
      </w:r>
      <w:r w:rsidR="00F00C3C">
        <w:rPr>
          <w:rFonts w:ascii="Times New Roman" w:eastAsia="Calibri" w:hAnsi="Times New Roman"/>
          <w:noProof/>
          <w:lang w:bidi="ar-SA"/>
        </w:rPr>
        <w:t xml:space="preserve"> </w:t>
      </w:r>
      <w:r w:rsidR="00CA4507">
        <w:rPr>
          <w:rFonts w:ascii="Times New Roman" w:eastAsia="Calibri" w:hAnsi="Times New Roman"/>
          <w:noProof/>
          <w:lang w:bidi="ar-SA"/>
        </w:rPr>
        <w:t>local</w:t>
      </w:r>
      <w:r w:rsidR="00C7260D">
        <w:rPr>
          <w:rFonts w:ascii="Times New Roman" w:eastAsia="Calibri" w:hAnsi="Times New Roman"/>
          <w:noProof/>
          <w:lang w:bidi="ar-SA"/>
        </w:rPr>
        <w:t xml:space="preserve"> political emphasis</w:t>
      </w:r>
      <w:r w:rsidR="00CA4507">
        <w:rPr>
          <w:rFonts w:ascii="Times New Roman" w:eastAsia="Calibri" w:hAnsi="Times New Roman"/>
          <w:noProof/>
          <w:lang w:bidi="ar-SA"/>
        </w:rPr>
        <w:t>.</w:t>
      </w:r>
      <w:r w:rsidR="00CD7996">
        <w:rPr>
          <w:rFonts w:ascii="Times New Roman" w:eastAsia="Calibri" w:hAnsi="Times New Roman"/>
          <w:noProof/>
          <w:lang w:bidi="ar-SA"/>
        </w:rPr>
        <w:t xml:space="preserve">  </w:t>
      </w:r>
      <w:r w:rsidR="00470A73">
        <w:rPr>
          <w:rFonts w:ascii="Times New Roman" w:eastAsia="Calibri" w:hAnsi="Times New Roman"/>
          <w:noProof/>
          <w:lang w:bidi="ar-SA"/>
        </w:rPr>
        <w:t>The</w:t>
      </w:r>
      <w:r w:rsidR="00F00C3C">
        <w:rPr>
          <w:rFonts w:ascii="Times New Roman" w:eastAsia="Calibri" w:hAnsi="Times New Roman"/>
          <w:noProof/>
          <w:lang w:bidi="ar-SA"/>
        </w:rPr>
        <w:t xml:space="preserve"> </w:t>
      </w:r>
      <w:r w:rsidR="003244AE">
        <w:rPr>
          <w:rFonts w:ascii="Times New Roman" w:eastAsia="Calibri" w:hAnsi="Times New Roman"/>
          <w:noProof/>
          <w:lang w:bidi="ar-SA"/>
        </w:rPr>
        <w:t xml:space="preserve">entire </w:t>
      </w:r>
      <w:r w:rsidR="00F00C3C">
        <w:rPr>
          <w:rFonts w:ascii="Times New Roman" w:eastAsia="Calibri" w:hAnsi="Times New Roman"/>
          <w:noProof/>
          <w:lang w:bidi="ar-SA"/>
        </w:rPr>
        <w:t>global system</w:t>
      </w:r>
      <w:r w:rsidR="003244AE">
        <w:rPr>
          <w:rFonts w:ascii="Times New Roman" w:eastAsia="Calibri" w:hAnsi="Times New Roman"/>
          <w:noProof/>
          <w:lang w:bidi="ar-SA"/>
        </w:rPr>
        <w:t xml:space="preserve"> </w:t>
      </w:r>
      <w:r w:rsidR="00470A73">
        <w:rPr>
          <w:rFonts w:ascii="Times New Roman" w:eastAsia="Calibri" w:hAnsi="Times New Roman"/>
          <w:noProof/>
          <w:lang w:bidi="ar-SA"/>
        </w:rPr>
        <w:t xml:space="preserve">plays </w:t>
      </w:r>
      <w:r w:rsidR="003244AE">
        <w:rPr>
          <w:rFonts w:ascii="Times New Roman" w:eastAsia="Calibri" w:hAnsi="Times New Roman"/>
          <w:noProof/>
          <w:lang w:bidi="ar-SA"/>
        </w:rPr>
        <w:t>a positive or negative role for the in-group—usually negative—and individuals acting on this belief seek</w:t>
      </w:r>
      <w:r w:rsidR="003C73B9">
        <w:rPr>
          <w:rFonts w:ascii="Times New Roman" w:eastAsia="Calibri" w:hAnsi="Times New Roman"/>
          <w:noProof/>
          <w:lang w:bidi="ar-SA"/>
        </w:rPr>
        <w:t xml:space="preserve"> to remake the world.</w:t>
      </w:r>
    </w:p>
    <w:p w:rsidR="00F00C3C" w:rsidRDefault="003C73B9" w:rsidP="00FA1D2A">
      <w:pPr>
        <w:ind w:firstLine="720"/>
        <w:contextualSpacing/>
        <w:rPr>
          <w:rFonts w:ascii="Times New Roman" w:eastAsia="Calibri" w:hAnsi="Times New Roman"/>
          <w:noProof/>
          <w:lang w:bidi="ar-SA"/>
        </w:rPr>
      </w:pPr>
      <w:r>
        <w:rPr>
          <w:rFonts w:ascii="Times New Roman" w:eastAsia="Calibri" w:hAnsi="Times New Roman"/>
          <w:noProof/>
          <w:lang w:bidi="ar-SA"/>
        </w:rPr>
        <w:t xml:space="preserve">In suicide terrorism research, </w:t>
      </w:r>
      <w:r w:rsidRPr="00E439D4">
        <w:rPr>
          <w:rFonts w:ascii="Times New Roman" w:eastAsia="Calibri" w:hAnsi="Times New Roman"/>
          <w:i/>
          <w:iCs/>
          <w:noProof/>
          <w:lang w:bidi="ar-SA"/>
        </w:rPr>
        <w:t>cognitive occupation</w:t>
      </w:r>
      <w:r>
        <w:rPr>
          <w:rFonts w:ascii="Times New Roman" w:eastAsia="Calibri" w:hAnsi="Times New Roman"/>
          <w:noProof/>
          <w:lang w:bidi="ar-SA"/>
        </w:rPr>
        <w:t xml:space="preserve"> refers to the perception </w:t>
      </w:r>
      <w:r w:rsidR="00E439D4">
        <w:rPr>
          <w:rFonts w:ascii="Times New Roman" w:eastAsia="Calibri" w:hAnsi="Times New Roman"/>
          <w:noProof/>
          <w:lang w:bidi="ar-SA"/>
        </w:rPr>
        <w:t xml:space="preserve">among rebels </w:t>
      </w:r>
      <w:r>
        <w:rPr>
          <w:rFonts w:ascii="Times New Roman" w:eastAsia="Calibri" w:hAnsi="Times New Roman"/>
          <w:noProof/>
          <w:lang w:bidi="ar-SA"/>
        </w:rPr>
        <w:t>that the international system and its powerful sponsors suppress the existence of a new state that best upholds critical sacred values for man.  If there is a cognitive occupation on the minds of individuals and true believers, the cognitive terrain is the counter</w:t>
      </w:r>
      <w:r w:rsidR="00FA1D2A">
        <w:rPr>
          <w:rFonts w:ascii="Times New Roman" w:eastAsia="Calibri" w:hAnsi="Times New Roman"/>
          <w:noProof/>
          <w:lang w:bidi="ar-SA"/>
        </w:rPr>
        <w:t xml:space="preserve"> that is being occupied</w:t>
      </w:r>
      <w:r>
        <w:rPr>
          <w:rFonts w:ascii="Times New Roman" w:eastAsia="Calibri" w:hAnsi="Times New Roman"/>
          <w:noProof/>
          <w:lang w:bidi="ar-SA"/>
        </w:rPr>
        <w:t xml:space="preserve">. </w:t>
      </w:r>
      <w:r w:rsidR="00FA1D2A">
        <w:rPr>
          <w:rFonts w:ascii="Times New Roman" w:eastAsia="Calibri" w:hAnsi="Times New Roman"/>
          <w:noProof/>
          <w:lang w:bidi="ar-SA"/>
        </w:rPr>
        <w:t xml:space="preserve"> The cognitive terrain</w:t>
      </w:r>
      <w:r>
        <w:rPr>
          <w:rFonts w:ascii="Times New Roman" w:eastAsia="Calibri" w:hAnsi="Times New Roman"/>
          <w:noProof/>
          <w:lang w:bidi="ar-SA"/>
        </w:rPr>
        <w:t xml:space="preserve"> represents the interaction between the sacred values of the imagined nation and the vital needs of the individual that drive action.</w:t>
      </w:r>
      <w:r w:rsidR="00476DD1">
        <w:rPr>
          <w:rFonts w:ascii="Times New Roman" w:eastAsia="Calibri" w:hAnsi="Times New Roman"/>
          <w:noProof/>
          <w:lang w:bidi="ar-SA"/>
        </w:rPr>
        <w:t xml:space="preserve">  It then addresses the three cognitive components for murder-suicide.</w:t>
      </w:r>
      <w:r>
        <w:rPr>
          <w:rFonts w:ascii="Times New Roman" w:eastAsia="Calibri" w:hAnsi="Times New Roman"/>
          <w:noProof/>
          <w:lang w:bidi="ar-SA"/>
        </w:rPr>
        <w:t xml:space="preserve"> </w:t>
      </w:r>
    </w:p>
    <w:p w:rsidR="001D6233" w:rsidRDefault="001D6233" w:rsidP="00E439D4">
      <w:pPr>
        <w:ind w:firstLine="720"/>
        <w:contextualSpacing/>
        <w:rPr>
          <w:rFonts w:ascii="Times New Roman" w:eastAsia="Calibri" w:hAnsi="Times New Roman"/>
          <w:noProof/>
          <w:lang w:bidi="ar-SA"/>
        </w:rPr>
      </w:pPr>
      <w:r>
        <w:rPr>
          <w:rFonts w:ascii="Times New Roman" w:eastAsia="Calibri" w:hAnsi="Times New Roman"/>
          <w:noProof/>
          <w:lang w:bidi="ar-SA"/>
        </w:rPr>
        <w:t>Th</w:t>
      </w:r>
      <w:r w:rsidR="00F00C3C">
        <w:rPr>
          <w:rFonts w:ascii="Times New Roman" w:eastAsia="Calibri" w:hAnsi="Times New Roman"/>
          <w:noProof/>
          <w:lang w:bidi="ar-SA"/>
        </w:rPr>
        <w:t>e cognitive terrain</w:t>
      </w:r>
      <w:r>
        <w:rPr>
          <w:rFonts w:ascii="Times New Roman" w:eastAsia="Calibri" w:hAnsi="Times New Roman"/>
          <w:noProof/>
          <w:lang w:bidi="ar-SA"/>
        </w:rPr>
        <w:t xml:space="preserve"> builds upon Benedict </w:t>
      </w:r>
      <w:r w:rsidR="00C33402">
        <w:rPr>
          <w:rFonts w:ascii="Times New Roman" w:eastAsia="Calibri" w:hAnsi="Times New Roman"/>
          <w:noProof/>
          <w:lang w:bidi="ar-SA"/>
        </w:rPr>
        <w:t>Anderson</w:t>
      </w:r>
      <w:r>
        <w:rPr>
          <w:rFonts w:ascii="Times New Roman" w:eastAsia="Calibri" w:hAnsi="Times New Roman"/>
          <w:noProof/>
          <w:lang w:bidi="ar-SA"/>
        </w:rPr>
        <w:t xml:space="preserve">’s </w:t>
      </w:r>
      <w:r w:rsidR="003C73B9">
        <w:rPr>
          <w:rFonts w:ascii="Times New Roman" w:eastAsia="Calibri" w:hAnsi="Times New Roman"/>
          <w:i/>
          <w:noProof/>
          <w:lang w:bidi="ar-SA"/>
        </w:rPr>
        <w:t xml:space="preserve">Imagined Communities.  </w:t>
      </w:r>
      <w:r w:rsidR="003C73B9">
        <w:rPr>
          <w:rFonts w:ascii="Times New Roman" w:eastAsia="Calibri" w:hAnsi="Times New Roman"/>
          <w:iCs/>
          <w:noProof/>
          <w:lang w:bidi="ar-SA"/>
        </w:rPr>
        <w:t>Anderson</w:t>
      </w:r>
      <w:r>
        <w:rPr>
          <w:rFonts w:ascii="Times New Roman" w:eastAsia="Calibri" w:hAnsi="Times New Roman"/>
          <w:noProof/>
          <w:lang w:bidi="ar-SA"/>
        </w:rPr>
        <w:t xml:space="preserve"> explains how nationalism emerged from </w:t>
      </w:r>
      <w:r w:rsidR="00F00C3C">
        <w:rPr>
          <w:rFonts w:ascii="Times New Roman" w:eastAsia="Calibri" w:hAnsi="Times New Roman"/>
          <w:noProof/>
          <w:lang w:bidi="ar-SA"/>
        </w:rPr>
        <w:t xml:space="preserve">the </w:t>
      </w:r>
      <w:r>
        <w:rPr>
          <w:rFonts w:ascii="Times New Roman" w:eastAsia="Calibri" w:hAnsi="Times New Roman"/>
          <w:noProof/>
          <w:lang w:bidi="ar-SA"/>
        </w:rPr>
        <w:t>shared belief that individuals living in separate villages and towns are actually conn</w:t>
      </w:r>
      <w:r w:rsidR="00CD7996">
        <w:rPr>
          <w:rFonts w:ascii="Times New Roman" w:eastAsia="Calibri" w:hAnsi="Times New Roman"/>
          <w:noProof/>
          <w:lang w:bidi="ar-SA"/>
        </w:rPr>
        <w:t xml:space="preserve">ected into one larger </w:t>
      </w:r>
      <w:r w:rsidR="00F00C3C">
        <w:rPr>
          <w:rFonts w:ascii="Times New Roman" w:eastAsia="Calibri" w:hAnsi="Times New Roman"/>
          <w:noProof/>
          <w:lang w:bidi="ar-SA"/>
        </w:rPr>
        <w:t>in-group.</w:t>
      </w:r>
      <w:r>
        <w:rPr>
          <w:rFonts w:ascii="Times New Roman" w:eastAsia="Calibri" w:hAnsi="Times New Roman"/>
          <w:noProof/>
          <w:lang w:bidi="ar-SA"/>
        </w:rPr>
        <w:t xml:space="preserve"> </w:t>
      </w:r>
      <w:r w:rsidR="00F00C3C">
        <w:rPr>
          <w:rFonts w:ascii="Times New Roman" w:eastAsia="Calibri" w:hAnsi="Times New Roman"/>
          <w:noProof/>
          <w:lang w:bidi="ar-SA"/>
        </w:rPr>
        <w:t xml:space="preserve"> This cognitive connection forms the </w:t>
      </w:r>
      <w:r w:rsidR="005E097E">
        <w:rPr>
          <w:rFonts w:ascii="Times New Roman" w:eastAsia="Calibri" w:hAnsi="Times New Roman"/>
          <w:noProof/>
          <w:lang w:bidi="ar-SA"/>
        </w:rPr>
        <w:t>belief</w:t>
      </w:r>
      <w:r w:rsidR="003244AE">
        <w:rPr>
          <w:rFonts w:ascii="Times New Roman" w:eastAsia="Calibri" w:hAnsi="Times New Roman"/>
          <w:noProof/>
          <w:lang w:bidi="ar-SA"/>
        </w:rPr>
        <w:t xml:space="preserve"> across individuals that they are </w:t>
      </w:r>
      <w:r>
        <w:rPr>
          <w:rFonts w:ascii="Times New Roman" w:eastAsia="Calibri" w:hAnsi="Times New Roman"/>
          <w:noProof/>
          <w:lang w:bidi="ar-SA"/>
        </w:rPr>
        <w:t>a people</w:t>
      </w:r>
      <w:r w:rsidR="00CD7996">
        <w:rPr>
          <w:rFonts w:ascii="Times New Roman" w:eastAsia="Calibri" w:hAnsi="Times New Roman"/>
          <w:noProof/>
          <w:lang w:bidi="ar-SA"/>
        </w:rPr>
        <w:t>, and in turn the</w:t>
      </w:r>
      <w:r w:rsidR="003244AE">
        <w:rPr>
          <w:rFonts w:ascii="Times New Roman" w:eastAsia="Calibri" w:hAnsi="Times New Roman"/>
          <w:noProof/>
          <w:lang w:bidi="ar-SA"/>
        </w:rPr>
        <w:t xml:space="preserve"> people </w:t>
      </w:r>
      <w:r>
        <w:rPr>
          <w:rFonts w:ascii="Times New Roman" w:eastAsia="Calibri" w:hAnsi="Times New Roman"/>
          <w:noProof/>
          <w:lang w:bidi="ar-SA"/>
        </w:rPr>
        <w:t>becomes a nation.</w:t>
      </w:r>
      <w:r w:rsidR="005671E8" w:rsidRPr="005671E8">
        <w:rPr>
          <w:rFonts w:ascii="Times New Roman" w:eastAsia="Calibri" w:hAnsi="Times New Roman"/>
          <w:noProof/>
          <w:vertAlign w:val="superscript"/>
          <w:lang w:bidi="he-IL"/>
        </w:rPr>
        <w:footnoteReference w:id="21"/>
      </w:r>
      <w:r w:rsidR="00CD7996">
        <w:rPr>
          <w:rFonts w:ascii="Times New Roman" w:eastAsia="Calibri" w:hAnsi="Times New Roman"/>
          <w:noProof/>
          <w:lang w:bidi="he-IL"/>
        </w:rPr>
        <w:t xml:space="preserve">  </w:t>
      </w:r>
      <w:r w:rsidR="003244AE">
        <w:rPr>
          <w:rFonts w:ascii="Times New Roman" w:eastAsia="Calibri" w:hAnsi="Times New Roman"/>
          <w:noProof/>
          <w:lang w:bidi="he-IL"/>
        </w:rPr>
        <w:t xml:space="preserve">Any bad event or tragedy that impacts one impacts all within the umbrella of the nation.  </w:t>
      </w:r>
      <w:r w:rsidR="003244AE">
        <w:rPr>
          <w:rFonts w:ascii="Times New Roman" w:eastAsia="Calibri" w:hAnsi="Times New Roman"/>
          <w:noProof/>
          <w:lang w:bidi="ar-SA"/>
        </w:rPr>
        <w:t>Although a</w:t>
      </w:r>
      <w:r>
        <w:rPr>
          <w:rFonts w:ascii="Times New Roman" w:eastAsia="Calibri" w:hAnsi="Times New Roman"/>
          <w:noProof/>
          <w:lang w:bidi="ar-SA"/>
        </w:rPr>
        <w:t xml:space="preserve"> thorough review of </w:t>
      </w:r>
      <w:r w:rsidR="00C33402">
        <w:rPr>
          <w:rFonts w:ascii="Times New Roman" w:eastAsia="Calibri" w:hAnsi="Times New Roman"/>
          <w:noProof/>
          <w:lang w:bidi="ar-SA"/>
        </w:rPr>
        <w:t>Anderson</w:t>
      </w:r>
      <w:r>
        <w:rPr>
          <w:rFonts w:ascii="Times New Roman" w:eastAsia="Calibri" w:hAnsi="Times New Roman"/>
          <w:noProof/>
          <w:lang w:bidi="ar-SA"/>
        </w:rPr>
        <w:t xml:space="preserve">’s thesis is beyond the scope of this paper, </w:t>
      </w:r>
      <w:r w:rsidR="00C33402">
        <w:rPr>
          <w:rFonts w:ascii="Times New Roman" w:eastAsia="Calibri" w:hAnsi="Times New Roman"/>
          <w:noProof/>
          <w:lang w:bidi="ar-SA"/>
        </w:rPr>
        <w:t>Anderson</w:t>
      </w:r>
      <w:r>
        <w:rPr>
          <w:rFonts w:ascii="Times New Roman" w:eastAsia="Calibri" w:hAnsi="Times New Roman"/>
          <w:noProof/>
          <w:lang w:bidi="ar-SA"/>
        </w:rPr>
        <w:t>’s argu</w:t>
      </w:r>
      <w:r w:rsidR="00AB5BA5">
        <w:rPr>
          <w:rFonts w:ascii="Times New Roman" w:eastAsia="Calibri" w:hAnsi="Times New Roman"/>
          <w:noProof/>
          <w:lang w:bidi="ar-SA"/>
        </w:rPr>
        <w:t xml:space="preserve">es </w:t>
      </w:r>
      <w:r w:rsidR="00C7260D">
        <w:rPr>
          <w:rFonts w:ascii="Times New Roman" w:eastAsia="Calibri" w:hAnsi="Times New Roman"/>
          <w:noProof/>
          <w:lang w:bidi="ar-SA"/>
        </w:rPr>
        <w:t xml:space="preserve">that literacy </w:t>
      </w:r>
      <w:r w:rsidR="00C7260D">
        <w:rPr>
          <w:rFonts w:ascii="Times New Roman" w:eastAsia="Calibri" w:hAnsi="Times New Roman"/>
          <w:noProof/>
          <w:lang w:bidi="ar-SA"/>
        </w:rPr>
        <w:lastRenderedPageBreak/>
        <w:t>drove</w:t>
      </w:r>
      <w:r>
        <w:rPr>
          <w:rFonts w:ascii="Times New Roman" w:eastAsia="Calibri" w:hAnsi="Times New Roman"/>
          <w:noProof/>
          <w:lang w:bidi="ar-SA"/>
        </w:rPr>
        <w:t xml:space="preserve"> this shared belief, as</w:t>
      </w:r>
      <w:r w:rsidR="00C7260D">
        <w:rPr>
          <w:rFonts w:ascii="Times New Roman" w:eastAsia="Calibri" w:hAnsi="Times New Roman"/>
          <w:noProof/>
          <w:lang w:bidi="ar-SA"/>
        </w:rPr>
        <w:t xml:space="preserve"> individuals could</w:t>
      </w:r>
      <w:r>
        <w:rPr>
          <w:rFonts w:ascii="Times New Roman" w:eastAsia="Calibri" w:hAnsi="Times New Roman"/>
          <w:noProof/>
          <w:lang w:bidi="ar-SA"/>
        </w:rPr>
        <w:t xml:space="preserve"> read the same newspapers and books and conceive that others are sharing the same thoughts.  </w:t>
      </w:r>
      <w:r w:rsidR="00E439D4">
        <w:rPr>
          <w:rFonts w:ascii="Times New Roman" w:eastAsia="Calibri" w:hAnsi="Times New Roman"/>
          <w:noProof/>
          <w:lang w:bidi="ar-SA"/>
        </w:rPr>
        <w:t xml:space="preserve">In social cognition, </w:t>
      </w:r>
      <w:r w:rsidR="00AB5BA5">
        <w:rPr>
          <w:rFonts w:ascii="Times New Roman" w:eastAsia="Calibri" w:hAnsi="Times New Roman"/>
          <w:noProof/>
          <w:lang w:bidi="ar-SA"/>
        </w:rPr>
        <w:t xml:space="preserve">the </w:t>
      </w:r>
      <w:r w:rsidR="00AB5BA5" w:rsidRPr="00563097">
        <w:rPr>
          <w:rFonts w:ascii="Times New Roman" w:eastAsia="Calibri" w:hAnsi="Times New Roman"/>
          <w:i/>
          <w:iCs/>
          <w:noProof/>
          <w:lang w:bidi="ar-SA"/>
        </w:rPr>
        <w:t xml:space="preserve">Theory of Mind </w:t>
      </w:r>
      <w:r w:rsidR="00CD38CE">
        <w:rPr>
          <w:rFonts w:ascii="Times New Roman" w:eastAsia="Calibri" w:hAnsi="Times New Roman"/>
          <w:noProof/>
          <w:lang w:bidi="ar-SA"/>
        </w:rPr>
        <w:t xml:space="preserve">states that since we know we have thoughts, </w:t>
      </w:r>
      <w:r w:rsidR="00563097">
        <w:rPr>
          <w:rFonts w:ascii="Times New Roman" w:eastAsia="Calibri" w:hAnsi="Times New Roman"/>
          <w:noProof/>
          <w:lang w:bidi="ar-SA"/>
        </w:rPr>
        <w:t xml:space="preserve">we can imagine that </w:t>
      </w:r>
      <w:r w:rsidR="00AB5BA5">
        <w:rPr>
          <w:rFonts w:ascii="Times New Roman" w:eastAsia="Calibri" w:hAnsi="Times New Roman"/>
          <w:noProof/>
          <w:lang w:bidi="ar-SA"/>
        </w:rPr>
        <w:t xml:space="preserve">others have thoughts as well.  </w:t>
      </w:r>
      <w:r>
        <w:rPr>
          <w:rFonts w:ascii="Times New Roman" w:eastAsia="Calibri" w:hAnsi="Times New Roman"/>
          <w:noProof/>
          <w:lang w:bidi="ar-SA"/>
        </w:rPr>
        <w:t xml:space="preserve">Thus, </w:t>
      </w:r>
      <w:r w:rsidR="00AB5BA5">
        <w:rPr>
          <w:rFonts w:ascii="Times New Roman" w:eastAsia="Calibri" w:hAnsi="Times New Roman"/>
          <w:noProof/>
          <w:lang w:bidi="ar-SA"/>
        </w:rPr>
        <w:t>an individual r</w:t>
      </w:r>
      <w:r w:rsidR="003030BA">
        <w:rPr>
          <w:rFonts w:ascii="Times New Roman" w:eastAsia="Calibri" w:hAnsi="Times New Roman"/>
          <w:noProof/>
          <w:lang w:bidi="ar-SA"/>
        </w:rPr>
        <w:t>eads the same literature</w:t>
      </w:r>
      <w:r w:rsidR="00AB5BA5">
        <w:rPr>
          <w:rFonts w:ascii="Times New Roman" w:eastAsia="Calibri" w:hAnsi="Times New Roman"/>
          <w:noProof/>
          <w:lang w:bidi="ar-SA"/>
        </w:rPr>
        <w:t xml:space="preserve"> as others do, and infers that the others are thinking the </w:t>
      </w:r>
      <w:r w:rsidR="00563097">
        <w:rPr>
          <w:rFonts w:ascii="Times New Roman" w:eastAsia="Calibri" w:hAnsi="Times New Roman"/>
          <w:noProof/>
          <w:lang w:bidi="ar-SA"/>
        </w:rPr>
        <w:t xml:space="preserve">same thoughts.  </w:t>
      </w:r>
      <w:r w:rsidR="00CD38CE">
        <w:rPr>
          <w:rFonts w:ascii="Times New Roman" w:eastAsia="Calibri" w:hAnsi="Times New Roman"/>
          <w:noProof/>
          <w:lang w:bidi="ar-SA"/>
        </w:rPr>
        <w:t>T</w:t>
      </w:r>
      <w:r w:rsidR="00563097">
        <w:rPr>
          <w:rFonts w:ascii="Times New Roman" w:eastAsia="Calibri" w:hAnsi="Times New Roman"/>
          <w:noProof/>
          <w:lang w:bidi="ar-SA"/>
        </w:rPr>
        <w:t>hey mutually imagine a shared cognitive experience that connects individuals across time and space</w:t>
      </w:r>
      <w:r w:rsidR="00AB5BA5">
        <w:rPr>
          <w:rFonts w:ascii="Times New Roman" w:eastAsia="Calibri" w:hAnsi="Times New Roman"/>
          <w:noProof/>
          <w:lang w:bidi="ar-SA"/>
        </w:rPr>
        <w:t>.</w:t>
      </w:r>
      <w:r>
        <w:rPr>
          <w:rFonts w:ascii="Times New Roman" w:eastAsia="Calibri" w:hAnsi="Times New Roman"/>
          <w:noProof/>
          <w:lang w:bidi="ar-SA"/>
        </w:rPr>
        <w:t xml:space="preserve"> </w:t>
      </w:r>
    </w:p>
    <w:p w:rsidR="001D6233" w:rsidRDefault="001D6233" w:rsidP="00E439D4">
      <w:pPr>
        <w:ind w:firstLine="720"/>
        <w:contextualSpacing/>
        <w:rPr>
          <w:rFonts w:ascii="Times New Roman" w:eastAsia="Calibri" w:hAnsi="Times New Roman"/>
          <w:noProof/>
          <w:lang w:bidi="ar-SA"/>
        </w:rPr>
      </w:pPr>
      <w:r>
        <w:rPr>
          <w:rFonts w:ascii="Times New Roman" w:eastAsia="Calibri" w:hAnsi="Times New Roman"/>
          <w:noProof/>
          <w:lang w:bidi="ar-SA"/>
        </w:rPr>
        <w:t xml:space="preserve">Although </w:t>
      </w:r>
      <w:r w:rsidR="00CD3077">
        <w:rPr>
          <w:rFonts w:ascii="Times New Roman" w:eastAsia="Calibri" w:hAnsi="Times New Roman"/>
          <w:noProof/>
          <w:lang w:bidi="ar-SA"/>
        </w:rPr>
        <w:t xml:space="preserve">Anderson’s Imagined Community and the cognitive terrain are </w:t>
      </w:r>
      <w:r>
        <w:rPr>
          <w:rFonts w:ascii="Times New Roman" w:eastAsia="Calibri" w:hAnsi="Times New Roman"/>
          <w:noProof/>
          <w:lang w:bidi="ar-SA"/>
        </w:rPr>
        <w:t>related, there are f</w:t>
      </w:r>
      <w:r w:rsidR="00CD3077">
        <w:rPr>
          <w:rFonts w:ascii="Times New Roman" w:eastAsia="Calibri" w:hAnsi="Times New Roman"/>
          <w:noProof/>
          <w:lang w:bidi="ar-SA"/>
        </w:rPr>
        <w:t>ive</w:t>
      </w:r>
      <w:r>
        <w:rPr>
          <w:rFonts w:ascii="Times New Roman" w:eastAsia="Calibri" w:hAnsi="Times New Roman"/>
          <w:noProof/>
          <w:lang w:bidi="ar-SA"/>
        </w:rPr>
        <w:t xml:space="preserve"> </w:t>
      </w:r>
      <w:r w:rsidR="00CD3077">
        <w:rPr>
          <w:rFonts w:ascii="Times New Roman" w:eastAsia="Calibri" w:hAnsi="Times New Roman"/>
          <w:noProof/>
          <w:lang w:bidi="ar-SA"/>
        </w:rPr>
        <w:t>key distinctions which require a new concept to describe radicalism and by extension suicide terrorism</w:t>
      </w:r>
      <w:r>
        <w:rPr>
          <w:rFonts w:ascii="Times New Roman" w:eastAsia="Calibri" w:hAnsi="Times New Roman"/>
          <w:noProof/>
          <w:lang w:bidi="ar-SA"/>
        </w:rPr>
        <w:t xml:space="preserve">.  First, the </w:t>
      </w:r>
      <w:r w:rsidR="00CD3077">
        <w:rPr>
          <w:rFonts w:ascii="Times New Roman" w:eastAsia="Calibri" w:hAnsi="Times New Roman"/>
          <w:noProof/>
          <w:lang w:bidi="ar-SA"/>
        </w:rPr>
        <w:t xml:space="preserve">term </w:t>
      </w:r>
      <w:r>
        <w:rPr>
          <w:rFonts w:ascii="Times New Roman" w:eastAsia="Calibri" w:hAnsi="Times New Roman"/>
          <w:noProof/>
          <w:lang w:bidi="ar-SA"/>
        </w:rPr>
        <w:t xml:space="preserve">terrain </w:t>
      </w:r>
      <w:r w:rsidR="00CD3077">
        <w:rPr>
          <w:rFonts w:ascii="Times New Roman" w:eastAsia="Calibri" w:hAnsi="Times New Roman"/>
          <w:noProof/>
          <w:lang w:bidi="ar-SA"/>
        </w:rPr>
        <w:t xml:space="preserve">refers to </w:t>
      </w:r>
      <w:r>
        <w:rPr>
          <w:rFonts w:ascii="Times New Roman" w:eastAsia="Calibri" w:hAnsi="Times New Roman"/>
          <w:noProof/>
          <w:lang w:bidi="ar-SA"/>
        </w:rPr>
        <w:t xml:space="preserve">the implication of this shared identity on local, national, and global politics.  </w:t>
      </w:r>
      <w:r w:rsidR="00BB2399">
        <w:rPr>
          <w:rFonts w:ascii="Times New Roman" w:eastAsia="Calibri" w:hAnsi="Times New Roman"/>
          <w:noProof/>
          <w:lang w:bidi="ar-SA"/>
        </w:rPr>
        <w:t xml:space="preserve">Describing how a shared national identity is culturally constructed is one thing, but </w:t>
      </w:r>
      <w:r w:rsidR="00CD38CE">
        <w:rPr>
          <w:rFonts w:ascii="Times New Roman" w:eastAsia="Calibri" w:hAnsi="Times New Roman"/>
          <w:noProof/>
          <w:lang w:bidi="ar-SA"/>
        </w:rPr>
        <w:t>the identity must be assessed</w:t>
      </w:r>
      <w:r w:rsidR="00BB2399">
        <w:rPr>
          <w:rFonts w:ascii="Times New Roman" w:eastAsia="Calibri" w:hAnsi="Times New Roman"/>
          <w:noProof/>
          <w:lang w:bidi="ar-SA"/>
        </w:rPr>
        <w:t xml:space="preserve"> in terms of its political consequences.  A </w:t>
      </w:r>
      <w:r w:rsidR="003244AE">
        <w:rPr>
          <w:rFonts w:ascii="Times New Roman" w:eastAsia="Calibri" w:hAnsi="Times New Roman"/>
          <w:noProof/>
          <w:lang w:bidi="ar-SA"/>
        </w:rPr>
        <w:t xml:space="preserve">group that represents </w:t>
      </w:r>
      <w:r w:rsidR="00CD38CE">
        <w:rPr>
          <w:rFonts w:ascii="Times New Roman" w:eastAsia="Calibri" w:hAnsi="Times New Roman"/>
          <w:noProof/>
          <w:lang w:bidi="ar-SA"/>
        </w:rPr>
        <w:t>an imagined community</w:t>
      </w:r>
      <w:r w:rsidR="003244AE">
        <w:rPr>
          <w:rFonts w:ascii="Times New Roman" w:eastAsia="Calibri" w:hAnsi="Times New Roman"/>
          <w:noProof/>
          <w:lang w:bidi="ar-SA"/>
        </w:rPr>
        <w:t xml:space="preserve"> is likely going to act on </w:t>
      </w:r>
      <w:r w:rsidR="00E439D4">
        <w:rPr>
          <w:rFonts w:ascii="Times New Roman" w:eastAsia="Calibri" w:hAnsi="Times New Roman"/>
          <w:noProof/>
          <w:lang w:bidi="ar-SA"/>
        </w:rPr>
        <w:t xml:space="preserve">its </w:t>
      </w:r>
      <w:r w:rsidR="003244AE">
        <w:rPr>
          <w:rFonts w:ascii="Times New Roman" w:eastAsia="Calibri" w:hAnsi="Times New Roman"/>
          <w:noProof/>
          <w:lang w:bidi="ar-SA"/>
        </w:rPr>
        <w:t xml:space="preserve">behalf </w:t>
      </w:r>
      <w:r>
        <w:rPr>
          <w:rFonts w:ascii="Times New Roman" w:eastAsia="Calibri" w:hAnsi="Times New Roman"/>
          <w:noProof/>
          <w:lang w:bidi="ar-SA"/>
        </w:rPr>
        <w:t xml:space="preserve">at the expense of the current governing authority.  The scope of the group’s nationalist ambitions—the scope of the terrain—influences regional and international politics.  Some nationalist ambitions are </w:t>
      </w:r>
      <w:r w:rsidR="003244AE" w:rsidRPr="003244AE">
        <w:rPr>
          <w:rFonts w:ascii="Times New Roman" w:eastAsia="Calibri" w:hAnsi="Times New Roman"/>
          <w:noProof/>
          <w:lang w:bidi="ar-SA"/>
        </w:rPr>
        <w:t>accommodable</w:t>
      </w:r>
      <w:r w:rsidR="003030BA">
        <w:rPr>
          <w:rFonts w:ascii="Times New Roman" w:eastAsia="Calibri" w:hAnsi="Times New Roman"/>
          <w:noProof/>
          <w:lang w:bidi="ar-SA"/>
        </w:rPr>
        <w:t xml:space="preserve"> to </w:t>
      </w:r>
      <w:r>
        <w:rPr>
          <w:rFonts w:ascii="Times New Roman" w:eastAsia="Calibri" w:hAnsi="Times New Roman"/>
          <w:noProof/>
          <w:lang w:bidi="ar-SA"/>
        </w:rPr>
        <w:t xml:space="preserve">international stability, other nationalist ambitions exacerbate regional strife independent of the moral justness of their political end-state, and yet other </w:t>
      </w:r>
      <w:r w:rsidR="00563097">
        <w:rPr>
          <w:rFonts w:ascii="Times New Roman" w:eastAsia="Calibri" w:hAnsi="Times New Roman"/>
          <w:noProof/>
          <w:lang w:bidi="ar-SA"/>
        </w:rPr>
        <w:t xml:space="preserve">nationalist </w:t>
      </w:r>
      <w:r>
        <w:rPr>
          <w:rFonts w:ascii="Times New Roman" w:eastAsia="Calibri" w:hAnsi="Times New Roman"/>
          <w:noProof/>
          <w:lang w:bidi="ar-SA"/>
        </w:rPr>
        <w:t>ambitions are pernicious in both end-state objectives and the process to reach said end-state.  The Qutbist narrative, for examp</w:t>
      </w:r>
      <w:r w:rsidR="00CD38CE">
        <w:rPr>
          <w:rFonts w:ascii="Times New Roman" w:eastAsia="Calibri" w:hAnsi="Times New Roman"/>
          <w:noProof/>
          <w:lang w:bidi="ar-SA"/>
        </w:rPr>
        <w:t>le, aims to recreate an</w:t>
      </w:r>
      <w:r>
        <w:rPr>
          <w:rFonts w:ascii="Times New Roman" w:eastAsia="Calibri" w:hAnsi="Times New Roman"/>
          <w:noProof/>
          <w:lang w:bidi="ar-SA"/>
        </w:rPr>
        <w:t xml:space="preserve"> Islamic state that covers dozens of current nation-sta</w:t>
      </w:r>
      <w:r w:rsidR="00CD38CE">
        <w:rPr>
          <w:rFonts w:ascii="Times New Roman" w:eastAsia="Calibri" w:hAnsi="Times New Roman"/>
          <w:noProof/>
          <w:lang w:bidi="ar-SA"/>
        </w:rPr>
        <w:t>tes, which would destabilize the</w:t>
      </w:r>
      <w:r>
        <w:rPr>
          <w:rFonts w:ascii="Times New Roman" w:eastAsia="Calibri" w:hAnsi="Times New Roman"/>
          <w:noProof/>
          <w:lang w:bidi="ar-SA"/>
        </w:rPr>
        <w:t xml:space="preserve"> Arab-Islamic world.  </w:t>
      </w:r>
    </w:p>
    <w:p w:rsidR="001D6233" w:rsidRDefault="001D6233" w:rsidP="00E439D4">
      <w:pPr>
        <w:ind w:firstLine="720"/>
        <w:contextualSpacing/>
        <w:rPr>
          <w:rFonts w:ascii="Times New Roman" w:eastAsia="Calibri" w:hAnsi="Times New Roman"/>
          <w:noProof/>
          <w:lang w:bidi="ar-SA"/>
        </w:rPr>
      </w:pPr>
      <w:r>
        <w:rPr>
          <w:rFonts w:ascii="Times New Roman" w:eastAsia="Calibri" w:hAnsi="Times New Roman"/>
          <w:noProof/>
          <w:lang w:bidi="ar-SA"/>
        </w:rPr>
        <w:t xml:space="preserve">The second distinction is </w:t>
      </w:r>
      <w:r w:rsidR="00563097">
        <w:rPr>
          <w:rFonts w:ascii="Times New Roman" w:eastAsia="Calibri" w:hAnsi="Times New Roman"/>
          <w:noProof/>
          <w:lang w:bidi="ar-SA"/>
        </w:rPr>
        <w:t xml:space="preserve">that </w:t>
      </w:r>
      <w:r>
        <w:rPr>
          <w:rFonts w:ascii="Times New Roman" w:eastAsia="Calibri" w:hAnsi="Times New Roman"/>
          <w:noProof/>
          <w:lang w:bidi="ar-SA"/>
        </w:rPr>
        <w:t xml:space="preserve">the </w:t>
      </w:r>
      <w:r w:rsidR="00563097">
        <w:rPr>
          <w:rFonts w:ascii="Times New Roman" w:eastAsia="Calibri" w:hAnsi="Times New Roman"/>
          <w:noProof/>
          <w:lang w:bidi="ar-SA"/>
        </w:rPr>
        <w:t>a universal</w:t>
      </w:r>
      <w:r>
        <w:rPr>
          <w:rFonts w:ascii="Times New Roman" w:eastAsia="Calibri" w:hAnsi="Times New Roman"/>
          <w:noProof/>
          <w:lang w:bidi="ar-SA"/>
        </w:rPr>
        <w:t xml:space="preserve"> </w:t>
      </w:r>
      <w:r w:rsidR="003244AE">
        <w:rPr>
          <w:rFonts w:ascii="Times New Roman" w:eastAsia="Calibri" w:hAnsi="Times New Roman"/>
          <w:noProof/>
          <w:lang w:bidi="ar-SA"/>
        </w:rPr>
        <w:t>n</w:t>
      </w:r>
      <w:r w:rsidR="00832B4A">
        <w:rPr>
          <w:rFonts w:ascii="Times New Roman" w:eastAsia="Calibri" w:hAnsi="Times New Roman"/>
          <w:noProof/>
          <w:lang w:bidi="ar-SA"/>
        </w:rPr>
        <w:t xml:space="preserve">arrative based on </w:t>
      </w:r>
      <w:r w:rsidR="00E439D4">
        <w:rPr>
          <w:rFonts w:ascii="Times New Roman" w:eastAsia="Calibri" w:hAnsi="Times New Roman"/>
          <w:noProof/>
          <w:lang w:bidi="ar-SA"/>
        </w:rPr>
        <w:t xml:space="preserve">religion </w:t>
      </w:r>
      <w:r w:rsidR="00832B4A">
        <w:rPr>
          <w:rFonts w:ascii="Times New Roman" w:eastAsia="Calibri" w:hAnsi="Times New Roman"/>
          <w:noProof/>
          <w:lang w:bidi="ar-SA"/>
        </w:rPr>
        <w:t>carries</w:t>
      </w:r>
      <w:r w:rsidR="003244AE">
        <w:rPr>
          <w:rFonts w:ascii="Times New Roman" w:eastAsia="Calibri" w:hAnsi="Times New Roman"/>
          <w:noProof/>
          <w:lang w:bidi="ar-SA"/>
        </w:rPr>
        <w:t xml:space="preserve"> global </w:t>
      </w:r>
      <w:r w:rsidR="00CD3077">
        <w:rPr>
          <w:rFonts w:ascii="Times New Roman" w:eastAsia="Calibri" w:hAnsi="Times New Roman"/>
          <w:noProof/>
          <w:lang w:bidi="ar-SA"/>
        </w:rPr>
        <w:t>stakeholder</w:t>
      </w:r>
      <w:r w:rsidR="00BB2399">
        <w:rPr>
          <w:rFonts w:ascii="Times New Roman" w:eastAsia="Calibri" w:hAnsi="Times New Roman"/>
          <w:noProof/>
          <w:lang w:bidi="ar-SA"/>
        </w:rPr>
        <w:t xml:space="preserve"> </w:t>
      </w:r>
      <w:r w:rsidR="003244AE">
        <w:rPr>
          <w:rFonts w:ascii="Times New Roman" w:eastAsia="Calibri" w:hAnsi="Times New Roman"/>
          <w:noProof/>
          <w:lang w:bidi="ar-SA"/>
        </w:rPr>
        <w:t>ramifications</w:t>
      </w:r>
      <w:r w:rsidR="00E439D4">
        <w:rPr>
          <w:rFonts w:ascii="Times New Roman" w:eastAsia="Calibri" w:hAnsi="Times New Roman"/>
          <w:noProof/>
          <w:lang w:bidi="ar-SA"/>
        </w:rPr>
        <w:t xml:space="preserve">.  The </w:t>
      </w:r>
      <w:r>
        <w:rPr>
          <w:rFonts w:ascii="Times New Roman" w:eastAsia="Calibri" w:hAnsi="Times New Roman"/>
          <w:noProof/>
          <w:lang w:bidi="ar-SA"/>
        </w:rPr>
        <w:t xml:space="preserve">universal component  </w:t>
      </w:r>
      <w:r w:rsidR="00E439D4">
        <w:rPr>
          <w:rFonts w:ascii="Times New Roman" w:eastAsia="Calibri" w:hAnsi="Times New Roman"/>
          <w:noProof/>
          <w:lang w:bidi="ar-SA"/>
        </w:rPr>
        <w:t>in the Qubtist narrative differs</w:t>
      </w:r>
      <w:r>
        <w:rPr>
          <w:rFonts w:ascii="Times New Roman" w:eastAsia="Calibri" w:hAnsi="Times New Roman"/>
          <w:noProof/>
          <w:lang w:bidi="ar-SA"/>
        </w:rPr>
        <w:t xml:space="preserve"> from the constructed but organic nationalism of </w:t>
      </w:r>
      <w:r w:rsidR="00C33402">
        <w:rPr>
          <w:rFonts w:ascii="Times New Roman" w:eastAsia="Calibri" w:hAnsi="Times New Roman"/>
          <w:noProof/>
          <w:lang w:bidi="ar-SA"/>
        </w:rPr>
        <w:t>Anderson</w:t>
      </w:r>
      <w:r>
        <w:rPr>
          <w:rFonts w:ascii="Times New Roman" w:eastAsia="Calibri" w:hAnsi="Times New Roman"/>
          <w:noProof/>
          <w:lang w:bidi="ar-SA"/>
        </w:rPr>
        <w:t xml:space="preserve">’s imagined </w:t>
      </w:r>
      <w:r w:rsidR="00BB2399">
        <w:rPr>
          <w:rFonts w:ascii="Times New Roman" w:eastAsia="Calibri" w:hAnsi="Times New Roman"/>
          <w:noProof/>
          <w:lang w:bidi="ar-SA"/>
        </w:rPr>
        <w:t xml:space="preserve">national </w:t>
      </w:r>
      <w:r>
        <w:rPr>
          <w:rFonts w:ascii="Times New Roman" w:eastAsia="Calibri" w:hAnsi="Times New Roman"/>
          <w:noProof/>
          <w:lang w:bidi="ar-SA"/>
        </w:rPr>
        <w:lastRenderedPageBreak/>
        <w:t>community.  The</w:t>
      </w:r>
      <w:r w:rsidR="00BB2399">
        <w:rPr>
          <w:rFonts w:ascii="Times New Roman" w:eastAsia="Calibri" w:hAnsi="Times New Roman"/>
          <w:noProof/>
          <w:lang w:bidi="ar-SA"/>
        </w:rPr>
        <w:t xml:space="preserve"> “religious identity as nationalism”</w:t>
      </w:r>
      <w:r>
        <w:rPr>
          <w:rFonts w:ascii="Times New Roman" w:eastAsia="Calibri" w:hAnsi="Times New Roman"/>
          <w:noProof/>
          <w:lang w:bidi="ar-SA"/>
        </w:rPr>
        <w:t xml:space="preserve"> </w:t>
      </w:r>
      <w:r w:rsidR="00861638">
        <w:rPr>
          <w:rFonts w:ascii="Times New Roman" w:eastAsia="Calibri" w:hAnsi="Times New Roman"/>
          <w:noProof/>
          <w:lang w:bidi="ar-SA"/>
        </w:rPr>
        <w:t>imagined community</w:t>
      </w:r>
      <w:r>
        <w:rPr>
          <w:rFonts w:ascii="Times New Roman" w:eastAsia="Calibri" w:hAnsi="Times New Roman"/>
          <w:noProof/>
          <w:lang w:bidi="ar-SA"/>
        </w:rPr>
        <w:t xml:space="preserve"> starts with a cosmic explanation of the in-group and its place in the world, and then assigns a national-politic</w:t>
      </w:r>
      <w:r w:rsidR="00BB2399">
        <w:rPr>
          <w:rFonts w:ascii="Times New Roman" w:eastAsia="Calibri" w:hAnsi="Times New Roman"/>
          <w:noProof/>
          <w:lang w:bidi="ar-SA"/>
        </w:rPr>
        <w:t xml:space="preserve"> from this expectation</w:t>
      </w:r>
      <w:r>
        <w:rPr>
          <w:rFonts w:ascii="Times New Roman" w:eastAsia="Calibri" w:hAnsi="Times New Roman"/>
          <w:noProof/>
          <w:lang w:bidi="ar-SA"/>
        </w:rPr>
        <w:t xml:space="preserve">.  </w:t>
      </w:r>
      <w:r w:rsidR="00CD38CE">
        <w:rPr>
          <w:rFonts w:ascii="Times New Roman" w:eastAsia="Calibri" w:hAnsi="Times New Roman"/>
          <w:noProof/>
          <w:lang w:bidi="ar-SA"/>
        </w:rPr>
        <w:t xml:space="preserve">Anderson’s </w:t>
      </w:r>
      <w:r w:rsidR="00BB2399">
        <w:rPr>
          <w:rFonts w:ascii="Times New Roman" w:eastAsia="Calibri" w:hAnsi="Times New Roman"/>
          <w:noProof/>
          <w:lang w:bidi="ar-SA"/>
        </w:rPr>
        <w:t xml:space="preserve">“nationalism as a secular </w:t>
      </w:r>
      <w:r>
        <w:rPr>
          <w:rFonts w:ascii="Times New Roman" w:eastAsia="Calibri" w:hAnsi="Times New Roman"/>
          <w:noProof/>
          <w:lang w:bidi="ar-SA"/>
        </w:rPr>
        <w:t>religion</w:t>
      </w:r>
      <w:r w:rsidR="00861638">
        <w:rPr>
          <w:rFonts w:ascii="Times New Roman" w:eastAsia="Calibri" w:hAnsi="Times New Roman"/>
          <w:noProof/>
          <w:lang w:bidi="ar-SA"/>
        </w:rPr>
        <w:t>” imagined community</w:t>
      </w:r>
      <w:r>
        <w:rPr>
          <w:rFonts w:ascii="Times New Roman" w:eastAsia="Calibri" w:hAnsi="Times New Roman"/>
          <w:noProof/>
          <w:lang w:bidi="ar-SA"/>
        </w:rPr>
        <w:t xml:space="preserve"> starts in the opposite direction, </w:t>
      </w:r>
      <w:r w:rsidR="00CD38CE">
        <w:rPr>
          <w:rFonts w:ascii="Times New Roman" w:eastAsia="Calibri" w:hAnsi="Times New Roman"/>
          <w:noProof/>
          <w:lang w:bidi="ar-SA"/>
        </w:rPr>
        <w:t xml:space="preserve">as </w:t>
      </w:r>
      <w:r>
        <w:rPr>
          <w:rFonts w:ascii="Times New Roman" w:eastAsia="Calibri" w:hAnsi="Times New Roman"/>
          <w:noProof/>
          <w:lang w:bidi="ar-SA"/>
        </w:rPr>
        <w:t xml:space="preserve">a collective identity </w:t>
      </w:r>
      <w:r w:rsidR="00BB2399">
        <w:rPr>
          <w:rFonts w:ascii="Times New Roman" w:eastAsia="Calibri" w:hAnsi="Times New Roman"/>
          <w:noProof/>
          <w:lang w:bidi="ar-SA"/>
        </w:rPr>
        <w:t>b</w:t>
      </w:r>
      <w:r w:rsidR="00861638">
        <w:rPr>
          <w:rFonts w:ascii="Times New Roman" w:eastAsia="Calibri" w:hAnsi="Times New Roman"/>
          <w:noProof/>
          <w:lang w:bidi="ar-SA"/>
        </w:rPr>
        <w:t xml:space="preserve">uilds across villages based on shared language, which in turn </w:t>
      </w:r>
      <w:r>
        <w:rPr>
          <w:rFonts w:ascii="Times New Roman" w:eastAsia="Calibri" w:hAnsi="Times New Roman"/>
          <w:noProof/>
          <w:lang w:bidi="ar-SA"/>
        </w:rPr>
        <w:t xml:space="preserve">becomes a form of secular religion.  The </w:t>
      </w:r>
      <w:r w:rsidR="00CD38CE">
        <w:rPr>
          <w:rFonts w:ascii="Times New Roman" w:eastAsia="Calibri" w:hAnsi="Times New Roman"/>
          <w:noProof/>
          <w:lang w:bidi="ar-SA"/>
        </w:rPr>
        <w:t>cosmic religious identity</w:t>
      </w:r>
      <w:r>
        <w:rPr>
          <w:rFonts w:ascii="Times New Roman" w:eastAsia="Calibri" w:hAnsi="Times New Roman"/>
          <w:noProof/>
          <w:lang w:bidi="ar-SA"/>
        </w:rPr>
        <w:t xml:space="preserve"> </w:t>
      </w:r>
      <w:r w:rsidR="00470A73">
        <w:rPr>
          <w:rFonts w:ascii="Times New Roman" w:eastAsia="Calibri" w:hAnsi="Times New Roman"/>
          <w:noProof/>
          <w:lang w:bidi="ar-SA"/>
        </w:rPr>
        <w:t>places</w:t>
      </w:r>
      <w:r w:rsidR="00861638">
        <w:rPr>
          <w:rFonts w:ascii="Times New Roman" w:eastAsia="Calibri" w:hAnsi="Times New Roman"/>
          <w:noProof/>
          <w:lang w:bidi="ar-SA"/>
        </w:rPr>
        <w:t xml:space="preserve"> the individual’s</w:t>
      </w:r>
      <w:r>
        <w:rPr>
          <w:rFonts w:ascii="Times New Roman" w:eastAsia="Calibri" w:hAnsi="Times New Roman"/>
          <w:noProof/>
          <w:lang w:bidi="ar-SA"/>
        </w:rPr>
        <w:t xml:space="preserve"> in-group across national boundaries and governments.  </w:t>
      </w:r>
      <w:r w:rsidR="003244AE">
        <w:rPr>
          <w:rFonts w:ascii="Times New Roman" w:eastAsia="Calibri" w:hAnsi="Times New Roman"/>
          <w:noProof/>
          <w:lang w:bidi="ar-SA"/>
        </w:rPr>
        <w:t xml:space="preserve">Not all </w:t>
      </w:r>
      <w:r w:rsidR="00832B4A">
        <w:rPr>
          <w:rFonts w:ascii="Times New Roman" w:eastAsia="Calibri" w:hAnsi="Times New Roman"/>
          <w:noProof/>
          <w:lang w:bidi="ar-SA"/>
        </w:rPr>
        <w:t>universal nationalisms</w:t>
      </w:r>
      <w:r w:rsidR="003244AE">
        <w:rPr>
          <w:rFonts w:ascii="Times New Roman" w:eastAsia="Calibri" w:hAnsi="Times New Roman"/>
          <w:noProof/>
          <w:lang w:bidi="ar-SA"/>
        </w:rPr>
        <w:t xml:space="preserve"> need to be centered on a religious identity, as Marxism </w:t>
      </w:r>
      <w:r w:rsidR="00CD38CE">
        <w:rPr>
          <w:rFonts w:ascii="Times New Roman" w:eastAsia="Calibri" w:hAnsi="Times New Roman"/>
          <w:noProof/>
          <w:lang w:bidi="ar-SA"/>
        </w:rPr>
        <w:t>influenced</w:t>
      </w:r>
      <w:r w:rsidR="00E439D4">
        <w:rPr>
          <w:rFonts w:ascii="Times New Roman" w:eastAsia="Calibri" w:hAnsi="Times New Roman"/>
          <w:noProof/>
          <w:lang w:bidi="ar-SA"/>
        </w:rPr>
        <w:t xml:space="preserve"> individuals to think in </w:t>
      </w:r>
      <w:r w:rsidR="003244AE">
        <w:rPr>
          <w:rFonts w:ascii="Times New Roman" w:eastAsia="Calibri" w:hAnsi="Times New Roman"/>
          <w:noProof/>
          <w:lang w:bidi="ar-SA"/>
        </w:rPr>
        <w:t xml:space="preserve">similar terms as Qutbism.  I discuss the similarities between </w:t>
      </w:r>
      <w:r w:rsidR="00832B4A">
        <w:rPr>
          <w:rFonts w:ascii="Times New Roman" w:eastAsia="Calibri" w:hAnsi="Times New Roman"/>
          <w:noProof/>
          <w:lang w:bidi="ar-SA"/>
        </w:rPr>
        <w:t>the two ideologies</w:t>
      </w:r>
      <w:r w:rsidR="003244AE">
        <w:rPr>
          <w:rFonts w:ascii="Times New Roman" w:eastAsia="Calibri" w:hAnsi="Times New Roman"/>
          <w:noProof/>
          <w:lang w:bidi="ar-SA"/>
        </w:rPr>
        <w:t xml:space="preserve"> in Chapter 2.</w:t>
      </w:r>
    </w:p>
    <w:p w:rsidR="00CD3077" w:rsidRDefault="00CD3077" w:rsidP="00E439D4">
      <w:pPr>
        <w:ind w:firstLine="720"/>
        <w:contextualSpacing/>
        <w:rPr>
          <w:rFonts w:ascii="Times New Roman" w:eastAsia="Calibri" w:hAnsi="Times New Roman"/>
          <w:noProof/>
          <w:lang w:bidi="ar-SA"/>
        </w:rPr>
      </w:pPr>
      <w:r>
        <w:rPr>
          <w:rFonts w:ascii="Times New Roman" w:eastAsia="Calibri" w:hAnsi="Times New Roman"/>
          <w:noProof/>
          <w:lang w:bidi="ar-SA"/>
        </w:rPr>
        <w:t xml:space="preserve">The third distinction is that </w:t>
      </w:r>
      <w:r w:rsidR="001D6233">
        <w:rPr>
          <w:rFonts w:ascii="Times New Roman" w:eastAsia="Calibri" w:hAnsi="Times New Roman"/>
          <w:noProof/>
          <w:lang w:bidi="ar-SA"/>
        </w:rPr>
        <w:t xml:space="preserve">the cognitive terrain </w:t>
      </w:r>
      <w:r w:rsidR="00861638">
        <w:rPr>
          <w:rFonts w:ascii="Times New Roman" w:eastAsia="Calibri" w:hAnsi="Times New Roman"/>
          <w:noProof/>
          <w:lang w:bidi="ar-SA"/>
        </w:rPr>
        <w:t>recognizes that sacred values are used to lay the foundation of the in-group’s characteristics</w:t>
      </w:r>
      <w:r>
        <w:rPr>
          <w:rFonts w:ascii="Times New Roman" w:eastAsia="Calibri" w:hAnsi="Times New Roman"/>
          <w:noProof/>
          <w:lang w:bidi="ar-SA"/>
        </w:rPr>
        <w:t xml:space="preserve">.  The reason why cognition is a necessary component to understand suicide terrorism is that the Qutbists start with core </w:t>
      </w:r>
      <w:r w:rsidR="00E439D4">
        <w:rPr>
          <w:rFonts w:ascii="Times New Roman" w:eastAsia="Calibri" w:hAnsi="Times New Roman"/>
          <w:noProof/>
          <w:lang w:bidi="ar-SA"/>
        </w:rPr>
        <w:t>beliefs</w:t>
      </w:r>
      <w:r>
        <w:rPr>
          <w:rFonts w:ascii="Times New Roman" w:eastAsia="Calibri" w:hAnsi="Times New Roman"/>
          <w:noProof/>
          <w:lang w:bidi="ar-SA"/>
        </w:rPr>
        <w:t xml:space="preserve"> first and then </w:t>
      </w:r>
      <w:r w:rsidR="00E439D4">
        <w:rPr>
          <w:rFonts w:ascii="Times New Roman" w:eastAsia="Calibri" w:hAnsi="Times New Roman"/>
          <w:noProof/>
          <w:lang w:bidi="ar-SA"/>
        </w:rPr>
        <w:t xml:space="preserve">construct </w:t>
      </w:r>
      <w:r>
        <w:rPr>
          <w:rFonts w:ascii="Times New Roman" w:eastAsia="Calibri" w:hAnsi="Times New Roman"/>
          <w:noProof/>
          <w:lang w:bidi="ar-SA"/>
        </w:rPr>
        <w:t xml:space="preserve">the </w:t>
      </w:r>
      <w:r w:rsidR="00470A73">
        <w:rPr>
          <w:rFonts w:ascii="Times New Roman" w:eastAsia="Calibri" w:hAnsi="Times New Roman"/>
          <w:noProof/>
          <w:lang w:bidi="ar-SA"/>
        </w:rPr>
        <w:t>national identity</w:t>
      </w:r>
      <w:r>
        <w:rPr>
          <w:rFonts w:ascii="Times New Roman" w:eastAsia="Calibri" w:hAnsi="Times New Roman"/>
          <w:noProof/>
          <w:lang w:bidi="ar-SA"/>
        </w:rPr>
        <w:t>.  Nationalism may carry with it sacred values imbedded in the meaning of the national identity, but it is not a requirement.  There is no Qutbist in-group without sacred values.</w:t>
      </w:r>
      <w:r w:rsidR="00E439D4">
        <w:rPr>
          <w:rFonts w:ascii="Times New Roman" w:eastAsia="Calibri" w:hAnsi="Times New Roman"/>
          <w:noProof/>
          <w:lang w:bidi="ar-SA"/>
        </w:rPr>
        <w:t xml:space="preserve">  </w:t>
      </w:r>
    </w:p>
    <w:p w:rsidR="001D6233" w:rsidRDefault="00CD3077" w:rsidP="00BB2399">
      <w:pPr>
        <w:ind w:firstLine="720"/>
        <w:contextualSpacing/>
        <w:rPr>
          <w:rFonts w:ascii="Times New Roman" w:eastAsia="Calibri" w:hAnsi="Times New Roman"/>
          <w:noProof/>
          <w:lang w:bidi="ar-SA"/>
        </w:rPr>
      </w:pPr>
      <w:r>
        <w:rPr>
          <w:rFonts w:ascii="Times New Roman" w:eastAsia="Calibri" w:hAnsi="Times New Roman"/>
          <w:noProof/>
          <w:lang w:bidi="ar-SA"/>
        </w:rPr>
        <w:t xml:space="preserve">The fourth distinction is that </w:t>
      </w:r>
      <w:r w:rsidR="001D6233">
        <w:rPr>
          <w:rFonts w:ascii="Times New Roman" w:eastAsia="Calibri" w:hAnsi="Times New Roman"/>
          <w:noProof/>
          <w:lang w:bidi="ar-SA"/>
        </w:rPr>
        <w:t xml:space="preserve">terrain implies variation of those values within the decision making of the individual.  </w:t>
      </w:r>
      <w:r w:rsidR="003030BA">
        <w:rPr>
          <w:rFonts w:ascii="Times New Roman" w:eastAsia="Calibri" w:hAnsi="Times New Roman"/>
          <w:noProof/>
          <w:lang w:bidi="ar-SA"/>
        </w:rPr>
        <w:t xml:space="preserve">Just as terrain varies in height, so too does the depth of sacred values in the individual.  </w:t>
      </w:r>
      <w:r w:rsidR="001D6233">
        <w:rPr>
          <w:rFonts w:ascii="Times New Roman" w:eastAsia="Calibri" w:hAnsi="Times New Roman"/>
          <w:noProof/>
          <w:lang w:bidi="ar-SA"/>
        </w:rPr>
        <w:t xml:space="preserve">Not all individuals within an in-group are going to react to the sacred values of “honor,” “nation,” </w:t>
      </w:r>
      <w:r w:rsidR="00BB2399">
        <w:rPr>
          <w:rFonts w:ascii="Times New Roman" w:eastAsia="Calibri" w:hAnsi="Times New Roman"/>
          <w:noProof/>
          <w:lang w:bidi="ar-SA"/>
        </w:rPr>
        <w:t xml:space="preserve">or </w:t>
      </w:r>
      <w:r w:rsidR="001D6233">
        <w:rPr>
          <w:rFonts w:ascii="Times New Roman" w:eastAsia="Calibri" w:hAnsi="Times New Roman"/>
          <w:noProof/>
          <w:lang w:bidi="ar-SA"/>
        </w:rPr>
        <w:t>“justice,” nor are they going to necessarily agree w</w:t>
      </w:r>
      <w:r w:rsidR="00BB2399">
        <w:rPr>
          <w:rFonts w:ascii="Times New Roman" w:eastAsia="Calibri" w:hAnsi="Times New Roman"/>
          <w:noProof/>
          <w:lang w:bidi="ar-SA"/>
        </w:rPr>
        <w:t>ith the meaning of the values and how to implement said values in the</w:t>
      </w:r>
      <w:r w:rsidR="003244AE">
        <w:rPr>
          <w:rFonts w:ascii="Times New Roman" w:eastAsia="Calibri" w:hAnsi="Times New Roman"/>
          <w:noProof/>
          <w:lang w:bidi="ar-SA"/>
        </w:rPr>
        <w:t xml:space="preserve"> real world</w:t>
      </w:r>
      <w:r w:rsidR="001D6233">
        <w:rPr>
          <w:rFonts w:ascii="Times New Roman" w:eastAsia="Calibri" w:hAnsi="Times New Roman"/>
          <w:noProof/>
          <w:lang w:bidi="ar-SA"/>
        </w:rPr>
        <w:t xml:space="preserve">.  </w:t>
      </w:r>
      <w:r w:rsidR="003244AE">
        <w:rPr>
          <w:rFonts w:ascii="Times New Roman" w:eastAsia="Calibri" w:hAnsi="Times New Roman"/>
          <w:noProof/>
          <w:lang w:bidi="ar-SA"/>
        </w:rPr>
        <w:t>Groups within a sub-culture can position and manipulate these</w:t>
      </w:r>
      <w:r w:rsidR="001D6233">
        <w:rPr>
          <w:rFonts w:ascii="Times New Roman" w:eastAsia="Calibri" w:hAnsi="Times New Roman"/>
          <w:noProof/>
          <w:lang w:bidi="ar-SA"/>
        </w:rPr>
        <w:t xml:space="preserve"> values to inspire future action or rationalize past action.  Jihad means different things, and is prioritized differently, among devout Muslims.  A </w:t>
      </w:r>
      <w:r w:rsidR="003244AE">
        <w:rPr>
          <w:rFonts w:ascii="Times New Roman" w:eastAsia="Calibri" w:hAnsi="Times New Roman"/>
          <w:noProof/>
          <w:lang w:bidi="ar-SA"/>
        </w:rPr>
        <w:t xml:space="preserve">sacred </w:t>
      </w:r>
      <w:r w:rsidR="001D6233">
        <w:rPr>
          <w:rFonts w:ascii="Times New Roman" w:eastAsia="Calibri" w:hAnsi="Times New Roman"/>
          <w:noProof/>
          <w:lang w:bidi="ar-SA"/>
        </w:rPr>
        <w:t xml:space="preserve">value is not just a tenet </w:t>
      </w:r>
      <w:r w:rsidR="003244AE">
        <w:rPr>
          <w:rFonts w:ascii="Times New Roman" w:eastAsia="Calibri" w:hAnsi="Times New Roman"/>
          <w:noProof/>
          <w:lang w:bidi="ar-SA"/>
        </w:rPr>
        <w:t xml:space="preserve">within </w:t>
      </w:r>
      <w:r w:rsidR="003244AE">
        <w:rPr>
          <w:rFonts w:ascii="Times New Roman" w:eastAsia="Calibri" w:hAnsi="Times New Roman"/>
          <w:noProof/>
          <w:lang w:bidi="ar-SA"/>
        </w:rPr>
        <w:lastRenderedPageBreak/>
        <w:t xml:space="preserve">a belief system </w:t>
      </w:r>
      <w:r w:rsidR="001D6233">
        <w:rPr>
          <w:rFonts w:ascii="Times New Roman" w:eastAsia="Calibri" w:hAnsi="Times New Roman"/>
          <w:noProof/>
          <w:lang w:bidi="ar-SA"/>
        </w:rPr>
        <w:t>but a transitive tool that connects the individual to his collective identity.  The value of martyrdom connects the bomber to the highest level one can reach in relation to submitting to God.  The value of jihad—as positioned by Qutbists—drives individuals to</w:t>
      </w:r>
      <w:r w:rsidR="00470A73">
        <w:rPr>
          <w:rFonts w:ascii="Times New Roman" w:eastAsia="Calibri" w:hAnsi="Times New Roman"/>
          <w:noProof/>
          <w:lang w:bidi="ar-SA"/>
        </w:rPr>
        <w:t xml:space="preserve"> connect to God through conflict</w:t>
      </w:r>
      <w:r w:rsidR="001D6233">
        <w:rPr>
          <w:rFonts w:ascii="Times New Roman" w:eastAsia="Calibri" w:hAnsi="Times New Roman"/>
          <w:noProof/>
          <w:lang w:bidi="ar-SA"/>
        </w:rPr>
        <w:t>.  Groups that pursue jihad transfer the benefits of associating with jihad, no</w:t>
      </w:r>
      <w:r w:rsidR="003244AE">
        <w:rPr>
          <w:rFonts w:ascii="Times New Roman" w:eastAsia="Calibri" w:hAnsi="Times New Roman"/>
          <w:noProof/>
          <w:lang w:bidi="ar-SA"/>
        </w:rPr>
        <w:t xml:space="preserve">t just to the group, but </w:t>
      </w:r>
      <w:r w:rsidR="00067EA6">
        <w:rPr>
          <w:rFonts w:ascii="Times New Roman" w:eastAsia="Calibri" w:hAnsi="Times New Roman"/>
          <w:noProof/>
          <w:lang w:bidi="ar-SA"/>
        </w:rPr>
        <w:t xml:space="preserve">to </w:t>
      </w:r>
      <w:r w:rsidR="003030BA">
        <w:rPr>
          <w:rFonts w:ascii="Times New Roman" w:eastAsia="Calibri" w:hAnsi="Times New Roman"/>
          <w:noProof/>
          <w:lang w:bidi="ar-SA"/>
        </w:rPr>
        <w:t>its members</w:t>
      </w:r>
      <w:r w:rsidR="001D6233">
        <w:rPr>
          <w:rFonts w:ascii="Times New Roman" w:eastAsia="Calibri" w:hAnsi="Times New Roman"/>
          <w:noProof/>
          <w:lang w:bidi="ar-SA"/>
        </w:rPr>
        <w:t>.</w:t>
      </w:r>
    </w:p>
    <w:p w:rsidR="001D6233" w:rsidRDefault="001D6233" w:rsidP="00FA1D2A">
      <w:pPr>
        <w:ind w:firstLine="720"/>
        <w:contextualSpacing/>
        <w:rPr>
          <w:rFonts w:ascii="Times New Roman" w:eastAsia="Calibri" w:hAnsi="Times New Roman"/>
          <w:noProof/>
          <w:lang w:bidi="ar-SA"/>
        </w:rPr>
      </w:pPr>
      <w:r>
        <w:rPr>
          <w:rFonts w:ascii="Times New Roman" w:eastAsia="Calibri" w:hAnsi="Times New Roman"/>
          <w:noProof/>
          <w:lang w:bidi="ar-SA"/>
        </w:rPr>
        <w:t>The f</w:t>
      </w:r>
      <w:r w:rsidR="00CD3077">
        <w:rPr>
          <w:rFonts w:ascii="Times New Roman" w:eastAsia="Calibri" w:hAnsi="Times New Roman"/>
          <w:noProof/>
          <w:lang w:bidi="ar-SA"/>
        </w:rPr>
        <w:t>ifth</w:t>
      </w:r>
      <w:r>
        <w:rPr>
          <w:rFonts w:ascii="Times New Roman" w:eastAsia="Calibri" w:hAnsi="Times New Roman"/>
          <w:noProof/>
          <w:lang w:bidi="ar-SA"/>
        </w:rPr>
        <w:t xml:space="preserve"> distinction is that </w:t>
      </w:r>
      <w:r w:rsidR="00C2499C">
        <w:rPr>
          <w:rFonts w:ascii="Times New Roman" w:eastAsia="Calibri" w:hAnsi="Times New Roman"/>
          <w:noProof/>
          <w:lang w:bidi="ar-SA"/>
        </w:rPr>
        <w:t xml:space="preserve">the depth of religious belief is almost always self-selected and carries inviolable beliefs compared to nationalism.  </w:t>
      </w:r>
      <w:r w:rsidR="00CD30C5">
        <w:rPr>
          <w:rFonts w:ascii="Times New Roman" w:eastAsia="Calibri" w:hAnsi="Times New Roman"/>
          <w:noProof/>
          <w:lang w:bidi="ar-SA"/>
        </w:rPr>
        <w:t xml:space="preserve">The individual chooses the depth of religious belief based on how the belief meets underlying needs or how the sacred values attract the individual.  </w:t>
      </w:r>
      <w:r w:rsidR="00832B4A">
        <w:rPr>
          <w:rFonts w:ascii="Times New Roman" w:eastAsia="Calibri" w:hAnsi="Times New Roman"/>
          <w:noProof/>
          <w:lang w:bidi="ar-SA"/>
        </w:rPr>
        <w:t>J</w:t>
      </w:r>
      <w:r w:rsidR="008E455D">
        <w:rPr>
          <w:rFonts w:ascii="Times New Roman" w:eastAsia="Calibri" w:hAnsi="Times New Roman"/>
          <w:noProof/>
          <w:lang w:bidi="ar-SA"/>
        </w:rPr>
        <w:t>ustin Barr</w:t>
      </w:r>
      <w:r w:rsidR="00832B4A">
        <w:rPr>
          <w:rFonts w:ascii="Times New Roman" w:eastAsia="Calibri" w:hAnsi="Times New Roman"/>
          <w:noProof/>
          <w:lang w:bidi="ar-SA"/>
        </w:rPr>
        <w:t xml:space="preserve">ett, professor of cognition and religion at Oxford University, describes us </w:t>
      </w:r>
      <w:r w:rsidR="003125C8">
        <w:rPr>
          <w:rFonts w:ascii="Times New Roman" w:eastAsia="Calibri" w:hAnsi="Times New Roman"/>
          <w:noProof/>
          <w:lang w:bidi="ar-SA"/>
        </w:rPr>
        <w:t xml:space="preserve">as </w:t>
      </w:r>
      <w:r w:rsidR="00832B4A">
        <w:rPr>
          <w:rFonts w:ascii="Times New Roman" w:eastAsia="Calibri" w:hAnsi="Times New Roman"/>
          <w:noProof/>
          <w:lang w:bidi="ar-SA"/>
        </w:rPr>
        <w:t>having two types of beliefs—</w:t>
      </w:r>
      <w:r w:rsidR="00832B4A" w:rsidRPr="00832B4A">
        <w:rPr>
          <w:rFonts w:ascii="Times New Roman" w:eastAsia="Calibri" w:hAnsi="Times New Roman"/>
          <w:i/>
          <w:iCs/>
          <w:noProof/>
          <w:lang w:bidi="ar-SA"/>
        </w:rPr>
        <w:t>nonreflective beliefs</w:t>
      </w:r>
      <w:r w:rsidR="00832B4A">
        <w:rPr>
          <w:rFonts w:ascii="Times New Roman" w:eastAsia="Calibri" w:hAnsi="Times New Roman"/>
          <w:noProof/>
          <w:lang w:bidi="ar-SA"/>
        </w:rPr>
        <w:t xml:space="preserve">, and </w:t>
      </w:r>
      <w:r w:rsidR="00832B4A" w:rsidRPr="00832B4A">
        <w:rPr>
          <w:rFonts w:ascii="Times New Roman" w:eastAsia="Calibri" w:hAnsi="Times New Roman"/>
          <w:i/>
          <w:iCs/>
          <w:noProof/>
          <w:lang w:bidi="ar-SA"/>
        </w:rPr>
        <w:t>reflective beliefs</w:t>
      </w:r>
      <w:r w:rsidR="00832B4A">
        <w:rPr>
          <w:rFonts w:ascii="Times New Roman" w:eastAsia="Calibri" w:hAnsi="Times New Roman"/>
          <w:noProof/>
          <w:lang w:bidi="ar-SA"/>
        </w:rPr>
        <w:t>.</w:t>
      </w:r>
      <w:r w:rsidR="00373142" w:rsidRPr="00644B7A">
        <w:rPr>
          <w:rStyle w:val="FootnoteReference"/>
        </w:rPr>
        <w:footnoteReference w:id="22"/>
      </w:r>
      <w:r w:rsidR="00373142">
        <w:t xml:space="preserve">  </w:t>
      </w:r>
      <w:r w:rsidR="00832B4A">
        <w:rPr>
          <w:rFonts w:ascii="Times New Roman" w:eastAsia="Calibri" w:hAnsi="Times New Roman"/>
          <w:noProof/>
          <w:lang w:bidi="ar-SA"/>
        </w:rPr>
        <w:t>Nonreflective</w:t>
      </w:r>
      <w:r w:rsidR="00373142">
        <w:rPr>
          <w:rFonts w:ascii="Times New Roman" w:eastAsia="Calibri" w:hAnsi="Times New Roman"/>
          <w:noProof/>
          <w:lang w:bidi="ar-SA"/>
        </w:rPr>
        <w:t xml:space="preserve"> beliefs are intuitive beliefs earned through experience that require minimal cognitive effort.  We rarely know what these beliefs are or how to communicate them verbally, yet they are basic to cognitive functioning.  Reflective beliefs are those we explicitly endorse and </w:t>
      </w:r>
      <w:r w:rsidR="0092680A">
        <w:rPr>
          <w:rFonts w:ascii="Times New Roman" w:eastAsia="Calibri" w:hAnsi="Times New Roman"/>
          <w:noProof/>
          <w:lang w:bidi="ar-SA"/>
        </w:rPr>
        <w:t xml:space="preserve">have </w:t>
      </w:r>
      <w:r w:rsidR="003125C8">
        <w:rPr>
          <w:rFonts w:ascii="Times New Roman" w:eastAsia="Calibri" w:hAnsi="Times New Roman"/>
          <w:noProof/>
          <w:lang w:bidi="ar-SA"/>
        </w:rPr>
        <w:t>derive</w:t>
      </w:r>
      <w:r w:rsidR="0092680A">
        <w:rPr>
          <w:rFonts w:ascii="Times New Roman" w:eastAsia="Calibri" w:hAnsi="Times New Roman"/>
          <w:noProof/>
          <w:lang w:bidi="ar-SA"/>
        </w:rPr>
        <w:t>d</w:t>
      </w:r>
      <w:r w:rsidR="003125C8">
        <w:rPr>
          <w:rFonts w:ascii="Times New Roman" w:eastAsia="Calibri" w:hAnsi="Times New Roman"/>
          <w:noProof/>
          <w:lang w:bidi="ar-SA"/>
        </w:rPr>
        <w:t xml:space="preserve"> from</w:t>
      </w:r>
      <w:r w:rsidR="0092680A">
        <w:rPr>
          <w:rFonts w:ascii="Times New Roman" w:eastAsia="Calibri" w:hAnsi="Times New Roman"/>
          <w:noProof/>
          <w:lang w:bidi="ar-SA"/>
        </w:rPr>
        <w:t xml:space="preserve"> effortful</w:t>
      </w:r>
      <w:r w:rsidR="003125C8">
        <w:rPr>
          <w:rFonts w:ascii="Times New Roman" w:eastAsia="Calibri" w:hAnsi="Times New Roman"/>
          <w:noProof/>
          <w:lang w:bidi="ar-SA"/>
        </w:rPr>
        <w:t xml:space="preserve"> cognitive processing</w:t>
      </w:r>
      <w:r w:rsidR="0092680A">
        <w:rPr>
          <w:rFonts w:ascii="Times New Roman" w:eastAsia="Calibri" w:hAnsi="Times New Roman"/>
          <w:noProof/>
          <w:lang w:bidi="ar-SA"/>
        </w:rPr>
        <w:t xml:space="preserve"> and reasoning</w:t>
      </w:r>
      <w:r w:rsidR="00373142">
        <w:rPr>
          <w:rFonts w:ascii="Times New Roman" w:eastAsia="Calibri" w:hAnsi="Times New Roman"/>
          <w:noProof/>
          <w:lang w:bidi="ar-SA"/>
        </w:rPr>
        <w:t>.</w:t>
      </w:r>
      <w:r w:rsidR="003125C8">
        <w:rPr>
          <w:rStyle w:val="FootnoteReference"/>
          <w:rFonts w:ascii="Times New Roman" w:eastAsia="Calibri" w:hAnsi="Times New Roman"/>
          <w:noProof/>
          <w:lang w:bidi="ar-SA"/>
        </w:rPr>
        <w:footnoteReference w:id="23"/>
      </w:r>
      <w:r w:rsidR="00CD3077">
        <w:rPr>
          <w:rFonts w:ascii="Times New Roman" w:eastAsia="Calibri" w:hAnsi="Times New Roman"/>
          <w:noProof/>
          <w:lang w:bidi="ar-SA"/>
        </w:rPr>
        <w:t xml:space="preserve">  </w:t>
      </w:r>
      <w:r w:rsidR="003125C8">
        <w:rPr>
          <w:rFonts w:ascii="Times New Roman" w:eastAsia="Calibri" w:hAnsi="Times New Roman"/>
          <w:noProof/>
          <w:lang w:bidi="ar-SA"/>
        </w:rPr>
        <w:t xml:space="preserve">In discussion of identity, </w:t>
      </w:r>
      <w:r w:rsidR="00251812">
        <w:rPr>
          <w:rFonts w:ascii="Times New Roman" w:eastAsia="Calibri" w:hAnsi="Times New Roman"/>
          <w:noProof/>
          <w:lang w:bidi="ar-SA"/>
        </w:rPr>
        <w:t>reflective beliefs</w:t>
      </w:r>
      <w:r w:rsidR="003125C8">
        <w:rPr>
          <w:rFonts w:ascii="Times New Roman" w:eastAsia="Calibri" w:hAnsi="Times New Roman"/>
          <w:noProof/>
          <w:lang w:bidi="ar-SA"/>
        </w:rPr>
        <w:t xml:space="preserve"> form the basis of our identity, our in-group, how we choose and define sacred values, </w:t>
      </w:r>
      <w:r w:rsidR="00251812">
        <w:rPr>
          <w:rFonts w:ascii="Times New Roman" w:eastAsia="Calibri" w:hAnsi="Times New Roman"/>
          <w:noProof/>
          <w:lang w:bidi="ar-SA"/>
        </w:rPr>
        <w:t xml:space="preserve">and </w:t>
      </w:r>
      <w:r w:rsidR="003125C8">
        <w:rPr>
          <w:rFonts w:ascii="Times New Roman" w:eastAsia="Calibri" w:hAnsi="Times New Roman"/>
          <w:noProof/>
          <w:lang w:bidi="ar-SA"/>
        </w:rPr>
        <w:t>how we choose and define vital needs.</w:t>
      </w:r>
      <w:r w:rsidR="00251812">
        <w:rPr>
          <w:rFonts w:ascii="Times New Roman" w:eastAsia="Calibri" w:hAnsi="Times New Roman"/>
          <w:noProof/>
          <w:lang w:bidi="ar-SA"/>
        </w:rPr>
        <w:t xml:space="preserve">  Because of this, they are more difficult to counteract than non-reflective beliefs.  The cognitive terrain represents and describes these sacred values that the individual has reasoned to be true and </w:t>
      </w:r>
      <w:r w:rsidR="0092680A">
        <w:rPr>
          <w:rFonts w:ascii="Times New Roman" w:eastAsia="Calibri" w:hAnsi="Times New Roman"/>
          <w:noProof/>
          <w:lang w:bidi="ar-SA"/>
        </w:rPr>
        <w:t>prioritized as cornerstones for his identity</w:t>
      </w:r>
      <w:r w:rsidR="00251812">
        <w:rPr>
          <w:rFonts w:ascii="Times New Roman" w:eastAsia="Calibri" w:hAnsi="Times New Roman"/>
          <w:noProof/>
          <w:lang w:bidi="ar-SA"/>
        </w:rPr>
        <w:t xml:space="preserve">, and the reflective nature of these beliefs turns them into </w:t>
      </w:r>
      <w:r w:rsidR="00251812">
        <w:rPr>
          <w:rFonts w:ascii="Times New Roman" w:eastAsia="Calibri" w:hAnsi="Times New Roman"/>
          <w:noProof/>
          <w:lang w:bidi="ar-SA"/>
        </w:rPr>
        <w:lastRenderedPageBreak/>
        <w:t xml:space="preserve">strongholds in the minds of true believers.  </w:t>
      </w:r>
      <w:r w:rsidR="00470A73">
        <w:rPr>
          <w:rFonts w:ascii="Times New Roman" w:eastAsia="Calibri" w:hAnsi="Times New Roman"/>
          <w:noProof/>
          <w:lang w:bidi="ar-SA"/>
        </w:rPr>
        <w:t>Defeating the ideology is defeating the identity of the individual adhering to it.</w:t>
      </w:r>
    </w:p>
    <w:p w:rsidR="001D6233" w:rsidRPr="001D6233" w:rsidRDefault="001D6233" w:rsidP="001D6233">
      <w:pPr>
        <w:pStyle w:val="Heading2"/>
        <w:contextualSpacing/>
        <w:rPr>
          <w:bCs w:val="0"/>
          <w:i/>
          <w:iCs w:val="0"/>
          <w:szCs w:val="24"/>
        </w:rPr>
      </w:pPr>
      <w:bookmarkStart w:id="14" w:name="_Toc450748670"/>
      <w:r w:rsidRPr="003776BC">
        <w:rPr>
          <w:bCs w:val="0"/>
          <w:i/>
          <w:szCs w:val="24"/>
        </w:rPr>
        <w:t xml:space="preserve">The </w:t>
      </w:r>
      <w:r>
        <w:rPr>
          <w:bCs w:val="0"/>
          <w:i/>
          <w:szCs w:val="24"/>
        </w:rPr>
        <w:t>Structure of This Paper</w:t>
      </w:r>
      <w:bookmarkEnd w:id="14"/>
    </w:p>
    <w:p w:rsidR="001D6233" w:rsidRDefault="00107E7D" w:rsidP="00251812">
      <w:pPr>
        <w:ind w:firstLine="720"/>
        <w:contextualSpacing/>
        <w:rPr>
          <w:rFonts w:ascii="Times New Roman" w:eastAsia="Calibri" w:hAnsi="Times New Roman"/>
          <w:noProof/>
          <w:lang w:bidi="ar-SA"/>
        </w:rPr>
      </w:pPr>
      <w:r>
        <w:rPr>
          <w:rFonts w:ascii="Times New Roman" w:eastAsia="Calibri" w:hAnsi="Times New Roman"/>
          <w:noProof/>
          <w:lang w:bidi="ar-SA"/>
        </w:rPr>
        <w:t xml:space="preserve">In </w:t>
      </w:r>
      <w:r w:rsidR="005878EA">
        <w:rPr>
          <w:rFonts w:ascii="Times New Roman" w:eastAsia="Calibri" w:hAnsi="Times New Roman"/>
          <w:noProof/>
          <w:lang w:bidi="ar-SA"/>
        </w:rPr>
        <w:t>the section</w:t>
      </w:r>
      <w:r w:rsidR="00073C78">
        <w:rPr>
          <w:rFonts w:ascii="Times New Roman" w:eastAsia="Calibri" w:hAnsi="Times New Roman"/>
          <w:noProof/>
          <w:lang w:bidi="ar-SA"/>
        </w:rPr>
        <w:t xml:space="preserve"> “Overview of Competing Theories”</w:t>
      </w:r>
      <w:r>
        <w:rPr>
          <w:rFonts w:ascii="Times New Roman" w:eastAsia="Calibri" w:hAnsi="Times New Roman"/>
          <w:noProof/>
          <w:lang w:bidi="ar-SA"/>
        </w:rPr>
        <w:t xml:space="preserve"> </w:t>
      </w:r>
      <w:r w:rsidR="00067EA6">
        <w:rPr>
          <w:rFonts w:ascii="Times New Roman" w:eastAsia="Calibri" w:hAnsi="Times New Roman"/>
          <w:noProof/>
          <w:lang w:bidi="ar-SA"/>
        </w:rPr>
        <w:t xml:space="preserve">below, </w:t>
      </w:r>
      <w:r>
        <w:rPr>
          <w:rFonts w:ascii="Times New Roman" w:eastAsia="Calibri" w:hAnsi="Times New Roman"/>
          <w:noProof/>
          <w:lang w:bidi="ar-SA"/>
        </w:rPr>
        <w:t xml:space="preserve">I discuss the role of </w:t>
      </w:r>
      <w:r w:rsidR="0096396D">
        <w:rPr>
          <w:rFonts w:ascii="Times New Roman" w:eastAsia="Calibri" w:hAnsi="Times New Roman"/>
          <w:noProof/>
          <w:lang w:bidi="ar-SA"/>
        </w:rPr>
        <w:t>organizational decision-making on suicide terrorism</w:t>
      </w:r>
      <w:r w:rsidR="004555DB">
        <w:rPr>
          <w:rFonts w:ascii="Times New Roman" w:eastAsia="Calibri" w:hAnsi="Times New Roman"/>
          <w:noProof/>
          <w:lang w:bidi="ar-SA"/>
        </w:rPr>
        <w:t xml:space="preserve">.  </w:t>
      </w:r>
      <w:r>
        <w:rPr>
          <w:rFonts w:ascii="Times New Roman" w:eastAsia="Calibri" w:hAnsi="Times New Roman"/>
          <w:noProof/>
          <w:lang w:bidi="ar-SA"/>
        </w:rPr>
        <w:t>I do this through a brief overview of previous theories of suicide terrorism</w:t>
      </w:r>
      <w:r w:rsidR="00067EA6">
        <w:rPr>
          <w:rFonts w:ascii="Times New Roman" w:eastAsia="Calibri" w:hAnsi="Times New Roman"/>
          <w:noProof/>
          <w:lang w:bidi="ar-SA"/>
        </w:rPr>
        <w:t>, which represent</w:t>
      </w:r>
      <w:r w:rsidR="009355A1">
        <w:rPr>
          <w:rFonts w:ascii="Times New Roman" w:eastAsia="Calibri" w:hAnsi="Times New Roman"/>
          <w:noProof/>
          <w:lang w:bidi="ar-SA"/>
        </w:rPr>
        <w:t xml:space="preserve"> organization-centric, individual-centric, and integration theories on suicide terroism</w:t>
      </w:r>
      <w:r w:rsidR="004555DB">
        <w:rPr>
          <w:rFonts w:ascii="Times New Roman" w:eastAsia="Calibri" w:hAnsi="Times New Roman"/>
          <w:noProof/>
          <w:lang w:bidi="ar-SA"/>
        </w:rPr>
        <w:t xml:space="preserve">.  </w:t>
      </w:r>
      <w:r w:rsidR="005878EA">
        <w:rPr>
          <w:rFonts w:ascii="Times New Roman" w:eastAsia="Calibri" w:hAnsi="Times New Roman"/>
          <w:noProof/>
          <w:lang w:bidi="ar-SA"/>
        </w:rPr>
        <w:t xml:space="preserve">I also </w:t>
      </w:r>
      <w:r w:rsidR="002D0E6C">
        <w:rPr>
          <w:rFonts w:ascii="Times New Roman" w:eastAsia="Calibri" w:hAnsi="Times New Roman"/>
          <w:noProof/>
          <w:lang w:bidi="ar-SA"/>
        </w:rPr>
        <w:t xml:space="preserve">provide </w:t>
      </w:r>
      <w:r w:rsidR="005878EA">
        <w:rPr>
          <w:rFonts w:ascii="Times New Roman" w:eastAsia="Calibri" w:hAnsi="Times New Roman"/>
          <w:noProof/>
          <w:lang w:bidi="ar-SA"/>
        </w:rPr>
        <w:t xml:space="preserve">psychological explanations from Social Identity Theory (SIT) for </w:t>
      </w:r>
      <w:r w:rsidR="00251812">
        <w:rPr>
          <w:rFonts w:ascii="Times New Roman" w:eastAsia="Calibri" w:hAnsi="Times New Roman"/>
          <w:noProof/>
          <w:lang w:bidi="ar-SA"/>
        </w:rPr>
        <w:t xml:space="preserve">how the socail categorization of a narrative leads to </w:t>
      </w:r>
      <w:r w:rsidR="005878EA">
        <w:rPr>
          <w:rFonts w:ascii="Times New Roman" w:eastAsia="Calibri" w:hAnsi="Times New Roman"/>
          <w:noProof/>
          <w:lang w:bidi="ar-SA"/>
        </w:rPr>
        <w:t xml:space="preserve">intergroup hostility, which </w:t>
      </w:r>
      <w:r w:rsidR="00251812">
        <w:rPr>
          <w:rFonts w:ascii="Times New Roman" w:eastAsia="Calibri" w:hAnsi="Times New Roman"/>
          <w:noProof/>
          <w:lang w:bidi="ar-SA"/>
        </w:rPr>
        <w:t xml:space="preserve">in turn leads to </w:t>
      </w:r>
      <w:r w:rsidR="005878EA">
        <w:rPr>
          <w:rFonts w:ascii="Times New Roman" w:eastAsia="Calibri" w:hAnsi="Times New Roman"/>
          <w:noProof/>
          <w:lang w:bidi="ar-SA"/>
        </w:rPr>
        <w:t>the willingness to harm or kill members of the out-group</w:t>
      </w:r>
      <w:r w:rsidR="004555DB">
        <w:rPr>
          <w:rFonts w:ascii="Times New Roman" w:eastAsia="Calibri" w:hAnsi="Times New Roman"/>
          <w:noProof/>
          <w:lang w:bidi="ar-SA"/>
        </w:rPr>
        <w:t xml:space="preserve">.  </w:t>
      </w:r>
    </w:p>
    <w:p w:rsidR="005878EA" w:rsidRDefault="009355A1" w:rsidP="00476DD1">
      <w:pPr>
        <w:ind w:firstLine="720"/>
        <w:contextualSpacing/>
        <w:rPr>
          <w:rFonts w:ascii="Times New Roman" w:eastAsia="Calibri" w:hAnsi="Times New Roman"/>
          <w:noProof/>
          <w:lang w:bidi="ar-SA"/>
        </w:rPr>
      </w:pPr>
      <w:r>
        <w:rPr>
          <w:rFonts w:ascii="Times New Roman" w:eastAsia="Calibri" w:hAnsi="Times New Roman"/>
          <w:noProof/>
          <w:lang w:bidi="ar-SA"/>
        </w:rPr>
        <w:t xml:space="preserve">In Chapter </w:t>
      </w:r>
      <w:r w:rsidR="005878EA">
        <w:rPr>
          <w:rFonts w:ascii="Times New Roman" w:eastAsia="Calibri" w:hAnsi="Times New Roman"/>
          <w:noProof/>
          <w:lang w:bidi="ar-SA"/>
        </w:rPr>
        <w:t>2</w:t>
      </w:r>
      <w:r>
        <w:rPr>
          <w:rFonts w:ascii="Times New Roman" w:eastAsia="Calibri" w:hAnsi="Times New Roman"/>
          <w:noProof/>
          <w:lang w:bidi="ar-SA"/>
        </w:rPr>
        <w:t>, I describe the role of Qutbism in influencing the in-group and out-group hostility of modern suicide terrorism</w:t>
      </w:r>
      <w:r w:rsidR="004555DB">
        <w:rPr>
          <w:rFonts w:ascii="Times New Roman" w:eastAsia="Calibri" w:hAnsi="Times New Roman"/>
          <w:noProof/>
          <w:lang w:bidi="ar-SA"/>
        </w:rPr>
        <w:t xml:space="preserve">.  </w:t>
      </w:r>
      <w:r w:rsidR="005878EA">
        <w:rPr>
          <w:rFonts w:ascii="Times New Roman" w:eastAsia="Calibri" w:hAnsi="Times New Roman"/>
          <w:noProof/>
          <w:lang w:bidi="ar-SA"/>
        </w:rPr>
        <w:t>In Chapter 3, I provide a historic</w:t>
      </w:r>
      <w:r w:rsidR="004555DB">
        <w:rPr>
          <w:rFonts w:ascii="Times New Roman" w:eastAsia="Calibri" w:hAnsi="Times New Roman"/>
          <w:noProof/>
          <w:lang w:bidi="ar-SA"/>
        </w:rPr>
        <w:t xml:space="preserve"> </w:t>
      </w:r>
      <w:r w:rsidR="005878EA">
        <w:rPr>
          <w:rFonts w:ascii="Times New Roman" w:eastAsia="Calibri" w:hAnsi="Times New Roman"/>
          <w:noProof/>
          <w:lang w:bidi="ar-SA"/>
        </w:rPr>
        <w:t xml:space="preserve">progression of the tactic from its original use by the radical </w:t>
      </w:r>
      <w:r w:rsidR="00D418E4">
        <w:rPr>
          <w:rFonts w:ascii="Times New Roman" w:eastAsia="Calibri" w:hAnsi="Times New Roman"/>
          <w:noProof/>
          <w:lang w:bidi="ar-SA"/>
        </w:rPr>
        <w:t>Shia</w:t>
      </w:r>
      <w:r w:rsidR="005878EA">
        <w:rPr>
          <w:rFonts w:ascii="Times New Roman" w:eastAsia="Calibri" w:hAnsi="Times New Roman"/>
          <w:noProof/>
          <w:lang w:bidi="ar-SA"/>
        </w:rPr>
        <w:t xml:space="preserve"> organization Hezbollah, </w:t>
      </w:r>
      <w:r w:rsidR="001D6233">
        <w:rPr>
          <w:rFonts w:ascii="Times New Roman" w:eastAsia="Calibri" w:hAnsi="Times New Roman"/>
          <w:noProof/>
          <w:lang w:bidi="ar-SA"/>
        </w:rPr>
        <w:t xml:space="preserve">to </w:t>
      </w:r>
      <w:r w:rsidR="005878EA">
        <w:rPr>
          <w:rFonts w:ascii="Times New Roman" w:eastAsia="Calibri" w:hAnsi="Times New Roman"/>
          <w:noProof/>
          <w:lang w:bidi="ar-SA"/>
        </w:rPr>
        <w:t xml:space="preserve">the Marxist-nationalist groups in Lebanon that followed Hezbollah’s lead, and </w:t>
      </w:r>
      <w:r w:rsidR="001D6233">
        <w:rPr>
          <w:rFonts w:ascii="Times New Roman" w:eastAsia="Calibri" w:hAnsi="Times New Roman"/>
          <w:noProof/>
          <w:lang w:bidi="ar-SA"/>
        </w:rPr>
        <w:t xml:space="preserve">to </w:t>
      </w:r>
      <w:r w:rsidR="005878EA">
        <w:rPr>
          <w:rFonts w:ascii="Times New Roman" w:eastAsia="Calibri" w:hAnsi="Times New Roman"/>
          <w:noProof/>
          <w:lang w:bidi="ar-SA"/>
        </w:rPr>
        <w:t>the Marxist LTTE in Sri Lanka</w:t>
      </w:r>
      <w:r w:rsidR="004555DB">
        <w:rPr>
          <w:rFonts w:ascii="Times New Roman" w:eastAsia="Calibri" w:hAnsi="Times New Roman"/>
          <w:noProof/>
          <w:lang w:bidi="ar-SA"/>
        </w:rPr>
        <w:t xml:space="preserve">.  </w:t>
      </w:r>
      <w:r w:rsidR="003444C2">
        <w:rPr>
          <w:rFonts w:ascii="Times New Roman" w:eastAsia="Calibri" w:hAnsi="Times New Roman"/>
          <w:noProof/>
          <w:lang w:bidi="ar-SA"/>
        </w:rPr>
        <w:t>I do this to provide a contrast</w:t>
      </w:r>
      <w:r w:rsidR="005878EA">
        <w:rPr>
          <w:rFonts w:ascii="Times New Roman" w:eastAsia="Calibri" w:hAnsi="Times New Roman"/>
          <w:noProof/>
          <w:lang w:bidi="ar-SA"/>
        </w:rPr>
        <w:t xml:space="preserve"> as to how Qutbism changed suicide terrorism</w:t>
      </w:r>
      <w:r w:rsidR="003444C2">
        <w:rPr>
          <w:rFonts w:ascii="Times New Roman" w:eastAsia="Calibri" w:hAnsi="Times New Roman"/>
          <w:noProof/>
          <w:lang w:bidi="ar-SA"/>
        </w:rPr>
        <w:t xml:space="preserve">.  </w:t>
      </w:r>
      <w:r w:rsidR="00B67F1A">
        <w:rPr>
          <w:rFonts w:ascii="Times New Roman" w:eastAsia="Calibri" w:hAnsi="Times New Roman"/>
          <w:noProof/>
          <w:lang w:bidi="ar-SA"/>
        </w:rPr>
        <w:t xml:space="preserve">The </w:t>
      </w:r>
      <w:r w:rsidR="00D418E4">
        <w:rPr>
          <w:rFonts w:ascii="Times New Roman" w:eastAsia="Calibri" w:hAnsi="Times New Roman"/>
          <w:noProof/>
          <w:lang w:bidi="ar-SA"/>
        </w:rPr>
        <w:t>Shia</w:t>
      </w:r>
      <w:r w:rsidR="001D6233">
        <w:rPr>
          <w:rFonts w:ascii="Times New Roman" w:eastAsia="Calibri" w:hAnsi="Times New Roman"/>
          <w:noProof/>
          <w:lang w:bidi="ar-SA"/>
        </w:rPr>
        <w:t xml:space="preserve"> Hezbollah</w:t>
      </w:r>
      <w:r w:rsidR="003444C2">
        <w:rPr>
          <w:rFonts w:ascii="Times New Roman" w:eastAsia="Calibri" w:hAnsi="Times New Roman"/>
          <w:noProof/>
          <w:lang w:bidi="ar-SA"/>
        </w:rPr>
        <w:t xml:space="preserve"> originated the tactic</w:t>
      </w:r>
      <w:r w:rsidR="001D6233">
        <w:rPr>
          <w:rFonts w:ascii="Times New Roman" w:eastAsia="Calibri" w:hAnsi="Times New Roman"/>
          <w:noProof/>
          <w:lang w:bidi="ar-SA"/>
        </w:rPr>
        <w:t xml:space="preserve">, but the tactic’s most prolific and pernicious expression found a place among Qutbist organizations.  The gradual ideological transition to Qutbist suicide terrorism influenced the gradual transition to predominately civilian and police targets over military and political targets.  </w:t>
      </w:r>
      <w:r w:rsidR="001E3A83">
        <w:rPr>
          <w:rFonts w:ascii="Times New Roman" w:eastAsia="Calibri" w:hAnsi="Times New Roman"/>
          <w:noProof/>
          <w:lang w:bidi="ar-SA"/>
        </w:rPr>
        <w:t xml:space="preserve">In Chapter </w:t>
      </w:r>
      <w:r w:rsidR="005878EA">
        <w:rPr>
          <w:rFonts w:ascii="Times New Roman" w:eastAsia="Calibri" w:hAnsi="Times New Roman"/>
          <w:noProof/>
          <w:lang w:bidi="ar-SA"/>
        </w:rPr>
        <w:t>4</w:t>
      </w:r>
      <w:r w:rsidR="001E3A83">
        <w:rPr>
          <w:rFonts w:ascii="Times New Roman" w:eastAsia="Calibri" w:hAnsi="Times New Roman"/>
          <w:noProof/>
          <w:lang w:bidi="ar-SA"/>
        </w:rPr>
        <w:t>, I discuss the operationalizing of Qutb’s ideology, particularly in Hamas, Al Qaeda, and ISIS</w:t>
      </w:r>
      <w:r w:rsidR="004555DB">
        <w:rPr>
          <w:rFonts w:ascii="Times New Roman" w:eastAsia="Calibri" w:hAnsi="Times New Roman"/>
          <w:noProof/>
          <w:lang w:bidi="ar-SA"/>
        </w:rPr>
        <w:t xml:space="preserve">.  </w:t>
      </w:r>
      <w:r w:rsidR="001E3A83">
        <w:rPr>
          <w:rFonts w:ascii="Times New Roman" w:eastAsia="Calibri" w:hAnsi="Times New Roman"/>
          <w:noProof/>
          <w:lang w:bidi="ar-SA"/>
        </w:rPr>
        <w:t xml:space="preserve">I discuss the </w:t>
      </w:r>
      <w:r w:rsidR="00B71401">
        <w:rPr>
          <w:rFonts w:ascii="Times New Roman" w:eastAsia="Calibri" w:hAnsi="Times New Roman"/>
          <w:noProof/>
          <w:lang w:bidi="ar-SA"/>
        </w:rPr>
        <w:t xml:space="preserve">critical </w:t>
      </w:r>
      <w:r w:rsidR="001E3A83">
        <w:rPr>
          <w:rFonts w:ascii="Times New Roman" w:eastAsia="Calibri" w:hAnsi="Times New Roman"/>
          <w:noProof/>
          <w:lang w:bidi="ar-SA"/>
        </w:rPr>
        <w:t>origin of the c</w:t>
      </w:r>
      <w:r w:rsidR="00B71401">
        <w:rPr>
          <w:rFonts w:ascii="Times New Roman" w:eastAsia="Calibri" w:hAnsi="Times New Roman"/>
          <w:noProof/>
          <w:lang w:bidi="ar-SA"/>
        </w:rPr>
        <w:t xml:space="preserve">ult of martyrdom in Palestine, and how ISIS capitalized on the Qutbist ideology of Al Qaeda and the cult of martyrdom to </w:t>
      </w:r>
      <w:r w:rsidR="003444C2">
        <w:rPr>
          <w:rFonts w:ascii="Times New Roman" w:eastAsia="Calibri" w:hAnsi="Times New Roman"/>
          <w:noProof/>
          <w:lang w:bidi="ar-SA"/>
        </w:rPr>
        <w:t xml:space="preserve">conduct the most devastating suicide bombing campaign </w:t>
      </w:r>
      <w:r w:rsidR="003444C2">
        <w:rPr>
          <w:rFonts w:ascii="Times New Roman" w:eastAsia="Calibri" w:hAnsi="Times New Roman"/>
          <w:noProof/>
          <w:lang w:bidi="ar-SA"/>
        </w:rPr>
        <w:lastRenderedPageBreak/>
        <w:t>in history</w:t>
      </w:r>
      <w:r w:rsidR="00B71401">
        <w:rPr>
          <w:rFonts w:ascii="Times New Roman" w:eastAsia="Calibri" w:hAnsi="Times New Roman"/>
          <w:noProof/>
          <w:lang w:bidi="ar-SA"/>
        </w:rPr>
        <w:t>.</w:t>
      </w:r>
      <w:r w:rsidR="003444C2">
        <w:rPr>
          <w:rStyle w:val="FootnoteReference"/>
          <w:rFonts w:ascii="Times New Roman" w:eastAsia="Calibri" w:hAnsi="Times New Roman"/>
          <w:noProof/>
          <w:lang w:bidi="ar-SA"/>
        </w:rPr>
        <w:footnoteReference w:id="24"/>
      </w:r>
      <w:r w:rsidR="003444C2">
        <w:rPr>
          <w:rFonts w:ascii="Times New Roman" w:eastAsia="Calibri" w:hAnsi="Times New Roman"/>
          <w:noProof/>
          <w:lang w:bidi="ar-SA"/>
        </w:rPr>
        <w:t xml:space="preserve">  In Chapter 5, I summarize the conclusion of this paper and present brief policy recommendations </w:t>
      </w:r>
      <w:r w:rsidR="00476DD1">
        <w:rPr>
          <w:rFonts w:ascii="Times New Roman" w:eastAsia="Calibri" w:hAnsi="Times New Roman"/>
          <w:noProof/>
          <w:lang w:bidi="ar-SA"/>
        </w:rPr>
        <w:t>based on</w:t>
      </w:r>
      <w:r w:rsidR="003444C2">
        <w:rPr>
          <w:rFonts w:ascii="Times New Roman" w:eastAsia="Calibri" w:hAnsi="Times New Roman"/>
          <w:noProof/>
          <w:lang w:bidi="ar-SA"/>
        </w:rPr>
        <w:t xml:space="preserve"> the individual’s role in suicide terrorism.  Appendices 1 and 2 include</w:t>
      </w:r>
      <w:r w:rsidR="00C32979">
        <w:rPr>
          <w:rFonts w:ascii="Times New Roman" w:eastAsia="Calibri" w:hAnsi="Times New Roman"/>
          <w:noProof/>
          <w:lang w:bidi="ar-SA"/>
        </w:rPr>
        <w:t xml:space="preserve"> graphs on nu</w:t>
      </w:r>
      <w:r w:rsidR="003444C2">
        <w:rPr>
          <w:rFonts w:ascii="Times New Roman" w:eastAsia="Calibri" w:hAnsi="Times New Roman"/>
          <w:noProof/>
          <w:lang w:bidi="ar-SA"/>
        </w:rPr>
        <w:t>mber of suicide attacks by era, by</w:t>
      </w:r>
      <w:r w:rsidR="00C32979">
        <w:rPr>
          <w:rFonts w:ascii="Times New Roman" w:eastAsia="Calibri" w:hAnsi="Times New Roman"/>
          <w:noProof/>
          <w:lang w:bidi="ar-SA"/>
        </w:rPr>
        <w:t xml:space="preserve"> country, by target selection and by year.</w:t>
      </w:r>
    </w:p>
    <w:p w:rsidR="001D6233" w:rsidRPr="001D6233" w:rsidRDefault="001D6233" w:rsidP="001D6233">
      <w:pPr>
        <w:pStyle w:val="Heading2"/>
        <w:rPr>
          <w:bCs w:val="0"/>
          <w:i/>
          <w:szCs w:val="24"/>
        </w:rPr>
      </w:pPr>
      <w:bookmarkStart w:id="15" w:name="_Toc450748671"/>
      <w:r w:rsidRPr="003776BC">
        <w:rPr>
          <w:bCs w:val="0"/>
          <w:i/>
          <w:szCs w:val="24"/>
        </w:rPr>
        <w:t>Social Identity Theory</w:t>
      </w:r>
      <w:r>
        <w:rPr>
          <w:bCs w:val="0"/>
          <w:i/>
          <w:szCs w:val="24"/>
        </w:rPr>
        <w:t xml:space="preserve">: </w:t>
      </w:r>
      <w:r w:rsidRPr="00672E3F">
        <w:rPr>
          <w:bCs w:val="0"/>
          <w:i/>
          <w:szCs w:val="24"/>
        </w:rPr>
        <w:t>The Role of Group Identity on Hostility</w:t>
      </w:r>
      <w:bookmarkEnd w:id="15"/>
    </w:p>
    <w:p w:rsidR="001D6233" w:rsidRPr="007112E5" w:rsidRDefault="001D6233" w:rsidP="00B67F1A">
      <w:pPr>
        <w:ind w:firstLine="720"/>
        <w:contextualSpacing/>
        <w:rPr>
          <w:iCs/>
          <w:lang w:bidi="he-IL"/>
        </w:rPr>
      </w:pPr>
      <w:r>
        <w:rPr>
          <w:iCs/>
          <w:lang w:bidi="he-IL"/>
        </w:rPr>
        <w:t xml:space="preserve">The search for a new, superior, and satisfying social identity leads many alienated Muslims to embrace the </w:t>
      </w:r>
      <w:r w:rsidR="00E02A19">
        <w:rPr>
          <w:iCs/>
          <w:lang w:bidi="he-IL"/>
        </w:rPr>
        <w:t>elite in-group constructed</w:t>
      </w:r>
      <w:r>
        <w:rPr>
          <w:iCs/>
          <w:lang w:bidi="he-IL"/>
        </w:rPr>
        <w:t xml:space="preserve"> by the narrative of Qutbism.  </w:t>
      </w:r>
      <w:r w:rsidR="00B67F1A">
        <w:rPr>
          <w:lang w:bidi="he-IL"/>
        </w:rPr>
        <w:t xml:space="preserve">Researchers have turned to SIT to understand how and why individuals turn to a terrorist organization to find </w:t>
      </w:r>
      <w:r w:rsidR="003444C2">
        <w:rPr>
          <w:lang w:bidi="he-IL"/>
        </w:rPr>
        <w:t xml:space="preserve">personal </w:t>
      </w:r>
      <w:r w:rsidR="00B67F1A">
        <w:rPr>
          <w:lang w:bidi="he-IL"/>
        </w:rPr>
        <w:t>meaning.</w:t>
      </w:r>
      <w:r w:rsidR="00B67F1A" w:rsidRPr="003776BC">
        <w:rPr>
          <w:vertAlign w:val="superscript"/>
          <w:lang w:bidi="he-IL"/>
        </w:rPr>
        <w:footnoteReference w:id="25"/>
      </w:r>
      <w:r w:rsidR="00B67F1A">
        <w:rPr>
          <w:lang w:bidi="he-IL"/>
        </w:rPr>
        <w:t xml:space="preserve">  </w:t>
      </w:r>
      <w:r w:rsidR="00E02A19">
        <w:rPr>
          <w:lang w:bidi="he-IL"/>
        </w:rPr>
        <w:t xml:space="preserve">The purpose of this section is to demonstrate lessons from </w:t>
      </w:r>
      <w:r w:rsidR="00B67F1A">
        <w:rPr>
          <w:iCs/>
          <w:lang w:bidi="he-IL"/>
        </w:rPr>
        <w:t>SIT</w:t>
      </w:r>
      <w:r w:rsidR="00E02A19">
        <w:rPr>
          <w:iCs/>
          <w:lang w:bidi="he-IL"/>
        </w:rPr>
        <w:t xml:space="preserve"> that</w:t>
      </w:r>
      <w:r w:rsidR="00B67F1A">
        <w:rPr>
          <w:iCs/>
          <w:lang w:bidi="he-IL"/>
        </w:rPr>
        <w:t xml:space="preserve"> explain</w:t>
      </w:r>
      <w:r w:rsidR="004001BE">
        <w:rPr>
          <w:iCs/>
          <w:lang w:bidi="he-IL"/>
        </w:rPr>
        <w:t xml:space="preserve"> how </w:t>
      </w:r>
      <w:r>
        <w:rPr>
          <w:iCs/>
          <w:lang w:bidi="he-IL"/>
        </w:rPr>
        <w:t xml:space="preserve">a strong </w:t>
      </w:r>
      <w:r w:rsidR="00B67F1A">
        <w:rPr>
          <w:iCs/>
          <w:lang w:bidi="he-IL"/>
        </w:rPr>
        <w:t xml:space="preserve">ideologically-based </w:t>
      </w:r>
      <w:r>
        <w:rPr>
          <w:iCs/>
          <w:lang w:bidi="he-IL"/>
        </w:rPr>
        <w:t xml:space="preserve">in-group identity </w:t>
      </w:r>
      <w:r w:rsidR="00E02A19">
        <w:rPr>
          <w:iCs/>
          <w:lang w:bidi="he-IL"/>
        </w:rPr>
        <w:t xml:space="preserve">influences individual cognition and decision-making, specifically how the identity </w:t>
      </w:r>
      <w:r w:rsidR="00B67F1A">
        <w:rPr>
          <w:iCs/>
          <w:lang w:bidi="he-IL"/>
        </w:rPr>
        <w:t>leads to</w:t>
      </w:r>
      <w:r>
        <w:rPr>
          <w:iCs/>
          <w:lang w:bidi="he-IL"/>
        </w:rPr>
        <w:t xml:space="preserve"> dehumanization</w:t>
      </w:r>
      <w:r w:rsidR="00E02A19">
        <w:rPr>
          <w:iCs/>
          <w:lang w:bidi="he-IL"/>
        </w:rPr>
        <w:t xml:space="preserve"> of the out-group</w:t>
      </w:r>
      <w:r>
        <w:rPr>
          <w:iCs/>
          <w:lang w:bidi="he-IL"/>
        </w:rPr>
        <w:t xml:space="preserve">.  Any ideology can have strong in-group and out-group consequences—in fact, any artificial in-group and out-group divide can lead to preferential treatment to the </w:t>
      </w:r>
      <w:r w:rsidR="00B67F1A">
        <w:rPr>
          <w:iCs/>
          <w:lang w:bidi="he-IL"/>
        </w:rPr>
        <w:t>“us” at the expense of the “them</w:t>
      </w:r>
      <w:r>
        <w:rPr>
          <w:iCs/>
          <w:lang w:bidi="he-IL"/>
        </w:rPr>
        <w:t>.</w:t>
      </w:r>
      <w:r w:rsidR="00B67F1A">
        <w:rPr>
          <w:iCs/>
          <w:lang w:bidi="he-IL"/>
        </w:rPr>
        <w:t>”</w:t>
      </w:r>
      <w:r>
        <w:rPr>
          <w:iCs/>
          <w:lang w:bidi="he-IL"/>
        </w:rPr>
        <w:t xml:space="preserve">  However, Qutbism provides a selective in-group that possesses sacred truths, and casts a large swathe of disdain for the rest of world trapped in ignorance.  </w:t>
      </w:r>
    </w:p>
    <w:p w:rsidR="001D6233" w:rsidRDefault="006C5B50" w:rsidP="003F4BD3">
      <w:pPr>
        <w:ind w:firstLine="720"/>
        <w:contextualSpacing/>
        <w:rPr>
          <w:iCs/>
          <w:lang w:bidi="he-IL"/>
        </w:rPr>
      </w:pPr>
      <w:r>
        <w:rPr>
          <w:iCs/>
          <w:lang w:bidi="he-IL"/>
        </w:rPr>
        <w:t>I</w:t>
      </w:r>
      <w:r w:rsidR="001D6233" w:rsidRPr="003776BC">
        <w:rPr>
          <w:iCs/>
          <w:lang w:bidi="he-IL"/>
        </w:rPr>
        <w:t>ndividuals derive a substantial portion of se</w:t>
      </w:r>
      <w:r w:rsidR="00B67F1A">
        <w:rPr>
          <w:iCs/>
          <w:lang w:bidi="he-IL"/>
        </w:rPr>
        <w:t xml:space="preserve">lf-identity through association </w:t>
      </w:r>
      <w:r w:rsidR="001D6233" w:rsidRPr="003776BC">
        <w:rPr>
          <w:iCs/>
          <w:lang w:bidi="he-IL"/>
        </w:rPr>
        <w:t>with in-groups.</w:t>
      </w:r>
      <w:r w:rsidR="001D6233" w:rsidRPr="003776BC">
        <w:rPr>
          <w:iCs/>
          <w:vertAlign w:val="superscript"/>
          <w:lang w:bidi="he-IL"/>
        </w:rPr>
        <w:footnoteReference w:id="26"/>
      </w:r>
      <w:r w:rsidR="001D6233">
        <w:rPr>
          <w:iCs/>
          <w:lang w:bidi="he-IL"/>
        </w:rPr>
        <w:t xml:space="preserve"> </w:t>
      </w:r>
      <w:r w:rsidR="004001BE">
        <w:rPr>
          <w:iCs/>
          <w:lang w:bidi="he-IL"/>
        </w:rPr>
        <w:t xml:space="preserve"> </w:t>
      </w:r>
      <w:r w:rsidR="001D6233">
        <w:rPr>
          <w:lang w:bidi="he-IL"/>
        </w:rPr>
        <w:t xml:space="preserve">Evaluation is </w:t>
      </w:r>
      <w:r w:rsidR="004001BE">
        <w:rPr>
          <w:lang w:bidi="he-IL"/>
        </w:rPr>
        <w:t>the core component</w:t>
      </w:r>
      <w:r w:rsidR="001D6233" w:rsidRPr="003776BC">
        <w:rPr>
          <w:lang w:bidi="he-IL"/>
        </w:rPr>
        <w:t xml:space="preserve"> of</w:t>
      </w:r>
      <w:r w:rsidR="004001BE">
        <w:rPr>
          <w:lang w:bidi="he-IL"/>
        </w:rPr>
        <w:t xml:space="preserve"> social identity</w:t>
      </w:r>
      <w:r w:rsidR="001D6233" w:rsidRPr="003776BC">
        <w:rPr>
          <w:i/>
          <w:lang w:bidi="he-IL"/>
        </w:rPr>
        <w:t xml:space="preserve">, </w:t>
      </w:r>
      <w:r w:rsidR="001D6233" w:rsidRPr="003776BC">
        <w:rPr>
          <w:lang w:bidi="he-IL"/>
        </w:rPr>
        <w:t>specifically evaluating</w:t>
      </w:r>
      <w:r w:rsidR="001D6233">
        <w:rPr>
          <w:lang w:bidi="he-IL"/>
        </w:rPr>
        <w:t xml:space="preserve"> the value of groups and how group membership positively impacts the individual.  </w:t>
      </w:r>
      <w:r w:rsidR="004001BE">
        <w:rPr>
          <w:lang w:bidi="he-IL"/>
        </w:rPr>
        <w:t xml:space="preserve">The </w:t>
      </w:r>
      <w:r w:rsidR="001D6233" w:rsidRPr="003776BC">
        <w:rPr>
          <w:lang w:bidi="he-IL"/>
        </w:rPr>
        <w:t>r</w:t>
      </w:r>
      <w:r w:rsidR="001D6233">
        <w:rPr>
          <w:lang w:bidi="he-IL"/>
        </w:rPr>
        <w:t xml:space="preserve">esult is a system that stratifies </w:t>
      </w:r>
      <w:r w:rsidR="001D6233" w:rsidRPr="003776BC">
        <w:rPr>
          <w:lang w:bidi="he-IL"/>
        </w:rPr>
        <w:t>which social groups are better</w:t>
      </w:r>
      <w:r w:rsidR="004001BE">
        <w:rPr>
          <w:lang w:bidi="he-IL"/>
        </w:rPr>
        <w:t xml:space="preserve">, and why the individual </w:t>
      </w:r>
      <w:r w:rsidR="004001BE">
        <w:rPr>
          <w:lang w:bidi="he-IL"/>
        </w:rPr>
        <w:lastRenderedPageBreak/>
        <w:t>should</w:t>
      </w:r>
      <w:r w:rsidR="00B67F1A">
        <w:rPr>
          <w:lang w:bidi="he-IL"/>
        </w:rPr>
        <w:t xml:space="preserve"> identify with the “good” group </w:t>
      </w:r>
      <w:r w:rsidR="004001BE">
        <w:rPr>
          <w:lang w:bidi="he-IL"/>
        </w:rPr>
        <w:t>or why the individual</w:t>
      </w:r>
      <w:r>
        <w:rPr>
          <w:lang w:bidi="he-IL"/>
        </w:rPr>
        <w:t>’s current group</w:t>
      </w:r>
      <w:r w:rsidR="004001BE">
        <w:rPr>
          <w:lang w:bidi="he-IL"/>
        </w:rPr>
        <w:t xml:space="preserve"> is better than others</w:t>
      </w:r>
      <w:r w:rsidR="001D6233" w:rsidRPr="003776BC">
        <w:rPr>
          <w:lang w:bidi="he-IL"/>
        </w:rPr>
        <w:t>.</w:t>
      </w:r>
      <w:r w:rsidR="001D6233" w:rsidRPr="003776BC">
        <w:rPr>
          <w:vertAlign w:val="superscript"/>
          <w:lang w:bidi="he-IL"/>
        </w:rPr>
        <w:footnoteReference w:id="27"/>
      </w:r>
      <w:r w:rsidR="001D6233">
        <w:rPr>
          <w:lang w:bidi="he-IL"/>
        </w:rPr>
        <w:t xml:space="preserve"> </w:t>
      </w:r>
      <w:r w:rsidR="004001BE">
        <w:rPr>
          <w:lang w:bidi="he-IL"/>
        </w:rPr>
        <w:t xml:space="preserve"> </w:t>
      </w:r>
      <w:r w:rsidR="003444C2">
        <w:rPr>
          <w:lang w:bidi="he-IL"/>
        </w:rPr>
        <w:t xml:space="preserve">This reflective belief leads to </w:t>
      </w:r>
      <w:r w:rsidR="001D6233" w:rsidRPr="003776BC">
        <w:rPr>
          <w:iCs/>
          <w:lang w:bidi="he-IL"/>
        </w:rPr>
        <w:t xml:space="preserve">positive distinctiveness, </w:t>
      </w:r>
      <w:r w:rsidR="003444C2">
        <w:rPr>
          <w:iCs/>
          <w:lang w:bidi="he-IL"/>
        </w:rPr>
        <w:t xml:space="preserve">which is </w:t>
      </w:r>
      <w:r w:rsidR="001D6233" w:rsidRPr="003776BC">
        <w:rPr>
          <w:iCs/>
          <w:lang w:bidi="he-IL"/>
        </w:rPr>
        <w:t xml:space="preserve">the </w:t>
      </w:r>
      <w:r w:rsidR="004001BE">
        <w:rPr>
          <w:iCs/>
          <w:lang w:bidi="he-IL"/>
        </w:rPr>
        <w:t>personal esteem for aligning to a chosen religious, political, philosophical, or regional identity over others.</w:t>
      </w:r>
      <w:r w:rsidR="00474418">
        <w:rPr>
          <w:iCs/>
          <w:lang w:bidi="he-IL"/>
        </w:rPr>
        <w:t xml:space="preserve">  </w:t>
      </w:r>
    </w:p>
    <w:p w:rsidR="001D6233" w:rsidRPr="00E474ED" w:rsidRDefault="001D6233" w:rsidP="00B67F1A">
      <w:pPr>
        <w:ind w:firstLine="720"/>
        <w:contextualSpacing/>
        <w:rPr>
          <w:iCs/>
          <w:lang w:bidi="he-IL"/>
        </w:rPr>
      </w:pPr>
      <w:r w:rsidRPr="003776BC">
        <w:rPr>
          <w:iCs/>
          <w:lang w:bidi="he-IL"/>
        </w:rPr>
        <w:t>Henri Tajfel and his colleague</w:t>
      </w:r>
      <w:r w:rsidR="00B67F1A">
        <w:rPr>
          <w:iCs/>
          <w:lang w:bidi="he-IL"/>
        </w:rPr>
        <w:t>s</w:t>
      </w:r>
      <w:r w:rsidRPr="003776BC">
        <w:rPr>
          <w:iCs/>
          <w:lang w:bidi="he-IL"/>
        </w:rPr>
        <w:t xml:space="preserve"> researched how individuals would treat each other if aligned into arbitrary social groups</w:t>
      </w:r>
      <w:r>
        <w:rPr>
          <w:iCs/>
          <w:lang w:bidi="he-IL"/>
        </w:rPr>
        <w:t xml:space="preserve">.  </w:t>
      </w:r>
      <w:r w:rsidRPr="003776BC">
        <w:rPr>
          <w:iCs/>
          <w:lang w:bidi="he-IL"/>
        </w:rPr>
        <w:t>His research demonstrated that simply categorizing individuals into two distinct but arbitrary social “tribes” could create in-group favoritism</w:t>
      </w:r>
      <w:r>
        <w:rPr>
          <w:iCs/>
          <w:lang w:bidi="he-IL"/>
        </w:rPr>
        <w:t xml:space="preserve">.  </w:t>
      </w:r>
      <w:r w:rsidRPr="003776BC">
        <w:rPr>
          <w:iCs/>
          <w:lang w:bidi="he-IL"/>
        </w:rPr>
        <w:t xml:space="preserve">In the </w:t>
      </w:r>
      <w:r w:rsidRPr="003776BC">
        <w:rPr>
          <w:i/>
          <w:lang w:bidi="he-IL"/>
        </w:rPr>
        <w:t>minimal group paradigm</w:t>
      </w:r>
      <w:r w:rsidR="00B67F1A">
        <w:rPr>
          <w:iCs/>
          <w:lang w:bidi="he-IL"/>
        </w:rPr>
        <w:t>, individuals allocate</w:t>
      </w:r>
      <w:r w:rsidRPr="003776BC">
        <w:rPr>
          <w:iCs/>
          <w:lang w:bidi="he-IL"/>
        </w:rPr>
        <w:t xml:space="preserve"> higher rewards to members of their own arbitrary social category compared to members in the out-group.</w:t>
      </w:r>
      <w:r w:rsidRPr="003776BC">
        <w:rPr>
          <w:iCs/>
          <w:vertAlign w:val="superscript"/>
          <w:lang w:bidi="he-IL"/>
        </w:rPr>
        <w:footnoteReference w:id="28"/>
      </w:r>
      <w:r>
        <w:rPr>
          <w:iCs/>
          <w:lang w:bidi="he-IL"/>
        </w:rPr>
        <w:t xml:space="preserve"> </w:t>
      </w:r>
      <w:r w:rsidR="004001BE">
        <w:rPr>
          <w:iCs/>
          <w:lang w:bidi="he-IL"/>
        </w:rPr>
        <w:t xml:space="preserve"> </w:t>
      </w:r>
      <w:r w:rsidRPr="003776BC">
        <w:rPr>
          <w:iCs/>
          <w:lang w:bidi="he-IL"/>
        </w:rPr>
        <w:t xml:space="preserve">The criteria </w:t>
      </w:r>
      <w:r w:rsidR="00B67F1A">
        <w:rPr>
          <w:iCs/>
          <w:lang w:bidi="he-IL"/>
        </w:rPr>
        <w:t xml:space="preserve">for social categorization </w:t>
      </w:r>
      <w:r w:rsidRPr="003776BC">
        <w:rPr>
          <w:iCs/>
          <w:lang w:bidi="he-IL"/>
        </w:rPr>
        <w:t>are irrelevant</w:t>
      </w:r>
      <w:r>
        <w:rPr>
          <w:iCs/>
          <w:lang w:bidi="he-IL"/>
        </w:rPr>
        <w:t xml:space="preserve">.  </w:t>
      </w:r>
      <w:r w:rsidR="00B67F1A">
        <w:rPr>
          <w:iCs/>
          <w:lang w:bidi="he-IL"/>
        </w:rPr>
        <w:t>I</w:t>
      </w:r>
      <w:r>
        <w:rPr>
          <w:iCs/>
          <w:lang w:bidi="he-IL"/>
        </w:rPr>
        <w:t xml:space="preserve">f this is the case, </w:t>
      </w:r>
      <w:r w:rsidRPr="003776BC">
        <w:rPr>
          <w:iCs/>
          <w:lang w:bidi="he-IL"/>
        </w:rPr>
        <w:t xml:space="preserve">criteria imbued with </w:t>
      </w:r>
      <w:r>
        <w:rPr>
          <w:iCs/>
          <w:lang w:bidi="he-IL"/>
        </w:rPr>
        <w:t xml:space="preserve">a powerful </w:t>
      </w:r>
      <w:r w:rsidR="004001BE">
        <w:rPr>
          <w:iCs/>
          <w:lang w:bidi="he-IL"/>
        </w:rPr>
        <w:t xml:space="preserve">cosmic </w:t>
      </w:r>
      <w:r>
        <w:rPr>
          <w:iCs/>
          <w:lang w:bidi="he-IL"/>
        </w:rPr>
        <w:t xml:space="preserve">narrative can merely intensify affinity for the in-group and suspicion to the out-group.  </w:t>
      </w:r>
    </w:p>
    <w:p w:rsidR="001D6233" w:rsidRPr="00502BB1" w:rsidRDefault="001D6233" w:rsidP="00B67F1A">
      <w:pPr>
        <w:ind w:firstLine="720"/>
        <w:contextualSpacing/>
        <w:rPr>
          <w:iCs/>
          <w:lang w:bidi="he-IL"/>
        </w:rPr>
      </w:pPr>
      <w:r w:rsidRPr="003776BC">
        <w:rPr>
          <w:iCs/>
          <w:lang w:bidi="he-IL"/>
        </w:rPr>
        <w:t xml:space="preserve">Narratives build the cognitive network that defines </w:t>
      </w:r>
      <w:r>
        <w:rPr>
          <w:iCs/>
          <w:lang w:bidi="he-IL"/>
        </w:rPr>
        <w:t>membership in the in-group and</w:t>
      </w:r>
      <w:r w:rsidRPr="003776BC">
        <w:rPr>
          <w:iCs/>
          <w:lang w:bidi="he-IL"/>
        </w:rPr>
        <w:t xml:space="preserve"> out-group and the </w:t>
      </w:r>
      <w:r w:rsidR="00B67F1A">
        <w:rPr>
          <w:iCs/>
          <w:lang w:bidi="he-IL"/>
        </w:rPr>
        <w:t>meaning</w:t>
      </w:r>
      <w:r w:rsidRPr="003776BC">
        <w:rPr>
          <w:iCs/>
          <w:lang w:bidi="he-IL"/>
        </w:rPr>
        <w:t xml:space="preserve"> of each </w:t>
      </w:r>
      <w:r w:rsidR="00B67F1A">
        <w:rPr>
          <w:iCs/>
          <w:lang w:bidi="he-IL"/>
        </w:rPr>
        <w:t xml:space="preserve">group </w:t>
      </w:r>
      <w:r w:rsidRPr="003776BC">
        <w:rPr>
          <w:iCs/>
          <w:lang w:bidi="he-IL"/>
        </w:rPr>
        <w:t>to the individual.</w:t>
      </w:r>
      <w:r w:rsidRPr="003776BC">
        <w:rPr>
          <w:vertAlign w:val="superscript"/>
          <w:lang w:bidi="he-IL"/>
        </w:rPr>
        <w:footnoteReference w:id="29"/>
      </w:r>
      <w:r>
        <w:rPr>
          <w:iCs/>
          <w:lang w:bidi="he-IL"/>
        </w:rPr>
        <w:t xml:space="preserve"> </w:t>
      </w:r>
      <w:r w:rsidR="004001BE">
        <w:rPr>
          <w:iCs/>
          <w:lang w:bidi="he-IL"/>
        </w:rPr>
        <w:t xml:space="preserve"> </w:t>
      </w:r>
      <w:r>
        <w:rPr>
          <w:iCs/>
          <w:lang w:bidi="he-IL"/>
        </w:rPr>
        <w:t>They define the sacred values that individuals should embrace and act upon, show how those values</w:t>
      </w:r>
      <w:r w:rsidRPr="003776BC">
        <w:rPr>
          <w:iCs/>
          <w:lang w:bidi="he-IL"/>
        </w:rPr>
        <w:t xml:space="preserve"> are connected to the in-group, and show</w:t>
      </w:r>
      <w:r>
        <w:rPr>
          <w:iCs/>
          <w:lang w:bidi="he-IL"/>
        </w:rPr>
        <w:t>s what the cosmic consequences of those</w:t>
      </w:r>
      <w:r w:rsidRPr="003776BC">
        <w:rPr>
          <w:iCs/>
          <w:lang w:bidi="he-IL"/>
        </w:rPr>
        <w:t xml:space="preserve"> values are</w:t>
      </w:r>
      <w:r>
        <w:rPr>
          <w:iCs/>
          <w:lang w:bidi="he-IL"/>
        </w:rPr>
        <w:t xml:space="preserve">.  </w:t>
      </w:r>
      <w:r w:rsidRPr="003776BC">
        <w:rPr>
          <w:iCs/>
          <w:lang w:bidi="he-IL"/>
        </w:rPr>
        <w:t>These narratives underpin all religious, non-religious, philosophical, and political in-groups, and we, as individuals operate in multiple narratives with multiple in-groups at once</w:t>
      </w:r>
      <w:r>
        <w:rPr>
          <w:iCs/>
          <w:lang w:bidi="he-IL"/>
        </w:rPr>
        <w:t xml:space="preserve">.  </w:t>
      </w:r>
      <w:r w:rsidR="004001BE" w:rsidRPr="003776BC">
        <w:rPr>
          <w:iCs/>
          <w:lang w:bidi="he-IL"/>
        </w:rPr>
        <w:t xml:space="preserve">Narratives </w:t>
      </w:r>
      <w:r w:rsidR="006C5B50">
        <w:rPr>
          <w:iCs/>
          <w:lang w:bidi="he-IL"/>
        </w:rPr>
        <w:t xml:space="preserve">also </w:t>
      </w:r>
      <w:r w:rsidR="004001BE" w:rsidRPr="003776BC">
        <w:rPr>
          <w:iCs/>
          <w:lang w:bidi="he-IL"/>
        </w:rPr>
        <w:t>help the brain to function, as the brain</w:t>
      </w:r>
      <w:r w:rsidR="004001BE">
        <w:rPr>
          <w:iCs/>
          <w:lang w:bidi="he-IL"/>
        </w:rPr>
        <w:t xml:space="preserve"> needs models to process information—and often creates narratives out of need</w:t>
      </w:r>
      <w:r w:rsidR="004001BE" w:rsidRPr="003776BC">
        <w:rPr>
          <w:iCs/>
          <w:lang w:bidi="he-IL"/>
        </w:rPr>
        <w:t>.</w:t>
      </w:r>
      <w:r w:rsidR="004001BE">
        <w:rPr>
          <w:rStyle w:val="FootnoteReference"/>
          <w:iCs/>
          <w:lang w:bidi="he-IL"/>
        </w:rPr>
        <w:footnoteReference w:id="30"/>
      </w:r>
      <w:r w:rsidR="004001BE">
        <w:rPr>
          <w:iCs/>
          <w:lang w:bidi="he-IL"/>
        </w:rPr>
        <w:t xml:space="preserve">  </w:t>
      </w:r>
    </w:p>
    <w:p w:rsidR="001D6233" w:rsidRPr="00162E62" w:rsidRDefault="001D6233" w:rsidP="00090501">
      <w:pPr>
        <w:ind w:firstLine="720"/>
        <w:contextualSpacing/>
        <w:rPr>
          <w:iCs/>
          <w:lang w:bidi="he-IL"/>
        </w:rPr>
      </w:pPr>
      <w:r>
        <w:rPr>
          <w:lang w:bidi="he-IL"/>
        </w:rPr>
        <w:lastRenderedPageBreak/>
        <w:t xml:space="preserve">The first step of dehumanization is depersonalization.  </w:t>
      </w:r>
      <w:r w:rsidRPr="004001BE">
        <w:rPr>
          <w:i/>
          <w:iCs/>
          <w:lang w:bidi="he-IL"/>
        </w:rPr>
        <w:t>Entitativity</w:t>
      </w:r>
      <w:r w:rsidRPr="003776BC">
        <w:rPr>
          <w:lang w:bidi="he-IL"/>
        </w:rPr>
        <w:t xml:space="preserve"> is the degree to which </w:t>
      </w:r>
      <w:r w:rsidRPr="003776BC">
        <w:rPr>
          <w:iCs/>
          <w:lang w:bidi="he-IL"/>
        </w:rPr>
        <w:t>group members are seen as a single categorical unit.</w:t>
      </w:r>
      <w:r w:rsidRPr="003776BC">
        <w:rPr>
          <w:iCs/>
          <w:vertAlign w:val="superscript"/>
          <w:lang w:bidi="he-IL"/>
        </w:rPr>
        <w:footnoteReference w:id="31"/>
      </w:r>
      <w:r w:rsidR="00623418">
        <w:rPr>
          <w:iCs/>
          <w:lang w:bidi="he-IL"/>
        </w:rPr>
        <w:t xml:space="preserve">  </w:t>
      </w:r>
      <w:r w:rsidRPr="003776BC">
        <w:rPr>
          <w:iCs/>
          <w:lang w:bidi="he-IL"/>
        </w:rPr>
        <w:t xml:space="preserve">The member </w:t>
      </w:r>
      <w:r w:rsidR="00090501">
        <w:rPr>
          <w:iCs/>
          <w:lang w:bidi="he-IL"/>
        </w:rPr>
        <w:t xml:space="preserve">of an out-group </w:t>
      </w:r>
      <w:r w:rsidRPr="003776BC">
        <w:rPr>
          <w:iCs/>
          <w:lang w:bidi="he-IL"/>
        </w:rPr>
        <w:t>is not an individual,</w:t>
      </w:r>
      <w:r>
        <w:rPr>
          <w:iCs/>
          <w:lang w:bidi="he-IL"/>
        </w:rPr>
        <w:t xml:space="preserve"> but an ambassador for “them.” </w:t>
      </w:r>
      <w:r w:rsidRPr="003776BC">
        <w:rPr>
          <w:iCs/>
          <w:lang w:bidi="he-IL"/>
        </w:rPr>
        <w:t xml:space="preserve"> Ruminating about a person’s </w:t>
      </w:r>
      <w:r>
        <w:rPr>
          <w:iCs/>
          <w:lang w:bidi="he-IL"/>
        </w:rPr>
        <w:t xml:space="preserve">group </w:t>
      </w:r>
      <w:r w:rsidR="0092680A">
        <w:rPr>
          <w:iCs/>
          <w:lang w:bidi="he-IL"/>
        </w:rPr>
        <w:t xml:space="preserve">traits (whether ethnic, religious, or </w:t>
      </w:r>
      <w:r>
        <w:rPr>
          <w:iCs/>
          <w:lang w:bidi="he-IL"/>
        </w:rPr>
        <w:t xml:space="preserve">national) makes </w:t>
      </w:r>
      <w:r w:rsidRPr="003776BC">
        <w:rPr>
          <w:iCs/>
          <w:lang w:bidi="he-IL"/>
        </w:rPr>
        <w:t>those individuals</w:t>
      </w:r>
      <w:r>
        <w:rPr>
          <w:iCs/>
          <w:lang w:bidi="he-IL"/>
        </w:rPr>
        <w:t xml:space="preserve"> </w:t>
      </w:r>
      <w:r w:rsidRPr="003776BC">
        <w:rPr>
          <w:iCs/>
          <w:lang w:bidi="he-IL"/>
        </w:rPr>
        <w:t xml:space="preserve">more </w:t>
      </w:r>
      <w:r w:rsidR="00B67F1A">
        <w:rPr>
          <w:iCs/>
          <w:lang w:bidi="he-IL"/>
        </w:rPr>
        <w:t xml:space="preserve">psychologically </w:t>
      </w:r>
      <w:r w:rsidRPr="003776BC">
        <w:rPr>
          <w:iCs/>
          <w:lang w:bidi="he-IL"/>
        </w:rPr>
        <w:t>distant</w:t>
      </w:r>
      <w:r>
        <w:rPr>
          <w:iCs/>
          <w:lang w:bidi="he-IL"/>
        </w:rPr>
        <w:t xml:space="preserve"> and, in turn, depersonalizes those individuals</w:t>
      </w:r>
      <w:r w:rsidRPr="003776BC">
        <w:rPr>
          <w:iCs/>
          <w:lang w:bidi="he-IL"/>
        </w:rPr>
        <w:t>.</w:t>
      </w:r>
      <w:r w:rsidRPr="003776BC">
        <w:rPr>
          <w:iCs/>
          <w:vertAlign w:val="superscript"/>
          <w:lang w:bidi="he-IL"/>
        </w:rPr>
        <w:footnoteReference w:id="32"/>
      </w:r>
      <w:r w:rsidR="00623418">
        <w:rPr>
          <w:iCs/>
          <w:lang w:bidi="he-IL"/>
        </w:rPr>
        <w:t xml:space="preserve">  </w:t>
      </w:r>
      <w:r w:rsidRPr="003776BC">
        <w:rPr>
          <w:iCs/>
          <w:lang w:bidi="he-IL"/>
        </w:rPr>
        <w:t>Depersonalization does not inherently lead to dehumanization, but there is no dehumanization without depersonalization.</w:t>
      </w:r>
      <w:r w:rsidRPr="003776BC">
        <w:rPr>
          <w:iCs/>
          <w:vertAlign w:val="superscript"/>
          <w:lang w:bidi="he-IL"/>
        </w:rPr>
        <w:footnoteReference w:id="33"/>
      </w:r>
      <w:r w:rsidR="00623418">
        <w:rPr>
          <w:iCs/>
          <w:lang w:bidi="he-IL"/>
        </w:rPr>
        <w:t xml:space="preserve">  </w:t>
      </w:r>
      <w:r>
        <w:rPr>
          <w:iCs/>
          <w:lang w:bidi="he-IL"/>
        </w:rPr>
        <w:t>Thus, the Qutbist narrative categorizes people in groups, and processes each individual as a member of either the good group or the bad group.</w:t>
      </w:r>
      <w:r w:rsidR="006C5B50">
        <w:rPr>
          <w:iCs/>
          <w:lang w:bidi="he-IL"/>
        </w:rPr>
        <w:t xml:space="preserve">  The civilians standing around the bomber when he detonates are not individuals, but representatives of a</w:t>
      </w:r>
      <w:r w:rsidR="00470A73">
        <w:rPr>
          <w:iCs/>
          <w:lang w:bidi="he-IL"/>
        </w:rPr>
        <w:t>n evil</w:t>
      </w:r>
      <w:r w:rsidR="006C5B50">
        <w:rPr>
          <w:iCs/>
          <w:lang w:bidi="he-IL"/>
        </w:rPr>
        <w:t xml:space="preserve"> out-group obstructing the creation of an Islamic State.</w:t>
      </w:r>
    </w:p>
    <w:p w:rsidR="00623418" w:rsidRDefault="001D6233" w:rsidP="00257C34">
      <w:pPr>
        <w:ind w:firstLine="720"/>
      </w:pPr>
      <w:r w:rsidRPr="003776BC">
        <w:t xml:space="preserve">Moral disengagement </w:t>
      </w:r>
      <w:r>
        <w:t xml:space="preserve">is a series of steps that individuals take to move past self-censured morality.  </w:t>
      </w:r>
      <w:r w:rsidRPr="003776BC">
        <w:t>The first step is the delineation between in-group and out</w:t>
      </w:r>
      <w:r>
        <w:t>-</w:t>
      </w:r>
      <w:r w:rsidRPr="003776BC">
        <w:t>group</w:t>
      </w:r>
      <w:r>
        <w:t xml:space="preserve">, which results in depersonalization of </w:t>
      </w:r>
      <w:r w:rsidR="0092680A">
        <w:t xml:space="preserve">members of </w:t>
      </w:r>
      <w:r>
        <w:t>the out-group</w:t>
      </w:r>
      <w:r w:rsidRPr="003776BC">
        <w:t>.</w:t>
      </w:r>
      <w:r>
        <w:t xml:space="preserve"> </w:t>
      </w:r>
      <w:r w:rsidR="00623418">
        <w:t xml:space="preserve"> </w:t>
      </w:r>
      <w:r>
        <w:t>The next step is the ideological framing of the out-group as grossly inferior to the in-group.  Ideologies that pit the out-group as the source of all that’s wrong with the world and the in-group as the salvation of man are particularly s</w:t>
      </w:r>
      <w:r w:rsidR="00623418">
        <w:t xml:space="preserve">trong in group narcissism.  </w:t>
      </w:r>
    </w:p>
    <w:p w:rsidR="001D6233" w:rsidRPr="003776BC" w:rsidRDefault="001D6233" w:rsidP="003F4BD3">
      <w:pPr>
        <w:ind w:firstLine="720"/>
        <w:rPr>
          <w:rFonts w:eastAsia="Calibri"/>
          <w:shd w:val="clear" w:color="auto" w:fill="FFFFFF"/>
          <w:lang w:bidi="he-IL"/>
        </w:rPr>
      </w:pPr>
      <w:r>
        <w:lastRenderedPageBreak/>
        <w:t>Group narcissism</w:t>
      </w:r>
      <w:r w:rsidRPr="003776BC">
        <w:rPr>
          <w:rFonts w:eastAsia="Calibri"/>
          <w:shd w:val="clear" w:color="auto" w:fill="FFFFFF"/>
          <w:lang w:bidi="he-IL"/>
        </w:rPr>
        <w:t xml:space="preserve"> explains </w:t>
      </w:r>
      <w:r>
        <w:rPr>
          <w:rFonts w:eastAsia="Calibri"/>
          <w:shd w:val="clear" w:color="auto" w:fill="FFFFFF"/>
          <w:lang w:bidi="he-IL"/>
        </w:rPr>
        <w:t>the steps for moral disengagement</w:t>
      </w:r>
      <w:r w:rsidR="00623418">
        <w:rPr>
          <w:rFonts w:eastAsia="Calibri"/>
          <w:shd w:val="clear" w:color="auto" w:fill="FFFFFF"/>
          <w:lang w:bidi="he-IL"/>
        </w:rPr>
        <w:t xml:space="preserve"> in the individual</w:t>
      </w:r>
      <w:r w:rsidR="00257C34">
        <w:rPr>
          <w:rFonts w:eastAsia="Calibri"/>
          <w:shd w:val="clear" w:color="auto" w:fill="FFFFFF"/>
          <w:lang w:bidi="he-IL"/>
        </w:rPr>
        <w:t>’s mind</w:t>
      </w:r>
      <w:r w:rsidRPr="003776BC">
        <w:rPr>
          <w:rFonts w:eastAsia="Calibri"/>
          <w:shd w:val="clear" w:color="auto" w:fill="FFFFFF"/>
          <w:lang w:bidi="he-IL"/>
        </w:rPr>
        <w:t xml:space="preserve">, which in turn contributes to </w:t>
      </w:r>
      <w:r w:rsidR="00257C34">
        <w:rPr>
          <w:rFonts w:eastAsia="Calibri"/>
          <w:shd w:val="clear" w:color="auto" w:fill="FFFFFF"/>
          <w:lang w:bidi="he-IL"/>
        </w:rPr>
        <w:t>dehumanization</w:t>
      </w:r>
      <w:r>
        <w:rPr>
          <w:rFonts w:eastAsia="Calibri"/>
          <w:shd w:val="clear" w:color="auto" w:fill="FFFFFF"/>
          <w:lang w:bidi="he-IL"/>
        </w:rPr>
        <w:t xml:space="preserve">.  </w:t>
      </w:r>
      <w:r w:rsidRPr="003776BC">
        <w:rPr>
          <w:rFonts w:eastAsia="Calibri"/>
          <w:shd w:val="clear" w:color="auto" w:fill="FFFFFF"/>
          <w:lang w:bidi="he-IL"/>
        </w:rPr>
        <w:t>Erich Fromm</w:t>
      </w:r>
      <w:r w:rsidR="00257C34">
        <w:rPr>
          <w:rFonts w:eastAsia="Calibri"/>
          <w:shd w:val="clear" w:color="auto" w:fill="FFFFFF"/>
          <w:lang w:bidi="he-IL"/>
        </w:rPr>
        <w:t xml:space="preserve"> </w:t>
      </w:r>
      <w:r w:rsidRPr="003776BC">
        <w:rPr>
          <w:rFonts w:eastAsia="Calibri"/>
          <w:shd w:val="clear" w:color="auto" w:fill="FFFFFF"/>
          <w:lang w:bidi="he-IL"/>
        </w:rPr>
        <w:t>defined group narcissism as a sublimation of individual narcissism</w:t>
      </w:r>
      <w:r>
        <w:rPr>
          <w:rFonts w:eastAsia="Calibri"/>
          <w:shd w:val="clear" w:color="auto" w:fill="FFFFFF"/>
          <w:lang w:bidi="he-IL"/>
        </w:rPr>
        <w:t xml:space="preserve">.  </w:t>
      </w:r>
      <w:r w:rsidRPr="003776BC">
        <w:rPr>
          <w:rFonts w:eastAsia="Calibri"/>
          <w:shd w:val="clear" w:color="auto" w:fill="FFFFFF"/>
          <w:lang w:bidi="he-IL"/>
        </w:rPr>
        <w:t xml:space="preserve">Whereas his work is not based in cognitive research, recent research has validated the consequences of Fromm’s </w:t>
      </w:r>
      <w:r w:rsidR="0092680A">
        <w:rPr>
          <w:rFonts w:eastAsia="Calibri"/>
          <w:shd w:val="clear" w:color="auto" w:fill="FFFFFF"/>
          <w:lang w:bidi="he-IL"/>
        </w:rPr>
        <w:t xml:space="preserve">arguments </w:t>
      </w:r>
      <w:r w:rsidR="00623418">
        <w:rPr>
          <w:rFonts w:eastAsia="Calibri"/>
          <w:shd w:val="clear" w:color="auto" w:fill="FFFFFF"/>
          <w:lang w:bidi="he-IL"/>
        </w:rPr>
        <w:t xml:space="preserve">on intergroup hostility.  </w:t>
      </w:r>
      <w:r>
        <w:rPr>
          <w:rFonts w:eastAsia="Calibri"/>
          <w:shd w:val="clear" w:color="auto" w:fill="FFFFFF"/>
          <w:lang w:bidi="he-IL"/>
        </w:rPr>
        <w:t>To survive</w:t>
      </w:r>
      <w:r w:rsidRPr="003776BC">
        <w:rPr>
          <w:rFonts w:eastAsia="Calibri"/>
          <w:shd w:val="clear" w:color="auto" w:fill="FFFFFF"/>
          <w:lang w:bidi="he-IL"/>
        </w:rPr>
        <w:t>, nature endows man with a great amoun</w:t>
      </w:r>
      <w:r>
        <w:rPr>
          <w:rFonts w:eastAsia="Calibri"/>
          <w:shd w:val="clear" w:color="auto" w:fill="FFFFFF"/>
          <w:lang w:bidi="he-IL"/>
        </w:rPr>
        <w:t xml:space="preserve">t </w:t>
      </w:r>
      <w:r w:rsidR="006C5B50">
        <w:rPr>
          <w:rFonts w:eastAsia="Calibri"/>
          <w:shd w:val="clear" w:color="auto" w:fill="FFFFFF"/>
          <w:lang w:bidi="he-IL"/>
        </w:rPr>
        <w:t>of narcissism</w:t>
      </w:r>
      <w:r w:rsidR="00623418">
        <w:rPr>
          <w:rFonts w:eastAsia="Calibri"/>
          <w:shd w:val="clear" w:color="auto" w:fill="FFFFFF"/>
          <w:lang w:bidi="he-IL"/>
        </w:rPr>
        <w:t>.  However</w:t>
      </w:r>
      <w:r w:rsidRPr="003776BC">
        <w:rPr>
          <w:rFonts w:eastAsia="Calibri"/>
          <w:shd w:val="clear" w:color="auto" w:fill="FFFFFF"/>
          <w:lang w:bidi="he-IL"/>
        </w:rPr>
        <w:t>, we need to cooperate with others to survive as well</w:t>
      </w:r>
      <w:r>
        <w:rPr>
          <w:rFonts w:eastAsia="Calibri"/>
          <w:shd w:val="clear" w:color="auto" w:fill="FFFFFF"/>
          <w:lang w:bidi="he-IL"/>
        </w:rPr>
        <w:t xml:space="preserve">.  </w:t>
      </w:r>
      <w:r w:rsidRPr="003776BC">
        <w:rPr>
          <w:rFonts w:eastAsia="Calibri"/>
          <w:shd w:val="clear" w:color="auto" w:fill="FFFFFF"/>
          <w:lang w:bidi="he-IL"/>
        </w:rPr>
        <w:t>Thus, extreme narcissism, to the point that it deters cooperation, is counterproductive.</w:t>
      </w:r>
      <w:r w:rsidR="00623418">
        <w:rPr>
          <w:rFonts w:eastAsia="Calibri"/>
          <w:shd w:val="clear" w:color="auto" w:fill="FFFFFF"/>
          <w:lang w:bidi="he-IL"/>
        </w:rPr>
        <w:t xml:space="preserve"> </w:t>
      </w:r>
      <w:r w:rsidRPr="003776BC">
        <w:rPr>
          <w:rFonts w:eastAsia="Calibri"/>
          <w:shd w:val="clear" w:color="auto" w:fill="FFFFFF"/>
          <w:lang w:bidi="he-IL"/>
        </w:rPr>
        <w:t>The survival of a group depends on the fact that members consider the group’s importance greater than their own lives.</w:t>
      </w:r>
      <w:r w:rsidRPr="003776BC">
        <w:rPr>
          <w:rFonts w:eastAsia="Calibri"/>
          <w:shd w:val="clear" w:color="auto" w:fill="FFFFFF"/>
          <w:vertAlign w:val="superscript"/>
          <w:lang w:bidi="he-IL"/>
        </w:rPr>
        <w:footnoteReference w:id="34"/>
      </w:r>
      <w:r w:rsidR="00623418">
        <w:rPr>
          <w:rFonts w:eastAsia="Calibri"/>
          <w:shd w:val="clear" w:color="auto" w:fill="FFFFFF"/>
          <w:lang w:bidi="he-IL"/>
        </w:rPr>
        <w:t xml:space="preserve">  </w:t>
      </w:r>
      <w:r w:rsidRPr="003776BC">
        <w:rPr>
          <w:rFonts w:eastAsia="Calibri"/>
          <w:shd w:val="clear" w:color="auto" w:fill="FFFFFF"/>
          <w:lang w:bidi="he-IL"/>
        </w:rPr>
        <w:t xml:space="preserve">Thus, the </w:t>
      </w:r>
      <w:r w:rsidR="0092680A">
        <w:rPr>
          <w:rFonts w:eastAsia="Calibri"/>
          <w:shd w:val="clear" w:color="auto" w:fill="FFFFFF"/>
          <w:lang w:bidi="he-IL"/>
        </w:rPr>
        <w:t>individual</w:t>
      </w:r>
      <w:r w:rsidRPr="003776BC">
        <w:rPr>
          <w:rFonts w:eastAsia="Calibri"/>
          <w:shd w:val="clear" w:color="auto" w:fill="FFFFFF"/>
          <w:lang w:bidi="he-IL"/>
        </w:rPr>
        <w:t xml:space="preserve"> </w:t>
      </w:r>
      <w:r w:rsidRPr="003776BC">
        <w:rPr>
          <w:rFonts w:eastAsia="Calibri"/>
          <w:i/>
          <w:iCs/>
          <w:shd w:val="clear" w:color="auto" w:fill="FFFFFF"/>
          <w:lang w:bidi="he-IL"/>
        </w:rPr>
        <w:t xml:space="preserve">sublimates </w:t>
      </w:r>
      <w:r w:rsidRPr="003776BC">
        <w:rPr>
          <w:rFonts w:eastAsia="Calibri"/>
          <w:shd w:val="clear" w:color="auto" w:fill="FFFFFF"/>
          <w:lang w:bidi="he-IL"/>
        </w:rPr>
        <w:t>his narcissism into the identity of the group</w:t>
      </w:r>
      <w:r>
        <w:rPr>
          <w:rFonts w:eastAsia="Calibri"/>
          <w:shd w:val="clear" w:color="auto" w:fill="FFFFFF"/>
          <w:lang w:bidi="he-IL"/>
        </w:rPr>
        <w:t xml:space="preserve">.  </w:t>
      </w:r>
      <w:r w:rsidRPr="003776BC">
        <w:rPr>
          <w:rFonts w:eastAsia="Calibri"/>
          <w:shd w:val="clear" w:color="auto" w:fill="FFFFFF"/>
          <w:lang w:bidi="he-IL"/>
        </w:rPr>
        <w:t>In prehistoric or premodern times, this leads to tribalism</w:t>
      </w:r>
      <w:r>
        <w:rPr>
          <w:rFonts w:eastAsia="Calibri"/>
          <w:shd w:val="clear" w:color="auto" w:fill="FFFFFF"/>
          <w:lang w:bidi="he-IL"/>
        </w:rPr>
        <w:t xml:space="preserve">.  </w:t>
      </w:r>
      <w:r w:rsidRPr="003776BC">
        <w:rPr>
          <w:rFonts w:eastAsia="Calibri"/>
          <w:shd w:val="clear" w:color="auto" w:fill="FFFFFF"/>
          <w:lang w:bidi="he-IL"/>
        </w:rPr>
        <w:t>Since industrialization has mitigated much of the urgent tribal (or familial) connection</w:t>
      </w:r>
      <w:r>
        <w:rPr>
          <w:rFonts w:eastAsia="Calibri"/>
          <w:shd w:val="clear" w:color="auto" w:fill="FFFFFF"/>
          <w:lang w:bidi="he-IL"/>
        </w:rPr>
        <w:t xml:space="preserve"> to survive</w:t>
      </w:r>
      <w:r w:rsidRPr="003776BC">
        <w:rPr>
          <w:rFonts w:eastAsia="Calibri"/>
          <w:shd w:val="clear" w:color="auto" w:fill="FFFFFF"/>
          <w:lang w:bidi="he-IL"/>
        </w:rPr>
        <w:t xml:space="preserve">, the drive </w:t>
      </w:r>
      <w:r>
        <w:rPr>
          <w:rFonts w:eastAsia="Calibri"/>
          <w:shd w:val="clear" w:color="auto" w:fill="FFFFFF"/>
          <w:lang w:bidi="he-IL"/>
        </w:rPr>
        <w:t>for</w:t>
      </w:r>
      <w:r w:rsidRPr="003776BC">
        <w:rPr>
          <w:rFonts w:eastAsia="Calibri"/>
          <w:shd w:val="clear" w:color="auto" w:fill="FFFFFF"/>
          <w:lang w:bidi="he-IL"/>
        </w:rPr>
        <w:t xml:space="preserve"> social bonding becomes filtered into modern in-groups</w:t>
      </w:r>
      <w:r>
        <w:rPr>
          <w:rFonts w:eastAsia="Calibri"/>
          <w:shd w:val="clear" w:color="auto" w:fill="FFFFFF"/>
          <w:lang w:bidi="he-IL"/>
        </w:rPr>
        <w:t xml:space="preserve">.  </w:t>
      </w:r>
      <w:r w:rsidRPr="003776BC">
        <w:rPr>
          <w:rFonts w:eastAsia="Calibri"/>
          <w:shd w:val="clear" w:color="auto" w:fill="FFFFFF"/>
          <w:lang w:bidi="he-IL"/>
        </w:rPr>
        <w:t>Fromm describes the consequence as:</w:t>
      </w:r>
    </w:p>
    <w:p w:rsidR="001D6233" w:rsidRDefault="001D6233" w:rsidP="00623418">
      <w:pPr>
        <w:spacing w:line="240" w:lineRule="auto"/>
        <w:ind w:left="720"/>
        <w:contextualSpacing/>
        <w:rPr>
          <w:rFonts w:eastAsia="Calibri"/>
          <w:shd w:val="clear" w:color="auto" w:fill="FFFFFF"/>
          <w:lang w:bidi="he-IL"/>
        </w:rPr>
      </w:pPr>
      <w:r w:rsidRPr="003776BC">
        <w:rPr>
          <w:rFonts w:eastAsia="Calibri"/>
          <w:shd w:val="clear" w:color="auto" w:fill="FFFFFF"/>
          <w:lang w:bidi="he-IL"/>
        </w:rPr>
        <w:t>Individual narcissism is transformed into group narcissism, that the clan, nation, religion, race, etc., become the objects of narcissistic passion instead of the individual</w:t>
      </w:r>
      <w:r>
        <w:rPr>
          <w:rFonts w:eastAsia="Calibri"/>
          <w:shd w:val="clear" w:color="auto" w:fill="FFFFFF"/>
          <w:lang w:bidi="he-IL"/>
        </w:rPr>
        <w:t xml:space="preserve">.  </w:t>
      </w:r>
      <w:r w:rsidRPr="003776BC">
        <w:rPr>
          <w:rFonts w:eastAsia="Calibri"/>
          <w:shd w:val="clear" w:color="auto" w:fill="FFFFFF"/>
          <w:lang w:bidi="he-IL"/>
        </w:rPr>
        <w:t>Thus, narcissistic energy is maintained but used in the interests of the survival of the group rather than for the survival of the individual.</w:t>
      </w:r>
      <w:r w:rsidR="00623418" w:rsidRPr="003776BC">
        <w:rPr>
          <w:rFonts w:eastAsia="Calibri"/>
          <w:shd w:val="clear" w:color="auto" w:fill="FFFFFF"/>
          <w:vertAlign w:val="superscript"/>
          <w:lang w:bidi="he-IL"/>
        </w:rPr>
        <w:footnoteReference w:id="35"/>
      </w:r>
    </w:p>
    <w:p w:rsidR="001D6233" w:rsidRPr="003776BC" w:rsidRDefault="001D6233" w:rsidP="001D6233">
      <w:pPr>
        <w:spacing w:line="240" w:lineRule="auto"/>
        <w:ind w:left="720"/>
        <w:contextualSpacing/>
        <w:rPr>
          <w:rFonts w:eastAsia="Calibri"/>
          <w:shd w:val="clear" w:color="auto" w:fill="FFFFFF"/>
          <w:lang w:bidi="he-IL"/>
        </w:rPr>
      </w:pPr>
    </w:p>
    <w:p w:rsidR="001D6233" w:rsidRPr="003776BC" w:rsidRDefault="001D6233" w:rsidP="00257C34">
      <w:pPr>
        <w:contextualSpacing/>
        <w:rPr>
          <w:rFonts w:eastAsia="Calibri"/>
          <w:shd w:val="clear" w:color="auto" w:fill="FFFFFF"/>
          <w:lang w:bidi="he-IL"/>
        </w:rPr>
      </w:pPr>
      <w:r w:rsidRPr="003776BC">
        <w:rPr>
          <w:rFonts w:eastAsia="Calibri"/>
          <w:shd w:val="clear" w:color="auto" w:fill="FFFFFF"/>
          <w:lang w:bidi="he-IL"/>
        </w:rPr>
        <w:t>Research shows that narcissistic in-group narcissism extend</w:t>
      </w:r>
      <w:r>
        <w:rPr>
          <w:rFonts w:eastAsia="Calibri"/>
          <w:shd w:val="clear" w:color="auto" w:fill="FFFFFF"/>
          <w:lang w:bidi="he-IL"/>
        </w:rPr>
        <w:t>s</w:t>
      </w:r>
      <w:r w:rsidRPr="003776BC">
        <w:rPr>
          <w:rFonts w:eastAsia="Calibri"/>
          <w:shd w:val="clear" w:color="auto" w:fill="FFFFFF"/>
          <w:lang w:bidi="he-IL"/>
        </w:rPr>
        <w:t xml:space="preserve"> beyond national identity to </w:t>
      </w:r>
      <w:r w:rsidR="00623418">
        <w:rPr>
          <w:rFonts w:eastAsia="Calibri"/>
          <w:shd w:val="clear" w:color="auto" w:fill="FFFFFF"/>
          <w:lang w:bidi="he-IL"/>
        </w:rPr>
        <w:t>trivial in-group identity</w:t>
      </w:r>
      <w:r w:rsidRPr="003776BC">
        <w:rPr>
          <w:rFonts w:eastAsia="Calibri"/>
          <w:shd w:val="clear" w:color="auto" w:fill="FFFFFF"/>
          <w:lang w:bidi="he-IL"/>
        </w:rPr>
        <w:t xml:space="preserve"> such as university affiliation.</w:t>
      </w:r>
      <w:r w:rsidRPr="003776BC">
        <w:rPr>
          <w:rFonts w:eastAsia="Calibri"/>
          <w:shd w:val="clear" w:color="auto" w:fill="FFFFFF"/>
          <w:vertAlign w:val="superscript"/>
          <w:lang w:bidi="he-IL"/>
        </w:rPr>
        <w:footnoteReference w:id="36"/>
      </w:r>
      <w:r>
        <w:rPr>
          <w:rFonts w:eastAsia="Calibri"/>
          <w:shd w:val="clear" w:color="auto" w:fill="FFFFFF"/>
          <w:lang w:bidi="he-IL"/>
        </w:rPr>
        <w:t xml:space="preserve"> </w:t>
      </w:r>
      <w:r w:rsidR="00623418">
        <w:rPr>
          <w:rFonts w:eastAsia="Calibri"/>
          <w:shd w:val="clear" w:color="auto" w:fill="FFFFFF"/>
          <w:lang w:bidi="he-IL"/>
        </w:rPr>
        <w:t xml:space="preserve"> </w:t>
      </w:r>
      <w:r w:rsidR="006C5B50">
        <w:rPr>
          <w:rFonts w:eastAsia="Calibri"/>
          <w:shd w:val="clear" w:color="auto" w:fill="FFFFFF"/>
          <w:lang w:bidi="he-IL"/>
        </w:rPr>
        <w:t>Since group narcissism</w:t>
      </w:r>
      <w:r w:rsidRPr="003776BC">
        <w:rPr>
          <w:rFonts w:eastAsia="Calibri"/>
          <w:shd w:val="clear" w:color="auto" w:fill="FFFFFF"/>
          <w:lang w:bidi="he-IL"/>
        </w:rPr>
        <w:t xml:space="preserve"> can </w:t>
      </w:r>
      <w:r w:rsidRPr="003776BC">
        <w:rPr>
          <w:rFonts w:eastAsia="Calibri"/>
          <w:shd w:val="clear" w:color="auto" w:fill="FFFFFF"/>
          <w:lang w:bidi="he-IL"/>
        </w:rPr>
        <w:lastRenderedPageBreak/>
        <w:t xml:space="preserve">extend to university affiliation, </w:t>
      </w:r>
      <w:r w:rsidR="00623418">
        <w:rPr>
          <w:rFonts w:eastAsia="Calibri"/>
          <w:shd w:val="clear" w:color="auto" w:fill="FFFFFF"/>
          <w:lang w:bidi="he-IL"/>
        </w:rPr>
        <w:t>it can extend to religious, non</w:t>
      </w:r>
      <w:r w:rsidRPr="003776BC">
        <w:rPr>
          <w:rFonts w:eastAsia="Calibri"/>
          <w:shd w:val="clear" w:color="auto" w:fill="FFFFFF"/>
          <w:lang w:bidi="he-IL"/>
        </w:rPr>
        <w:t xml:space="preserve">-religious, </w:t>
      </w:r>
      <w:r w:rsidR="00623418">
        <w:rPr>
          <w:rFonts w:eastAsia="Calibri"/>
          <w:shd w:val="clear" w:color="auto" w:fill="FFFFFF"/>
          <w:lang w:bidi="he-IL"/>
        </w:rPr>
        <w:t xml:space="preserve">and </w:t>
      </w:r>
      <w:r w:rsidRPr="003776BC">
        <w:rPr>
          <w:rFonts w:eastAsia="Calibri"/>
          <w:shd w:val="clear" w:color="auto" w:fill="FFFFFF"/>
          <w:lang w:bidi="he-IL"/>
        </w:rPr>
        <w:t>political</w:t>
      </w:r>
      <w:r w:rsidR="00623418">
        <w:rPr>
          <w:rFonts w:eastAsia="Calibri"/>
          <w:shd w:val="clear" w:color="auto" w:fill="FFFFFF"/>
          <w:lang w:bidi="he-IL"/>
        </w:rPr>
        <w:t xml:space="preserve"> </w:t>
      </w:r>
      <w:r w:rsidR="00257C34">
        <w:rPr>
          <w:rFonts w:eastAsia="Calibri"/>
          <w:shd w:val="clear" w:color="auto" w:fill="FFFFFF"/>
          <w:lang w:bidi="he-IL"/>
        </w:rPr>
        <w:t>group identity</w:t>
      </w:r>
      <w:r>
        <w:rPr>
          <w:rFonts w:eastAsia="Calibri"/>
          <w:shd w:val="clear" w:color="auto" w:fill="FFFFFF"/>
          <w:lang w:bidi="he-IL"/>
        </w:rPr>
        <w:t xml:space="preserve">.  </w:t>
      </w:r>
    </w:p>
    <w:p w:rsidR="001D6233" w:rsidRPr="003776BC" w:rsidRDefault="001D6233" w:rsidP="00476DD1">
      <w:pPr>
        <w:ind w:firstLine="720"/>
        <w:contextualSpacing/>
        <w:rPr>
          <w:rFonts w:eastAsia="Calibri"/>
          <w:lang w:bidi="he-IL"/>
        </w:rPr>
      </w:pPr>
      <w:r w:rsidRPr="003776BC">
        <w:rPr>
          <w:rFonts w:eastAsia="Calibri"/>
          <w:lang w:bidi="he-IL"/>
        </w:rPr>
        <w:t>The lens of group narcissism</w:t>
      </w:r>
      <w:r>
        <w:rPr>
          <w:rFonts w:eastAsia="Calibri"/>
          <w:lang w:bidi="he-IL"/>
        </w:rPr>
        <w:t xml:space="preserve"> </w:t>
      </w:r>
      <w:r w:rsidRPr="003776BC">
        <w:rPr>
          <w:rFonts w:eastAsia="Calibri"/>
          <w:lang w:bidi="he-IL"/>
        </w:rPr>
        <w:t>creates a</w:t>
      </w:r>
      <w:r w:rsidR="00385FB3">
        <w:rPr>
          <w:rFonts w:eastAsia="Calibri"/>
          <w:lang w:bidi="he-IL"/>
        </w:rPr>
        <w:t xml:space="preserve"> unique reflective belief</w:t>
      </w:r>
      <w:r w:rsidR="00476DD1">
        <w:rPr>
          <w:rFonts w:eastAsia="Calibri"/>
          <w:lang w:bidi="he-IL"/>
        </w:rPr>
        <w:t xml:space="preserve"> for the individual</w:t>
      </w:r>
      <w:r w:rsidR="00385FB3">
        <w:rPr>
          <w:rFonts w:eastAsia="Calibri"/>
          <w:lang w:bidi="he-IL"/>
        </w:rPr>
        <w:t>, a</w:t>
      </w:r>
      <w:r w:rsidRPr="003776BC">
        <w:rPr>
          <w:rFonts w:eastAsia="Calibri"/>
          <w:lang w:bidi="he-IL"/>
        </w:rPr>
        <w:t xml:space="preserve"> syllogism of superiority that leads to conclusions about the self and others</w:t>
      </w:r>
      <w:r w:rsidR="00476DD1">
        <w:rPr>
          <w:rFonts w:eastAsia="Calibri"/>
          <w:lang w:bidi="he-IL"/>
        </w:rPr>
        <w:t>.  The syllogism uses</w:t>
      </w:r>
      <w:r w:rsidR="00623418">
        <w:rPr>
          <w:rFonts w:eastAsia="Calibri"/>
          <w:lang w:bidi="he-IL"/>
        </w:rPr>
        <w:t xml:space="preserve"> foundational</w:t>
      </w:r>
      <w:r>
        <w:rPr>
          <w:rFonts w:eastAsia="Calibri"/>
          <w:lang w:bidi="he-IL"/>
        </w:rPr>
        <w:t xml:space="preserve"> sacred values that </w:t>
      </w:r>
      <w:r w:rsidR="00257C34">
        <w:rPr>
          <w:rFonts w:eastAsia="Calibri"/>
          <w:lang w:bidi="he-IL"/>
        </w:rPr>
        <w:t xml:space="preserve">define the group and in turn </w:t>
      </w:r>
      <w:r>
        <w:rPr>
          <w:rFonts w:eastAsia="Calibri"/>
          <w:lang w:bidi="he-IL"/>
        </w:rPr>
        <w:t>transfer the quality of the group to the individual.</w:t>
      </w:r>
      <w:r w:rsidR="00623418">
        <w:rPr>
          <w:rFonts w:eastAsia="Calibri"/>
          <w:lang w:bidi="he-IL"/>
        </w:rPr>
        <w:t xml:space="preserve">  </w:t>
      </w:r>
      <w:r>
        <w:rPr>
          <w:rFonts w:eastAsia="Calibri"/>
          <w:lang w:bidi="he-IL"/>
        </w:rPr>
        <w:t>In these syllogisms, we use values positioned or perceived to be better than other competitors.  If the narrative provides sacred values that sanctify the in-group and by extension demonize</w:t>
      </w:r>
      <w:r w:rsidR="00623418">
        <w:rPr>
          <w:rFonts w:eastAsia="Calibri"/>
          <w:lang w:bidi="he-IL"/>
        </w:rPr>
        <w:t xml:space="preserve">s </w:t>
      </w:r>
      <w:r>
        <w:rPr>
          <w:rFonts w:eastAsia="Calibri"/>
          <w:lang w:bidi="he-IL"/>
        </w:rPr>
        <w:t>the out-group, the syllogism lead</w:t>
      </w:r>
      <w:r w:rsidR="00623418">
        <w:rPr>
          <w:rFonts w:eastAsia="Calibri"/>
          <w:lang w:bidi="he-IL"/>
        </w:rPr>
        <w:t>s</w:t>
      </w:r>
      <w:r>
        <w:rPr>
          <w:rFonts w:eastAsia="Calibri"/>
          <w:lang w:bidi="he-IL"/>
        </w:rPr>
        <w:t xml:space="preserve"> to particularly powerful conclusions</w:t>
      </w:r>
      <w:r w:rsidR="00623418">
        <w:rPr>
          <w:rFonts w:eastAsia="Calibri"/>
          <w:lang w:bidi="he-IL"/>
        </w:rPr>
        <w:t xml:space="preserve">.  For example, </w:t>
      </w:r>
      <w:r w:rsidRPr="003776BC">
        <w:rPr>
          <w:rFonts w:eastAsia="Calibri"/>
          <w:lang w:bidi="he-IL"/>
        </w:rPr>
        <w:t>“Jihadists are Real Muslims</w:t>
      </w:r>
      <w:r>
        <w:rPr>
          <w:rFonts w:eastAsia="Calibri"/>
          <w:lang w:bidi="he-IL"/>
        </w:rPr>
        <w:t xml:space="preserve">.  </w:t>
      </w:r>
      <w:r w:rsidRPr="003776BC">
        <w:rPr>
          <w:rFonts w:eastAsia="Calibri"/>
          <w:lang w:bidi="he-IL"/>
        </w:rPr>
        <w:t>I am a Jihadist</w:t>
      </w:r>
      <w:r>
        <w:rPr>
          <w:rFonts w:eastAsia="Calibri"/>
          <w:lang w:bidi="he-IL"/>
        </w:rPr>
        <w:t xml:space="preserve">.  </w:t>
      </w:r>
      <w:r w:rsidRPr="003776BC">
        <w:rPr>
          <w:rFonts w:eastAsia="Calibri"/>
          <w:lang w:bidi="he-IL"/>
        </w:rPr>
        <w:t>Therefore, I am a Real Muslim (by extension, you are not a jihadist, therefore, unlikely to be a real Muslim).”</w:t>
      </w:r>
      <w:r>
        <w:rPr>
          <w:rFonts w:eastAsia="Calibri"/>
          <w:lang w:bidi="he-IL"/>
        </w:rPr>
        <w:t xml:space="preserve"> </w:t>
      </w:r>
      <w:r w:rsidRPr="003776BC">
        <w:rPr>
          <w:rFonts w:eastAsia="Calibri"/>
          <w:lang w:bidi="he-IL"/>
        </w:rPr>
        <w:t>“All Christians are children of God</w:t>
      </w:r>
      <w:r>
        <w:rPr>
          <w:rFonts w:eastAsia="Calibri"/>
          <w:lang w:bidi="he-IL"/>
        </w:rPr>
        <w:t xml:space="preserve">.  </w:t>
      </w:r>
      <w:r w:rsidRPr="003776BC">
        <w:rPr>
          <w:rFonts w:eastAsia="Calibri"/>
          <w:lang w:bidi="he-IL"/>
        </w:rPr>
        <w:t>I am a Christian</w:t>
      </w:r>
      <w:r>
        <w:rPr>
          <w:rFonts w:eastAsia="Calibri"/>
          <w:lang w:bidi="he-IL"/>
        </w:rPr>
        <w:t xml:space="preserve">.  </w:t>
      </w:r>
      <w:r w:rsidRPr="003776BC">
        <w:rPr>
          <w:rFonts w:eastAsia="Calibri"/>
          <w:lang w:bidi="he-IL"/>
        </w:rPr>
        <w:t>Thus, I am a child of God (…you, on the other hand.)”</w:t>
      </w:r>
      <w:r>
        <w:rPr>
          <w:rFonts w:eastAsia="Calibri"/>
          <w:lang w:bidi="he-IL"/>
        </w:rPr>
        <w:t xml:space="preserve"> </w:t>
      </w:r>
      <w:r w:rsidRPr="003776BC">
        <w:rPr>
          <w:rFonts w:eastAsia="Calibri"/>
          <w:lang w:bidi="he-IL"/>
        </w:rPr>
        <w:t>“Atheists are enlightened</w:t>
      </w:r>
      <w:r>
        <w:rPr>
          <w:rFonts w:eastAsia="Calibri"/>
          <w:lang w:bidi="he-IL"/>
        </w:rPr>
        <w:t xml:space="preserve">.  </w:t>
      </w:r>
      <w:r w:rsidRPr="003776BC">
        <w:rPr>
          <w:rFonts w:eastAsia="Calibri"/>
          <w:lang w:bidi="he-IL"/>
        </w:rPr>
        <w:t>I am an atheist</w:t>
      </w:r>
      <w:r>
        <w:rPr>
          <w:rFonts w:eastAsia="Calibri"/>
          <w:lang w:bidi="he-IL"/>
        </w:rPr>
        <w:t xml:space="preserve">.  </w:t>
      </w:r>
      <w:r w:rsidRPr="003776BC">
        <w:rPr>
          <w:rFonts w:eastAsia="Calibri"/>
          <w:lang w:bidi="he-IL"/>
        </w:rPr>
        <w:t>Therefore, I am enlightened (you Christian</w:t>
      </w:r>
      <w:r>
        <w:rPr>
          <w:rFonts w:eastAsia="Calibri"/>
          <w:lang w:bidi="he-IL"/>
        </w:rPr>
        <w:t xml:space="preserve">s, though…).” “America is the best country.  </w:t>
      </w:r>
      <w:r w:rsidRPr="003776BC">
        <w:rPr>
          <w:rFonts w:eastAsia="Calibri"/>
          <w:lang w:bidi="he-IL"/>
        </w:rPr>
        <w:t>I am an American, therefore I am the best</w:t>
      </w:r>
      <w:r w:rsidR="005F4A0F">
        <w:rPr>
          <w:rFonts w:eastAsia="Calibri"/>
          <w:lang w:bidi="he-IL"/>
        </w:rPr>
        <w:t>…</w:t>
      </w:r>
      <w:r w:rsidRPr="003776BC">
        <w:rPr>
          <w:rFonts w:eastAsia="Calibri"/>
          <w:lang w:bidi="he-IL"/>
        </w:rPr>
        <w:t>”</w:t>
      </w:r>
      <w:r>
        <w:rPr>
          <w:rFonts w:eastAsia="Calibri"/>
          <w:lang w:bidi="he-IL"/>
        </w:rPr>
        <w:t xml:space="preserve"> </w:t>
      </w:r>
    </w:p>
    <w:p w:rsidR="001D6233" w:rsidRPr="003776BC" w:rsidRDefault="001D6233" w:rsidP="00257C34">
      <w:pPr>
        <w:ind w:firstLine="720"/>
        <w:rPr>
          <w:rFonts w:eastAsia="Calibri"/>
          <w:lang w:bidi="he-IL"/>
        </w:rPr>
      </w:pPr>
      <w:r>
        <w:rPr>
          <w:rFonts w:eastAsia="Calibri"/>
          <w:shd w:val="clear" w:color="auto" w:fill="FFFFFF"/>
          <w:lang w:bidi="he-IL"/>
        </w:rPr>
        <w:t xml:space="preserve">Group narcissism </w:t>
      </w:r>
      <w:r w:rsidR="00A441D6">
        <w:rPr>
          <w:rFonts w:eastAsia="Calibri"/>
          <w:shd w:val="clear" w:color="auto" w:fill="FFFFFF"/>
          <w:lang w:bidi="he-IL"/>
        </w:rPr>
        <w:t xml:space="preserve">influences </w:t>
      </w:r>
      <w:r>
        <w:rPr>
          <w:rFonts w:eastAsia="Calibri"/>
          <w:shd w:val="clear" w:color="auto" w:fill="FFFFFF"/>
          <w:lang w:bidi="he-IL"/>
        </w:rPr>
        <w:t xml:space="preserve">the individual </w:t>
      </w:r>
      <w:r w:rsidR="00A441D6">
        <w:rPr>
          <w:rFonts w:eastAsia="Calibri"/>
          <w:shd w:val="clear" w:color="auto" w:fill="FFFFFF"/>
          <w:lang w:bidi="he-IL"/>
        </w:rPr>
        <w:t xml:space="preserve">member </w:t>
      </w:r>
      <w:r>
        <w:rPr>
          <w:rFonts w:eastAsia="Calibri"/>
          <w:shd w:val="clear" w:color="auto" w:fill="FFFFFF"/>
          <w:lang w:bidi="he-IL"/>
        </w:rPr>
        <w:t>to harm opposing group-members that challenge the honor, pride, or value of the beloved in-group</w:t>
      </w:r>
      <w:r w:rsidRPr="003776BC">
        <w:rPr>
          <w:rFonts w:eastAsia="Calibri"/>
          <w:shd w:val="clear" w:color="auto" w:fill="FFFFFF"/>
          <w:lang w:bidi="he-IL"/>
        </w:rPr>
        <w:t>.</w:t>
      </w:r>
      <w:r w:rsidRPr="003776BC">
        <w:rPr>
          <w:rFonts w:eastAsia="Calibri"/>
          <w:shd w:val="clear" w:color="auto" w:fill="FFFFFF"/>
          <w:vertAlign w:val="superscript"/>
          <w:lang w:bidi="he-IL"/>
        </w:rPr>
        <w:footnoteReference w:id="37"/>
      </w:r>
      <w:r w:rsidR="00623418">
        <w:rPr>
          <w:rFonts w:eastAsia="Calibri"/>
          <w:shd w:val="clear" w:color="auto" w:fill="FFFFFF"/>
          <w:lang w:bidi="he-IL"/>
        </w:rPr>
        <w:t xml:space="preserve">  </w:t>
      </w:r>
      <w:r w:rsidRPr="003776BC">
        <w:rPr>
          <w:rFonts w:eastAsia="Calibri"/>
          <w:lang w:bidi="he-IL"/>
        </w:rPr>
        <w:t>Researchers Golec de Zavala and his associates st</w:t>
      </w:r>
      <w:r w:rsidR="00623418">
        <w:rPr>
          <w:rFonts w:eastAsia="Calibri"/>
          <w:lang w:bidi="he-IL"/>
        </w:rPr>
        <w:t>udied the relationship between group</w:t>
      </w:r>
      <w:r w:rsidRPr="003776BC">
        <w:rPr>
          <w:rFonts w:eastAsia="Calibri"/>
          <w:lang w:bidi="he-IL"/>
        </w:rPr>
        <w:t xml:space="preserve"> narcissism and hostility to out-groups</w:t>
      </w:r>
      <w:r>
        <w:rPr>
          <w:rFonts w:eastAsia="Calibri"/>
          <w:lang w:bidi="he-IL"/>
        </w:rPr>
        <w:t xml:space="preserve">.  </w:t>
      </w:r>
      <w:r w:rsidRPr="003776BC">
        <w:rPr>
          <w:rFonts w:eastAsia="Calibri"/>
          <w:lang w:bidi="he-IL"/>
        </w:rPr>
        <w:t xml:space="preserve">In their </w:t>
      </w:r>
      <w:r w:rsidR="006C5B50">
        <w:rPr>
          <w:rFonts w:eastAsia="Calibri"/>
          <w:lang w:bidi="he-IL"/>
        </w:rPr>
        <w:t xml:space="preserve">social research and subsequent </w:t>
      </w:r>
      <w:r w:rsidRPr="003776BC">
        <w:rPr>
          <w:rFonts w:eastAsia="Calibri"/>
          <w:lang w:bidi="he-IL"/>
        </w:rPr>
        <w:t xml:space="preserve">statistical model, </w:t>
      </w:r>
      <w:r w:rsidR="00623418">
        <w:rPr>
          <w:rFonts w:eastAsia="Calibri"/>
          <w:lang w:bidi="he-IL"/>
        </w:rPr>
        <w:t>group</w:t>
      </w:r>
      <w:r w:rsidRPr="003776BC">
        <w:rPr>
          <w:rFonts w:eastAsia="Calibri"/>
          <w:lang w:bidi="he-IL"/>
        </w:rPr>
        <w:t xml:space="preserve"> narcissism predicts both animosity to out-groups and </w:t>
      </w:r>
      <w:r>
        <w:rPr>
          <w:rFonts w:eastAsia="Calibri"/>
          <w:lang w:bidi="he-IL"/>
        </w:rPr>
        <w:t>the willingness</w:t>
      </w:r>
      <w:r w:rsidRPr="003776BC">
        <w:rPr>
          <w:rFonts w:eastAsia="Calibri"/>
          <w:lang w:bidi="he-IL"/>
        </w:rPr>
        <w:t xml:space="preserve"> to hinder the out-group from ob</w:t>
      </w:r>
      <w:r w:rsidR="00623418">
        <w:rPr>
          <w:rFonts w:eastAsia="Calibri"/>
          <w:lang w:bidi="he-IL"/>
        </w:rPr>
        <w:t>taining goals</w:t>
      </w:r>
      <w:r w:rsidRPr="003776BC">
        <w:rPr>
          <w:rFonts w:eastAsia="Calibri"/>
          <w:lang w:bidi="he-IL"/>
        </w:rPr>
        <w:t xml:space="preserve"> with unambiguous hostile intentions.</w:t>
      </w:r>
      <w:r w:rsidRPr="003776BC">
        <w:rPr>
          <w:rFonts w:eastAsia="Calibri"/>
          <w:vertAlign w:val="superscript"/>
          <w:lang w:bidi="he-IL"/>
        </w:rPr>
        <w:footnoteReference w:id="38"/>
      </w:r>
      <w:r>
        <w:rPr>
          <w:rFonts w:eastAsia="Calibri"/>
          <w:lang w:bidi="he-IL"/>
        </w:rPr>
        <w:t xml:space="preserve"> </w:t>
      </w:r>
    </w:p>
    <w:p w:rsidR="009E3BC0" w:rsidRDefault="001D6233" w:rsidP="001175EE">
      <w:pPr>
        <w:ind w:firstLine="720"/>
        <w:contextualSpacing/>
      </w:pPr>
      <w:r w:rsidRPr="003776BC">
        <w:lastRenderedPageBreak/>
        <w:t>Neuro</w:t>
      </w:r>
      <w:r>
        <w:t xml:space="preserve">scientists have identified how the individual binds to the in-group </w:t>
      </w:r>
      <w:r w:rsidR="00623418">
        <w:t xml:space="preserve">identity </w:t>
      </w:r>
      <w:r w:rsidRPr="003776BC">
        <w:t xml:space="preserve">from two </w:t>
      </w:r>
      <w:r w:rsidR="00F11DD9">
        <w:t>observable</w:t>
      </w:r>
      <w:r>
        <w:t xml:space="preserve"> </w:t>
      </w:r>
      <w:r w:rsidR="00F11DD9">
        <w:t xml:space="preserve">angles.  The first is </w:t>
      </w:r>
      <w:r w:rsidR="00F11DD9" w:rsidRPr="00385FB3">
        <w:rPr>
          <w:i/>
          <w:iCs/>
        </w:rPr>
        <w:t>limbic res</w:t>
      </w:r>
      <w:r w:rsidR="00385FB3" w:rsidRPr="00385FB3">
        <w:rPr>
          <w:i/>
          <w:iCs/>
        </w:rPr>
        <w:t>onance</w:t>
      </w:r>
      <w:r w:rsidR="00385FB3">
        <w:t xml:space="preserve">.  </w:t>
      </w:r>
      <w:r w:rsidR="00F11DD9">
        <w:t>M</w:t>
      </w:r>
      <w:r w:rsidRPr="003776BC">
        <w:t xml:space="preserve">agnetic resonance imagery shows how individuals’ brain activities can become synchronized, </w:t>
      </w:r>
      <w:r w:rsidR="00F11DD9">
        <w:t xml:space="preserve">which creates the mutual sensation among two or more individuals that they are interconnected.  </w:t>
      </w:r>
      <w:r w:rsidRPr="003776BC">
        <w:t>Limbic resonance is a</w:t>
      </w:r>
      <w:r w:rsidR="00E45EF0">
        <w:t>n observable neural pattern that occurs when</w:t>
      </w:r>
      <w:r w:rsidRPr="003776BC">
        <w:t xml:space="preserve"> the limbic </w:t>
      </w:r>
      <w:r w:rsidR="00F11DD9" w:rsidRPr="003776BC">
        <w:t>system</w:t>
      </w:r>
      <w:r w:rsidR="00F11DD9">
        <w:t>s</w:t>
      </w:r>
      <w:r w:rsidR="00F11DD9" w:rsidRPr="003776BC">
        <w:t xml:space="preserve"> </w:t>
      </w:r>
      <w:r w:rsidR="00F11DD9">
        <w:t>across two or more individuals mirror</w:t>
      </w:r>
      <w:r w:rsidRPr="003776BC">
        <w:t xml:space="preserve"> each other through shared experiences.</w:t>
      </w:r>
      <w:r w:rsidRPr="003776BC">
        <w:rPr>
          <w:rStyle w:val="FootnoteReference"/>
        </w:rPr>
        <w:footnoteReference w:id="39"/>
      </w:r>
      <w:r>
        <w:t xml:space="preserve"> </w:t>
      </w:r>
      <w:r w:rsidR="00F11DD9">
        <w:t xml:space="preserve"> </w:t>
      </w:r>
      <w:r>
        <w:t>Limbic resonance</w:t>
      </w:r>
      <w:r w:rsidRPr="003776BC">
        <w:t xml:space="preserve"> </w:t>
      </w:r>
      <w:r>
        <w:t xml:space="preserve">explains </w:t>
      </w:r>
      <w:r w:rsidR="00F11DD9">
        <w:t xml:space="preserve">multiple social bonding processes, from </w:t>
      </w:r>
      <w:r w:rsidRPr="003776BC">
        <w:t xml:space="preserve">falling in love, </w:t>
      </w:r>
      <w:r w:rsidR="00F11DD9">
        <w:t xml:space="preserve">to </w:t>
      </w:r>
      <w:r w:rsidRPr="003776BC">
        <w:t xml:space="preserve">deep friendship, or </w:t>
      </w:r>
      <w:r w:rsidR="00F11DD9">
        <w:t xml:space="preserve">to </w:t>
      </w:r>
      <w:r w:rsidRPr="003776BC">
        <w:t>any sensation of communion and unity with someone (or something) else</w:t>
      </w:r>
      <w:r w:rsidR="00F11DD9">
        <w:t>, such as a religious experience or even a live concert</w:t>
      </w:r>
      <w:r>
        <w:t xml:space="preserve">.  This leads to belonging, and </w:t>
      </w:r>
      <w:r w:rsidR="005F4A0F">
        <w:t>is one way that</w:t>
      </w:r>
      <w:r>
        <w:t xml:space="preserve"> the individual feels connected to his in-group.</w:t>
      </w:r>
      <w:r w:rsidR="006C5B50">
        <w:t xml:space="preserve">  </w:t>
      </w:r>
    </w:p>
    <w:p w:rsidR="001D6233" w:rsidRDefault="001D6233" w:rsidP="001175EE">
      <w:pPr>
        <w:ind w:firstLine="720"/>
        <w:contextualSpacing/>
        <w:rPr>
          <w:rFonts w:asciiTheme="majorHAnsi" w:hAnsiTheme="majorHAnsi"/>
          <w:b/>
          <w:bCs/>
          <w:sz w:val="28"/>
          <w:szCs w:val="32"/>
        </w:rPr>
      </w:pPr>
      <w:r w:rsidRPr="003776BC">
        <w:t xml:space="preserve">At the chemical level, researchers have </w:t>
      </w:r>
      <w:r w:rsidR="00F11DD9">
        <w:t>observed</w:t>
      </w:r>
      <w:r>
        <w:t xml:space="preserve"> oxytocin </w:t>
      </w:r>
      <w:r w:rsidRPr="003776BC">
        <w:t xml:space="preserve">as </w:t>
      </w:r>
      <w:r w:rsidR="00385FB3">
        <w:t>the hormone</w:t>
      </w:r>
      <w:r>
        <w:t xml:space="preserve"> that strengthens </w:t>
      </w:r>
      <w:r w:rsidRPr="003776BC">
        <w:t>in-group bonding and out-group hostility</w:t>
      </w:r>
      <w:r>
        <w:t xml:space="preserve">.  </w:t>
      </w:r>
      <w:r w:rsidRPr="003776BC">
        <w:t xml:space="preserve">Oxytocin contributes to </w:t>
      </w:r>
      <w:r>
        <w:t xml:space="preserve">multiple types of </w:t>
      </w:r>
      <w:r w:rsidRPr="003776BC">
        <w:t>bonding</w:t>
      </w:r>
      <w:r>
        <w:t xml:space="preserve"> between individuals, </w:t>
      </w:r>
      <w:r w:rsidR="00385FB3">
        <w:t>including romance,</w:t>
      </w:r>
      <w:r w:rsidRPr="003776BC">
        <w:t xml:space="preserve"> trust, benevolence, and social</w:t>
      </w:r>
      <w:r w:rsidR="005F4A0F">
        <w:t xml:space="preserve"> categorization</w:t>
      </w:r>
      <w:r>
        <w:t>.  Dutch psychologists conducted a</w:t>
      </w:r>
      <w:r w:rsidRPr="003776BC">
        <w:t xml:space="preserve"> </w:t>
      </w:r>
      <w:r w:rsidR="00385FB3">
        <w:t xml:space="preserve">hormonal </w:t>
      </w:r>
      <w:r w:rsidRPr="003776BC">
        <w:t>test</w:t>
      </w:r>
      <w:r>
        <w:t xml:space="preserve"> on </w:t>
      </w:r>
      <w:r w:rsidRPr="003776BC">
        <w:t>fellow citizens, with one group given an increase in oxytocin, and other a placebo</w:t>
      </w:r>
      <w:r>
        <w:t xml:space="preserve">.  </w:t>
      </w:r>
      <w:r w:rsidRPr="003776BC">
        <w:t>Both groups were asked to react to pictures and cultural objects associated wi</w:t>
      </w:r>
      <w:r w:rsidR="00F11DD9">
        <w:t xml:space="preserve">th the Netherlands, and then to pictures and cultural objects </w:t>
      </w:r>
      <w:r w:rsidRPr="003776BC">
        <w:t>related to two out-groups, Arabs and Germans</w:t>
      </w:r>
      <w:r>
        <w:t xml:space="preserve">.  </w:t>
      </w:r>
      <w:r w:rsidRPr="003776BC">
        <w:t>Compared to the placebo group, the oxytocin group demonstrated an increase in affinity with their own Dutch culture and increased antagonism to Arabs and Germans.</w:t>
      </w:r>
      <w:r w:rsidRPr="003776BC">
        <w:rPr>
          <w:rStyle w:val="FootnoteReference"/>
        </w:rPr>
        <w:footnoteReference w:id="40"/>
      </w:r>
      <w:r>
        <w:t xml:space="preserve"> </w:t>
      </w:r>
      <w:r w:rsidR="00F11DD9">
        <w:t xml:space="preserve"> </w:t>
      </w:r>
      <w:r w:rsidRPr="003776BC">
        <w:t>So whereas oxytocin does increase the individual’s trust and love for his in-group, it also increases the level of distrust to the out-group</w:t>
      </w:r>
      <w:r>
        <w:t xml:space="preserve">.  </w:t>
      </w:r>
      <w:r w:rsidR="00F11DD9">
        <w:t xml:space="preserve">Thus, when oxytocin is created through natural </w:t>
      </w:r>
      <w:r w:rsidR="00F11DD9">
        <w:lastRenderedPageBreak/>
        <w:t>social bonding</w:t>
      </w:r>
      <w:r w:rsidR="001175EE">
        <w:t xml:space="preserve"> with an individual’s in-group</w:t>
      </w:r>
      <w:r w:rsidR="00F11DD9">
        <w:t xml:space="preserve">, the increase in oxytocin </w:t>
      </w:r>
      <w:r w:rsidR="005F4A0F">
        <w:t xml:space="preserve">strengthens connection </w:t>
      </w:r>
      <w:r w:rsidR="001175EE">
        <w:t>with the group</w:t>
      </w:r>
      <w:r w:rsidR="005F4A0F">
        <w:t xml:space="preserve"> and increases animosity to the </w:t>
      </w:r>
      <w:r w:rsidR="00F11DD9">
        <w:t xml:space="preserve">out-group.  </w:t>
      </w:r>
      <w:r w:rsidR="001175EE">
        <w:t>Thus, t</w:t>
      </w:r>
      <w:r w:rsidR="002B79C4">
        <w:t>he ideological categorization of in-group and out-group has psychological and interpersonal consequences.</w:t>
      </w:r>
    </w:p>
    <w:p w:rsidR="00672E3F" w:rsidRPr="00672E3F" w:rsidRDefault="00672E3F" w:rsidP="00672E3F">
      <w:pPr>
        <w:pStyle w:val="Heading2"/>
        <w:rPr>
          <w:bCs w:val="0"/>
          <w:i/>
          <w:szCs w:val="24"/>
        </w:rPr>
      </w:pPr>
      <w:bookmarkStart w:id="16" w:name="_Toc450748672"/>
      <w:r w:rsidRPr="00672E3F">
        <w:rPr>
          <w:bCs w:val="0"/>
          <w:i/>
          <w:szCs w:val="24"/>
        </w:rPr>
        <w:t>Overview of Competing Theories</w:t>
      </w:r>
      <w:r>
        <w:rPr>
          <w:bCs w:val="0"/>
          <w:i/>
          <w:szCs w:val="24"/>
        </w:rPr>
        <w:t>:</w:t>
      </w:r>
      <w:r w:rsidR="004555DB">
        <w:rPr>
          <w:bCs w:val="0"/>
          <w:i/>
          <w:szCs w:val="24"/>
        </w:rPr>
        <w:t xml:space="preserve"> </w:t>
      </w:r>
      <w:r>
        <w:rPr>
          <w:bCs w:val="0"/>
          <w:i/>
          <w:szCs w:val="24"/>
        </w:rPr>
        <w:t>Organization-Centric, Individual-Centric, and Integration Approaches to Suicide Terrorism</w:t>
      </w:r>
      <w:bookmarkEnd w:id="16"/>
    </w:p>
    <w:p w:rsidR="00627FBC" w:rsidRDefault="005F4A0F" w:rsidP="00476DD1">
      <w:pPr>
        <w:ind w:firstLine="720"/>
        <w:contextualSpacing/>
        <w:rPr>
          <w:rFonts w:ascii="Times New Roman" w:eastAsia="Calibri" w:hAnsi="Times New Roman"/>
          <w:noProof/>
          <w:lang w:bidi="ar-SA"/>
        </w:rPr>
      </w:pPr>
      <w:r>
        <w:rPr>
          <w:rFonts w:ascii="Times New Roman" w:eastAsia="Calibri" w:hAnsi="Times New Roman"/>
          <w:noProof/>
          <w:lang w:bidi="ar-SA"/>
        </w:rPr>
        <w:t>Two themes reoccur w</w:t>
      </w:r>
      <w:r w:rsidR="00B27C7B">
        <w:rPr>
          <w:rFonts w:ascii="Times New Roman" w:eastAsia="Calibri" w:hAnsi="Times New Roman"/>
          <w:noProof/>
          <w:lang w:bidi="ar-SA"/>
        </w:rPr>
        <w:t>hen discussing the role of ideology in influencing group strategy and invidual behavior</w:t>
      </w:r>
      <w:r w:rsidR="004555DB">
        <w:rPr>
          <w:rFonts w:ascii="Times New Roman" w:eastAsia="Calibri" w:hAnsi="Times New Roman"/>
          <w:noProof/>
          <w:lang w:bidi="ar-SA"/>
        </w:rPr>
        <w:t xml:space="preserve">.  </w:t>
      </w:r>
      <w:r w:rsidR="00627FBC">
        <w:rPr>
          <w:rFonts w:ascii="Times New Roman" w:eastAsia="Calibri" w:hAnsi="Times New Roman"/>
          <w:noProof/>
          <w:lang w:bidi="ar-SA"/>
        </w:rPr>
        <w:t>The first is the interaction between organizational and individual motive</w:t>
      </w:r>
      <w:r w:rsidR="004555DB">
        <w:rPr>
          <w:rFonts w:ascii="Times New Roman" w:eastAsia="Calibri" w:hAnsi="Times New Roman"/>
          <w:noProof/>
          <w:lang w:bidi="ar-SA"/>
        </w:rPr>
        <w:t xml:space="preserve">.  </w:t>
      </w:r>
      <w:r w:rsidR="00627FBC">
        <w:rPr>
          <w:rFonts w:ascii="Times New Roman" w:eastAsia="Calibri" w:hAnsi="Times New Roman"/>
          <w:noProof/>
          <w:lang w:bidi="ar-SA"/>
        </w:rPr>
        <w:t>The organization may have practical political objectives to use suicide terrorism</w:t>
      </w:r>
      <w:r w:rsidR="001175EE">
        <w:rPr>
          <w:rFonts w:ascii="Times New Roman" w:eastAsia="Calibri" w:hAnsi="Times New Roman"/>
          <w:noProof/>
          <w:lang w:bidi="ar-SA"/>
        </w:rPr>
        <w:t xml:space="preserve"> (rational actor)</w:t>
      </w:r>
      <w:r w:rsidR="00627FBC">
        <w:rPr>
          <w:rFonts w:ascii="Times New Roman" w:eastAsia="Calibri" w:hAnsi="Times New Roman"/>
          <w:noProof/>
          <w:lang w:bidi="ar-SA"/>
        </w:rPr>
        <w:t xml:space="preserve">, but </w:t>
      </w:r>
      <w:r w:rsidR="001175EE">
        <w:rPr>
          <w:rFonts w:ascii="Times New Roman" w:eastAsia="Calibri" w:hAnsi="Times New Roman"/>
          <w:noProof/>
          <w:lang w:bidi="ar-SA"/>
        </w:rPr>
        <w:t>religious fervor may motivate the individual (devoted actor)</w:t>
      </w:r>
      <w:r w:rsidR="004555DB">
        <w:rPr>
          <w:rFonts w:ascii="Times New Roman" w:eastAsia="Calibri" w:hAnsi="Times New Roman"/>
          <w:noProof/>
          <w:lang w:bidi="ar-SA"/>
        </w:rPr>
        <w:t xml:space="preserve">.  </w:t>
      </w:r>
      <w:r w:rsidR="00627FBC">
        <w:rPr>
          <w:rFonts w:ascii="Times New Roman" w:eastAsia="Calibri" w:hAnsi="Times New Roman"/>
          <w:noProof/>
          <w:lang w:bidi="ar-SA"/>
        </w:rPr>
        <w:t>Since suicide terrorism requires the individual, understanding the individual motive is as necessary as understanding the organizational logic</w:t>
      </w:r>
      <w:r w:rsidR="004555DB">
        <w:rPr>
          <w:rFonts w:ascii="Times New Roman" w:eastAsia="Calibri" w:hAnsi="Times New Roman"/>
          <w:noProof/>
          <w:lang w:bidi="ar-SA"/>
        </w:rPr>
        <w:t xml:space="preserve">.  </w:t>
      </w:r>
      <w:r w:rsidR="00627FBC">
        <w:rPr>
          <w:rFonts w:ascii="Times New Roman" w:eastAsia="Calibri" w:hAnsi="Times New Roman"/>
          <w:noProof/>
          <w:lang w:bidi="ar-SA"/>
        </w:rPr>
        <w:t>When it comes to ideology, the organization may seek an end-state that is religious in nature, yet it calculates the means to achieve that end-state with political benchmarks.</w:t>
      </w:r>
      <w:r w:rsidR="00A441D6">
        <w:rPr>
          <w:rFonts w:ascii="Times New Roman" w:eastAsia="Calibri" w:hAnsi="Times New Roman"/>
          <w:noProof/>
          <w:lang w:bidi="ar-SA"/>
        </w:rPr>
        <w:t xml:space="preserve">  The in-group may not be the organization itself, but a broader identity that both the individual and organization act upon.</w:t>
      </w:r>
    </w:p>
    <w:p w:rsidR="00B007D6" w:rsidRDefault="00627FBC" w:rsidP="00377919">
      <w:pPr>
        <w:ind w:firstLine="720"/>
        <w:contextualSpacing/>
        <w:rPr>
          <w:rFonts w:ascii="Times New Roman" w:eastAsia="Calibri" w:hAnsi="Times New Roman"/>
          <w:noProof/>
          <w:lang w:bidi="ar-SA"/>
        </w:rPr>
      </w:pPr>
      <w:r>
        <w:rPr>
          <w:rFonts w:ascii="Times New Roman" w:eastAsia="Calibri" w:hAnsi="Times New Roman"/>
          <w:noProof/>
          <w:lang w:bidi="ar-SA"/>
        </w:rPr>
        <w:t>The second theme</w:t>
      </w:r>
      <w:r w:rsidR="00B27C7B">
        <w:rPr>
          <w:rFonts w:ascii="Times New Roman" w:eastAsia="Calibri" w:hAnsi="Times New Roman"/>
          <w:noProof/>
          <w:lang w:bidi="ar-SA"/>
        </w:rPr>
        <w:t xml:space="preserve"> is that there is no pure adaptation of ideology </w:t>
      </w:r>
      <w:r w:rsidR="00663585">
        <w:rPr>
          <w:rFonts w:ascii="Times New Roman" w:eastAsia="Calibri" w:hAnsi="Times New Roman"/>
          <w:noProof/>
          <w:lang w:bidi="ar-SA"/>
        </w:rPr>
        <w:t>i</w:t>
      </w:r>
      <w:r w:rsidR="00B27C7B">
        <w:rPr>
          <w:rFonts w:ascii="Times New Roman" w:eastAsia="Calibri" w:hAnsi="Times New Roman"/>
          <w:noProof/>
          <w:lang w:bidi="ar-SA"/>
        </w:rPr>
        <w:t>n the world</w:t>
      </w:r>
      <w:r w:rsidR="004555DB">
        <w:rPr>
          <w:rFonts w:ascii="Times New Roman" w:eastAsia="Calibri" w:hAnsi="Times New Roman"/>
          <w:noProof/>
          <w:lang w:bidi="ar-SA"/>
        </w:rPr>
        <w:t xml:space="preserve">.  </w:t>
      </w:r>
      <w:r w:rsidR="00B27C7B">
        <w:rPr>
          <w:rFonts w:ascii="Times New Roman" w:eastAsia="Calibri" w:hAnsi="Times New Roman"/>
          <w:noProof/>
          <w:lang w:bidi="ar-SA"/>
        </w:rPr>
        <w:t xml:space="preserve">Ideological and </w:t>
      </w:r>
      <w:r w:rsidR="00B007D6">
        <w:rPr>
          <w:rFonts w:ascii="Times New Roman" w:eastAsia="Calibri" w:hAnsi="Times New Roman"/>
          <w:noProof/>
          <w:lang w:bidi="ar-SA"/>
        </w:rPr>
        <w:t xml:space="preserve">pragmatic </w:t>
      </w:r>
      <w:r w:rsidR="00B27C7B">
        <w:rPr>
          <w:rFonts w:ascii="Times New Roman" w:eastAsia="Calibri" w:hAnsi="Times New Roman"/>
          <w:noProof/>
          <w:lang w:bidi="ar-SA"/>
        </w:rPr>
        <w:t>motives, at both the group and individual level, will interact to lead to the implementation of specific tactics</w:t>
      </w:r>
      <w:r w:rsidR="004555DB">
        <w:rPr>
          <w:rFonts w:ascii="Times New Roman" w:eastAsia="Calibri" w:hAnsi="Times New Roman"/>
          <w:noProof/>
          <w:lang w:bidi="ar-SA"/>
        </w:rPr>
        <w:t xml:space="preserve">.  </w:t>
      </w:r>
      <w:r w:rsidR="00B27C7B">
        <w:rPr>
          <w:rFonts w:ascii="Times New Roman" w:eastAsia="Calibri" w:hAnsi="Times New Roman"/>
          <w:noProof/>
          <w:lang w:bidi="ar-SA"/>
        </w:rPr>
        <w:t>The cognitive terrain is not</w:t>
      </w:r>
      <w:r w:rsidR="002B79C4">
        <w:rPr>
          <w:rFonts w:ascii="Times New Roman" w:eastAsia="Calibri" w:hAnsi="Times New Roman"/>
          <w:noProof/>
          <w:lang w:bidi="ar-SA"/>
        </w:rPr>
        <w:t xml:space="preserve"> meant to remove functional factors in </w:t>
      </w:r>
      <w:r w:rsidR="00B27C7B">
        <w:rPr>
          <w:rFonts w:ascii="Times New Roman" w:eastAsia="Calibri" w:hAnsi="Times New Roman"/>
          <w:noProof/>
          <w:lang w:bidi="ar-SA"/>
        </w:rPr>
        <w:t>suicide terrorism</w:t>
      </w:r>
      <w:r w:rsidR="002B79C4">
        <w:rPr>
          <w:rFonts w:ascii="Times New Roman" w:eastAsia="Calibri" w:hAnsi="Times New Roman"/>
          <w:noProof/>
          <w:lang w:bidi="ar-SA"/>
        </w:rPr>
        <w:t xml:space="preserve"> analysis</w:t>
      </w:r>
      <w:r w:rsidR="00B27C7B">
        <w:rPr>
          <w:rFonts w:ascii="Times New Roman" w:eastAsia="Calibri" w:hAnsi="Times New Roman"/>
          <w:noProof/>
          <w:lang w:bidi="ar-SA"/>
        </w:rPr>
        <w:t>, but to balance the functional with explanations for behavior that pragmatic political considerations cannot explain</w:t>
      </w:r>
      <w:r w:rsidR="004555DB">
        <w:rPr>
          <w:rFonts w:ascii="Times New Roman" w:eastAsia="Calibri" w:hAnsi="Times New Roman"/>
          <w:noProof/>
          <w:lang w:bidi="ar-SA"/>
        </w:rPr>
        <w:t xml:space="preserve">.  </w:t>
      </w:r>
    </w:p>
    <w:p w:rsidR="00B27C7B" w:rsidRDefault="00D3386D" w:rsidP="00DF2709">
      <w:pPr>
        <w:ind w:firstLine="720"/>
        <w:contextualSpacing/>
        <w:rPr>
          <w:rFonts w:ascii="Times New Roman" w:eastAsia="Calibri" w:hAnsi="Times New Roman"/>
          <w:noProof/>
          <w:lang w:bidi="ar-SA"/>
        </w:rPr>
      </w:pPr>
      <w:r>
        <w:rPr>
          <w:rFonts w:ascii="Times New Roman" w:eastAsia="Calibri" w:hAnsi="Times New Roman"/>
          <w:noProof/>
          <w:lang w:bidi="ar-SA"/>
        </w:rPr>
        <w:t xml:space="preserve">The </w:t>
      </w:r>
      <w:r w:rsidR="005F4A0F">
        <w:rPr>
          <w:rFonts w:ascii="Times New Roman" w:eastAsia="Calibri" w:hAnsi="Times New Roman"/>
          <w:noProof/>
          <w:lang w:bidi="ar-SA"/>
        </w:rPr>
        <w:t xml:space="preserve">historic use of </w:t>
      </w:r>
      <w:r>
        <w:rPr>
          <w:rFonts w:ascii="Times New Roman" w:eastAsia="Calibri" w:hAnsi="Times New Roman"/>
          <w:noProof/>
          <w:lang w:bidi="ar-SA"/>
        </w:rPr>
        <w:t>female suicide bomber</w:t>
      </w:r>
      <w:r w:rsidR="005F4A0F">
        <w:rPr>
          <w:rFonts w:ascii="Times New Roman" w:eastAsia="Calibri" w:hAnsi="Times New Roman"/>
          <w:noProof/>
          <w:lang w:bidi="ar-SA"/>
        </w:rPr>
        <w:t>s</w:t>
      </w:r>
      <w:r>
        <w:rPr>
          <w:rFonts w:ascii="Times New Roman" w:eastAsia="Calibri" w:hAnsi="Times New Roman"/>
          <w:noProof/>
          <w:lang w:bidi="ar-SA"/>
        </w:rPr>
        <w:t xml:space="preserve"> represents this tension between ideological beliefs and </w:t>
      </w:r>
      <w:r w:rsidR="002B79C4">
        <w:rPr>
          <w:rFonts w:ascii="Times New Roman" w:eastAsia="Calibri" w:hAnsi="Times New Roman"/>
          <w:noProof/>
          <w:lang w:bidi="ar-SA"/>
        </w:rPr>
        <w:t>pragmatism</w:t>
      </w:r>
      <w:r w:rsidR="004555DB">
        <w:rPr>
          <w:rFonts w:ascii="Times New Roman" w:eastAsia="Calibri" w:hAnsi="Times New Roman"/>
          <w:noProof/>
          <w:lang w:bidi="ar-SA"/>
        </w:rPr>
        <w:t xml:space="preserve">.  </w:t>
      </w:r>
      <w:r w:rsidR="00627FBC">
        <w:rPr>
          <w:rFonts w:ascii="Times New Roman" w:eastAsia="Calibri" w:hAnsi="Times New Roman"/>
          <w:noProof/>
          <w:lang w:bidi="ar-SA"/>
        </w:rPr>
        <w:t xml:space="preserve">Originally, only secular or leftist oriented groups </w:t>
      </w:r>
      <w:r w:rsidR="00627FBC">
        <w:rPr>
          <w:rFonts w:ascii="Times New Roman" w:eastAsia="Calibri" w:hAnsi="Times New Roman"/>
          <w:noProof/>
          <w:lang w:bidi="ar-SA"/>
        </w:rPr>
        <w:lastRenderedPageBreak/>
        <w:t xml:space="preserve">(the LTTE, the Lebanese socialist groups, the PKK) </w:t>
      </w:r>
      <w:r w:rsidR="00DF2709">
        <w:rPr>
          <w:rFonts w:ascii="Times New Roman" w:eastAsia="Calibri" w:hAnsi="Times New Roman"/>
          <w:noProof/>
          <w:lang w:bidi="ar-SA"/>
        </w:rPr>
        <w:t>sponsored female suicide bombers</w:t>
      </w:r>
      <w:r w:rsidR="004555DB">
        <w:rPr>
          <w:rFonts w:ascii="Times New Roman" w:eastAsia="Calibri" w:hAnsi="Times New Roman"/>
          <w:noProof/>
          <w:lang w:bidi="ar-SA"/>
        </w:rPr>
        <w:t xml:space="preserve">.  </w:t>
      </w:r>
      <w:r w:rsidR="00627FBC">
        <w:rPr>
          <w:rFonts w:ascii="Times New Roman" w:eastAsia="Calibri" w:hAnsi="Times New Roman"/>
          <w:noProof/>
          <w:lang w:bidi="ar-SA"/>
        </w:rPr>
        <w:t xml:space="preserve">Because Marxist ideology emphasized gender equality, the Marxist groups were comfortable with celebrating </w:t>
      </w:r>
      <w:r w:rsidR="00BE2949">
        <w:rPr>
          <w:rFonts w:ascii="Times New Roman" w:eastAsia="Calibri" w:hAnsi="Times New Roman"/>
          <w:noProof/>
          <w:lang w:bidi="ar-SA"/>
        </w:rPr>
        <w:t xml:space="preserve">women </w:t>
      </w:r>
      <w:r w:rsidR="00627FBC">
        <w:rPr>
          <w:rFonts w:ascii="Times New Roman" w:eastAsia="Calibri" w:hAnsi="Times New Roman"/>
          <w:noProof/>
          <w:lang w:bidi="ar-SA"/>
        </w:rPr>
        <w:t>bombers</w:t>
      </w:r>
      <w:r w:rsidR="004555DB">
        <w:rPr>
          <w:rFonts w:ascii="Times New Roman" w:eastAsia="Calibri" w:hAnsi="Times New Roman"/>
          <w:noProof/>
          <w:lang w:bidi="ar-SA"/>
        </w:rPr>
        <w:t xml:space="preserve">.  </w:t>
      </w:r>
      <w:r w:rsidR="00627FBC">
        <w:rPr>
          <w:rFonts w:ascii="Times New Roman" w:eastAsia="Calibri" w:hAnsi="Times New Roman"/>
          <w:noProof/>
          <w:lang w:bidi="ar-SA"/>
        </w:rPr>
        <w:t>However, there was a functional aspect as well—female suicide bombers maximized the effectiveness of women fighters</w:t>
      </w:r>
      <w:r w:rsidR="004555DB">
        <w:rPr>
          <w:rFonts w:ascii="Times New Roman" w:eastAsia="Calibri" w:hAnsi="Times New Roman"/>
          <w:noProof/>
          <w:lang w:bidi="ar-SA"/>
        </w:rPr>
        <w:t xml:space="preserve">.  </w:t>
      </w:r>
      <w:r w:rsidR="00627FBC">
        <w:rPr>
          <w:rFonts w:ascii="Times New Roman" w:eastAsia="Calibri" w:hAnsi="Times New Roman"/>
          <w:noProof/>
          <w:lang w:bidi="ar-SA"/>
        </w:rPr>
        <w:t>The female suicide bomber could kill as many as a male suicide bomber</w:t>
      </w:r>
      <w:r w:rsidR="004555DB">
        <w:rPr>
          <w:rFonts w:ascii="Times New Roman" w:eastAsia="Calibri" w:hAnsi="Times New Roman"/>
          <w:noProof/>
          <w:lang w:bidi="ar-SA"/>
        </w:rPr>
        <w:t xml:space="preserve">.  </w:t>
      </w:r>
    </w:p>
    <w:p w:rsidR="00627FBC" w:rsidRPr="00D3386D" w:rsidRDefault="00627FBC" w:rsidP="001175EE">
      <w:pPr>
        <w:ind w:firstLine="720"/>
        <w:contextualSpacing/>
        <w:rPr>
          <w:rFonts w:ascii="Times New Roman" w:eastAsia="Calibri" w:hAnsi="Times New Roman"/>
          <w:noProof/>
          <w:lang w:bidi="ar-SA"/>
        </w:rPr>
      </w:pPr>
      <w:r>
        <w:rPr>
          <w:rFonts w:ascii="Times New Roman" w:eastAsia="Calibri" w:hAnsi="Times New Roman"/>
          <w:noProof/>
          <w:lang w:bidi="ar-SA"/>
        </w:rPr>
        <w:t xml:space="preserve">Originally, the religious groups </w:t>
      </w:r>
      <w:r w:rsidR="00B007D6">
        <w:rPr>
          <w:rFonts w:ascii="Times New Roman" w:eastAsia="Calibri" w:hAnsi="Times New Roman"/>
          <w:noProof/>
          <w:lang w:bidi="ar-SA"/>
        </w:rPr>
        <w:t xml:space="preserve">of Hamas and the Palestinian Islamic Jihad </w:t>
      </w:r>
      <w:r w:rsidR="002B79C4">
        <w:rPr>
          <w:rFonts w:ascii="Times New Roman" w:eastAsia="Calibri" w:hAnsi="Times New Roman"/>
          <w:noProof/>
          <w:lang w:bidi="ar-SA"/>
        </w:rPr>
        <w:t xml:space="preserve">(PIJ) </w:t>
      </w:r>
      <w:r w:rsidR="00B007D6">
        <w:rPr>
          <w:rFonts w:ascii="Times New Roman" w:eastAsia="Calibri" w:hAnsi="Times New Roman"/>
          <w:noProof/>
          <w:lang w:bidi="ar-SA"/>
        </w:rPr>
        <w:t>forbade the use of female suicide bombers</w:t>
      </w:r>
      <w:r w:rsidR="004555DB">
        <w:rPr>
          <w:rFonts w:ascii="Times New Roman" w:eastAsia="Calibri" w:hAnsi="Times New Roman"/>
          <w:noProof/>
          <w:lang w:bidi="ar-SA"/>
        </w:rPr>
        <w:t xml:space="preserve">.  </w:t>
      </w:r>
      <w:r w:rsidR="00B007D6">
        <w:rPr>
          <w:rFonts w:ascii="Times New Roman" w:eastAsia="Calibri" w:hAnsi="Times New Roman"/>
          <w:noProof/>
          <w:lang w:bidi="ar-SA"/>
        </w:rPr>
        <w:t>Sheikh Ahmed Yassin of Hamas declared anyone who recruited a female bomber as “breaking Islamic law.”</w:t>
      </w:r>
      <w:r w:rsidR="00B007D6" w:rsidRPr="00B007D6">
        <w:rPr>
          <w:rFonts w:ascii="Times New Roman" w:eastAsia="Calibri" w:hAnsi="Times New Roman"/>
          <w:noProof/>
          <w:vertAlign w:val="superscript"/>
          <w:lang w:bidi="ar-SA"/>
        </w:rPr>
        <w:footnoteReference w:id="41"/>
      </w:r>
      <w:bookmarkStart w:id="17" w:name="qpzz476"/>
      <w:bookmarkEnd w:id="17"/>
      <w:r w:rsidR="001175EE">
        <w:rPr>
          <w:rFonts w:ascii="Times New Roman" w:eastAsia="Calibri" w:hAnsi="Times New Roman"/>
          <w:noProof/>
          <w:lang w:bidi="ar-SA"/>
        </w:rPr>
        <w:t xml:space="preserve">  </w:t>
      </w:r>
      <w:r w:rsidR="00B007D6" w:rsidRPr="00B007D6">
        <w:rPr>
          <w:rFonts w:ascii="Times New Roman" w:eastAsia="Calibri" w:hAnsi="Times New Roman"/>
          <w:noProof/>
          <w:lang w:bidi="ar-SA"/>
        </w:rPr>
        <w:t xml:space="preserve">Nonetheless, </w:t>
      </w:r>
      <w:r w:rsidR="00B007D6">
        <w:rPr>
          <w:rFonts w:ascii="Times New Roman" w:eastAsia="Calibri" w:hAnsi="Times New Roman"/>
          <w:noProof/>
          <w:lang w:bidi="ar-SA"/>
        </w:rPr>
        <w:t>after the first Palestinian</w:t>
      </w:r>
      <w:r w:rsidR="004555DB">
        <w:rPr>
          <w:rFonts w:ascii="Times New Roman" w:eastAsia="Calibri" w:hAnsi="Times New Roman"/>
          <w:noProof/>
          <w:lang w:bidi="ar-SA"/>
        </w:rPr>
        <w:t xml:space="preserve"> </w:t>
      </w:r>
      <w:r w:rsidR="00B007D6">
        <w:rPr>
          <w:rFonts w:ascii="Times New Roman" w:eastAsia="Calibri" w:hAnsi="Times New Roman"/>
          <w:noProof/>
          <w:lang w:bidi="ar-SA"/>
        </w:rPr>
        <w:t xml:space="preserve">female suicide bomber Wafa Idris became a popular </w:t>
      </w:r>
      <w:r w:rsidR="002B79C4">
        <w:rPr>
          <w:rFonts w:ascii="Times New Roman" w:eastAsia="Calibri" w:hAnsi="Times New Roman"/>
          <w:noProof/>
          <w:lang w:bidi="ar-SA"/>
        </w:rPr>
        <w:t>Palestinian</w:t>
      </w:r>
      <w:r w:rsidR="00B007D6">
        <w:rPr>
          <w:rFonts w:ascii="Times New Roman" w:eastAsia="Calibri" w:hAnsi="Times New Roman"/>
          <w:noProof/>
          <w:lang w:bidi="ar-SA"/>
        </w:rPr>
        <w:t xml:space="preserve"> icon, Hamas</w:t>
      </w:r>
      <w:r w:rsidR="004555DB">
        <w:rPr>
          <w:rFonts w:ascii="Times New Roman" w:eastAsia="Calibri" w:hAnsi="Times New Roman"/>
          <w:noProof/>
          <w:lang w:bidi="ar-SA"/>
        </w:rPr>
        <w:t xml:space="preserve"> </w:t>
      </w:r>
      <w:r w:rsidR="00B007D6" w:rsidRPr="00B007D6">
        <w:rPr>
          <w:rFonts w:ascii="Times New Roman" w:eastAsia="Calibri" w:hAnsi="Times New Roman"/>
          <w:noProof/>
          <w:lang w:bidi="ar-SA"/>
        </w:rPr>
        <w:t>reversed its stance and sponsored its first female suicide bomber</w:t>
      </w:r>
      <w:r w:rsidR="00B007D6">
        <w:rPr>
          <w:rFonts w:ascii="Times New Roman" w:eastAsia="Calibri" w:hAnsi="Times New Roman"/>
          <w:noProof/>
          <w:lang w:bidi="ar-SA"/>
        </w:rPr>
        <w:t xml:space="preserve"> two years after Idris’ attack</w:t>
      </w:r>
      <w:r w:rsidR="00B007D6" w:rsidRPr="00B007D6">
        <w:rPr>
          <w:rFonts w:ascii="Times New Roman" w:eastAsia="Calibri" w:hAnsi="Times New Roman"/>
          <w:noProof/>
          <w:lang w:bidi="ar-SA"/>
        </w:rPr>
        <w:t>.</w:t>
      </w:r>
      <w:bookmarkStart w:id="18" w:name="qpzz477"/>
      <w:bookmarkStart w:id="19" w:name="qpzz479"/>
      <w:bookmarkStart w:id="20" w:name="qpzz480"/>
      <w:bookmarkEnd w:id="18"/>
      <w:bookmarkEnd w:id="19"/>
      <w:bookmarkEnd w:id="20"/>
      <w:r w:rsidR="00B007D6" w:rsidRPr="00B007D6">
        <w:rPr>
          <w:rFonts w:ascii="Times New Roman" w:eastAsia="Calibri" w:hAnsi="Times New Roman"/>
          <w:noProof/>
          <w:vertAlign w:val="superscript"/>
          <w:lang w:bidi="ar-SA"/>
        </w:rPr>
        <w:footnoteReference w:id="42"/>
      </w:r>
      <w:bookmarkStart w:id="21" w:name="qpzz483"/>
      <w:bookmarkEnd w:id="21"/>
      <w:r w:rsidR="00DF2709">
        <w:rPr>
          <w:rFonts w:ascii="Times New Roman" w:eastAsia="Calibri" w:hAnsi="Times New Roman"/>
          <w:noProof/>
          <w:lang w:bidi="ar-SA"/>
        </w:rPr>
        <w:t xml:space="preserve">  </w:t>
      </w:r>
      <w:r w:rsidR="00D3386D">
        <w:rPr>
          <w:rFonts w:ascii="Times New Roman" w:eastAsia="Calibri" w:hAnsi="Times New Roman"/>
          <w:noProof/>
          <w:lang w:bidi="ar-SA"/>
        </w:rPr>
        <w:t>Al Qaeda, which originally placed similar restrictions on female bombers, eventually marketed martyrdom to women as well</w:t>
      </w:r>
      <w:r w:rsidR="004555DB">
        <w:rPr>
          <w:rFonts w:ascii="Times New Roman" w:eastAsia="Calibri" w:hAnsi="Times New Roman"/>
          <w:noProof/>
          <w:lang w:bidi="ar-SA"/>
        </w:rPr>
        <w:t xml:space="preserve">.  </w:t>
      </w:r>
      <w:r w:rsidR="00D3386D">
        <w:rPr>
          <w:rFonts w:ascii="Times New Roman" w:eastAsia="Calibri" w:hAnsi="Times New Roman"/>
          <w:noProof/>
          <w:lang w:bidi="ar-SA"/>
        </w:rPr>
        <w:t xml:space="preserve">Instead of being awarded the </w:t>
      </w:r>
      <w:r w:rsidR="00D3386D">
        <w:rPr>
          <w:rFonts w:ascii="Times New Roman" w:eastAsia="Calibri" w:hAnsi="Times New Roman"/>
          <w:i/>
          <w:noProof/>
          <w:lang w:bidi="ar-SA"/>
        </w:rPr>
        <w:t xml:space="preserve">houris, </w:t>
      </w:r>
      <w:r w:rsidR="002B79C4">
        <w:rPr>
          <w:rFonts w:ascii="Times New Roman" w:eastAsia="Calibri" w:hAnsi="Times New Roman"/>
          <w:noProof/>
          <w:lang w:bidi="ar-SA"/>
        </w:rPr>
        <w:t>the seventy</w:t>
      </w:r>
      <w:r w:rsidR="00D3386D">
        <w:rPr>
          <w:rFonts w:ascii="Times New Roman" w:eastAsia="Calibri" w:hAnsi="Times New Roman"/>
          <w:noProof/>
          <w:lang w:bidi="ar-SA"/>
        </w:rPr>
        <w:t xml:space="preserve"> virgins given to the </w:t>
      </w:r>
      <w:r w:rsidR="002B79C4">
        <w:rPr>
          <w:rFonts w:ascii="Times New Roman" w:eastAsia="Calibri" w:hAnsi="Times New Roman"/>
          <w:noProof/>
          <w:lang w:bidi="ar-SA"/>
        </w:rPr>
        <w:t xml:space="preserve">male </w:t>
      </w:r>
      <w:r w:rsidR="00D3386D">
        <w:rPr>
          <w:rFonts w:ascii="Times New Roman" w:eastAsia="Calibri" w:hAnsi="Times New Roman"/>
          <w:noProof/>
          <w:lang w:bidi="ar-SA"/>
        </w:rPr>
        <w:t>martyr in heaven, the female martyr becomes the “most beautiful angel in heaven</w:t>
      </w:r>
      <w:r w:rsidR="002B79C4">
        <w:rPr>
          <w:rFonts w:ascii="Times New Roman" w:eastAsia="Calibri" w:hAnsi="Times New Roman"/>
          <w:noProof/>
          <w:lang w:bidi="ar-SA"/>
        </w:rPr>
        <w:t>.”</w:t>
      </w:r>
      <w:r w:rsidR="00D3386D">
        <w:rPr>
          <w:rStyle w:val="FootnoteReference"/>
          <w:rFonts w:ascii="Times New Roman" w:eastAsia="Calibri" w:hAnsi="Times New Roman"/>
          <w:noProof/>
          <w:lang w:bidi="ar-SA"/>
        </w:rPr>
        <w:footnoteReference w:id="43"/>
      </w:r>
      <w:r w:rsidR="004555DB">
        <w:rPr>
          <w:rFonts w:ascii="Times New Roman" w:eastAsia="Calibri" w:hAnsi="Times New Roman"/>
          <w:noProof/>
          <w:lang w:bidi="ar-SA"/>
        </w:rPr>
        <w:t xml:space="preserve"> </w:t>
      </w:r>
    </w:p>
    <w:p w:rsidR="00672E3F" w:rsidRPr="00BD3DCE" w:rsidRDefault="00672E3F" w:rsidP="001175EE">
      <w:pPr>
        <w:ind w:firstLine="720"/>
        <w:contextualSpacing/>
        <w:rPr>
          <w:rFonts w:ascii="Times New Roman" w:eastAsia="Calibri" w:hAnsi="Times New Roman"/>
          <w:noProof/>
          <w:lang w:bidi="he-IL"/>
        </w:rPr>
      </w:pPr>
      <w:r>
        <w:rPr>
          <w:rFonts w:ascii="Times New Roman" w:eastAsia="Calibri" w:hAnsi="Times New Roman"/>
          <w:noProof/>
          <w:lang w:bidi="ar-SA"/>
        </w:rPr>
        <w:t xml:space="preserve">Although the primary focus of this paper is to explain </w:t>
      </w:r>
      <w:r w:rsidR="002B79C4">
        <w:rPr>
          <w:rFonts w:ascii="Times New Roman" w:eastAsia="Calibri" w:hAnsi="Times New Roman"/>
          <w:noProof/>
          <w:lang w:bidi="ar-SA"/>
        </w:rPr>
        <w:t>ideological influence on</w:t>
      </w:r>
      <w:r>
        <w:rPr>
          <w:rFonts w:ascii="Times New Roman" w:eastAsia="Calibri" w:hAnsi="Times New Roman"/>
          <w:noProof/>
          <w:lang w:bidi="ar-SA"/>
        </w:rPr>
        <w:t xml:space="preserve"> individual </w:t>
      </w:r>
      <w:r w:rsidR="002B79C4">
        <w:rPr>
          <w:rFonts w:ascii="Times New Roman" w:eastAsia="Calibri" w:hAnsi="Times New Roman"/>
          <w:noProof/>
          <w:lang w:bidi="ar-SA"/>
        </w:rPr>
        <w:t>decision making</w:t>
      </w:r>
      <w:r>
        <w:rPr>
          <w:rFonts w:ascii="Times New Roman" w:eastAsia="Calibri" w:hAnsi="Times New Roman"/>
          <w:noProof/>
          <w:lang w:bidi="ar-SA"/>
        </w:rPr>
        <w:t>, the role of the organization is vital to a successful campaign as well</w:t>
      </w:r>
      <w:r w:rsidR="004555DB">
        <w:rPr>
          <w:rFonts w:ascii="Times New Roman" w:eastAsia="Calibri" w:hAnsi="Times New Roman"/>
          <w:noProof/>
          <w:lang w:bidi="ar-SA"/>
        </w:rPr>
        <w:t xml:space="preserve">.  </w:t>
      </w:r>
      <w:r>
        <w:rPr>
          <w:rFonts w:ascii="Times New Roman" w:eastAsia="Calibri" w:hAnsi="Times New Roman"/>
          <w:noProof/>
          <w:lang w:bidi="ar-SA"/>
        </w:rPr>
        <w:t>N</w:t>
      </w:r>
      <w:r w:rsidRPr="00BD3DCE">
        <w:rPr>
          <w:rFonts w:ascii="Times New Roman" w:eastAsia="Calibri" w:hAnsi="Times New Roman"/>
          <w:noProof/>
          <w:lang w:bidi="he-IL"/>
        </w:rPr>
        <w:t>o matter how much motivation an individual may have, he is unlikely to have the resources, operational intelligence, and logistical wherewithal to successful execute a suicide attack on his own.</w:t>
      </w:r>
      <w:r w:rsidRPr="00BD3DCE">
        <w:rPr>
          <w:rFonts w:ascii="Times New Roman" w:eastAsia="Calibri" w:hAnsi="Times New Roman"/>
          <w:noProof/>
          <w:vertAlign w:val="superscript"/>
          <w:lang w:bidi="he-IL"/>
        </w:rPr>
        <w:footnoteReference w:id="44"/>
      </w:r>
      <w:r w:rsidR="00DF2709">
        <w:rPr>
          <w:rFonts w:ascii="Times New Roman" w:eastAsia="Calibri" w:hAnsi="Times New Roman"/>
          <w:noProof/>
          <w:lang w:bidi="he-IL"/>
        </w:rPr>
        <w:t xml:space="preserve">  </w:t>
      </w:r>
      <w:r>
        <w:rPr>
          <w:rFonts w:ascii="Times New Roman" w:eastAsia="Calibri" w:hAnsi="Times New Roman"/>
          <w:noProof/>
          <w:lang w:bidi="ar-SA"/>
        </w:rPr>
        <w:t>B</w:t>
      </w:r>
      <w:r w:rsidRPr="00BD3DCE">
        <w:rPr>
          <w:rFonts w:ascii="Times New Roman" w:eastAsia="Calibri" w:hAnsi="Times New Roman"/>
          <w:noProof/>
          <w:lang w:bidi="ar-SA"/>
        </w:rPr>
        <w:t xml:space="preserve">oth Hamas and </w:t>
      </w:r>
      <w:r w:rsidR="002B79C4">
        <w:rPr>
          <w:rFonts w:ascii="Times New Roman" w:eastAsia="Calibri" w:hAnsi="Times New Roman"/>
          <w:noProof/>
          <w:lang w:bidi="ar-SA"/>
        </w:rPr>
        <w:t>the PIJ</w:t>
      </w:r>
      <w:r w:rsidRPr="00BD3DCE">
        <w:rPr>
          <w:rFonts w:ascii="Times New Roman" w:eastAsia="Calibri" w:hAnsi="Times New Roman"/>
          <w:noProof/>
          <w:lang w:bidi="ar-SA"/>
        </w:rPr>
        <w:t xml:space="preserve"> used three cells to conduct </w:t>
      </w:r>
      <w:r w:rsidR="002B79C4">
        <w:rPr>
          <w:rFonts w:ascii="Times New Roman" w:eastAsia="Calibri" w:hAnsi="Times New Roman"/>
          <w:noProof/>
          <w:lang w:bidi="ar-SA"/>
        </w:rPr>
        <w:t xml:space="preserve">one </w:t>
      </w:r>
      <w:r w:rsidRPr="00BD3DCE">
        <w:rPr>
          <w:rFonts w:ascii="Times New Roman" w:eastAsia="Calibri" w:hAnsi="Times New Roman"/>
          <w:noProof/>
          <w:lang w:bidi="ar-SA"/>
        </w:rPr>
        <w:lastRenderedPageBreak/>
        <w:t>suicide attack</w:t>
      </w:r>
      <w:r w:rsidR="00BE2949">
        <w:rPr>
          <w:rFonts w:ascii="Times New Roman" w:eastAsia="Calibri" w:hAnsi="Times New Roman"/>
          <w:noProof/>
          <w:lang w:bidi="ar-SA"/>
        </w:rPr>
        <w:t>—o</w:t>
      </w:r>
      <w:r w:rsidRPr="00BD3DCE">
        <w:rPr>
          <w:rFonts w:ascii="Times New Roman" w:eastAsia="Calibri" w:hAnsi="Times New Roman"/>
          <w:noProof/>
          <w:lang w:bidi="ar-SA"/>
        </w:rPr>
        <w:t>ne to gather intel</w:t>
      </w:r>
      <w:r>
        <w:rPr>
          <w:rFonts w:ascii="Times New Roman" w:eastAsia="Calibri" w:hAnsi="Times New Roman"/>
          <w:noProof/>
          <w:lang w:bidi="ar-SA"/>
        </w:rPr>
        <w:t>ligence</w:t>
      </w:r>
      <w:r w:rsidRPr="00BD3DCE">
        <w:rPr>
          <w:rFonts w:ascii="Times New Roman" w:eastAsia="Calibri" w:hAnsi="Times New Roman"/>
          <w:noProof/>
          <w:lang w:bidi="ar-SA"/>
        </w:rPr>
        <w:t xml:space="preserve"> on target</w:t>
      </w:r>
      <w:r>
        <w:rPr>
          <w:rFonts w:ascii="Times New Roman" w:eastAsia="Calibri" w:hAnsi="Times New Roman"/>
          <w:noProof/>
          <w:lang w:bidi="ar-SA"/>
        </w:rPr>
        <w:t>s</w:t>
      </w:r>
      <w:r w:rsidRPr="00BD3DCE">
        <w:rPr>
          <w:rFonts w:ascii="Times New Roman" w:eastAsia="Calibri" w:hAnsi="Times New Roman"/>
          <w:noProof/>
          <w:lang w:bidi="ar-SA"/>
        </w:rPr>
        <w:t xml:space="preserve">, another for recruiting and managing the martyr, and the third for preparing </w:t>
      </w:r>
      <w:r>
        <w:rPr>
          <w:rFonts w:ascii="Times New Roman" w:eastAsia="Calibri" w:hAnsi="Times New Roman"/>
          <w:noProof/>
          <w:lang w:bidi="ar-SA"/>
        </w:rPr>
        <w:t xml:space="preserve">and transporting </w:t>
      </w:r>
      <w:r w:rsidRPr="00BD3DCE">
        <w:rPr>
          <w:rFonts w:ascii="Times New Roman" w:eastAsia="Calibri" w:hAnsi="Times New Roman"/>
          <w:noProof/>
          <w:lang w:bidi="ar-SA"/>
        </w:rPr>
        <w:t>explosives.</w:t>
      </w:r>
      <w:r w:rsidRPr="00BD3DCE">
        <w:rPr>
          <w:rFonts w:ascii="Times New Roman" w:eastAsia="Calibri" w:hAnsi="Times New Roman"/>
          <w:noProof/>
          <w:vertAlign w:val="superscript"/>
          <w:lang w:bidi="ar-SA"/>
        </w:rPr>
        <w:footnoteReference w:id="45"/>
      </w:r>
      <w:r w:rsidR="004555DB">
        <w:rPr>
          <w:rFonts w:ascii="Times New Roman" w:eastAsia="Calibri" w:hAnsi="Times New Roman"/>
          <w:noProof/>
          <w:lang w:bidi="ar-SA"/>
        </w:rPr>
        <w:t xml:space="preserve"> </w:t>
      </w:r>
    </w:p>
    <w:p w:rsidR="00672E3F" w:rsidRDefault="00672E3F" w:rsidP="00DF2709">
      <w:pPr>
        <w:ind w:firstLine="720"/>
        <w:contextualSpacing/>
        <w:rPr>
          <w:rFonts w:ascii="Times New Roman" w:eastAsia="Calibri" w:hAnsi="Times New Roman"/>
          <w:noProof/>
          <w:lang w:bidi="ar-SA"/>
        </w:rPr>
      </w:pPr>
      <w:r>
        <w:rPr>
          <w:rFonts w:ascii="Times New Roman" w:eastAsia="Calibri" w:hAnsi="Times New Roman"/>
          <w:noProof/>
          <w:lang w:bidi="ar-SA"/>
        </w:rPr>
        <w:t xml:space="preserve">There are three </w:t>
      </w:r>
      <w:r w:rsidR="002B79C4">
        <w:rPr>
          <w:rFonts w:ascii="Times New Roman" w:eastAsia="Calibri" w:hAnsi="Times New Roman"/>
          <w:noProof/>
          <w:lang w:bidi="ar-SA"/>
        </w:rPr>
        <w:t xml:space="preserve">social components </w:t>
      </w:r>
      <w:r>
        <w:rPr>
          <w:rFonts w:ascii="Times New Roman" w:eastAsia="Calibri" w:hAnsi="Times New Roman"/>
          <w:noProof/>
          <w:lang w:bidi="ar-SA"/>
        </w:rPr>
        <w:t xml:space="preserve">in a suicide attack—the organization, the individual participating in the attack, and the population that the organization </w:t>
      </w:r>
      <w:r w:rsidR="002B79C4">
        <w:rPr>
          <w:rFonts w:ascii="Times New Roman" w:eastAsia="Calibri" w:hAnsi="Times New Roman"/>
          <w:noProof/>
          <w:lang w:bidi="ar-SA"/>
        </w:rPr>
        <w:t>attempts</w:t>
      </w:r>
      <w:r>
        <w:rPr>
          <w:rFonts w:ascii="Times New Roman" w:eastAsia="Calibri" w:hAnsi="Times New Roman"/>
          <w:noProof/>
          <w:lang w:bidi="ar-SA"/>
        </w:rPr>
        <w:t xml:space="preserve"> to represent</w:t>
      </w:r>
      <w:r w:rsidR="004555DB">
        <w:rPr>
          <w:rFonts w:ascii="Times New Roman" w:eastAsia="Calibri" w:hAnsi="Times New Roman"/>
          <w:noProof/>
          <w:lang w:bidi="ar-SA"/>
        </w:rPr>
        <w:t xml:space="preserve">.  </w:t>
      </w:r>
      <w:r>
        <w:rPr>
          <w:rFonts w:ascii="Times New Roman" w:eastAsia="Calibri" w:hAnsi="Times New Roman"/>
          <w:noProof/>
          <w:lang w:bidi="ar-SA"/>
        </w:rPr>
        <w:t>In order for a suicide bombing campaign to sustain itself, all three components need to be in favor of its usage</w:t>
      </w:r>
      <w:r w:rsidR="004555DB">
        <w:rPr>
          <w:rFonts w:ascii="Times New Roman" w:eastAsia="Calibri" w:hAnsi="Times New Roman"/>
          <w:noProof/>
          <w:lang w:bidi="ar-SA"/>
        </w:rPr>
        <w:t xml:space="preserve">.  </w:t>
      </w:r>
      <w:r>
        <w:rPr>
          <w:rFonts w:ascii="Times New Roman" w:eastAsia="Calibri" w:hAnsi="Times New Roman"/>
          <w:noProof/>
          <w:lang w:bidi="ar-SA"/>
        </w:rPr>
        <w:t>However, these three units may not be synchronized ideologically</w:t>
      </w:r>
      <w:r w:rsidR="004555DB">
        <w:rPr>
          <w:rFonts w:ascii="Times New Roman" w:eastAsia="Calibri" w:hAnsi="Times New Roman"/>
          <w:noProof/>
          <w:lang w:bidi="ar-SA"/>
        </w:rPr>
        <w:t xml:space="preserve">.  </w:t>
      </w:r>
      <w:r>
        <w:rPr>
          <w:rFonts w:ascii="Times New Roman" w:eastAsia="Calibri" w:hAnsi="Times New Roman"/>
          <w:noProof/>
          <w:lang w:bidi="ar-SA"/>
        </w:rPr>
        <w:t xml:space="preserve">In some campaigns, such as the </w:t>
      </w:r>
      <w:r w:rsidR="002B79C4">
        <w:rPr>
          <w:rFonts w:ascii="Times New Roman" w:eastAsia="Calibri" w:hAnsi="Times New Roman"/>
          <w:noProof/>
          <w:lang w:bidi="ar-SA"/>
        </w:rPr>
        <w:t xml:space="preserve">LTTE </w:t>
      </w:r>
      <w:r>
        <w:rPr>
          <w:rFonts w:ascii="Times New Roman" w:eastAsia="Calibri" w:hAnsi="Times New Roman"/>
          <w:noProof/>
          <w:lang w:bidi="ar-SA"/>
        </w:rPr>
        <w:t xml:space="preserve">and the </w:t>
      </w:r>
      <w:r w:rsidR="002B79C4">
        <w:rPr>
          <w:rFonts w:ascii="Times New Roman" w:eastAsia="Calibri" w:hAnsi="Times New Roman"/>
          <w:noProof/>
          <w:lang w:bidi="ar-SA"/>
        </w:rPr>
        <w:t>PKK,</w:t>
      </w:r>
      <w:r>
        <w:rPr>
          <w:rFonts w:ascii="Times New Roman" w:eastAsia="Calibri" w:hAnsi="Times New Roman"/>
          <w:noProof/>
          <w:lang w:bidi="ar-SA"/>
        </w:rPr>
        <w:t xml:space="preserve"> the organization coerces the individual to become a bomber</w:t>
      </w:r>
      <w:r w:rsidR="004555DB">
        <w:rPr>
          <w:rFonts w:ascii="Times New Roman" w:eastAsia="Calibri" w:hAnsi="Times New Roman"/>
          <w:noProof/>
          <w:lang w:bidi="ar-SA"/>
        </w:rPr>
        <w:t xml:space="preserve">.  </w:t>
      </w:r>
      <w:r>
        <w:rPr>
          <w:rFonts w:ascii="Times New Roman" w:eastAsia="Calibri" w:hAnsi="Times New Roman"/>
          <w:noProof/>
          <w:lang w:bidi="ar-SA"/>
        </w:rPr>
        <w:t xml:space="preserve">In the campaigns that rely on self-selected martyrs, such as Al Qaeda and ISIS, the self-selected martyrs may not </w:t>
      </w:r>
      <w:r w:rsidR="00DF2709">
        <w:rPr>
          <w:rFonts w:ascii="Times New Roman" w:eastAsia="Calibri" w:hAnsi="Times New Roman"/>
          <w:noProof/>
          <w:lang w:bidi="ar-SA"/>
        </w:rPr>
        <w:t>volunteer</w:t>
      </w:r>
      <w:r>
        <w:rPr>
          <w:rFonts w:ascii="Times New Roman" w:eastAsia="Calibri" w:hAnsi="Times New Roman"/>
          <w:noProof/>
          <w:lang w:bidi="ar-SA"/>
        </w:rPr>
        <w:t xml:space="preserve"> because they believe or understand </w:t>
      </w:r>
      <w:r w:rsidR="00DF2709">
        <w:rPr>
          <w:rFonts w:ascii="Times New Roman" w:eastAsia="Calibri" w:hAnsi="Times New Roman"/>
          <w:noProof/>
          <w:lang w:bidi="ar-SA"/>
        </w:rPr>
        <w:t xml:space="preserve">the process to </w:t>
      </w:r>
      <w:r>
        <w:rPr>
          <w:rFonts w:ascii="Times New Roman" w:eastAsia="Calibri" w:hAnsi="Times New Roman"/>
          <w:noProof/>
          <w:lang w:bidi="ar-SA"/>
        </w:rPr>
        <w:t>the political end state</w:t>
      </w:r>
      <w:r w:rsidR="004555DB">
        <w:rPr>
          <w:rFonts w:ascii="Times New Roman" w:eastAsia="Calibri" w:hAnsi="Times New Roman"/>
          <w:noProof/>
          <w:lang w:bidi="ar-SA"/>
        </w:rPr>
        <w:t xml:space="preserve">.  </w:t>
      </w:r>
    </w:p>
    <w:p w:rsidR="00672E3F" w:rsidRDefault="00672E3F" w:rsidP="002B79C4">
      <w:pPr>
        <w:ind w:firstLine="720"/>
        <w:contextualSpacing/>
        <w:rPr>
          <w:rFonts w:ascii="Times New Roman" w:eastAsia="Calibri" w:hAnsi="Times New Roman"/>
          <w:noProof/>
          <w:lang w:bidi="ar-SA"/>
        </w:rPr>
      </w:pPr>
      <w:r>
        <w:rPr>
          <w:rFonts w:ascii="Times New Roman" w:eastAsia="Calibri" w:hAnsi="Times New Roman"/>
          <w:noProof/>
          <w:lang w:bidi="ar-SA"/>
        </w:rPr>
        <w:t>The organization may conduct suicide attacks for a populace that finds it abhorrent, and the organization fails to garner support for sustained use of the tactic</w:t>
      </w:r>
      <w:r w:rsidR="004555DB">
        <w:rPr>
          <w:rFonts w:ascii="Times New Roman" w:eastAsia="Calibri" w:hAnsi="Times New Roman"/>
          <w:noProof/>
          <w:lang w:bidi="ar-SA"/>
        </w:rPr>
        <w:t xml:space="preserve">.  </w:t>
      </w:r>
      <w:r>
        <w:rPr>
          <w:rFonts w:ascii="Times New Roman" w:eastAsia="Calibri" w:hAnsi="Times New Roman"/>
          <w:noProof/>
          <w:lang w:bidi="ar-SA"/>
        </w:rPr>
        <w:t>For example, the PKK in the mid 1990s</w:t>
      </w:r>
      <w:r w:rsidR="002B79C4">
        <w:rPr>
          <w:rFonts w:ascii="Times New Roman" w:eastAsia="Calibri" w:hAnsi="Times New Roman"/>
          <w:noProof/>
          <w:lang w:bidi="ar-SA"/>
        </w:rPr>
        <w:t xml:space="preserve">, </w:t>
      </w:r>
      <w:r>
        <w:rPr>
          <w:rFonts w:ascii="Times New Roman" w:eastAsia="Calibri" w:hAnsi="Times New Roman"/>
          <w:noProof/>
          <w:lang w:bidi="ar-SA"/>
        </w:rPr>
        <w:t>the LTTE in the late 1980s through the mid-2000s, and</w:t>
      </w:r>
      <w:r w:rsidR="004555DB">
        <w:rPr>
          <w:rFonts w:ascii="Times New Roman" w:eastAsia="Calibri" w:hAnsi="Times New Roman"/>
          <w:noProof/>
          <w:lang w:bidi="ar-SA"/>
        </w:rPr>
        <w:t xml:space="preserve"> </w:t>
      </w:r>
      <w:r>
        <w:rPr>
          <w:rFonts w:ascii="Times New Roman" w:eastAsia="Calibri" w:hAnsi="Times New Roman"/>
          <w:noProof/>
          <w:lang w:bidi="ar-SA"/>
        </w:rPr>
        <w:t>the Chechen rebels in the early 2000s conducted suicide bombing campaigns at varying degrees of length, success, and devastation—yet the death or capture of their leaders ended or suspended those campaigns</w:t>
      </w:r>
      <w:r w:rsidR="004555DB">
        <w:rPr>
          <w:rFonts w:ascii="Times New Roman" w:eastAsia="Calibri" w:hAnsi="Times New Roman"/>
          <w:noProof/>
          <w:lang w:bidi="ar-SA"/>
        </w:rPr>
        <w:t>.</w:t>
      </w:r>
      <w:r w:rsidR="002B79C4">
        <w:rPr>
          <w:rStyle w:val="FootnoteReference"/>
          <w:rFonts w:ascii="Times New Roman" w:eastAsia="Calibri" w:hAnsi="Times New Roman"/>
          <w:noProof/>
          <w:lang w:bidi="ar-SA"/>
        </w:rPr>
        <w:footnoteReference w:id="46"/>
      </w:r>
      <w:r w:rsidR="002B79C4">
        <w:rPr>
          <w:rFonts w:ascii="Times New Roman" w:eastAsia="Calibri" w:hAnsi="Times New Roman"/>
          <w:noProof/>
          <w:lang w:bidi="ar-SA"/>
        </w:rPr>
        <w:t xml:space="preserve">  </w:t>
      </w:r>
      <w:r>
        <w:rPr>
          <w:rFonts w:ascii="Times New Roman" w:eastAsia="Calibri" w:hAnsi="Times New Roman"/>
          <w:noProof/>
          <w:lang w:bidi="ar-SA"/>
        </w:rPr>
        <w:t xml:space="preserve">The death of Villipai Prabhakaran ended the LTTE suicide bombing campaign, the capture of Abdullah Ocalan ended the PKK campaign, and the deaths of Shamil Besayev and Omar Ibn Khattab undermined </w:t>
      </w:r>
      <w:r>
        <w:rPr>
          <w:rFonts w:ascii="Times New Roman" w:eastAsia="Calibri" w:hAnsi="Times New Roman"/>
          <w:noProof/>
          <w:lang w:bidi="ar-SA"/>
        </w:rPr>
        <w:lastRenderedPageBreak/>
        <w:t>the Chechen suicide bombing campaign.</w:t>
      </w:r>
      <w:r>
        <w:rPr>
          <w:rStyle w:val="FootnoteReference"/>
          <w:rFonts w:ascii="Times New Roman" w:eastAsia="Calibri" w:hAnsi="Times New Roman"/>
          <w:noProof/>
          <w:lang w:bidi="ar-SA"/>
        </w:rPr>
        <w:footnoteReference w:id="47"/>
      </w:r>
      <w:r w:rsidR="00290074">
        <w:rPr>
          <w:rFonts w:ascii="Times New Roman" w:eastAsia="Calibri" w:hAnsi="Times New Roman"/>
          <w:noProof/>
          <w:lang w:bidi="ar-SA"/>
        </w:rPr>
        <w:t xml:space="preserve">  </w:t>
      </w:r>
      <w:r>
        <w:rPr>
          <w:rFonts w:ascii="Times New Roman" w:eastAsia="Calibri" w:hAnsi="Times New Roman"/>
          <w:noProof/>
          <w:lang w:bidi="ar-SA"/>
        </w:rPr>
        <w:t>This is different from Hamas’</w:t>
      </w:r>
      <w:r w:rsidR="00BE2949">
        <w:rPr>
          <w:rFonts w:ascii="Times New Roman" w:eastAsia="Calibri" w:hAnsi="Times New Roman"/>
          <w:noProof/>
          <w:lang w:bidi="ar-SA"/>
        </w:rPr>
        <w:t>s</w:t>
      </w:r>
      <w:r>
        <w:rPr>
          <w:rFonts w:ascii="Times New Roman" w:eastAsia="Calibri" w:hAnsi="Times New Roman"/>
          <w:noProof/>
          <w:lang w:bidi="ar-SA"/>
        </w:rPr>
        <w:t xml:space="preserve"> campaign during the Second Intifada, Al Qaeda and its connected franchises efforts across the globe, and ISIS’</w:t>
      </w:r>
      <w:r w:rsidR="00BE2949">
        <w:rPr>
          <w:rFonts w:ascii="Times New Roman" w:eastAsia="Calibri" w:hAnsi="Times New Roman"/>
          <w:noProof/>
          <w:lang w:bidi="ar-SA"/>
        </w:rPr>
        <w:t>s</w:t>
      </w:r>
      <w:r>
        <w:rPr>
          <w:rFonts w:ascii="Times New Roman" w:eastAsia="Calibri" w:hAnsi="Times New Roman"/>
          <w:noProof/>
          <w:lang w:bidi="ar-SA"/>
        </w:rPr>
        <w:t xml:space="preserve"> campaign in Iraq and Syria</w:t>
      </w:r>
      <w:r w:rsidR="004555DB">
        <w:rPr>
          <w:rFonts w:ascii="Times New Roman" w:eastAsia="Calibri" w:hAnsi="Times New Roman"/>
          <w:noProof/>
          <w:lang w:bidi="ar-SA"/>
        </w:rPr>
        <w:t xml:space="preserve">.  </w:t>
      </w:r>
      <w:r>
        <w:rPr>
          <w:rFonts w:ascii="Times New Roman" w:eastAsia="Calibri" w:hAnsi="Times New Roman"/>
          <w:noProof/>
          <w:lang w:bidi="ar-SA"/>
        </w:rPr>
        <w:t>In the latter set of groups, the deaths of leaders did not end the respective suicide bombing campaigns</w:t>
      </w:r>
      <w:r w:rsidR="004555DB">
        <w:rPr>
          <w:rFonts w:ascii="Times New Roman" w:eastAsia="Calibri" w:hAnsi="Times New Roman"/>
          <w:noProof/>
          <w:lang w:bidi="ar-SA"/>
        </w:rPr>
        <w:t xml:space="preserve">.  </w:t>
      </w:r>
    </w:p>
    <w:p w:rsidR="00672E3F" w:rsidRDefault="00672E3F" w:rsidP="00672E3F">
      <w:pPr>
        <w:ind w:firstLine="720"/>
        <w:contextualSpacing/>
        <w:rPr>
          <w:rFonts w:ascii="Times New Roman" w:eastAsia="Calibri" w:hAnsi="Times New Roman"/>
          <w:noProof/>
          <w:lang w:bidi="ar-SA"/>
        </w:rPr>
      </w:pPr>
      <w:r>
        <w:rPr>
          <w:rFonts w:ascii="Times New Roman" w:eastAsia="Calibri" w:hAnsi="Times New Roman"/>
          <w:noProof/>
          <w:lang w:bidi="ar-SA"/>
        </w:rPr>
        <w:t>There are three types of theories on the role of the organization and the individual in suicide terrorism</w:t>
      </w:r>
      <w:r w:rsidR="004555DB">
        <w:rPr>
          <w:rFonts w:ascii="Times New Roman" w:eastAsia="Calibri" w:hAnsi="Times New Roman"/>
          <w:noProof/>
          <w:lang w:bidi="ar-SA"/>
        </w:rPr>
        <w:t xml:space="preserve">.  </w:t>
      </w:r>
      <w:r>
        <w:rPr>
          <w:rFonts w:ascii="Times New Roman" w:eastAsia="Calibri" w:hAnsi="Times New Roman"/>
          <w:noProof/>
          <w:lang w:bidi="ar-SA"/>
        </w:rPr>
        <w:t xml:space="preserve">The first is the organizational-driven approach to understanding the adoption of suicide terrorism, the second is the individual-driven approach, and the third is the </w:t>
      </w:r>
      <w:r w:rsidR="00BE2949">
        <w:rPr>
          <w:rFonts w:ascii="Times New Roman" w:eastAsia="Calibri" w:hAnsi="Times New Roman"/>
          <w:noProof/>
          <w:lang w:bidi="ar-SA"/>
        </w:rPr>
        <w:t xml:space="preserve">integrated </w:t>
      </w:r>
      <w:r>
        <w:rPr>
          <w:rFonts w:ascii="Times New Roman" w:eastAsia="Calibri" w:hAnsi="Times New Roman"/>
          <w:noProof/>
          <w:lang w:bidi="ar-SA"/>
        </w:rPr>
        <w:t>approach</w:t>
      </w:r>
      <w:r w:rsidR="004555DB">
        <w:rPr>
          <w:rFonts w:ascii="Times New Roman" w:eastAsia="Calibri" w:hAnsi="Times New Roman"/>
          <w:noProof/>
          <w:lang w:bidi="ar-SA"/>
        </w:rPr>
        <w:t xml:space="preserve">.  </w:t>
      </w:r>
      <w:r>
        <w:rPr>
          <w:rFonts w:ascii="Times New Roman" w:eastAsia="Calibri" w:hAnsi="Times New Roman"/>
          <w:noProof/>
          <w:lang w:bidi="ar-SA"/>
        </w:rPr>
        <w:t>All theories address the role of the organization, the individual, and the culture (the integration between the two, which stems from the respective population’s sacred values) in some way, yet each of these categories prioritizes one over the others, and in doing so, blurs the other components.</w:t>
      </w:r>
    </w:p>
    <w:p w:rsidR="00672E3F" w:rsidRDefault="00672E3F" w:rsidP="00DF2709">
      <w:pPr>
        <w:ind w:firstLine="720"/>
        <w:contextualSpacing/>
        <w:rPr>
          <w:lang w:bidi="he-IL"/>
        </w:rPr>
      </w:pPr>
      <w:r>
        <w:rPr>
          <w:rFonts w:ascii="Times New Roman" w:eastAsia="Calibri" w:hAnsi="Times New Roman"/>
          <w:noProof/>
          <w:lang w:bidi="ar-SA"/>
        </w:rPr>
        <w:t xml:space="preserve">The most recognized and cited organizational theory of suicide terrorism is Robert Pape’s </w:t>
      </w:r>
      <w:r w:rsidRPr="00290074">
        <w:rPr>
          <w:rFonts w:ascii="Times New Roman" w:eastAsia="Calibri" w:hAnsi="Times New Roman"/>
          <w:i/>
          <w:iCs/>
          <w:noProof/>
          <w:lang w:bidi="ar-SA"/>
        </w:rPr>
        <w:t>nationalist theory of suicide terrorism</w:t>
      </w:r>
      <w:r>
        <w:rPr>
          <w:rFonts w:ascii="Times New Roman" w:eastAsia="Calibri" w:hAnsi="Times New Roman"/>
          <w:noProof/>
          <w:lang w:bidi="ar-SA"/>
        </w:rPr>
        <w:t xml:space="preserve">, which he articulates in </w:t>
      </w:r>
      <w:r>
        <w:rPr>
          <w:rFonts w:ascii="Times New Roman" w:eastAsia="Calibri" w:hAnsi="Times New Roman"/>
          <w:i/>
          <w:iCs/>
          <w:noProof/>
          <w:lang w:bidi="ar-SA"/>
        </w:rPr>
        <w:t>Dying to Win:</w:t>
      </w:r>
      <w:r w:rsidR="004555DB">
        <w:rPr>
          <w:rFonts w:ascii="Times New Roman" w:eastAsia="Calibri" w:hAnsi="Times New Roman"/>
          <w:i/>
          <w:iCs/>
          <w:noProof/>
          <w:lang w:bidi="ar-SA"/>
        </w:rPr>
        <w:t xml:space="preserve"> </w:t>
      </w:r>
      <w:r>
        <w:rPr>
          <w:rFonts w:ascii="Times New Roman" w:eastAsia="Calibri" w:hAnsi="Times New Roman"/>
          <w:i/>
          <w:iCs/>
          <w:noProof/>
          <w:lang w:bidi="ar-SA"/>
        </w:rPr>
        <w:t>The Strategic Logic of Suicide Terrorism</w:t>
      </w:r>
      <w:r w:rsidR="00377919">
        <w:rPr>
          <w:rFonts w:ascii="Times New Roman" w:eastAsia="Calibri" w:hAnsi="Times New Roman"/>
          <w:i/>
          <w:iCs/>
          <w:noProof/>
          <w:lang w:bidi="ar-SA"/>
        </w:rPr>
        <w:t xml:space="preserve">.  </w:t>
      </w:r>
      <w:r>
        <w:rPr>
          <w:lang w:bidi="he-IL"/>
        </w:rPr>
        <w:t>Pape argues that organizations conduct</w:t>
      </w:r>
      <w:r w:rsidRPr="00F5770C">
        <w:rPr>
          <w:lang w:bidi="he-IL"/>
        </w:rPr>
        <w:t xml:space="preserve"> suicide </w:t>
      </w:r>
      <w:r>
        <w:rPr>
          <w:lang w:bidi="he-IL"/>
        </w:rPr>
        <w:t xml:space="preserve">attacks </w:t>
      </w:r>
      <w:r w:rsidRPr="00F5770C">
        <w:rPr>
          <w:lang w:bidi="he-IL"/>
        </w:rPr>
        <w:t xml:space="preserve">in order to </w:t>
      </w:r>
      <w:r>
        <w:rPr>
          <w:lang w:bidi="he-IL"/>
        </w:rPr>
        <w:t xml:space="preserve">force </w:t>
      </w:r>
      <w:r w:rsidRPr="00F5770C">
        <w:rPr>
          <w:lang w:bidi="he-IL"/>
        </w:rPr>
        <w:t>democratic societies to leave the lands perceived to be the occupied homeland.</w:t>
      </w:r>
      <w:r w:rsidRPr="00F5770C">
        <w:rPr>
          <w:vertAlign w:val="superscript"/>
          <w:lang w:bidi="he-IL"/>
        </w:rPr>
        <w:footnoteReference w:id="48"/>
      </w:r>
      <w:r w:rsidR="004555DB">
        <w:rPr>
          <w:lang w:bidi="he-IL"/>
        </w:rPr>
        <w:t xml:space="preserve"> </w:t>
      </w:r>
      <w:r w:rsidR="00290074">
        <w:rPr>
          <w:lang w:bidi="he-IL"/>
        </w:rPr>
        <w:t xml:space="preserve"> </w:t>
      </w:r>
      <w:r>
        <w:rPr>
          <w:lang w:bidi="he-IL"/>
        </w:rPr>
        <w:t>The presence of occupation forces induces desperate measures to expel occupying forces</w:t>
      </w:r>
      <w:r w:rsidR="004555DB">
        <w:rPr>
          <w:lang w:bidi="he-IL"/>
        </w:rPr>
        <w:t xml:space="preserve">.  </w:t>
      </w:r>
      <w:r>
        <w:rPr>
          <w:lang w:bidi="he-IL"/>
        </w:rPr>
        <w:t>I</w:t>
      </w:r>
      <w:r w:rsidRPr="00F5770C">
        <w:rPr>
          <w:lang w:bidi="he-IL"/>
        </w:rPr>
        <w:t xml:space="preserve">n </w:t>
      </w:r>
      <w:r>
        <w:rPr>
          <w:lang w:bidi="he-IL"/>
        </w:rPr>
        <w:t>Pape’s</w:t>
      </w:r>
      <w:r w:rsidRPr="00F5770C">
        <w:rPr>
          <w:lang w:bidi="he-IL"/>
        </w:rPr>
        <w:t xml:space="preserve"> analysis</w:t>
      </w:r>
      <w:r>
        <w:rPr>
          <w:lang w:bidi="he-IL"/>
        </w:rPr>
        <w:t>, groups use suicide terrorism because it works</w:t>
      </w:r>
      <w:r w:rsidR="004555DB">
        <w:rPr>
          <w:lang w:bidi="he-IL"/>
        </w:rPr>
        <w:t xml:space="preserve">.  </w:t>
      </w:r>
      <w:r w:rsidR="0096396D">
        <w:rPr>
          <w:lang w:bidi="he-IL"/>
        </w:rPr>
        <w:t xml:space="preserve">In 1984, United States and French military forces left Lebanon after a series of devastating </w:t>
      </w:r>
      <w:r w:rsidRPr="00F5770C">
        <w:rPr>
          <w:lang w:bidi="he-IL"/>
        </w:rPr>
        <w:t xml:space="preserve">Hezbollah’s suicide </w:t>
      </w:r>
      <w:r w:rsidR="0096396D">
        <w:rPr>
          <w:lang w:bidi="he-IL"/>
        </w:rPr>
        <w:t>attacks.</w:t>
      </w:r>
      <w:r w:rsidR="00DF2709">
        <w:rPr>
          <w:rStyle w:val="FootnoteReference"/>
          <w:lang w:bidi="he-IL"/>
        </w:rPr>
        <w:footnoteReference w:id="49"/>
      </w:r>
      <w:r w:rsidR="0096396D">
        <w:rPr>
          <w:lang w:bidi="he-IL"/>
        </w:rPr>
        <w:t xml:space="preserve">  The perception that Hezbollah’s campaign expelled superior military forces encouraged</w:t>
      </w:r>
      <w:r>
        <w:rPr>
          <w:lang w:bidi="he-IL"/>
        </w:rPr>
        <w:t xml:space="preserve"> the </w:t>
      </w:r>
      <w:r w:rsidR="00290074">
        <w:rPr>
          <w:lang w:bidi="he-IL"/>
        </w:rPr>
        <w:t>LTTE</w:t>
      </w:r>
      <w:r w:rsidRPr="00F5770C">
        <w:rPr>
          <w:lang w:bidi="he-IL"/>
        </w:rPr>
        <w:t xml:space="preserve">, the PKK, and even </w:t>
      </w:r>
      <w:r w:rsidRPr="00F5770C">
        <w:rPr>
          <w:lang w:bidi="he-IL"/>
        </w:rPr>
        <w:lastRenderedPageBreak/>
        <w:t>Al Qaeda</w:t>
      </w:r>
      <w:r w:rsidR="0096396D">
        <w:rPr>
          <w:lang w:bidi="he-IL"/>
        </w:rPr>
        <w:t xml:space="preserve"> to use the tactic for their respective ends.</w:t>
      </w:r>
      <w:r w:rsidR="004555DB">
        <w:rPr>
          <w:lang w:bidi="he-IL"/>
        </w:rPr>
        <w:t xml:space="preserve">  </w:t>
      </w:r>
      <w:r>
        <w:rPr>
          <w:lang w:bidi="he-IL"/>
        </w:rPr>
        <w:t>This is the strategic logic for its adoption, as its usage will lead to a tangible political end-state for the repressed population</w:t>
      </w:r>
      <w:r w:rsidR="004555DB">
        <w:rPr>
          <w:lang w:bidi="he-IL"/>
        </w:rPr>
        <w:t xml:space="preserve">.  </w:t>
      </w:r>
      <w:r>
        <w:rPr>
          <w:lang w:bidi="he-IL"/>
        </w:rPr>
        <w:t>There is only one ideological component—nationalism—that motivates the organization, the individuals, and the population that provides direct or tactic support for the tactic</w:t>
      </w:r>
      <w:r w:rsidR="004555DB">
        <w:rPr>
          <w:lang w:bidi="he-IL"/>
        </w:rPr>
        <w:t xml:space="preserve">.  </w:t>
      </w:r>
      <w:r>
        <w:rPr>
          <w:lang w:bidi="he-IL"/>
        </w:rPr>
        <w:t xml:space="preserve">According to his statistical model, the existence of a democratic occupier over the homeland of natives that are a different religion of the occupier will predict the existence of a suicide bombing campaign at the statistically significant at </w:t>
      </w:r>
      <w:r w:rsidRPr="00F5770C">
        <w:rPr>
          <w:lang w:bidi="he-IL"/>
        </w:rPr>
        <w:t>.001</w:t>
      </w:r>
      <w:r>
        <w:rPr>
          <w:lang w:bidi="he-IL"/>
        </w:rPr>
        <w:t>%</w:t>
      </w:r>
      <w:r w:rsidRPr="00F5770C">
        <w:rPr>
          <w:lang w:bidi="he-IL"/>
        </w:rPr>
        <w:t>.</w:t>
      </w:r>
      <w:r>
        <w:rPr>
          <w:rStyle w:val="FootnoteReference"/>
          <w:lang w:bidi="he-IL"/>
        </w:rPr>
        <w:footnoteReference w:id="50"/>
      </w:r>
      <w:r w:rsidR="004555DB">
        <w:rPr>
          <w:lang w:bidi="he-IL"/>
        </w:rPr>
        <w:t xml:space="preserve"> </w:t>
      </w:r>
      <w:r>
        <w:rPr>
          <w:lang w:bidi="he-IL"/>
        </w:rPr>
        <w:t xml:space="preserve">Thus, Pape’s theory suitably explains the conflicts in Lebanon, Sri Lanka, Israel-Palestine, and Turkey where national liberation is an </w:t>
      </w:r>
      <w:r w:rsidR="00DF2709">
        <w:rPr>
          <w:lang w:bidi="he-IL"/>
        </w:rPr>
        <w:t>obvious</w:t>
      </w:r>
      <w:r>
        <w:rPr>
          <w:lang w:bidi="he-IL"/>
        </w:rPr>
        <w:t xml:space="preserve"> </w:t>
      </w:r>
      <w:r w:rsidR="00377919">
        <w:rPr>
          <w:lang w:bidi="he-IL"/>
        </w:rPr>
        <w:t>motive.</w:t>
      </w:r>
    </w:p>
    <w:p w:rsidR="00672E3F" w:rsidRDefault="00672E3F" w:rsidP="00183FF0">
      <w:pPr>
        <w:ind w:firstLine="720"/>
        <w:contextualSpacing/>
        <w:rPr>
          <w:lang w:bidi="he-IL"/>
        </w:rPr>
      </w:pPr>
      <w:r>
        <w:rPr>
          <w:lang w:bidi="he-IL"/>
        </w:rPr>
        <w:t>His occupation-focused approach even explains—albeit through some contortion—the organizations heavily infused with religious rhetoric that seek to establish a new nation based on religious ideology</w:t>
      </w:r>
      <w:r w:rsidR="004555DB">
        <w:rPr>
          <w:lang w:bidi="he-IL"/>
        </w:rPr>
        <w:t xml:space="preserve">.  </w:t>
      </w:r>
      <w:r>
        <w:rPr>
          <w:lang w:bidi="he-IL"/>
        </w:rPr>
        <w:t>For example, in 2005, ISIS outright declared its intent to instigate a civil war between Iraqi Sunnis and Iraqi Shias, which theoretically would unite the Sunni world against Iraqi and Persian Shia</w:t>
      </w:r>
      <w:r w:rsidR="004555DB">
        <w:rPr>
          <w:lang w:bidi="he-IL"/>
        </w:rPr>
        <w:t xml:space="preserve">.  </w:t>
      </w:r>
      <w:r>
        <w:rPr>
          <w:lang w:bidi="he-IL"/>
        </w:rPr>
        <w:t>Out of that conflict, the united Sunnis would establish a new pure Islamic State that replaces all the blasphemous Arab governments in the region</w:t>
      </w:r>
      <w:r w:rsidR="004555DB">
        <w:rPr>
          <w:lang w:bidi="he-IL"/>
        </w:rPr>
        <w:t xml:space="preserve">.  </w:t>
      </w:r>
      <w:r>
        <w:rPr>
          <w:lang w:bidi="he-IL"/>
        </w:rPr>
        <w:t xml:space="preserve">ISIS conducted a devastating suicide bombing campaign against Iraqi </w:t>
      </w:r>
      <w:r w:rsidR="00D418E4">
        <w:rPr>
          <w:lang w:bidi="he-IL"/>
        </w:rPr>
        <w:t>Shia</w:t>
      </w:r>
      <w:r>
        <w:rPr>
          <w:lang w:bidi="he-IL"/>
        </w:rPr>
        <w:t xml:space="preserve"> soft targets</w:t>
      </w:r>
      <w:r w:rsidR="004555DB">
        <w:rPr>
          <w:lang w:bidi="he-IL"/>
        </w:rPr>
        <w:t xml:space="preserve">.  </w:t>
      </w:r>
      <w:r>
        <w:rPr>
          <w:lang w:bidi="he-IL"/>
        </w:rPr>
        <w:t>There is a strategic logic to ISIS’</w:t>
      </w:r>
      <w:r w:rsidR="00BE2949">
        <w:rPr>
          <w:lang w:bidi="he-IL"/>
        </w:rPr>
        <w:t>s</w:t>
      </w:r>
      <w:r>
        <w:rPr>
          <w:lang w:bidi="he-IL"/>
        </w:rPr>
        <w:t xml:space="preserve"> use of suicide terrorism on non-combatants, even though ISIS’s political end-state is based in the group’s religious beliefs</w:t>
      </w:r>
      <w:r w:rsidR="004555DB">
        <w:rPr>
          <w:lang w:bidi="he-IL"/>
        </w:rPr>
        <w:t xml:space="preserve">.  </w:t>
      </w:r>
    </w:p>
    <w:p w:rsidR="00672E3F" w:rsidRPr="003131D7" w:rsidRDefault="00672E3F" w:rsidP="00476DD1">
      <w:pPr>
        <w:ind w:firstLine="720"/>
        <w:contextualSpacing/>
        <w:rPr>
          <w:lang w:bidi="he-IL"/>
        </w:rPr>
      </w:pPr>
      <w:r>
        <w:rPr>
          <w:lang w:bidi="he-IL"/>
        </w:rPr>
        <w:t>However, the complex strategy of attacking non-combatants with martyrdom operations in order to induce second and third order political consequences does not find itself in the videotaped wills of Iraqi suicide bombers or interviews with prospective bombers</w:t>
      </w:r>
      <w:r w:rsidR="004555DB">
        <w:rPr>
          <w:lang w:bidi="he-IL"/>
        </w:rPr>
        <w:t xml:space="preserve">.  </w:t>
      </w:r>
      <w:r>
        <w:rPr>
          <w:lang w:bidi="he-IL"/>
        </w:rPr>
        <w:t xml:space="preserve">From 2005 through 2008, most of the Iraqi bombers were Saudis, </w:t>
      </w:r>
      <w:r>
        <w:rPr>
          <w:lang w:bidi="he-IL"/>
        </w:rPr>
        <w:lastRenderedPageBreak/>
        <w:t xml:space="preserve">Syrians, Libyans, and Moroccans who entered Iraq to become martyrs by murdering </w:t>
      </w:r>
      <w:r w:rsidR="00D418E4">
        <w:rPr>
          <w:lang w:bidi="he-IL"/>
        </w:rPr>
        <w:t>Shia</w:t>
      </w:r>
      <w:r>
        <w:rPr>
          <w:lang w:bidi="he-IL"/>
        </w:rPr>
        <w:t xml:space="preserve"> non-combatants</w:t>
      </w:r>
      <w:r w:rsidR="004555DB">
        <w:rPr>
          <w:lang w:bidi="he-IL"/>
        </w:rPr>
        <w:t xml:space="preserve">.  </w:t>
      </w:r>
      <w:r>
        <w:rPr>
          <w:lang w:bidi="he-IL"/>
        </w:rPr>
        <w:t>These bombers’ wills cite the heavenly rewards given to the martyr and the value of killing infidels for the sacred sake of killing infidels as justification for murder-suicide</w:t>
      </w:r>
      <w:r w:rsidR="004555DB">
        <w:rPr>
          <w:lang w:bidi="he-IL"/>
        </w:rPr>
        <w:t xml:space="preserve">.  </w:t>
      </w:r>
      <w:r>
        <w:rPr>
          <w:lang w:bidi="he-IL"/>
        </w:rPr>
        <w:t>With two moral boundaries crossed, it strains credibility to equate the individuals</w:t>
      </w:r>
      <w:r w:rsidR="00476DD1">
        <w:rPr>
          <w:lang w:bidi="he-IL"/>
        </w:rPr>
        <w:t>’ motives as nationalism across all suicide bombing campaigns</w:t>
      </w:r>
      <w:r>
        <w:rPr>
          <w:lang w:bidi="he-IL"/>
        </w:rPr>
        <w:t xml:space="preserve">—as </w:t>
      </w:r>
      <w:r w:rsidR="00476DD1">
        <w:rPr>
          <w:lang w:bidi="he-IL"/>
        </w:rPr>
        <w:t>Pape’s theory does.</w:t>
      </w:r>
      <w:r>
        <w:rPr>
          <w:rStyle w:val="FootnoteReference"/>
          <w:lang w:bidi="he-IL"/>
        </w:rPr>
        <w:footnoteReference w:id="51"/>
      </w:r>
      <w:r w:rsidR="00377919">
        <w:rPr>
          <w:lang w:bidi="he-IL"/>
        </w:rPr>
        <w:t xml:space="preserve">  </w:t>
      </w:r>
      <w:r>
        <w:rPr>
          <w:lang w:bidi="he-IL"/>
        </w:rPr>
        <w:t xml:space="preserve">The desperate Lebanese Shia ramming his explosives-laden truck into a convoy of Israeli combatants is not the same as well-to-do Saudi traveling to Iraq to kill Iraqi civilians in the hopes that it </w:t>
      </w:r>
      <w:r w:rsidRPr="00DF0585">
        <w:rPr>
          <w:i/>
          <w:iCs/>
          <w:lang w:bidi="he-IL"/>
        </w:rPr>
        <w:t>might</w:t>
      </w:r>
      <w:r>
        <w:rPr>
          <w:lang w:bidi="he-IL"/>
        </w:rPr>
        <w:t xml:space="preserve"> lead to a civil war </w:t>
      </w:r>
      <w:r w:rsidR="00BE2949">
        <w:rPr>
          <w:lang w:bidi="he-IL"/>
        </w:rPr>
        <w:t xml:space="preserve">that </w:t>
      </w:r>
      <w:r w:rsidRPr="00DF0585">
        <w:rPr>
          <w:i/>
          <w:iCs/>
          <w:lang w:bidi="he-IL"/>
        </w:rPr>
        <w:t>might</w:t>
      </w:r>
      <w:r>
        <w:rPr>
          <w:lang w:bidi="he-IL"/>
        </w:rPr>
        <w:t xml:space="preserve"> lead to the creation of a new Islamic State</w:t>
      </w:r>
      <w:r w:rsidR="004555DB">
        <w:rPr>
          <w:lang w:bidi="he-IL"/>
        </w:rPr>
        <w:t xml:space="preserve">.  </w:t>
      </w:r>
      <w:r>
        <w:rPr>
          <w:lang w:bidi="he-IL"/>
        </w:rPr>
        <w:t>The former guarantees the removal of a certain number of enemy foot soldiers from his homeland, regardless of whatever events happen next in the conflict; the latter offers no tangible military or political gain, only conditional consequences based on other factors</w:t>
      </w:r>
      <w:r w:rsidR="00E57986">
        <w:rPr>
          <w:lang w:bidi="he-IL"/>
        </w:rPr>
        <w:t>, all for terrain he never travelled to before his act of martyrdom</w:t>
      </w:r>
      <w:r w:rsidR="004555DB">
        <w:rPr>
          <w:lang w:bidi="he-IL"/>
        </w:rPr>
        <w:t xml:space="preserve">.  </w:t>
      </w:r>
    </w:p>
    <w:p w:rsidR="00672E3F" w:rsidRDefault="00672E3F" w:rsidP="00E57986">
      <w:pPr>
        <w:ind w:firstLine="720"/>
        <w:contextualSpacing/>
        <w:rPr>
          <w:rFonts w:eastAsia="Calibri"/>
          <w:shd w:val="clear" w:color="auto" w:fill="FFFFFF"/>
          <w:lang w:bidi="he-IL"/>
        </w:rPr>
      </w:pPr>
      <w:r>
        <w:rPr>
          <w:rFonts w:ascii="Times New Roman" w:eastAsia="Calibri" w:hAnsi="Times New Roman"/>
          <w:noProof/>
          <w:lang w:bidi="ar-SA"/>
        </w:rPr>
        <w:t xml:space="preserve">The individual-centric approach seeks to explain why the individual decides to </w:t>
      </w:r>
      <w:r w:rsidR="00E57986">
        <w:rPr>
          <w:rFonts w:ascii="Times New Roman" w:eastAsia="Calibri" w:hAnsi="Times New Roman"/>
          <w:noProof/>
          <w:lang w:bidi="ar-SA"/>
        </w:rPr>
        <w:t xml:space="preserve">become </w:t>
      </w:r>
      <w:r>
        <w:rPr>
          <w:rFonts w:ascii="Times New Roman" w:eastAsia="Calibri" w:hAnsi="Times New Roman"/>
          <w:noProof/>
          <w:lang w:bidi="ar-SA"/>
        </w:rPr>
        <w:t>a human smart bomb</w:t>
      </w:r>
      <w:r w:rsidR="004555DB">
        <w:rPr>
          <w:rFonts w:ascii="Times New Roman" w:eastAsia="Calibri" w:hAnsi="Times New Roman"/>
          <w:noProof/>
          <w:lang w:bidi="ar-SA"/>
        </w:rPr>
        <w:t xml:space="preserve">.  </w:t>
      </w:r>
      <w:r w:rsidR="005B5AA4">
        <w:rPr>
          <w:rFonts w:ascii="Times New Roman" w:eastAsia="Calibri" w:hAnsi="Times New Roman"/>
          <w:noProof/>
          <w:lang w:bidi="ar-SA"/>
        </w:rPr>
        <w:t xml:space="preserve">In </w:t>
      </w:r>
      <w:r w:rsidR="005B5AA4">
        <w:rPr>
          <w:rFonts w:ascii="Times New Roman" w:eastAsia="Calibri" w:hAnsi="Times New Roman"/>
          <w:i/>
          <w:noProof/>
          <w:lang w:bidi="ar-SA"/>
        </w:rPr>
        <w:t xml:space="preserve">The Myth of Martyrdom, </w:t>
      </w:r>
      <w:r>
        <w:rPr>
          <w:rFonts w:ascii="Times New Roman" w:eastAsia="Calibri" w:hAnsi="Times New Roman"/>
          <w:noProof/>
          <w:lang w:bidi="ar-SA"/>
        </w:rPr>
        <w:t>Adam Lankford</w:t>
      </w:r>
      <w:r w:rsidRPr="00BD3DCE">
        <w:rPr>
          <w:rFonts w:ascii="Times New Roman" w:eastAsia="Calibri" w:hAnsi="Times New Roman"/>
          <w:noProof/>
          <w:lang w:bidi="ar-SA"/>
        </w:rPr>
        <w:t xml:space="preserve"> argues</w:t>
      </w:r>
      <w:r w:rsidRPr="00BD3DCE">
        <w:rPr>
          <w:rFonts w:ascii="Times New Roman" w:eastAsia="Calibri" w:hAnsi="Times New Roman"/>
          <w:i/>
          <w:noProof/>
          <w:lang w:bidi="ar-SA"/>
        </w:rPr>
        <w:t xml:space="preserve"> </w:t>
      </w:r>
      <w:r w:rsidRPr="00BD3DCE">
        <w:rPr>
          <w:rFonts w:ascii="Times New Roman" w:eastAsia="Calibri" w:hAnsi="Times New Roman"/>
          <w:noProof/>
          <w:lang w:bidi="ar-SA"/>
        </w:rPr>
        <w:t>that suicide bombers are genuinely depressed individuals, usin</w:t>
      </w:r>
      <w:r>
        <w:rPr>
          <w:rFonts w:ascii="Times New Roman" w:eastAsia="Calibri" w:hAnsi="Times New Roman"/>
          <w:noProof/>
          <w:lang w:bidi="ar-SA"/>
        </w:rPr>
        <w:t xml:space="preserve">g the martyrdom narrative as </w:t>
      </w:r>
      <w:r>
        <w:rPr>
          <w:rFonts w:eastAsia="Calibri"/>
          <w:shd w:val="clear" w:color="auto" w:fill="FFFFFF"/>
          <w:lang w:bidi="he-IL"/>
        </w:rPr>
        <w:t>a morally acceptable</w:t>
      </w:r>
      <w:r w:rsidRPr="004455AD">
        <w:rPr>
          <w:rFonts w:eastAsia="Calibri"/>
          <w:shd w:val="clear" w:color="auto" w:fill="FFFFFF"/>
          <w:lang w:bidi="he-IL"/>
        </w:rPr>
        <w:t xml:space="preserve"> way out from the stigma of conventional suicide in Islamic</w:t>
      </w:r>
      <w:r>
        <w:rPr>
          <w:rFonts w:eastAsia="Calibri"/>
          <w:shd w:val="clear" w:color="auto" w:fill="FFFFFF"/>
          <w:lang w:bidi="he-IL"/>
        </w:rPr>
        <w:t xml:space="preserve"> cultures</w:t>
      </w:r>
      <w:r w:rsidRPr="004455AD">
        <w:rPr>
          <w:rFonts w:eastAsia="Calibri"/>
          <w:shd w:val="clear" w:color="auto" w:fill="FFFFFF"/>
          <w:lang w:bidi="he-IL"/>
        </w:rPr>
        <w:t>.</w:t>
      </w:r>
      <w:r w:rsidRPr="004455AD">
        <w:rPr>
          <w:rFonts w:eastAsia="Calibri"/>
          <w:shd w:val="clear" w:color="auto" w:fill="FFFFFF"/>
          <w:vertAlign w:val="superscript"/>
          <w:lang w:bidi="he-IL"/>
        </w:rPr>
        <w:footnoteReference w:id="52"/>
      </w:r>
      <w:r w:rsidR="004555DB">
        <w:rPr>
          <w:rFonts w:eastAsia="Calibri"/>
          <w:shd w:val="clear" w:color="auto" w:fill="FFFFFF"/>
          <w:lang w:bidi="he-IL"/>
        </w:rPr>
        <w:t xml:space="preserve"> </w:t>
      </w:r>
      <w:r w:rsidR="00377919">
        <w:rPr>
          <w:rFonts w:eastAsia="Calibri"/>
          <w:shd w:val="clear" w:color="auto" w:fill="FFFFFF"/>
          <w:lang w:bidi="he-IL"/>
        </w:rPr>
        <w:t xml:space="preserve"> </w:t>
      </w:r>
      <w:r w:rsidRPr="004455AD">
        <w:rPr>
          <w:rFonts w:eastAsia="Calibri"/>
          <w:shd w:val="clear" w:color="auto" w:fill="FFFFFF"/>
          <w:lang w:bidi="he-IL"/>
        </w:rPr>
        <w:t xml:space="preserve">Although 60% of suicide terrorists did not appear suicidal </w:t>
      </w:r>
      <w:r w:rsidR="00377919">
        <w:rPr>
          <w:rFonts w:eastAsia="Calibri"/>
          <w:shd w:val="clear" w:color="auto" w:fill="FFFFFF"/>
          <w:lang w:bidi="he-IL"/>
        </w:rPr>
        <w:t>according to Western definitions of suicidality</w:t>
      </w:r>
      <w:r w:rsidRPr="004455AD">
        <w:rPr>
          <w:rFonts w:eastAsia="Calibri"/>
          <w:shd w:val="clear" w:color="auto" w:fill="FFFFFF"/>
          <w:lang w:bidi="he-IL"/>
        </w:rPr>
        <w:t xml:space="preserve">, </w:t>
      </w:r>
      <w:r w:rsidR="00F46A4B">
        <w:rPr>
          <w:rFonts w:eastAsia="Calibri"/>
          <w:shd w:val="clear" w:color="auto" w:fill="FFFFFF"/>
          <w:lang w:bidi="he-IL"/>
        </w:rPr>
        <w:t xml:space="preserve">Lankford argues that </w:t>
      </w:r>
      <w:r w:rsidR="00F46A4B" w:rsidRPr="004455AD">
        <w:rPr>
          <w:rFonts w:eastAsia="Calibri"/>
          <w:shd w:val="clear" w:color="auto" w:fill="FFFFFF"/>
          <w:lang w:bidi="he-IL"/>
        </w:rPr>
        <w:t>cross-cultural</w:t>
      </w:r>
      <w:r w:rsidR="00F46A4B">
        <w:rPr>
          <w:rFonts w:eastAsia="Calibri"/>
          <w:shd w:val="clear" w:color="auto" w:fill="FFFFFF"/>
          <w:lang w:bidi="he-IL"/>
        </w:rPr>
        <w:t xml:space="preserve"> approaches to</w:t>
      </w:r>
      <w:r w:rsidR="00F46A4B" w:rsidRPr="004455AD">
        <w:rPr>
          <w:rFonts w:eastAsia="Calibri"/>
          <w:shd w:val="clear" w:color="auto" w:fill="FFFFFF"/>
          <w:lang w:bidi="he-IL"/>
        </w:rPr>
        <w:t xml:space="preserve"> suicidality </w:t>
      </w:r>
      <w:r w:rsidR="00F46A4B">
        <w:rPr>
          <w:rFonts w:eastAsia="Calibri"/>
          <w:shd w:val="clear" w:color="auto" w:fill="FFFFFF"/>
          <w:lang w:bidi="he-IL"/>
        </w:rPr>
        <w:t>show</w:t>
      </w:r>
      <w:r w:rsidR="001615F6">
        <w:rPr>
          <w:rFonts w:eastAsia="Calibri"/>
          <w:shd w:val="clear" w:color="auto" w:fill="FFFFFF"/>
          <w:lang w:bidi="he-IL"/>
        </w:rPr>
        <w:t xml:space="preserve"> that some of the </w:t>
      </w:r>
      <w:r w:rsidR="00377919">
        <w:rPr>
          <w:rFonts w:eastAsia="Calibri"/>
          <w:shd w:val="clear" w:color="auto" w:fill="FFFFFF"/>
          <w:lang w:bidi="he-IL"/>
        </w:rPr>
        <w:t xml:space="preserve">Islamic bombers </w:t>
      </w:r>
      <w:r w:rsidRPr="004455AD">
        <w:rPr>
          <w:rFonts w:eastAsia="Calibri"/>
          <w:shd w:val="clear" w:color="auto" w:fill="FFFFFF"/>
          <w:lang w:bidi="he-IL"/>
        </w:rPr>
        <w:t>m</w:t>
      </w:r>
      <w:r>
        <w:rPr>
          <w:rFonts w:eastAsia="Calibri"/>
          <w:shd w:val="clear" w:color="auto" w:fill="FFFFFF"/>
          <w:lang w:bidi="he-IL"/>
        </w:rPr>
        <w:t xml:space="preserve">ay have been suicidal </w:t>
      </w:r>
      <w:r w:rsidR="00377919">
        <w:rPr>
          <w:rFonts w:eastAsia="Calibri"/>
          <w:shd w:val="clear" w:color="auto" w:fill="FFFFFF"/>
          <w:lang w:bidi="he-IL"/>
        </w:rPr>
        <w:t>from non-</w:t>
      </w:r>
      <w:r w:rsidR="00377919">
        <w:rPr>
          <w:rFonts w:eastAsia="Calibri"/>
          <w:shd w:val="clear" w:color="auto" w:fill="FFFFFF"/>
          <w:lang w:bidi="he-IL"/>
        </w:rPr>
        <w:lastRenderedPageBreak/>
        <w:t>Western perspective</w:t>
      </w:r>
      <w:r w:rsidR="001615F6">
        <w:rPr>
          <w:rFonts w:eastAsia="Calibri"/>
          <w:shd w:val="clear" w:color="auto" w:fill="FFFFFF"/>
          <w:lang w:bidi="he-IL"/>
        </w:rPr>
        <w:t>s</w:t>
      </w:r>
      <w:r w:rsidRPr="004455AD">
        <w:rPr>
          <w:rFonts w:eastAsia="Calibri"/>
          <w:shd w:val="clear" w:color="auto" w:fill="FFFFFF"/>
          <w:lang w:bidi="he-IL"/>
        </w:rPr>
        <w:t>.</w:t>
      </w:r>
      <w:r w:rsidRPr="004455AD">
        <w:rPr>
          <w:rFonts w:eastAsia="Calibri"/>
          <w:shd w:val="clear" w:color="auto" w:fill="FFFFFF"/>
          <w:vertAlign w:val="superscript"/>
          <w:lang w:bidi="he-IL"/>
        </w:rPr>
        <w:footnoteReference w:id="53"/>
      </w:r>
      <w:r w:rsidR="004555DB">
        <w:rPr>
          <w:rFonts w:eastAsia="Calibri"/>
          <w:shd w:val="clear" w:color="auto" w:fill="FFFFFF"/>
          <w:lang w:bidi="he-IL"/>
        </w:rPr>
        <w:t xml:space="preserve"> </w:t>
      </w:r>
      <w:r w:rsidR="00377919">
        <w:rPr>
          <w:rFonts w:eastAsia="Calibri"/>
          <w:shd w:val="clear" w:color="auto" w:fill="FFFFFF"/>
          <w:lang w:bidi="he-IL"/>
        </w:rPr>
        <w:t xml:space="preserve"> </w:t>
      </w:r>
      <w:r w:rsidR="001615F6">
        <w:rPr>
          <w:rFonts w:eastAsia="Calibri"/>
          <w:shd w:val="clear" w:color="auto" w:fill="FFFFFF"/>
          <w:lang w:bidi="he-IL"/>
        </w:rPr>
        <w:t>Since there are strong cultural norms prohibiting suicide, the myth of martyrdom gives the suicidal the venue to commit suicide for a socially accepted cause.</w:t>
      </w:r>
    </w:p>
    <w:p w:rsidR="00672E3F" w:rsidRDefault="00672E3F" w:rsidP="001615F6">
      <w:pPr>
        <w:ind w:firstLine="720"/>
        <w:contextualSpacing/>
        <w:rPr>
          <w:rFonts w:ascii="Times New Roman" w:eastAsia="Calibri" w:hAnsi="Times New Roman"/>
          <w:noProof/>
          <w:lang w:bidi="ar-SA"/>
        </w:rPr>
      </w:pPr>
      <w:r w:rsidRPr="00BD3DCE">
        <w:rPr>
          <w:rFonts w:ascii="Times New Roman" w:eastAsia="Calibri" w:hAnsi="Times New Roman"/>
          <w:noProof/>
          <w:lang w:bidi="ar-SA"/>
        </w:rPr>
        <w:t xml:space="preserve">Whereas Lankford </w:t>
      </w:r>
      <w:r>
        <w:rPr>
          <w:rFonts w:ascii="Times New Roman" w:eastAsia="Calibri" w:hAnsi="Times New Roman"/>
          <w:noProof/>
          <w:lang w:bidi="ar-SA"/>
        </w:rPr>
        <w:t xml:space="preserve">also </w:t>
      </w:r>
      <w:r w:rsidRPr="00BD3DCE">
        <w:rPr>
          <w:rFonts w:ascii="Times New Roman" w:eastAsia="Calibri" w:hAnsi="Times New Roman"/>
          <w:noProof/>
          <w:lang w:bidi="ar-SA"/>
        </w:rPr>
        <w:t xml:space="preserve">argues beliefs </w:t>
      </w:r>
      <w:r>
        <w:rPr>
          <w:rFonts w:ascii="Times New Roman" w:eastAsia="Calibri" w:hAnsi="Times New Roman"/>
          <w:noProof/>
          <w:lang w:bidi="ar-SA"/>
        </w:rPr>
        <w:t xml:space="preserve">exist to funnel underlying </w:t>
      </w:r>
      <w:r w:rsidRPr="00BD3DCE">
        <w:rPr>
          <w:rFonts w:ascii="Times New Roman" w:eastAsia="Calibri" w:hAnsi="Times New Roman"/>
          <w:noProof/>
          <w:lang w:bidi="ar-SA"/>
        </w:rPr>
        <w:t>behavior</w:t>
      </w:r>
      <w:r>
        <w:rPr>
          <w:rFonts w:ascii="Times New Roman" w:eastAsia="Calibri" w:hAnsi="Times New Roman"/>
          <w:noProof/>
          <w:lang w:bidi="ar-SA"/>
        </w:rPr>
        <w:t xml:space="preserve"> and emotions</w:t>
      </w:r>
      <w:r w:rsidRPr="00BD3DCE">
        <w:rPr>
          <w:rFonts w:ascii="Times New Roman" w:eastAsia="Calibri" w:hAnsi="Times New Roman"/>
          <w:noProof/>
          <w:lang w:bidi="ar-SA"/>
        </w:rPr>
        <w:t>, he essentially does the opposite of Pape</w:t>
      </w:r>
      <w:r w:rsidR="004555DB">
        <w:rPr>
          <w:rFonts w:ascii="Times New Roman" w:eastAsia="Calibri" w:hAnsi="Times New Roman"/>
          <w:noProof/>
          <w:lang w:bidi="ar-SA"/>
        </w:rPr>
        <w:t xml:space="preserve">.  </w:t>
      </w:r>
      <w:r w:rsidRPr="00BD3DCE">
        <w:rPr>
          <w:rFonts w:ascii="Times New Roman" w:eastAsia="Calibri" w:hAnsi="Times New Roman"/>
          <w:noProof/>
          <w:lang w:bidi="ar-SA"/>
        </w:rPr>
        <w:t xml:space="preserve">Pape’s approach is top-down, </w:t>
      </w:r>
      <w:r>
        <w:rPr>
          <w:rFonts w:ascii="Times New Roman" w:eastAsia="Calibri" w:hAnsi="Times New Roman"/>
          <w:noProof/>
          <w:lang w:bidi="ar-SA"/>
        </w:rPr>
        <w:t>organization</w:t>
      </w:r>
      <w:r w:rsidRPr="00BD3DCE">
        <w:rPr>
          <w:rFonts w:ascii="Times New Roman" w:eastAsia="Calibri" w:hAnsi="Times New Roman"/>
          <w:noProof/>
          <w:lang w:bidi="ar-SA"/>
        </w:rPr>
        <w:t xml:space="preserve">-centric, and </w:t>
      </w:r>
      <w:r>
        <w:rPr>
          <w:rFonts w:ascii="Times New Roman" w:eastAsia="Calibri" w:hAnsi="Times New Roman"/>
          <w:noProof/>
          <w:lang w:bidi="ar-SA"/>
        </w:rPr>
        <w:t>presumptive that the individual motive and the organization’s strategy are one and the same</w:t>
      </w:r>
      <w:r w:rsidR="004555DB">
        <w:rPr>
          <w:rFonts w:ascii="Times New Roman" w:eastAsia="Calibri" w:hAnsi="Times New Roman"/>
          <w:noProof/>
          <w:lang w:bidi="ar-SA"/>
        </w:rPr>
        <w:t xml:space="preserve">.  </w:t>
      </w:r>
      <w:r w:rsidRPr="00BD3DCE">
        <w:rPr>
          <w:rFonts w:ascii="Times New Roman" w:eastAsia="Calibri" w:hAnsi="Times New Roman"/>
          <w:noProof/>
          <w:lang w:bidi="ar-SA"/>
        </w:rPr>
        <w:t xml:space="preserve">Lankford </w:t>
      </w:r>
      <w:r>
        <w:rPr>
          <w:rFonts w:ascii="Times New Roman" w:eastAsia="Calibri" w:hAnsi="Times New Roman"/>
          <w:noProof/>
          <w:lang w:bidi="ar-SA"/>
        </w:rPr>
        <w:t xml:space="preserve">looks at </w:t>
      </w:r>
      <w:r w:rsidRPr="00BD3DCE">
        <w:rPr>
          <w:rFonts w:ascii="Times New Roman" w:eastAsia="Calibri" w:hAnsi="Times New Roman"/>
          <w:noProof/>
          <w:lang w:bidi="ar-SA"/>
        </w:rPr>
        <w:t>suicide terrorism</w:t>
      </w:r>
      <w:r>
        <w:rPr>
          <w:rFonts w:ascii="Times New Roman" w:eastAsia="Calibri" w:hAnsi="Times New Roman"/>
          <w:noProof/>
          <w:lang w:bidi="ar-SA"/>
        </w:rPr>
        <w:t xml:space="preserve"> motives from the bottom up, as underlying depressive emotions </w:t>
      </w:r>
      <w:r w:rsidR="00377919">
        <w:rPr>
          <w:rFonts w:ascii="Times New Roman" w:eastAsia="Calibri" w:hAnsi="Times New Roman"/>
          <w:noProof/>
          <w:lang w:bidi="ar-SA"/>
        </w:rPr>
        <w:t xml:space="preserve">push the individual to find honorable ways to </w:t>
      </w:r>
      <w:r>
        <w:rPr>
          <w:rFonts w:ascii="Times New Roman" w:eastAsia="Calibri" w:hAnsi="Times New Roman"/>
          <w:noProof/>
          <w:lang w:bidi="ar-SA"/>
        </w:rPr>
        <w:t>escape life</w:t>
      </w:r>
      <w:r w:rsidR="004555DB">
        <w:rPr>
          <w:rFonts w:ascii="Times New Roman" w:eastAsia="Calibri" w:hAnsi="Times New Roman"/>
          <w:noProof/>
          <w:lang w:bidi="ar-SA"/>
        </w:rPr>
        <w:t xml:space="preserve">.  </w:t>
      </w:r>
      <w:r>
        <w:rPr>
          <w:rFonts w:ascii="Times New Roman" w:eastAsia="Calibri" w:hAnsi="Times New Roman"/>
          <w:noProof/>
          <w:lang w:bidi="ar-SA"/>
        </w:rPr>
        <w:t xml:space="preserve">Lankford’s research </w:t>
      </w:r>
      <w:r w:rsidR="009E3BC0">
        <w:rPr>
          <w:rFonts w:ascii="Times New Roman" w:eastAsia="Calibri" w:hAnsi="Times New Roman"/>
          <w:noProof/>
          <w:lang w:bidi="ar-SA"/>
        </w:rPr>
        <w:t xml:space="preserve">is important because he calls attention to </w:t>
      </w:r>
      <w:r w:rsidR="00476DD1">
        <w:rPr>
          <w:rFonts w:ascii="Times New Roman" w:eastAsia="Calibri" w:hAnsi="Times New Roman"/>
          <w:noProof/>
          <w:lang w:bidi="ar-SA"/>
        </w:rPr>
        <w:t xml:space="preserve">suicidal </w:t>
      </w:r>
      <w:r w:rsidR="009E3BC0">
        <w:rPr>
          <w:rFonts w:ascii="Times New Roman" w:eastAsia="Calibri" w:hAnsi="Times New Roman"/>
          <w:noProof/>
          <w:lang w:bidi="ar-SA"/>
        </w:rPr>
        <w:t xml:space="preserve">factors previous researchers have ignored, </w:t>
      </w:r>
      <w:r>
        <w:rPr>
          <w:rFonts w:ascii="Times New Roman" w:eastAsia="Calibri" w:hAnsi="Times New Roman"/>
          <w:noProof/>
          <w:lang w:bidi="ar-SA"/>
        </w:rPr>
        <w:t xml:space="preserve">however it </w:t>
      </w:r>
      <w:r w:rsidR="00476DD1">
        <w:rPr>
          <w:rFonts w:ascii="Times New Roman" w:eastAsia="Calibri" w:hAnsi="Times New Roman"/>
          <w:noProof/>
          <w:lang w:bidi="ar-SA"/>
        </w:rPr>
        <w:t xml:space="preserve">projects a small sample size onto </w:t>
      </w:r>
      <w:r w:rsidR="001615F6">
        <w:rPr>
          <w:rFonts w:ascii="Times New Roman" w:eastAsia="Calibri" w:hAnsi="Times New Roman"/>
          <w:noProof/>
          <w:lang w:bidi="ar-SA"/>
        </w:rPr>
        <w:t>thousands of suicide attackers</w:t>
      </w:r>
      <w:r w:rsidRPr="00BD3DCE">
        <w:rPr>
          <w:rFonts w:ascii="Times New Roman" w:eastAsia="Calibri" w:hAnsi="Times New Roman"/>
          <w:noProof/>
          <w:lang w:bidi="ar-SA"/>
        </w:rPr>
        <w:t>.</w:t>
      </w:r>
      <w:r>
        <w:rPr>
          <w:rStyle w:val="FootnoteReference"/>
          <w:rFonts w:ascii="Times New Roman" w:eastAsia="Calibri" w:hAnsi="Times New Roman"/>
          <w:noProof/>
          <w:lang w:bidi="ar-SA"/>
        </w:rPr>
        <w:footnoteReference w:id="54"/>
      </w:r>
      <w:r w:rsidR="004555DB">
        <w:rPr>
          <w:rFonts w:ascii="Times New Roman" w:eastAsia="Calibri" w:hAnsi="Times New Roman"/>
          <w:noProof/>
          <w:lang w:bidi="ar-SA"/>
        </w:rPr>
        <w:t xml:space="preserve"> </w:t>
      </w:r>
      <w:r w:rsidR="00377919">
        <w:rPr>
          <w:rFonts w:ascii="Times New Roman" w:eastAsia="Calibri" w:hAnsi="Times New Roman"/>
          <w:noProof/>
          <w:lang w:bidi="ar-SA"/>
        </w:rPr>
        <w:t xml:space="preserve"> </w:t>
      </w:r>
      <w:r w:rsidR="001615F6">
        <w:rPr>
          <w:rFonts w:ascii="Times New Roman" w:eastAsia="Calibri" w:hAnsi="Times New Roman"/>
          <w:noProof/>
          <w:lang w:bidi="ar-SA"/>
        </w:rPr>
        <w:t xml:space="preserve">It also does not suitably explain the psychological factors leading to the murder component of suicide terrorism.  </w:t>
      </w:r>
      <w:r w:rsidRPr="00BD3DCE">
        <w:rPr>
          <w:rFonts w:ascii="Times New Roman" w:eastAsia="Calibri" w:hAnsi="Times New Roman"/>
          <w:noProof/>
          <w:lang w:bidi="ar-SA"/>
        </w:rPr>
        <w:t xml:space="preserve">Both perspectives dismiss </w:t>
      </w:r>
      <w:r>
        <w:rPr>
          <w:rFonts w:ascii="Times New Roman" w:eastAsia="Calibri" w:hAnsi="Times New Roman"/>
          <w:noProof/>
          <w:lang w:bidi="ar-SA"/>
        </w:rPr>
        <w:t>individuals’ perceptions of the world, of g</w:t>
      </w:r>
      <w:r w:rsidR="005B5AA4">
        <w:rPr>
          <w:rFonts w:ascii="Times New Roman" w:eastAsia="Calibri" w:hAnsi="Times New Roman"/>
          <w:noProof/>
          <w:lang w:bidi="ar-SA"/>
        </w:rPr>
        <w:t>ood and evil, of “us” and “them,</w:t>
      </w:r>
      <w:r>
        <w:rPr>
          <w:rFonts w:ascii="Times New Roman" w:eastAsia="Calibri" w:hAnsi="Times New Roman"/>
          <w:noProof/>
          <w:lang w:bidi="ar-SA"/>
        </w:rPr>
        <w:t>”</w:t>
      </w:r>
      <w:r w:rsidR="005B5AA4">
        <w:rPr>
          <w:rFonts w:ascii="Times New Roman" w:eastAsia="Calibri" w:hAnsi="Times New Roman"/>
          <w:noProof/>
          <w:lang w:bidi="ar-SA"/>
        </w:rPr>
        <w:t xml:space="preserve"> and ho</w:t>
      </w:r>
      <w:r w:rsidR="0055343F">
        <w:rPr>
          <w:rFonts w:ascii="Times New Roman" w:eastAsia="Calibri" w:hAnsi="Times New Roman"/>
          <w:noProof/>
          <w:lang w:bidi="ar-SA"/>
        </w:rPr>
        <w:t xml:space="preserve">w these beliefs interact with real world constraints to </w:t>
      </w:r>
      <w:r w:rsidR="00507448">
        <w:rPr>
          <w:rFonts w:ascii="Times New Roman" w:eastAsia="Calibri" w:hAnsi="Times New Roman"/>
          <w:noProof/>
          <w:lang w:bidi="ar-SA"/>
        </w:rPr>
        <w:t>influence</w:t>
      </w:r>
      <w:r w:rsidR="001615F6">
        <w:rPr>
          <w:rFonts w:ascii="Times New Roman" w:eastAsia="Calibri" w:hAnsi="Times New Roman"/>
          <w:noProof/>
          <w:lang w:bidi="ar-SA"/>
        </w:rPr>
        <w:t xml:space="preserve"> dehumanization and</w:t>
      </w:r>
      <w:r w:rsidR="00507448">
        <w:rPr>
          <w:rFonts w:ascii="Times New Roman" w:eastAsia="Calibri" w:hAnsi="Times New Roman"/>
          <w:noProof/>
          <w:lang w:bidi="ar-SA"/>
        </w:rPr>
        <w:t xml:space="preserve"> decision making</w:t>
      </w:r>
      <w:r w:rsidR="0055343F">
        <w:rPr>
          <w:rFonts w:ascii="Times New Roman" w:eastAsia="Calibri" w:hAnsi="Times New Roman"/>
          <w:noProof/>
          <w:lang w:bidi="ar-SA"/>
        </w:rPr>
        <w:t>.</w:t>
      </w:r>
    </w:p>
    <w:p w:rsidR="00672E3F" w:rsidRPr="003776BC" w:rsidRDefault="00672E3F" w:rsidP="00E57986">
      <w:pPr>
        <w:ind w:firstLine="720"/>
        <w:contextualSpacing/>
        <w:rPr>
          <w:lang w:bidi="he-IL"/>
        </w:rPr>
      </w:pPr>
      <w:r>
        <w:rPr>
          <w:rFonts w:ascii="Times New Roman" w:eastAsia="Calibri" w:hAnsi="Times New Roman"/>
          <w:noProof/>
          <w:lang w:bidi="ar-SA"/>
        </w:rPr>
        <w:t>The integration approach attempts to bridge the organization and individual centric approaches, primarily through the role of the population and its culture</w:t>
      </w:r>
      <w:r w:rsidR="004555DB">
        <w:rPr>
          <w:rFonts w:ascii="Times New Roman" w:eastAsia="Calibri" w:hAnsi="Times New Roman"/>
          <w:noProof/>
          <w:lang w:bidi="ar-SA"/>
        </w:rPr>
        <w:t xml:space="preserve">.  </w:t>
      </w:r>
      <w:r>
        <w:rPr>
          <w:rFonts w:ascii="Times New Roman" w:eastAsia="Calibri" w:hAnsi="Times New Roman"/>
          <w:noProof/>
          <w:lang w:bidi="ar-SA"/>
        </w:rPr>
        <w:t>In</w:t>
      </w:r>
      <w:r w:rsidR="004555DB">
        <w:rPr>
          <w:rFonts w:ascii="Times New Roman" w:eastAsia="Calibri" w:hAnsi="Times New Roman"/>
          <w:noProof/>
          <w:lang w:bidi="ar-SA"/>
        </w:rPr>
        <w:t xml:space="preserve"> </w:t>
      </w:r>
      <w:r w:rsidRPr="003776BC">
        <w:rPr>
          <w:rFonts w:eastAsia="Calibri"/>
          <w:i/>
          <w:iCs/>
          <w:lang w:bidi="he-IL"/>
        </w:rPr>
        <w:t>The Business of Martyrdom</w:t>
      </w:r>
      <w:r>
        <w:rPr>
          <w:rFonts w:eastAsia="Calibri"/>
          <w:i/>
          <w:iCs/>
          <w:lang w:bidi="he-IL"/>
        </w:rPr>
        <w:t xml:space="preserve">, </w:t>
      </w:r>
      <w:r>
        <w:rPr>
          <w:rFonts w:eastAsia="Calibri"/>
          <w:lang w:bidi="he-IL"/>
        </w:rPr>
        <w:t xml:space="preserve">Jeffery Lewis argues that suicide terrorism, the human smart bomb, is a labor-intensive technology that closes the advanced weaponry </w:t>
      </w:r>
      <w:r w:rsidR="003D76A8">
        <w:rPr>
          <w:rFonts w:eastAsia="Calibri"/>
          <w:lang w:bidi="he-IL"/>
        </w:rPr>
        <w:t xml:space="preserve">gap </w:t>
      </w:r>
      <w:r>
        <w:rPr>
          <w:rFonts w:eastAsia="Calibri"/>
          <w:lang w:bidi="he-IL"/>
        </w:rPr>
        <w:t>between the superior force and the rebel force</w:t>
      </w:r>
      <w:r w:rsidR="004555DB">
        <w:rPr>
          <w:rFonts w:eastAsia="Calibri"/>
          <w:lang w:bidi="he-IL"/>
        </w:rPr>
        <w:t xml:space="preserve">.  </w:t>
      </w:r>
      <w:r>
        <w:rPr>
          <w:rFonts w:eastAsia="Calibri"/>
          <w:lang w:bidi="he-IL"/>
        </w:rPr>
        <w:t xml:space="preserve">The technology of suicide terrorism exists when </w:t>
      </w:r>
      <w:r>
        <w:rPr>
          <w:rFonts w:eastAsia="Calibri"/>
          <w:lang w:bidi="he-IL"/>
        </w:rPr>
        <w:lastRenderedPageBreak/>
        <w:t>the three entities interact—the sponsoring organization, the individual willing to die, and the cultural constructs for martyrdom that connects the individual to the organization</w:t>
      </w:r>
      <w:r w:rsidRPr="0068717A">
        <w:rPr>
          <w:lang w:bidi="he-IL"/>
        </w:rPr>
        <w:t>.</w:t>
      </w:r>
      <w:r w:rsidRPr="0068717A">
        <w:rPr>
          <w:vertAlign w:val="superscript"/>
          <w:lang w:bidi="he-IL"/>
        </w:rPr>
        <w:footnoteReference w:id="55"/>
      </w:r>
      <w:r w:rsidR="00F46A4B">
        <w:rPr>
          <w:lang w:bidi="he-IL"/>
        </w:rPr>
        <w:t xml:space="preserve">  </w:t>
      </w:r>
      <w:r w:rsidRPr="003776BC">
        <w:rPr>
          <w:lang w:bidi="he-IL"/>
        </w:rPr>
        <w:t xml:space="preserve">All three </w:t>
      </w:r>
      <w:r>
        <w:rPr>
          <w:lang w:bidi="he-IL"/>
        </w:rPr>
        <w:t>are necessary</w:t>
      </w:r>
      <w:r w:rsidR="004555DB">
        <w:rPr>
          <w:lang w:bidi="he-IL"/>
        </w:rPr>
        <w:t xml:space="preserve">.  </w:t>
      </w:r>
      <w:r>
        <w:rPr>
          <w:lang w:bidi="he-IL"/>
        </w:rPr>
        <w:t>The cultural construct of martyrdom completes the technology because it gives the individual the psychological safety to engage in murder-suicide</w:t>
      </w:r>
      <w:r w:rsidR="004555DB">
        <w:rPr>
          <w:lang w:bidi="he-IL"/>
        </w:rPr>
        <w:t xml:space="preserve">.  </w:t>
      </w:r>
      <w:r>
        <w:rPr>
          <w:lang w:bidi="he-IL"/>
        </w:rPr>
        <w:t xml:space="preserve">The biggest challenge for suicide terrorism to spread across conflicts is how to convince </w:t>
      </w:r>
      <w:r w:rsidRPr="003776BC">
        <w:rPr>
          <w:lang w:bidi="he-IL"/>
        </w:rPr>
        <w:t>individuals to willingly kill themselves.</w:t>
      </w:r>
      <w:r w:rsidRPr="003776BC">
        <w:rPr>
          <w:vertAlign w:val="superscript"/>
          <w:lang w:bidi="he-IL"/>
        </w:rPr>
        <w:footnoteReference w:id="56"/>
      </w:r>
      <w:r w:rsidR="00F46A4B">
        <w:rPr>
          <w:lang w:bidi="he-IL"/>
        </w:rPr>
        <w:t xml:space="preserve">  </w:t>
      </w:r>
      <w:r w:rsidRPr="003776BC">
        <w:rPr>
          <w:lang w:bidi="he-IL"/>
        </w:rPr>
        <w:t xml:space="preserve">In some of these campaigns—the </w:t>
      </w:r>
      <w:r w:rsidR="00E57986">
        <w:rPr>
          <w:lang w:bidi="he-IL"/>
        </w:rPr>
        <w:t>LTTE</w:t>
      </w:r>
      <w:r w:rsidRPr="003776BC">
        <w:rPr>
          <w:lang w:bidi="he-IL"/>
        </w:rPr>
        <w:t>, the PKK—self-selection was not a dilemma</w:t>
      </w:r>
      <w:r>
        <w:rPr>
          <w:lang w:bidi="he-IL"/>
        </w:rPr>
        <w:t xml:space="preserve">, as they </w:t>
      </w:r>
      <w:r w:rsidRPr="003776BC">
        <w:rPr>
          <w:lang w:bidi="he-IL"/>
        </w:rPr>
        <w:t>managed the payload deliverer through some form of physical or psychological coercion</w:t>
      </w:r>
      <w:r w:rsidR="004555DB">
        <w:rPr>
          <w:lang w:bidi="he-IL"/>
        </w:rPr>
        <w:t xml:space="preserve">.  </w:t>
      </w:r>
      <w:r>
        <w:rPr>
          <w:lang w:bidi="he-IL"/>
        </w:rPr>
        <w:t xml:space="preserve">However, among the Sunni groups, </w:t>
      </w:r>
      <w:r w:rsidRPr="003776BC">
        <w:rPr>
          <w:lang w:bidi="he-IL"/>
        </w:rPr>
        <w:t>the martyrdom narrative</w:t>
      </w:r>
      <w:r w:rsidR="003D76A8">
        <w:rPr>
          <w:lang w:bidi="he-IL"/>
        </w:rPr>
        <w:t xml:space="preserve"> based in perverted Sunni sacred values </w:t>
      </w:r>
      <w:r>
        <w:rPr>
          <w:lang w:bidi="he-IL"/>
        </w:rPr>
        <w:t>solved the problem</w:t>
      </w:r>
      <w:r w:rsidR="003D76A8">
        <w:rPr>
          <w:lang w:bidi="he-IL"/>
        </w:rPr>
        <w:t xml:space="preserve"> of voluntary suicide</w:t>
      </w:r>
      <w:r>
        <w:rPr>
          <w:lang w:bidi="he-IL"/>
        </w:rPr>
        <w:t xml:space="preserve">, and allowed </w:t>
      </w:r>
      <w:r w:rsidR="003D76A8">
        <w:rPr>
          <w:lang w:bidi="he-IL"/>
        </w:rPr>
        <w:t xml:space="preserve">the tactic </w:t>
      </w:r>
      <w:r>
        <w:rPr>
          <w:lang w:bidi="he-IL"/>
        </w:rPr>
        <w:t xml:space="preserve">to proliferate from Palestine, to Afghanistan, to Iraq, to Chechnya, to Syria, to Nigeria, and to the foreign </w:t>
      </w:r>
      <w:r w:rsidR="003D76A8">
        <w:rPr>
          <w:lang w:bidi="he-IL"/>
        </w:rPr>
        <w:t xml:space="preserve">Sunni </w:t>
      </w:r>
      <w:r>
        <w:rPr>
          <w:lang w:bidi="he-IL"/>
        </w:rPr>
        <w:t>volunteers from the Western world that traveled to these regions to become martyrs</w:t>
      </w:r>
      <w:r w:rsidR="004555DB">
        <w:rPr>
          <w:lang w:bidi="he-IL"/>
        </w:rPr>
        <w:t xml:space="preserve">.  </w:t>
      </w:r>
    </w:p>
    <w:p w:rsidR="00672E3F" w:rsidRPr="00BD3DCE" w:rsidRDefault="00672E3F" w:rsidP="00E57986">
      <w:pPr>
        <w:ind w:firstLine="720"/>
        <w:rPr>
          <w:rFonts w:ascii="Times New Roman" w:eastAsia="Calibri" w:hAnsi="Times New Roman"/>
          <w:noProof/>
          <w:lang w:bidi="he-IL"/>
        </w:rPr>
      </w:pPr>
      <w:r>
        <w:rPr>
          <w:lang w:bidi="he-IL"/>
        </w:rPr>
        <w:t>O</w:t>
      </w:r>
      <w:r w:rsidRPr="003776BC">
        <w:rPr>
          <w:lang w:bidi="he-IL"/>
        </w:rPr>
        <w:t xml:space="preserve">ne of </w:t>
      </w:r>
      <w:r w:rsidR="003D76A8">
        <w:rPr>
          <w:lang w:bidi="he-IL"/>
        </w:rPr>
        <w:t xml:space="preserve">Lewis’ </w:t>
      </w:r>
      <w:r w:rsidRPr="003776BC">
        <w:rPr>
          <w:lang w:bidi="he-IL"/>
        </w:rPr>
        <w:t xml:space="preserve">critical contributions is </w:t>
      </w:r>
      <w:r w:rsidR="003D76A8">
        <w:rPr>
          <w:lang w:bidi="he-IL"/>
        </w:rPr>
        <w:t xml:space="preserve">explaining </w:t>
      </w:r>
      <w:r w:rsidRPr="003776BC">
        <w:rPr>
          <w:lang w:bidi="he-IL"/>
        </w:rPr>
        <w:t xml:space="preserve">the dichotomy between </w:t>
      </w:r>
      <w:r w:rsidRPr="003776BC">
        <w:rPr>
          <w:i/>
          <w:lang w:bidi="he-IL"/>
        </w:rPr>
        <w:t xml:space="preserve">exogenous control </w:t>
      </w:r>
      <w:r w:rsidRPr="003776BC">
        <w:rPr>
          <w:lang w:bidi="he-IL"/>
        </w:rPr>
        <w:t xml:space="preserve">and </w:t>
      </w:r>
      <w:r w:rsidRPr="003776BC">
        <w:rPr>
          <w:i/>
          <w:lang w:bidi="he-IL"/>
        </w:rPr>
        <w:t xml:space="preserve">endogenous control </w:t>
      </w:r>
      <w:r w:rsidRPr="003776BC">
        <w:rPr>
          <w:lang w:bidi="he-IL"/>
        </w:rPr>
        <w:t>of suicide terrorism.</w:t>
      </w:r>
      <w:r w:rsidRPr="003776BC">
        <w:rPr>
          <w:vertAlign w:val="superscript"/>
          <w:lang w:bidi="he-IL"/>
        </w:rPr>
        <w:footnoteReference w:id="57"/>
      </w:r>
      <w:r w:rsidR="004555DB">
        <w:rPr>
          <w:lang w:bidi="he-IL"/>
        </w:rPr>
        <w:t xml:space="preserve"> </w:t>
      </w:r>
      <w:r w:rsidR="00DB21A5">
        <w:rPr>
          <w:lang w:bidi="he-IL"/>
        </w:rPr>
        <w:t xml:space="preserve"> </w:t>
      </w:r>
      <w:r w:rsidRPr="003776BC">
        <w:rPr>
          <w:i/>
          <w:lang w:bidi="he-IL"/>
        </w:rPr>
        <w:t>Exogenous control</w:t>
      </w:r>
      <w:r w:rsidRPr="003776BC">
        <w:rPr>
          <w:lang w:bidi="he-IL"/>
        </w:rPr>
        <w:t xml:space="preserve"> represents </w:t>
      </w:r>
      <w:r w:rsidR="00DB21A5">
        <w:rPr>
          <w:lang w:bidi="he-IL"/>
        </w:rPr>
        <w:t xml:space="preserve">centralized control over the tactic, </w:t>
      </w:r>
      <w:r w:rsidRPr="003776BC">
        <w:rPr>
          <w:lang w:bidi="he-IL"/>
        </w:rPr>
        <w:t xml:space="preserve">and </w:t>
      </w:r>
      <w:r w:rsidR="00DB21A5">
        <w:rPr>
          <w:lang w:bidi="he-IL"/>
        </w:rPr>
        <w:t xml:space="preserve">the ability of the organization to </w:t>
      </w:r>
      <w:r w:rsidRPr="003776BC">
        <w:rPr>
          <w:lang w:bidi="he-IL"/>
        </w:rPr>
        <w:t>manage the demand for the technology within the culture</w:t>
      </w:r>
      <w:r w:rsidR="004555DB">
        <w:rPr>
          <w:lang w:bidi="he-IL"/>
        </w:rPr>
        <w:t xml:space="preserve">.  </w:t>
      </w:r>
      <w:r w:rsidRPr="003776BC">
        <w:rPr>
          <w:i/>
          <w:lang w:bidi="he-IL"/>
        </w:rPr>
        <w:t>Endogenous control</w:t>
      </w:r>
      <w:r w:rsidRPr="003776BC">
        <w:rPr>
          <w:lang w:bidi="he-IL"/>
        </w:rPr>
        <w:t xml:space="preserve"> represents </w:t>
      </w:r>
      <w:r w:rsidR="00DB21A5">
        <w:rPr>
          <w:lang w:bidi="he-IL"/>
        </w:rPr>
        <w:t>decentraliz</w:t>
      </w:r>
      <w:r w:rsidR="001C3A62">
        <w:rPr>
          <w:lang w:bidi="he-IL"/>
        </w:rPr>
        <w:t xml:space="preserve">ed control over the tactic, as the organization </w:t>
      </w:r>
      <w:r w:rsidR="00DB21A5">
        <w:rPr>
          <w:lang w:bidi="he-IL"/>
        </w:rPr>
        <w:t xml:space="preserve">receives influence from </w:t>
      </w:r>
      <w:r w:rsidR="001C3A62">
        <w:rPr>
          <w:lang w:bidi="he-IL"/>
        </w:rPr>
        <w:t xml:space="preserve">volunteers and independently managed cells </w:t>
      </w:r>
      <w:r w:rsidRPr="003776BC">
        <w:rPr>
          <w:lang w:bidi="he-IL"/>
        </w:rPr>
        <w:t xml:space="preserve">to push the organizations to </w:t>
      </w:r>
      <w:r>
        <w:rPr>
          <w:lang w:bidi="he-IL"/>
        </w:rPr>
        <w:t>use</w:t>
      </w:r>
      <w:r w:rsidRPr="003776BC">
        <w:rPr>
          <w:lang w:bidi="he-IL"/>
        </w:rPr>
        <w:t xml:space="preserve"> </w:t>
      </w:r>
      <w:r>
        <w:rPr>
          <w:lang w:bidi="he-IL"/>
        </w:rPr>
        <w:t>suicide terrorism</w:t>
      </w:r>
      <w:r w:rsidR="004555DB">
        <w:rPr>
          <w:lang w:bidi="he-IL"/>
        </w:rPr>
        <w:t xml:space="preserve">.  </w:t>
      </w:r>
      <w:r w:rsidR="00E57986">
        <w:rPr>
          <w:lang w:bidi="he-IL"/>
        </w:rPr>
        <w:t>In the 1980s and 1990s</w:t>
      </w:r>
      <w:r w:rsidRPr="003776BC">
        <w:rPr>
          <w:lang w:bidi="he-IL"/>
        </w:rPr>
        <w:t>, suicide terrorism organizations</w:t>
      </w:r>
      <w:r w:rsidR="00E57986">
        <w:rPr>
          <w:lang w:bidi="he-IL"/>
        </w:rPr>
        <w:t xml:space="preserve"> like the PKK and LTTE</w:t>
      </w:r>
      <w:r w:rsidRPr="003776BC">
        <w:rPr>
          <w:lang w:bidi="he-IL"/>
        </w:rPr>
        <w:t xml:space="preserve"> exercised exogenous</w:t>
      </w:r>
      <w:r w:rsidR="00F46A4B">
        <w:rPr>
          <w:lang w:bidi="he-IL"/>
        </w:rPr>
        <w:t xml:space="preserve"> control.  They</w:t>
      </w:r>
      <w:r w:rsidRPr="003776BC">
        <w:rPr>
          <w:lang w:bidi="he-IL"/>
        </w:rPr>
        <w:t xml:space="preserve"> manipulated and m</w:t>
      </w:r>
      <w:r>
        <w:rPr>
          <w:lang w:bidi="he-IL"/>
        </w:rPr>
        <w:t>anaged the bombers</w:t>
      </w:r>
      <w:r w:rsidR="004555DB">
        <w:rPr>
          <w:lang w:bidi="he-IL"/>
        </w:rPr>
        <w:t xml:space="preserve">.  </w:t>
      </w:r>
      <w:r>
        <w:rPr>
          <w:lang w:bidi="he-IL"/>
        </w:rPr>
        <w:t xml:space="preserve">Hezbollah and </w:t>
      </w:r>
      <w:r w:rsidRPr="003776BC">
        <w:rPr>
          <w:lang w:bidi="he-IL"/>
        </w:rPr>
        <w:t>Al Qaeda practiced mixed control</w:t>
      </w:r>
      <w:r>
        <w:rPr>
          <w:lang w:bidi="he-IL"/>
        </w:rPr>
        <w:t xml:space="preserve">, recruiting some and receiving </w:t>
      </w:r>
      <w:r w:rsidR="003D76A8">
        <w:rPr>
          <w:lang w:bidi="he-IL"/>
        </w:rPr>
        <w:lastRenderedPageBreak/>
        <w:t>volunteers</w:t>
      </w:r>
      <w:r w:rsidR="004555DB">
        <w:rPr>
          <w:lang w:bidi="he-IL"/>
        </w:rPr>
        <w:t xml:space="preserve">.  </w:t>
      </w:r>
      <w:r w:rsidRPr="003776BC">
        <w:rPr>
          <w:lang w:bidi="he-IL"/>
        </w:rPr>
        <w:t>But the Palestinian groups in the Second Intif</w:t>
      </w:r>
      <w:r w:rsidR="00663585">
        <w:rPr>
          <w:lang w:bidi="he-IL"/>
        </w:rPr>
        <w:t xml:space="preserve">ada, </w:t>
      </w:r>
      <w:r w:rsidR="00E57986">
        <w:rPr>
          <w:lang w:bidi="he-IL"/>
        </w:rPr>
        <w:t>ISIS</w:t>
      </w:r>
      <w:r w:rsidR="00663585">
        <w:rPr>
          <w:lang w:bidi="he-IL"/>
        </w:rPr>
        <w:t xml:space="preserve">, and </w:t>
      </w:r>
      <w:r w:rsidRPr="003776BC">
        <w:rPr>
          <w:lang w:bidi="he-IL"/>
        </w:rPr>
        <w:t>Boko Haram in Nigeria represented the move to endogenous control</w:t>
      </w:r>
      <w:r w:rsidR="004555DB">
        <w:rPr>
          <w:lang w:bidi="he-IL"/>
        </w:rPr>
        <w:t xml:space="preserve">.  </w:t>
      </w:r>
      <w:r>
        <w:rPr>
          <w:lang w:bidi="he-IL"/>
        </w:rPr>
        <w:t>T</w:t>
      </w:r>
      <w:r w:rsidRPr="003776BC">
        <w:rPr>
          <w:lang w:bidi="he-IL"/>
        </w:rPr>
        <w:t>he de</w:t>
      </w:r>
      <w:r w:rsidR="00DB21A5">
        <w:rPr>
          <w:lang w:bidi="he-IL"/>
        </w:rPr>
        <w:t>centralized control exploited the public de</w:t>
      </w:r>
      <w:r w:rsidRPr="003776BC">
        <w:rPr>
          <w:lang w:bidi="he-IL"/>
        </w:rPr>
        <w:t>mand for martyrdom</w:t>
      </w:r>
      <w:r w:rsidR="004555DB">
        <w:rPr>
          <w:lang w:bidi="he-IL"/>
        </w:rPr>
        <w:t>.</w:t>
      </w:r>
      <w:r>
        <w:rPr>
          <w:rStyle w:val="FootnoteReference"/>
          <w:lang w:bidi="he-IL"/>
        </w:rPr>
        <w:footnoteReference w:id="58"/>
      </w:r>
      <w:r w:rsidR="00F46A4B">
        <w:rPr>
          <w:lang w:bidi="he-IL"/>
        </w:rPr>
        <w:t xml:space="preserve">  </w:t>
      </w:r>
      <w:r>
        <w:rPr>
          <w:lang w:bidi="he-IL"/>
        </w:rPr>
        <w:t xml:space="preserve">The cognitive terrain approach is a refinement of Lewis’ work, identifying the culturally constructed sacred </w:t>
      </w:r>
      <w:r w:rsidR="00551DC8">
        <w:rPr>
          <w:lang w:bidi="he-IL"/>
        </w:rPr>
        <w:t>value</w:t>
      </w:r>
      <w:r>
        <w:rPr>
          <w:lang w:bidi="he-IL"/>
        </w:rPr>
        <w:t xml:space="preserve">s (specifically, defined in suicide terrorism by the narrative of Qutbism) that inspire </w:t>
      </w:r>
      <w:r w:rsidR="00E57986">
        <w:rPr>
          <w:lang w:bidi="he-IL"/>
        </w:rPr>
        <w:t>decentralized control of</w:t>
      </w:r>
      <w:r w:rsidR="002213B5">
        <w:rPr>
          <w:lang w:bidi="he-IL"/>
        </w:rPr>
        <w:t xml:space="preserve"> suicide</w:t>
      </w:r>
      <w:r w:rsidR="00E57986">
        <w:rPr>
          <w:lang w:bidi="he-IL"/>
        </w:rPr>
        <w:t xml:space="preserve"> attacks</w:t>
      </w:r>
      <w:r w:rsidR="002213B5">
        <w:rPr>
          <w:lang w:bidi="he-IL"/>
        </w:rPr>
        <w:t xml:space="preserve">.  </w:t>
      </w:r>
    </w:p>
    <w:p w:rsidR="001D6233" w:rsidRPr="00273293" w:rsidRDefault="001D6233" w:rsidP="001D6233">
      <w:pPr>
        <w:pStyle w:val="Heading2"/>
        <w:contextualSpacing/>
        <w:rPr>
          <w:bCs w:val="0"/>
          <w:i/>
          <w:szCs w:val="24"/>
        </w:rPr>
      </w:pPr>
      <w:bookmarkStart w:id="22" w:name="_Toc450748673"/>
      <w:r w:rsidRPr="00273293">
        <w:rPr>
          <w:bCs w:val="0"/>
          <w:i/>
          <w:szCs w:val="24"/>
        </w:rPr>
        <w:t xml:space="preserve">Note on Eras of Suicide Terrorism and </w:t>
      </w:r>
      <w:r>
        <w:rPr>
          <w:bCs w:val="0"/>
          <w:i/>
          <w:szCs w:val="24"/>
        </w:rPr>
        <w:t>Categorization of Targets</w:t>
      </w:r>
      <w:bookmarkEnd w:id="22"/>
    </w:p>
    <w:p w:rsidR="001D6233" w:rsidRDefault="003C5A9E" w:rsidP="003C5A9E">
      <w:pPr>
        <w:ind w:firstLine="720"/>
        <w:contextualSpacing/>
        <w:rPr>
          <w:rFonts w:ascii="Times New Roman" w:eastAsia="Calibri" w:hAnsi="Times New Roman"/>
          <w:noProof/>
          <w:lang w:bidi="ar-SA"/>
        </w:rPr>
      </w:pPr>
      <w:r>
        <w:rPr>
          <w:rFonts w:ascii="Times New Roman" w:eastAsia="Calibri" w:hAnsi="Times New Roman"/>
          <w:noProof/>
          <w:lang w:bidi="ar-SA"/>
        </w:rPr>
        <w:t>The</w:t>
      </w:r>
      <w:r w:rsidR="00F46A4B">
        <w:rPr>
          <w:rFonts w:ascii="Times New Roman" w:eastAsia="Calibri" w:hAnsi="Times New Roman"/>
          <w:noProof/>
          <w:lang w:bidi="ar-SA"/>
        </w:rPr>
        <w:t>re are</w:t>
      </w:r>
      <w:r>
        <w:rPr>
          <w:rFonts w:ascii="Times New Roman" w:eastAsia="Calibri" w:hAnsi="Times New Roman"/>
          <w:noProof/>
          <w:lang w:bidi="ar-SA"/>
        </w:rPr>
        <w:t xml:space="preserve"> </w:t>
      </w:r>
      <w:r w:rsidR="001D6233" w:rsidRPr="00BD3DCE">
        <w:rPr>
          <w:rFonts w:ascii="Times New Roman" w:eastAsia="Calibri" w:hAnsi="Times New Roman"/>
          <w:noProof/>
          <w:lang w:bidi="ar-SA"/>
        </w:rPr>
        <w:t>three main eras</w:t>
      </w:r>
      <w:r>
        <w:rPr>
          <w:rFonts w:ascii="Times New Roman" w:eastAsia="Calibri" w:hAnsi="Times New Roman"/>
          <w:noProof/>
          <w:lang w:bidi="ar-SA"/>
        </w:rPr>
        <w:t xml:space="preserve"> </w:t>
      </w:r>
      <w:r w:rsidR="00F46A4B">
        <w:rPr>
          <w:rFonts w:ascii="Times New Roman" w:eastAsia="Calibri" w:hAnsi="Times New Roman"/>
          <w:noProof/>
          <w:lang w:bidi="ar-SA"/>
        </w:rPr>
        <w:t xml:space="preserve">that </w:t>
      </w:r>
      <w:r>
        <w:rPr>
          <w:rFonts w:ascii="Times New Roman" w:eastAsia="Calibri" w:hAnsi="Times New Roman"/>
          <w:noProof/>
          <w:lang w:bidi="ar-SA"/>
        </w:rPr>
        <w:t>structure the history of suicide terrorism.  These eras are the E</w:t>
      </w:r>
      <w:r w:rsidR="001D6233">
        <w:rPr>
          <w:rFonts w:ascii="Times New Roman" w:eastAsia="Calibri" w:hAnsi="Times New Roman"/>
          <w:noProof/>
          <w:lang w:bidi="ar-SA"/>
        </w:rPr>
        <w:t>r</w:t>
      </w:r>
      <w:r>
        <w:rPr>
          <w:rFonts w:ascii="Times New Roman" w:eastAsia="Calibri" w:hAnsi="Times New Roman"/>
          <w:noProof/>
          <w:lang w:bidi="ar-SA"/>
        </w:rPr>
        <w:t>a of National Liberation (1981-</w:t>
      </w:r>
      <w:r w:rsidR="001D6233">
        <w:rPr>
          <w:rFonts w:ascii="Times New Roman" w:eastAsia="Calibri" w:hAnsi="Times New Roman"/>
          <w:noProof/>
          <w:lang w:bidi="ar-SA"/>
        </w:rPr>
        <w:t>1</w:t>
      </w:r>
      <w:r w:rsidR="001D6233" w:rsidRPr="00BD3DCE">
        <w:rPr>
          <w:rFonts w:ascii="Times New Roman" w:eastAsia="Calibri" w:hAnsi="Times New Roman"/>
          <w:noProof/>
          <w:lang w:bidi="ar-SA"/>
        </w:rPr>
        <w:t>992), the Era of Religious National</w:t>
      </w:r>
      <w:r w:rsidR="001D6233">
        <w:rPr>
          <w:rFonts w:ascii="Times New Roman" w:eastAsia="Calibri" w:hAnsi="Times New Roman"/>
          <w:noProof/>
          <w:lang w:bidi="ar-SA"/>
        </w:rPr>
        <w:t>ism (1993-</w:t>
      </w:r>
      <w:r w:rsidR="001D6233" w:rsidRPr="00BD3DCE">
        <w:rPr>
          <w:rFonts w:ascii="Times New Roman" w:eastAsia="Calibri" w:hAnsi="Times New Roman"/>
          <w:noProof/>
          <w:lang w:bidi="ar-SA"/>
        </w:rPr>
        <w:t xml:space="preserve">2004), and the Era of </w:t>
      </w:r>
      <w:r w:rsidR="001D6233">
        <w:rPr>
          <w:rFonts w:ascii="Times New Roman" w:eastAsia="Calibri" w:hAnsi="Times New Roman"/>
          <w:noProof/>
          <w:lang w:bidi="ar-SA"/>
        </w:rPr>
        <w:t xml:space="preserve">Fitna (2005-present).  </w:t>
      </w:r>
      <w:r w:rsidR="001D6233" w:rsidRPr="003C5A9E">
        <w:rPr>
          <w:rFonts w:ascii="Times New Roman" w:eastAsia="Calibri" w:hAnsi="Times New Roman"/>
          <w:i/>
          <w:iCs/>
          <w:noProof/>
          <w:lang w:bidi="ar-SA"/>
        </w:rPr>
        <w:t>Fitna</w:t>
      </w:r>
      <w:r w:rsidR="001D6233">
        <w:rPr>
          <w:rFonts w:ascii="Times New Roman" w:eastAsia="Calibri" w:hAnsi="Times New Roman"/>
          <w:noProof/>
          <w:lang w:bidi="ar-SA"/>
        </w:rPr>
        <w:t xml:space="preserve"> is </w:t>
      </w:r>
      <w:r w:rsidR="001D6233" w:rsidRPr="00BD3DCE">
        <w:rPr>
          <w:rFonts w:ascii="Times New Roman" w:eastAsia="Calibri" w:hAnsi="Times New Roman"/>
          <w:noProof/>
          <w:lang w:bidi="ar-SA"/>
        </w:rPr>
        <w:t xml:space="preserve">the Arabic term for civil chaos, </w:t>
      </w:r>
      <w:r w:rsidR="001D6233">
        <w:rPr>
          <w:rFonts w:ascii="Times New Roman" w:eastAsia="Calibri" w:hAnsi="Times New Roman"/>
          <w:noProof/>
          <w:lang w:bidi="ar-SA"/>
        </w:rPr>
        <w:t xml:space="preserve">and the word I chose to represent </w:t>
      </w:r>
      <w:r w:rsidR="001D6233" w:rsidRPr="00BD3DCE">
        <w:rPr>
          <w:rFonts w:ascii="Times New Roman" w:eastAsia="Calibri" w:hAnsi="Times New Roman"/>
          <w:noProof/>
          <w:lang w:bidi="ar-SA"/>
        </w:rPr>
        <w:t>the avalanche of suicide attacks the globe has seen since 2005</w:t>
      </w:r>
      <w:r>
        <w:rPr>
          <w:rFonts w:ascii="Times New Roman" w:eastAsia="Calibri" w:hAnsi="Times New Roman"/>
          <w:noProof/>
          <w:lang w:bidi="ar-SA"/>
        </w:rPr>
        <w:t>.  Since 2005, suicide attacks have</w:t>
      </w:r>
      <w:r w:rsidR="001D6233">
        <w:rPr>
          <w:rFonts w:ascii="Times New Roman" w:eastAsia="Calibri" w:hAnsi="Times New Roman"/>
          <w:noProof/>
          <w:lang w:bidi="ar-SA"/>
        </w:rPr>
        <w:t xml:space="preserve"> primarily </w:t>
      </w:r>
      <w:r>
        <w:rPr>
          <w:rFonts w:ascii="Times New Roman" w:eastAsia="Calibri" w:hAnsi="Times New Roman"/>
          <w:noProof/>
          <w:lang w:bidi="ar-SA"/>
        </w:rPr>
        <w:t xml:space="preserve">targeted </w:t>
      </w:r>
      <w:r w:rsidR="001D6233">
        <w:rPr>
          <w:rFonts w:ascii="Times New Roman" w:eastAsia="Calibri" w:hAnsi="Times New Roman"/>
          <w:noProof/>
          <w:lang w:bidi="ar-SA"/>
        </w:rPr>
        <w:t>civilians and local security.  The development of Qutbist rebellion explains this transition in targets, the willingness of individuals to kill themselves and civilians, and the rise in suicide attacks.</w:t>
      </w:r>
    </w:p>
    <w:p w:rsidR="001D6233" w:rsidRDefault="001D6233" w:rsidP="003C5A9E">
      <w:pPr>
        <w:ind w:firstLine="720"/>
        <w:contextualSpacing/>
        <w:rPr>
          <w:lang w:bidi="he-IL"/>
        </w:rPr>
      </w:pPr>
      <w:r>
        <w:rPr>
          <w:rFonts w:ascii="Times New Roman" w:eastAsia="Calibri" w:hAnsi="Times New Roman"/>
          <w:noProof/>
          <w:lang w:bidi="ar-SA"/>
        </w:rPr>
        <w:t xml:space="preserve">Throught this paper, I categorize target selection into five variables: Security-Military, Security-Police, Government (including embassies), Civilians, and Informal Groups (competing insurgent or terrorist groups).  I pull data from </w:t>
      </w:r>
      <w:r w:rsidR="003C5A9E">
        <w:rPr>
          <w:rFonts w:ascii="Times New Roman" w:eastAsia="Calibri" w:hAnsi="Times New Roman"/>
          <w:noProof/>
          <w:lang w:bidi="ar-SA"/>
        </w:rPr>
        <w:t>START, which is</w:t>
      </w:r>
      <w:r>
        <w:rPr>
          <w:rFonts w:ascii="Times New Roman" w:eastAsia="Calibri" w:hAnsi="Times New Roman"/>
          <w:noProof/>
          <w:lang w:bidi="ar-SA"/>
        </w:rPr>
        <w:t xml:space="preserve"> based out of the Univeristy of Maryland.  The START database inherited data from the Worldwide Incident Tracking System, formerly of the National Counterterrorism Center and Office of the Director of National Intelligence.  The START database codes each suicide attack with one of twenty-one different types of targets, which provides a high </w:t>
      </w:r>
      <w:r>
        <w:rPr>
          <w:rFonts w:ascii="Times New Roman" w:eastAsia="Calibri" w:hAnsi="Times New Roman"/>
          <w:noProof/>
          <w:lang w:bidi="ar-SA"/>
        </w:rPr>
        <w:lastRenderedPageBreak/>
        <w:t xml:space="preserve">level of target granularity.  Target types in the START database include </w:t>
      </w:r>
      <w:r w:rsidRPr="003776BC">
        <w:rPr>
          <w:lang w:bidi="he-IL"/>
        </w:rPr>
        <w:t>business, religious institution, utilities, and maritime, among others</w:t>
      </w:r>
      <w:r>
        <w:rPr>
          <w:lang w:bidi="he-IL"/>
        </w:rPr>
        <w:t>.</w:t>
      </w:r>
    </w:p>
    <w:p w:rsidR="001D6233" w:rsidRDefault="001D6233" w:rsidP="0036697E">
      <w:pPr>
        <w:ind w:firstLine="720"/>
        <w:contextualSpacing/>
        <w:rPr>
          <w:lang w:bidi="he-IL"/>
        </w:rPr>
      </w:pPr>
      <w:r>
        <w:rPr>
          <w:lang w:bidi="he-IL"/>
        </w:rPr>
        <w:t>In the Appendix, I chart the results of another database, the University of Chicago Project on Security and Terrorism (CPOST) for comparative purposes.  The reason why I do not use CPOST data in the paper is because it creates only three categories for targets in suicide attacks: security, civilians, and political.</w:t>
      </w:r>
      <w:r>
        <w:rPr>
          <w:rStyle w:val="FootnoteReference"/>
          <w:lang w:bidi="he-IL"/>
        </w:rPr>
        <w:footnoteReference w:id="59"/>
      </w:r>
      <w:r w:rsidR="0036697E">
        <w:rPr>
          <w:lang w:bidi="he-IL"/>
        </w:rPr>
        <w:t xml:space="preserve">  </w:t>
      </w:r>
      <w:r>
        <w:rPr>
          <w:lang w:bidi="he-IL"/>
        </w:rPr>
        <w:t xml:space="preserve">If the insurgency aims to replace the host nation government, it makes perfect sense to conflate military and police targets into one security variable.  In order to build a counter-state, expelling or weakening all security forces from a region fits the objective of replacing the current state.  This is simple insurgency logic, independent of the ideology of the insurgency.  </w:t>
      </w:r>
    </w:p>
    <w:p w:rsidR="002F6695" w:rsidRDefault="001D6233" w:rsidP="00E57986">
      <w:pPr>
        <w:ind w:firstLine="720"/>
        <w:contextualSpacing/>
        <w:rPr>
          <w:lang w:bidi="he-IL"/>
        </w:rPr>
      </w:pPr>
      <w:r>
        <w:rPr>
          <w:lang w:bidi="he-IL"/>
        </w:rPr>
        <w:t xml:space="preserve">However, if the insurgent is motivated to expel foreign troops occupying the country, attacking local police targets can actually retain the foreign presence to offset the loss of local police.  Attacking foreign military personnel fits within a nationalist explanation of suicide terrorism.  </w:t>
      </w:r>
      <w:r w:rsidR="003C5A9E">
        <w:rPr>
          <w:lang w:bidi="he-IL"/>
        </w:rPr>
        <w:t>Attacking</w:t>
      </w:r>
      <w:r>
        <w:rPr>
          <w:lang w:bidi="he-IL"/>
        </w:rPr>
        <w:t xml:space="preserve"> local police may explain overthrowing the current government, but does not necessarily explain nationalism</w:t>
      </w:r>
      <w:r w:rsidR="003C5A9E">
        <w:rPr>
          <w:lang w:bidi="he-IL"/>
        </w:rPr>
        <w:t xml:space="preserve"> unless the nationalism is </w:t>
      </w:r>
      <w:r w:rsidR="00E57986">
        <w:rPr>
          <w:lang w:bidi="he-IL"/>
        </w:rPr>
        <w:t>revolutionary or transnational</w:t>
      </w:r>
      <w:r>
        <w:rPr>
          <w:lang w:bidi="he-IL"/>
        </w:rPr>
        <w:t xml:space="preserve">.  Thus, </w:t>
      </w:r>
      <w:r w:rsidR="002F6695">
        <w:rPr>
          <w:lang w:bidi="he-IL"/>
        </w:rPr>
        <w:t xml:space="preserve">strategic </w:t>
      </w:r>
      <w:r>
        <w:rPr>
          <w:lang w:bidi="he-IL"/>
        </w:rPr>
        <w:t xml:space="preserve">objectives are conflated with the </w:t>
      </w:r>
      <w:r>
        <w:rPr>
          <w:lang w:bidi="he-IL"/>
        </w:rPr>
        <w:lastRenderedPageBreak/>
        <w:t xml:space="preserve">targets—suicide attacks on police may be to weaken the new government and expel the foreign occupier, whereas suicide attacks on the military may only be to expel the foreign occupier.  </w:t>
      </w:r>
    </w:p>
    <w:p w:rsidR="00EB2BC6" w:rsidRDefault="001D6233" w:rsidP="001615F6">
      <w:pPr>
        <w:ind w:firstLine="720"/>
        <w:contextualSpacing/>
        <w:rPr>
          <w:lang w:bidi="he-IL"/>
        </w:rPr>
      </w:pPr>
      <w:r>
        <w:rPr>
          <w:lang w:bidi="he-IL"/>
        </w:rPr>
        <w:t>It is necessary to separate police targets from military targets for t</w:t>
      </w:r>
      <w:r w:rsidR="001615F6">
        <w:rPr>
          <w:lang w:bidi="he-IL"/>
        </w:rPr>
        <w:t xml:space="preserve">wo </w:t>
      </w:r>
      <w:r>
        <w:rPr>
          <w:lang w:bidi="he-IL"/>
        </w:rPr>
        <w:t xml:space="preserve">interrelated reasons.  The first is that in many of these areas of conflict, </w:t>
      </w:r>
      <w:r w:rsidR="003C5A9E">
        <w:rPr>
          <w:lang w:bidi="he-IL"/>
        </w:rPr>
        <w:t xml:space="preserve">foreign occupiers are </w:t>
      </w:r>
      <w:r>
        <w:rPr>
          <w:lang w:bidi="he-IL"/>
        </w:rPr>
        <w:t xml:space="preserve">military targets.  These include American, British, French, or UN forces with troops on the ground.  The </w:t>
      </w:r>
      <w:r w:rsidR="003C5A9E">
        <w:rPr>
          <w:lang w:bidi="he-IL"/>
        </w:rPr>
        <w:t>security-</w:t>
      </w:r>
      <w:r>
        <w:rPr>
          <w:lang w:bidi="he-IL"/>
        </w:rPr>
        <w:t xml:space="preserve">police targets, however, only represent foreign forces if they are perceived as such by segments of the local population.  Police forces may operate on behalf of a government foreign entities support, but the police are nonetheless members of the nation, oftentimes the same ethnic group, and embedded in the local community.  </w:t>
      </w:r>
    </w:p>
    <w:p w:rsidR="001D6233" w:rsidRPr="00B27C7B" w:rsidRDefault="00EB2BC6" w:rsidP="001615F6">
      <w:pPr>
        <w:ind w:firstLine="720"/>
        <w:contextualSpacing/>
        <w:rPr>
          <w:lang w:bidi="he-IL"/>
        </w:rPr>
      </w:pPr>
      <w:r>
        <w:rPr>
          <w:lang w:bidi="he-IL"/>
        </w:rPr>
        <w:t>Secondly, c</w:t>
      </w:r>
      <w:r w:rsidR="001D6233">
        <w:rPr>
          <w:lang w:bidi="he-IL"/>
        </w:rPr>
        <w:t xml:space="preserve">onflating military and police targets misses the orientation of the perceived out-group on the part of the individual suicide attacker.  Killing foreigners from a different religion is comprehensible.  Killing fellow nationals that are from a different ethnic group fits within in-group and out-group hostility.  Killing fellow countrymen to overthrow the government is </w:t>
      </w:r>
      <w:r w:rsidR="003C5A9E">
        <w:rPr>
          <w:lang w:bidi="he-IL"/>
        </w:rPr>
        <w:t xml:space="preserve">yet </w:t>
      </w:r>
      <w:r w:rsidR="001D6233">
        <w:rPr>
          <w:lang w:bidi="he-IL"/>
        </w:rPr>
        <w:t>a</w:t>
      </w:r>
      <w:r w:rsidR="003C5A9E">
        <w:rPr>
          <w:lang w:bidi="he-IL"/>
        </w:rPr>
        <w:t>nother motive separate from the other two</w:t>
      </w:r>
      <w:r w:rsidR="001615F6">
        <w:rPr>
          <w:lang w:bidi="he-IL"/>
        </w:rPr>
        <w:t>, at both an ideological and psychological level</w:t>
      </w:r>
      <w:r w:rsidR="001D6233">
        <w:rPr>
          <w:lang w:bidi="he-IL"/>
        </w:rPr>
        <w:t>.  Thus, when researchers build statistical models on the objectives of the suicide terrorist organization while using simple variable categories, the conclusions will be</w:t>
      </w:r>
      <w:r w:rsidR="003C5A9E">
        <w:rPr>
          <w:lang w:bidi="he-IL"/>
        </w:rPr>
        <w:t xml:space="preserve"> incomplete</w:t>
      </w:r>
      <w:r w:rsidR="001D6233">
        <w:rPr>
          <w:lang w:bidi="he-IL"/>
        </w:rPr>
        <w:t xml:space="preserve"> if foreign military targets and local police targets are treated the same.  An attack on Afghan police forces is modeled the same as an attack on NATO coalition forces, even if there are no NATO forces on the ground in Afghanistan.</w:t>
      </w:r>
      <w:r w:rsidR="003C5A9E">
        <w:rPr>
          <w:lang w:bidi="he-IL"/>
        </w:rPr>
        <w:t xml:space="preserve">  </w:t>
      </w:r>
    </w:p>
    <w:p w:rsidR="003C5A9E" w:rsidRDefault="003C5A9E">
      <w:pPr>
        <w:spacing w:line="240" w:lineRule="auto"/>
        <w:rPr>
          <w:rFonts w:asciiTheme="majorHAnsi" w:hAnsiTheme="majorHAnsi"/>
          <w:b/>
          <w:bCs/>
          <w:sz w:val="28"/>
          <w:szCs w:val="32"/>
        </w:rPr>
      </w:pPr>
      <w:r>
        <w:br w:type="page"/>
      </w:r>
    </w:p>
    <w:p w:rsidR="0010001E" w:rsidRPr="005B0A88" w:rsidRDefault="0010001E" w:rsidP="00DD0216">
      <w:pPr>
        <w:pStyle w:val="Heading1"/>
      </w:pPr>
      <w:bookmarkStart w:id="23" w:name="_Toc450748674"/>
      <w:r w:rsidRPr="000F56FF">
        <w:lastRenderedPageBreak/>
        <w:t xml:space="preserve">Chapter </w:t>
      </w:r>
      <w:r w:rsidR="007E65CF">
        <w:t>2</w:t>
      </w:r>
      <w:r w:rsidRPr="000F56FF">
        <w:t xml:space="preserve">: </w:t>
      </w:r>
      <w:r w:rsidR="0081557D">
        <w:t>Qutbism, the Ideological Foundation</w:t>
      </w:r>
      <w:r w:rsidR="0068391E">
        <w:t xml:space="preserve"> for Twenty Years of Suicide Terrorism</w:t>
      </w:r>
      <w:bookmarkEnd w:id="23"/>
    </w:p>
    <w:p w:rsidR="0010001E" w:rsidRPr="003776BC" w:rsidRDefault="0010001E" w:rsidP="0010001E">
      <w:pPr>
        <w:pStyle w:val="Heading2"/>
        <w:contextualSpacing/>
        <w:rPr>
          <w:bCs w:val="0"/>
          <w:i/>
          <w:iCs w:val="0"/>
          <w:szCs w:val="24"/>
        </w:rPr>
      </w:pPr>
      <w:bookmarkStart w:id="24" w:name="_Toc450748675"/>
      <w:r w:rsidRPr="003776BC">
        <w:rPr>
          <w:bCs w:val="0"/>
          <w:i/>
          <w:szCs w:val="24"/>
        </w:rPr>
        <w:t>The Salafist Reaction to the West</w:t>
      </w:r>
      <w:bookmarkEnd w:id="24"/>
    </w:p>
    <w:p w:rsidR="00A317B5" w:rsidRDefault="003E5111" w:rsidP="00A87AC8">
      <w:pPr>
        <w:ind w:firstLine="720"/>
        <w:contextualSpacing/>
      </w:pPr>
      <w:r w:rsidRPr="003776BC">
        <w:t xml:space="preserve">Qutbism offers a simple </w:t>
      </w:r>
      <w:r>
        <w:t>narrative</w:t>
      </w:r>
      <w:r w:rsidRPr="003776BC">
        <w:t xml:space="preserve"> that explains why Islam has been victimized, who the villains are, and what means are justified to counterbalance this status.</w:t>
      </w:r>
      <w:r w:rsidRPr="003776BC">
        <w:rPr>
          <w:vertAlign w:val="superscript"/>
        </w:rPr>
        <w:footnoteReference w:id="60"/>
      </w:r>
      <w:r w:rsidR="00EB2BC6">
        <w:t xml:space="preserve">  </w:t>
      </w:r>
      <w:r w:rsidR="00EA40BF" w:rsidRPr="003776BC">
        <w:t>While Islam and Western political values can coexist and various jurist branches of Islam are what would be considered liberal</w:t>
      </w:r>
      <w:r w:rsidR="00EA40BF">
        <w:t xml:space="preserve">, Qutbism provides a pristine alternative to Islam’s comparative weakness on the global stage.  </w:t>
      </w:r>
      <w:r w:rsidR="00A317B5">
        <w:t>The rise of Salafism in the late 19</w:t>
      </w:r>
      <w:r w:rsidR="00A317B5" w:rsidRPr="00A317B5">
        <w:rPr>
          <w:vertAlign w:val="superscript"/>
        </w:rPr>
        <w:t>th</w:t>
      </w:r>
      <w:r w:rsidR="00A317B5">
        <w:t xml:space="preserve"> Century, the fall of the Caliphate after World War 1, the forming of the Muslim Brotherhood in Egypt, </w:t>
      </w:r>
      <w:r w:rsidR="00870626">
        <w:t>and the Sykes-Picot agreement that parceled Arab-Islamic lands into European colonial mandates contributed to the strident ideological position of Qutbism</w:t>
      </w:r>
      <w:r w:rsidR="004555DB">
        <w:t xml:space="preserve">.  </w:t>
      </w:r>
      <w:r w:rsidR="00870626">
        <w:t>Muslims are to submit to God, and the Caliphate represent</w:t>
      </w:r>
      <w:r w:rsidR="00A87AC8">
        <w:t>s</w:t>
      </w:r>
      <w:r w:rsidR="00870626">
        <w:t xml:space="preserve"> the authority of man’s submission to God in the political sphere</w:t>
      </w:r>
      <w:r w:rsidR="004555DB">
        <w:t xml:space="preserve">.  </w:t>
      </w:r>
      <w:r w:rsidR="00870626">
        <w:t>With no Caliphate—no matter how flawed it was recognized for being in action—the direct connection to the state of Mohammad ceased to exist</w:t>
      </w:r>
      <w:r w:rsidR="004555DB">
        <w:t xml:space="preserve">.  </w:t>
      </w:r>
      <w:r w:rsidR="00870626">
        <w:t>Western values such as nationalism, imperialism, and industrialization contributed to its defeat, which reiterated the positioning of “us” (Muslims) versus “them” (the West).</w:t>
      </w:r>
    </w:p>
    <w:p w:rsidR="0010001E" w:rsidRPr="003776BC" w:rsidRDefault="0010001E" w:rsidP="00EB2BC6">
      <w:pPr>
        <w:ind w:firstLine="720"/>
        <w:contextualSpacing/>
      </w:pPr>
      <w:r w:rsidRPr="003776BC">
        <w:t>Western modernization shamed the dignity of Arab and Muslim countries</w:t>
      </w:r>
      <w:r w:rsidR="004555DB">
        <w:t xml:space="preserve">.  </w:t>
      </w:r>
      <w:r>
        <w:t>To devout Muslims unconcerned</w:t>
      </w:r>
      <w:r w:rsidRPr="003776BC">
        <w:t xml:space="preserve"> to the “shame narrative,</w:t>
      </w:r>
      <w:r>
        <w:t>”</w:t>
      </w:r>
      <w:r w:rsidRPr="003776BC">
        <w:t xml:space="preserve"> this </w:t>
      </w:r>
      <w:r w:rsidR="00870626">
        <w:t>meant</w:t>
      </w:r>
      <w:r>
        <w:t xml:space="preserve"> little</w:t>
      </w:r>
      <w:r w:rsidR="004555DB">
        <w:t xml:space="preserve">.  </w:t>
      </w:r>
      <w:r>
        <w:t xml:space="preserve">But </w:t>
      </w:r>
      <w:r w:rsidR="00870626">
        <w:t>the shame narrative</w:t>
      </w:r>
      <w:r w:rsidRPr="003776BC">
        <w:t xml:space="preserve"> led to cognitive dissonance, because the comparison between what should </w:t>
      </w:r>
      <w:r w:rsidR="005E41C9">
        <w:t xml:space="preserve">have </w:t>
      </w:r>
      <w:r w:rsidRPr="003776BC">
        <w:t>b</w:t>
      </w:r>
      <w:r w:rsidR="005E41C9">
        <w:t>e</w:t>
      </w:r>
      <w:r w:rsidRPr="003776BC">
        <w:t>e</w:t>
      </w:r>
      <w:r w:rsidR="005E41C9">
        <w:t>n</w:t>
      </w:r>
      <w:r w:rsidRPr="003776BC">
        <w:t xml:space="preserve"> true (the truth of the Qur’an, God’s </w:t>
      </w:r>
      <w:r w:rsidR="00EB2BC6">
        <w:t>honor</w:t>
      </w:r>
      <w:r w:rsidRPr="003776BC">
        <w:t xml:space="preserve"> </w:t>
      </w:r>
      <w:r w:rsidR="00EB2BC6">
        <w:t>through the success</w:t>
      </w:r>
      <w:r w:rsidRPr="003776BC">
        <w:t xml:space="preserve"> of His peop</w:t>
      </w:r>
      <w:r w:rsidR="00870626">
        <w:t>le) and what wa</w:t>
      </w:r>
      <w:r w:rsidRPr="003776BC">
        <w:t xml:space="preserve">s true (the comparative weakness of the Arab-Islamic World </w:t>
      </w:r>
      <w:r w:rsidR="00A87AC8">
        <w:t>to the West</w:t>
      </w:r>
      <w:r w:rsidRPr="003776BC">
        <w:t xml:space="preserve">) </w:t>
      </w:r>
      <w:r w:rsidRPr="003776BC">
        <w:lastRenderedPageBreak/>
        <w:t>was unavoidable.</w:t>
      </w:r>
      <w:r w:rsidRPr="003776BC">
        <w:rPr>
          <w:vertAlign w:val="superscript"/>
        </w:rPr>
        <w:footnoteReference w:id="61"/>
      </w:r>
      <w:r w:rsidR="00EA40BF">
        <w:t xml:space="preserve">  </w:t>
      </w:r>
      <w:r>
        <w:t xml:space="preserve">To compensate </w:t>
      </w:r>
      <w:r w:rsidR="00EA40BF">
        <w:t xml:space="preserve">for </w:t>
      </w:r>
      <w:r w:rsidRPr="003776BC">
        <w:t xml:space="preserve">this dissonance, there </w:t>
      </w:r>
      <w:r w:rsidR="00870626">
        <w:t xml:space="preserve">were </w:t>
      </w:r>
      <w:r w:rsidRPr="003776BC">
        <w:t>two available responses</w:t>
      </w:r>
      <w:r w:rsidR="004555DB">
        <w:t xml:space="preserve">.  </w:t>
      </w:r>
      <w:r w:rsidRPr="003776BC">
        <w:t>The first</w:t>
      </w:r>
      <w:r w:rsidR="00870626">
        <w:t xml:space="preserve"> was</w:t>
      </w:r>
      <w:r w:rsidRPr="003776BC">
        <w:t xml:space="preserve"> that I</w:t>
      </w:r>
      <w:r w:rsidR="00870626">
        <w:t xml:space="preserve">slam </w:t>
      </w:r>
      <w:r w:rsidR="005E41C9">
        <w:t>wa</w:t>
      </w:r>
      <w:r w:rsidR="00870626">
        <w:t xml:space="preserve">s still good, which meant </w:t>
      </w:r>
      <w:r w:rsidRPr="003776BC">
        <w:t xml:space="preserve">the West </w:t>
      </w:r>
      <w:r w:rsidR="005E41C9">
        <w:t>wa</w:t>
      </w:r>
      <w:r w:rsidRPr="003776BC">
        <w:t>s wrong</w:t>
      </w:r>
      <w:r w:rsidR="004555DB">
        <w:t xml:space="preserve">.  </w:t>
      </w:r>
      <w:r w:rsidRPr="003776BC">
        <w:t xml:space="preserve">The second </w:t>
      </w:r>
      <w:r w:rsidR="00A87AC8">
        <w:t>was</w:t>
      </w:r>
      <w:r w:rsidRPr="003776BC">
        <w:t xml:space="preserve"> that the way Islam had been managed for centuries led to the dilapidation and submission of Islam to the powers </w:t>
      </w:r>
      <w:r>
        <w:t>of the West</w:t>
      </w:r>
      <w:r w:rsidR="004555DB">
        <w:t xml:space="preserve">.  </w:t>
      </w:r>
      <w:r>
        <w:t xml:space="preserve">Thus, the </w:t>
      </w:r>
      <w:r w:rsidRPr="003776BC">
        <w:t xml:space="preserve">jurist systems that trained Islamic scholars into a civilized, adaptive, and liberal Islam (such as the Hanafi </w:t>
      </w:r>
      <w:r w:rsidR="00FA6655" w:rsidRPr="003776BC">
        <w:t>School</w:t>
      </w:r>
      <w:r w:rsidRPr="003776BC">
        <w:t>)</w:t>
      </w:r>
      <w:r>
        <w:t>,</w:t>
      </w:r>
      <w:r w:rsidRPr="003776BC">
        <w:t xml:space="preserve"> ha</w:t>
      </w:r>
      <w:r w:rsidR="00870626">
        <w:t xml:space="preserve">d in fact failed, and worse, </w:t>
      </w:r>
      <w:r w:rsidR="00DB730B">
        <w:t xml:space="preserve">were </w:t>
      </w:r>
      <w:r w:rsidRPr="003776BC">
        <w:t>blasphemous</w:t>
      </w:r>
      <w:r w:rsidR="004555DB">
        <w:t xml:space="preserve">.  </w:t>
      </w:r>
    </w:p>
    <w:p w:rsidR="0010001E" w:rsidRPr="003776BC" w:rsidRDefault="0010001E" w:rsidP="00735745">
      <w:pPr>
        <w:ind w:firstLine="720"/>
        <w:contextualSpacing/>
      </w:pPr>
      <w:r w:rsidRPr="003776BC">
        <w:t>This broad response emerged in the late 19</w:t>
      </w:r>
      <w:r w:rsidRPr="003776BC">
        <w:rPr>
          <w:vertAlign w:val="superscript"/>
        </w:rPr>
        <w:t>th</w:t>
      </w:r>
      <w:r w:rsidRPr="003776BC">
        <w:t xml:space="preserve"> Century as </w:t>
      </w:r>
      <w:r w:rsidRPr="003776BC">
        <w:rPr>
          <w:i/>
          <w:iCs/>
        </w:rPr>
        <w:t>Salafism</w:t>
      </w:r>
      <w:r w:rsidRPr="003776BC">
        <w:t>, a term coined by political activist Jamal al-Din al-Afghani</w:t>
      </w:r>
      <w:r w:rsidR="00870626">
        <w:t>, and an ideology that influences many Muslims today</w:t>
      </w:r>
      <w:r w:rsidR="004555DB">
        <w:t xml:space="preserve">.  </w:t>
      </w:r>
      <w:r w:rsidRPr="003776BC">
        <w:t>Salafi refers to “early followers,”</w:t>
      </w:r>
      <w:r w:rsidR="00EA40BF">
        <w:t xml:space="preserve"> and represents</w:t>
      </w:r>
      <w:r w:rsidRPr="003776BC">
        <w:t xml:space="preserve"> the first generation of the Prophet that almost all Muslims (whet</w:t>
      </w:r>
      <w:r w:rsidR="00EA40BF">
        <w:t>her Sunni or Shia) view as the “Golden Age”</w:t>
      </w:r>
      <w:r w:rsidRPr="003776BC">
        <w:t xml:space="preserve"> of Islam</w:t>
      </w:r>
      <w:r w:rsidR="004555DB">
        <w:t xml:space="preserve">.  </w:t>
      </w:r>
      <w:r w:rsidRPr="003776BC">
        <w:t xml:space="preserve">Many of the early </w:t>
      </w:r>
      <w:r w:rsidR="00EA40BF">
        <w:t>20</w:t>
      </w:r>
      <w:r w:rsidR="00EA40BF" w:rsidRPr="00EA40BF">
        <w:rPr>
          <w:vertAlign w:val="superscript"/>
        </w:rPr>
        <w:t>th</w:t>
      </w:r>
      <w:r w:rsidR="00EA40BF">
        <w:t xml:space="preserve"> Century </w:t>
      </w:r>
      <w:r w:rsidRPr="003776BC">
        <w:t xml:space="preserve">Salafists had liberal tendencies, and their call to a return to early Islam was </w:t>
      </w:r>
      <w:r>
        <w:t xml:space="preserve">intended </w:t>
      </w:r>
      <w:r w:rsidRPr="003776BC">
        <w:t>to present a unifying force in the wake of secular nationalism</w:t>
      </w:r>
      <w:r w:rsidR="004555DB">
        <w:t xml:space="preserve">.  </w:t>
      </w:r>
      <w:r w:rsidRPr="003776BC">
        <w:t>Scholars such as Rashid Rida admired the West’s successes</w:t>
      </w:r>
      <w:r>
        <w:t xml:space="preserve"> </w:t>
      </w:r>
      <w:r w:rsidRPr="003776BC">
        <w:t>and sought an Islam that could learn from the West while retaining Islamic core values.</w:t>
      </w:r>
      <w:r w:rsidRPr="003776BC">
        <w:rPr>
          <w:vertAlign w:val="superscript"/>
        </w:rPr>
        <w:footnoteReference w:id="62"/>
      </w:r>
    </w:p>
    <w:p w:rsidR="0010001E" w:rsidRPr="003776BC" w:rsidRDefault="0010001E" w:rsidP="00735745">
      <w:pPr>
        <w:ind w:firstLine="720"/>
        <w:contextualSpacing/>
      </w:pPr>
      <w:r w:rsidRPr="003776BC">
        <w:t xml:space="preserve">In its more militant application, Salafism wipes the slate clean of all Islamic </w:t>
      </w:r>
      <w:r w:rsidR="00A87AC8">
        <w:t xml:space="preserve">philosophical and jurist </w:t>
      </w:r>
      <w:r w:rsidRPr="003776BC">
        <w:t>development since the early generation</w:t>
      </w:r>
      <w:r w:rsidR="004555DB">
        <w:t xml:space="preserve">.  </w:t>
      </w:r>
      <w:r w:rsidRPr="003776BC">
        <w:t xml:space="preserve">These developments are </w:t>
      </w:r>
      <w:r w:rsidR="00EA40BF">
        <w:rPr>
          <w:i/>
        </w:rPr>
        <w:t xml:space="preserve">bida </w:t>
      </w:r>
      <w:r w:rsidR="00EA40BF">
        <w:t>(“</w:t>
      </w:r>
      <w:r w:rsidRPr="003776BC">
        <w:t>innovations</w:t>
      </w:r>
      <w:r w:rsidR="00EA40BF">
        <w:t>”)</w:t>
      </w:r>
      <w:r w:rsidRPr="003776BC">
        <w:t xml:space="preserve">, which </w:t>
      </w:r>
      <w:r w:rsidR="00735745">
        <w:t>blaspheme</w:t>
      </w:r>
      <w:r w:rsidRPr="003776BC">
        <w:t xml:space="preserve"> the </w:t>
      </w:r>
      <w:r w:rsidR="00735745">
        <w:t xml:space="preserve">pure revelation </w:t>
      </w:r>
      <w:r w:rsidRPr="003776BC">
        <w:t>of God</w:t>
      </w:r>
      <w:r w:rsidR="004555DB">
        <w:t xml:space="preserve">.  </w:t>
      </w:r>
      <w:r w:rsidRPr="003776BC">
        <w:t xml:space="preserve">The consequence is that normative meaning and positioning of Islamic </w:t>
      </w:r>
      <w:r w:rsidR="00551DC8">
        <w:t>value</w:t>
      </w:r>
      <w:r w:rsidRPr="003776BC">
        <w:t xml:space="preserve">s such as </w:t>
      </w:r>
      <w:r w:rsidRPr="003776BC">
        <w:rPr>
          <w:i/>
        </w:rPr>
        <w:t xml:space="preserve">jihad </w:t>
      </w:r>
      <w:r w:rsidRPr="003776BC">
        <w:t>(</w:t>
      </w:r>
      <w:r w:rsidR="00EA40BF">
        <w:t>“</w:t>
      </w:r>
      <w:r w:rsidRPr="003776BC">
        <w:t>striving in the name of God,</w:t>
      </w:r>
      <w:r w:rsidR="00EA40BF">
        <w:t>”</w:t>
      </w:r>
      <w:r w:rsidRPr="003776BC">
        <w:t xml:space="preserve"> against the threats to one’s soul and/or against unjust governments), </w:t>
      </w:r>
      <w:r w:rsidRPr="003776BC">
        <w:rPr>
          <w:i/>
        </w:rPr>
        <w:t xml:space="preserve">tawhid </w:t>
      </w:r>
      <w:r w:rsidRPr="003776BC">
        <w:t>(the absolute unity of God in all spheres of life)</w:t>
      </w:r>
      <w:r w:rsidRPr="003776BC">
        <w:rPr>
          <w:i/>
        </w:rPr>
        <w:t>,</w:t>
      </w:r>
      <w:r w:rsidRPr="003776BC">
        <w:t xml:space="preserve"> and </w:t>
      </w:r>
      <w:r w:rsidR="009918F1" w:rsidRPr="003776BC">
        <w:rPr>
          <w:i/>
        </w:rPr>
        <w:t>jahiliyya</w:t>
      </w:r>
      <w:r w:rsidRPr="003776BC">
        <w:t xml:space="preserve"> (the ignorant pagan world prior to the pure revelation from God) are dismissed in the </w:t>
      </w:r>
      <w:r w:rsidRPr="003776BC">
        <w:lastRenderedPageBreak/>
        <w:t xml:space="preserve">name of </w:t>
      </w:r>
      <w:r w:rsidR="00A87AC8">
        <w:t>returning to the Golden Age</w:t>
      </w:r>
      <w:r w:rsidR="004555DB">
        <w:t xml:space="preserve">.  </w:t>
      </w:r>
      <w:r>
        <w:t>T</w:t>
      </w:r>
      <w:r w:rsidRPr="003776BC">
        <w:t xml:space="preserve">he </w:t>
      </w:r>
      <w:r>
        <w:t>true</w:t>
      </w:r>
      <w:r w:rsidRPr="003776BC">
        <w:t xml:space="preserve"> Muslim </w:t>
      </w:r>
      <w:r>
        <w:t>must</w:t>
      </w:r>
      <w:r w:rsidRPr="003776BC">
        <w:t xml:space="preserve"> think of himself as fighting alongside Muhammad against the pagan oppressors in the 7</w:t>
      </w:r>
      <w:r w:rsidRPr="003776BC">
        <w:rPr>
          <w:vertAlign w:val="superscript"/>
        </w:rPr>
        <w:t>th</w:t>
      </w:r>
      <w:r w:rsidRPr="003776BC">
        <w:t xml:space="preserve"> Century</w:t>
      </w:r>
      <w:r w:rsidR="004555DB">
        <w:t xml:space="preserve">.  </w:t>
      </w:r>
    </w:p>
    <w:p w:rsidR="0010001E" w:rsidRPr="003776BC" w:rsidRDefault="0010001E" w:rsidP="00F7783B">
      <w:pPr>
        <w:ind w:firstLine="720"/>
        <w:contextualSpacing/>
        <w:rPr>
          <w:lang w:bidi="he-IL"/>
        </w:rPr>
      </w:pPr>
      <w:r w:rsidRPr="003776BC">
        <w:t>For example, j</w:t>
      </w:r>
      <w:r w:rsidRPr="003776BC">
        <w:rPr>
          <w:lang w:bidi="he-IL"/>
        </w:rPr>
        <w:t>ihad literally means to strive</w:t>
      </w:r>
      <w:r w:rsidR="00EA40BF">
        <w:rPr>
          <w:lang w:bidi="he-IL"/>
        </w:rPr>
        <w:t xml:space="preserve"> or exert oneself in the case of God</w:t>
      </w:r>
      <w:r w:rsidRPr="003776BC">
        <w:rPr>
          <w:lang w:bidi="he-IL"/>
        </w:rPr>
        <w:t xml:space="preserve"> against an object or entity that is sinful, unjust</w:t>
      </w:r>
      <w:r w:rsidR="00EA40BF">
        <w:rPr>
          <w:lang w:bidi="he-IL"/>
        </w:rPr>
        <w:t>, evil, or antagonistic to</w:t>
      </w:r>
      <w:r w:rsidRPr="003776BC">
        <w:rPr>
          <w:lang w:bidi="he-IL"/>
        </w:rPr>
        <w:t xml:space="preserve"> Islam.</w:t>
      </w:r>
      <w:r w:rsidRPr="003776BC">
        <w:rPr>
          <w:vertAlign w:val="superscript"/>
          <w:lang w:bidi="he-IL"/>
        </w:rPr>
        <w:footnoteReference w:id="63"/>
      </w:r>
      <w:r w:rsidR="004555DB">
        <w:rPr>
          <w:lang w:bidi="he-IL"/>
        </w:rPr>
        <w:t xml:space="preserve"> </w:t>
      </w:r>
      <w:r w:rsidR="00EA40BF">
        <w:rPr>
          <w:lang w:bidi="he-IL"/>
        </w:rPr>
        <w:t xml:space="preserve"> </w:t>
      </w:r>
      <w:r w:rsidRPr="003776BC">
        <w:t>In the 9</w:t>
      </w:r>
      <w:r w:rsidRPr="003776BC">
        <w:rPr>
          <w:vertAlign w:val="superscript"/>
        </w:rPr>
        <w:t>th</w:t>
      </w:r>
      <w:r w:rsidRPr="003776BC">
        <w:t xml:space="preserve"> Century, jihad developed into meaning striving for God through self-improvement.</w:t>
      </w:r>
      <w:r w:rsidRPr="003776BC">
        <w:rPr>
          <w:vertAlign w:val="superscript"/>
        </w:rPr>
        <w:footnoteReference w:id="64"/>
      </w:r>
      <w:r w:rsidR="004555DB">
        <w:t xml:space="preserve"> </w:t>
      </w:r>
      <w:r w:rsidR="00EA40BF">
        <w:t xml:space="preserve"> </w:t>
      </w:r>
      <w:r w:rsidRPr="003776BC">
        <w:t xml:space="preserve">A few centuries later, the Sufi </w:t>
      </w:r>
      <w:r>
        <w:t xml:space="preserve">philosopher </w:t>
      </w:r>
      <w:r w:rsidRPr="003776BC">
        <w:t xml:space="preserve">al-Ghazali codified self-improvement for the sake of God as the </w:t>
      </w:r>
      <w:r w:rsidRPr="003776BC">
        <w:rPr>
          <w:i/>
        </w:rPr>
        <w:t xml:space="preserve">Greater </w:t>
      </w:r>
      <w:r w:rsidRPr="003776BC">
        <w:t>Jihad.</w:t>
      </w:r>
      <w:r w:rsidRPr="003776BC">
        <w:rPr>
          <w:vertAlign w:val="superscript"/>
        </w:rPr>
        <w:footnoteReference w:id="65"/>
      </w:r>
      <w:r w:rsidR="004555DB">
        <w:t xml:space="preserve"> </w:t>
      </w:r>
      <w:r w:rsidR="00EA40BF">
        <w:t xml:space="preserve"> </w:t>
      </w:r>
      <w:r w:rsidRPr="003776BC">
        <w:rPr>
          <w:lang w:bidi="he-IL"/>
        </w:rPr>
        <w:t xml:space="preserve">The </w:t>
      </w:r>
      <w:r w:rsidRPr="003776BC">
        <w:rPr>
          <w:i/>
          <w:lang w:bidi="he-IL"/>
        </w:rPr>
        <w:t xml:space="preserve">Lesser </w:t>
      </w:r>
      <w:r w:rsidRPr="003776BC">
        <w:rPr>
          <w:lang w:bidi="he-IL"/>
        </w:rPr>
        <w:t>Jihad is the violent fight against unjust governments and unbelievers, ostensibly in defense for the faith</w:t>
      </w:r>
      <w:r w:rsidR="004555DB">
        <w:rPr>
          <w:lang w:bidi="he-IL"/>
        </w:rPr>
        <w:t xml:space="preserve">.  </w:t>
      </w:r>
      <w:r w:rsidRPr="003776BC">
        <w:rPr>
          <w:lang w:bidi="he-IL"/>
        </w:rPr>
        <w:t>Th</w:t>
      </w:r>
      <w:r w:rsidR="00F7783B">
        <w:rPr>
          <w:lang w:bidi="he-IL"/>
        </w:rPr>
        <w:t>e Greater Jihad</w:t>
      </w:r>
      <w:r w:rsidRPr="003776BC">
        <w:rPr>
          <w:lang w:bidi="he-IL"/>
        </w:rPr>
        <w:t xml:space="preserve"> has been the normative approach to interpreting jihad in the </w:t>
      </w:r>
      <w:r>
        <w:rPr>
          <w:lang w:bidi="he-IL"/>
        </w:rPr>
        <w:t>Qur’an</w:t>
      </w:r>
      <w:r w:rsidR="004555DB">
        <w:rPr>
          <w:lang w:bidi="he-IL"/>
        </w:rPr>
        <w:t xml:space="preserve">.  </w:t>
      </w:r>
    </w:p>
    <w:p w:rsidR="0010001E" w:rsidRPr="003776BC" w:rsidRDefault="00EA40BF" w:rsidP="00F7783B">
      <w:pPr>
        <w:ind w:firstLine="720"/>
        <w:contextualSpacing/>
        <w:rPr>
          <w:lang w:bidi="he-IL"/>
        </w:rPr>
      </w:pPr>
      <w:r>
        <w:rPr>
          <w:lang w:bidi="he-IL"/>
        </w:rPr>
        <w:t xml:space="preserve">The conflict over jihad between its normative and Qutbist interpretations results from the </w:t>
      </w:r>
      <w:r w:rsidR="00F7783B">
        <w:rPr>
          <w:lang w:bidi="he-IL"/>
        </w:rPr>
        <w:t>challenge of</w:t>
      </w:r>
      <w:r>
        <w:rPr>
          <w:lang w:bidi="he-IL"/>
        </w:rPr>
        <w:t xml:space="preserve"> </w:t>
      </w:r>
      <w:r w:rsidRPr="00735745">
        <w:rPr>
          <w:i/>
          <w:iCs/>
          <w:lang w:bidi="he-IL"/>
        </w:rPr>
        <w:t>abrogation</w:t>
      </w:r>
      <w:r>
        <w:rPr>
          <w:lang w:bidi="he-IL"/>
        </w:rPr>
        <w:t xml:space="preserve">.  </w:t>
      </w:r>
      <w:r w:rsidR="0010001E" w:rsidRPr="003776BC">
        <w:rPr>
          <w:lang w:bidi="he-IL"/>
        </w:rPr>
        <w:t xml:space="preserve">In all religious traditions, abrogation is the </w:t>
      </w:r>
      <w:r w:rsidR="0010001E">
        <w:rPr>
          <w:lang w:bidi="he-IL"/>
        </w:rPr>
        <w:t xml:space="preserve">reconciliation between apparently contradictory beliefs through some </w:t>
      </w:r>
      <w:r w:rsidR="00F7783B">
        <w:rPr>
          <w:lang w:bidi="he-IL"/>
        </w:rPr>
        <w:t>justification</w:t>
      </w:r>
      <w:r w:rsidR="0010001E">
        <w:rPr>
          <w:lang w:bidi="he-IL"/>
        </w:rPr>
        <w:t xml:space="preserve"> </w:t>
      </w:r>
      <w:r w:rsidR="00F7783B">
        <w:rPr>
          <w:lang w:bidi="he-IL"/>
        </w:rPr>
        <w:t>that prioritize</w:t>
      </w:r>
      <w:r w:rsidR="00DB730B">
        <w:rPr>
          <w:lang w:bidi="he-IL"/>
        </w:rPr>
        <w:t xml:space="preserve"> </w:t>
      </w:r>
      <w:r w:rsidR="0010001E">
        <w:rPr>
          <w:lang w:bidi="he-IL"/>
        </w:rPr>
        <w:t>one belief over the other</w:t>
      </w:r>
      <w:r w:rsidR="004555DB">
        <w:rPr>
          <w:lang w:bidi="he-IL"/>
        </w:rPr>
        <w:t xml:space="preserve">.  </w:t>
      </w:r>
      <w:r w:rsidR="0010001E" w:rsidRPr="003776BC">
        <w:rPr>
          <w:lang w:bidi="he-IL"/>
        </w:rPr>
        <w:t>Most religious texts that span centuries have some contradiction, whether big or small</w:t>
      </w:r>
      <w:r w:rsidR="004555DB">
        <w:rPr>
          <w:lang w:bidi="he-IL"/>
        </w:rPr>
        <w:t xml:space="preserve">.  </w:t>
      </w:r>
      <w:r w:rsidR="0010001E" w:rsidRPr="003776BC">
        <w:rPr>
          <w:lang w:bidi="he-IL"/>
        </w:rPr>
        <w:t>In order to maintain theological cohesion, these contradictions have to be explained in some way that satisfies the common sense of believers</w:t>
      </w:r>
      <w:r w:rsidR="004555DB">
        <w:rPr>
          <w:lang w:bidi="he-IL"/>
        </w:rPr>
        <w:t xml:space="preserve">.  </w:t>
      </w:r>
      <w:r w:rsidR="000217A4">
        <w:rPr>
          <w:lang w:bidi="he-IL"/>
        </w:rPr>
        <w:t>F</w:t>
      </w:r>
      <w:r w:rsidR="0010001E" w:rsidRPr="003776BC">
        <w:rPr>
          <w:lang w:bidi="he-IL"/>
        </w:rPr>
        <w:t xml:space="preserve">or Christians, the verses </w:t>
      </w:r>
      <w:r w:rsidR="0010001E">
        <w:rPr>
          <w:lang w:bidi="he-IL"/>
        </w:rPr>
        <w:t>on the Old Testament that prescript</w:t>
      </w:r>
      <w:r w:rsidR="0010001E" w:rsidRPr="003776BC">
        <w:rPr>
          <w:lang w:bidi="he-IL"/>
        </w:rPr>
        <w:t xml:space="preserve"> violence against Philistines or against sinners are </w:t>
      </w:r>
      <w:r w:rsidR="0010001E" w:rsidRPr="003776BC">
        <w:rPr>
          <w:i/>
          <w:lang w:bidi="he-IL"/>
        </w:rPr>
        <w:t xml:space="preserve">abrogated, </w:t>
      </w:r>
      <w:r w:rsidR="0010001E" w:rsidRPr="003776BC">
        <w:rPr>
          <w:lang w:bidi="he-IL"/>
        </w:rPr>
        <w:t>corrected, and superseded by th</w:t>
      </w:r>
      <w:r w:rsidR="0010001E">
        <w:rPr>
          <w:lang w:bidi="he-IL"/>
        </w:rPr>
        <w:t>e message of the Gospel</w:t>
      </w:r>
      <w:r w:rsidR="004555DB">
        <w:rPr>
          <w:lang w:bidi="he-IL"/>
        </w:rPr>
        <w:t xml:space="preserve">.  </w:t>
      </w:r>
      <w:r w:rsidR="0010001E" w:rsidRPr="003776BC">
        <w:rPr>
          <w:lang w:bidi="he-IL"/>
        </w:rPr>
        <w:t xml:space="preserve">For laymen, it’s easy to infer the final word on prescriptive morality through chronology, with the most recent revelation (the Gospels being more recent than the </w:t>
      </w:r>
      <w:r w:rsidR="000217A4">
        <w:rPr>
          <w:lang w:bidi="he-IL"/>
        </w:rPr>
        <w:t>Levite Law) the proper</w:t>
      </w:r>
      <w:r w:rsidR="0010001E" w:rsidRPr="003776BC">
        <w:rPr>
          <w:lang w:bidi="he-IL"/>
        </w:rPr>
        <w:t xml:space="preserve"> behavior</w:t>
      </w:r>
      <w:r w:rsidR="000217A4">
        <w:rPr>
          <w:lang w:bidi="he-IL"/>
        </w:rPr>
        <w:t xml:space="preserve"> toward members of the out-group</w:t>
      </w:r>
      <w:r w:rsidR="004555DB">
        <w:rPr>
          <w:lang w:bidi="he-IL"/>
        </w:rPr>
        <w:t xml:space="preserve">.  </w:t>
      </w:r>
      <w:r w:rsidR="0010001E" w:rsidRPr="003776BC">
        <w:rPr>
          <w:lang w:bidi="he-IL"/>
        </w:rPr>
        <w:t xml:space="preserve">For Jews, </w:t>
      </w:r>
      <w:r w:rsidR="000217A4">
        <w:rPr>
          <w:lang w:bidi="he-IL"/>
        </w:rPr>
        <w:t xml:space="preserve">the later prophetic books of the Old Testament and the rabbinic teachings in the </w:t>
      </w:r>
      <w:r w:rsidR="000217A4">
        <w:rPr>
          <w:lang w:bidi="he-IL"/>
        </w:rPr>
        <w:lastRenderedPageBreak/>
        <w:t>Talmud and Mishnah abrogate</w:t>
      </w:r>
      <w:r w:rsidR="0010001E" w:rsidRPr="003776BC">
        <w:rPr>
          <w:lang w:bidi="he-IL"/>
        </w:rPr>
        <w:t xml:space="preserve"> the ugly parts of the </w:t>
      </w:r>
      <w:r w:rsidR="00F7783B">
        <w:rPr>
          <w:lang w:bidi="he-IL"/>
        </w:rPr>
        <w:t>Torah (the first five books of the Bible)</w:t>
      </w:r>
      <w:r w:rsidR="000217A4">
        <w:rPr>
          <w:lang w:bidi="he-IL"/>
        </w:rPr>
        <w:t xml:space="preserve">.  </w:t>
      </w:r>
      <w:r w:rsidR="0010001E">
        <w:rPr>
          <w:lang w:bidi="he-IL"/>
        </w:rPr>
        <w:t xml:space="preserve">Abrogation </w:t>
      </w:r>
      <w:r w:rsidR="000217A4">
        <w:rPr>
          <w:lang w:bidi="he-IL"/>
        </w:rPr>
        <w:t xml:space="preserve">thus </w:t>
      </w:r>
      <w:r w:rsidR="0010001E">
        <w:rPr>
          <w:lang w:bidi="he-IL"/>
        </w:rPr>
        <w:t>provides context</w:t>
      </w:r>
      <w:r w:rsidR="000217A4">
        <w:rPr>
          <w:lang w:bidi="he-IL"/>
        </w:rPr>
        <w:t xml:space="preserve"> for passages to the laymen</w:t>
      </w:r>
      <w:r w:rsidR="004555DB">
        <w:rPr>
          <w:lang w:bidi="he-IL"/>
        </w:rPr>
        <w:t xml:space="preserve">.  </w:t>
      </w:r>
      <w:r w:rsidR="000217A4">
        <w:rPr>
          <w:lang w:bidi="he-IL"/>
        </w:rPr>
        <w:t>In Islam, t</w:t>
      </w:r>
      <w:r w:rsidR="007E0A5E">
        <w:rPr>
          <w:lang w:bidi="he-IL"/>
        </w:rPr>
        <w:t>rained</w:t>
      </w:r>
      <w:r w:rsidR="0010001E" w:rsidRPr="003776BC">
        <w:rPr>
          <w:lang w:bidi="he-IL"/>
        </w:rPr>
        <w:t xml:space="preserve"> Islamic scholars and jurists play </w:t>
      </w:r>
      <w:r w:rsidR="000217A4">
        <w:rPr>
          <w:lang w:bidi="he-IL"/>
        </w:rPr>
        <w:t xml:space="preserve">the </w:t>
      </w:r>
      <w:r w:rsidR="0010001E" w:rsidRPr="003776BC">
        <w:rPr>
          <w:lang w:bidi="he-IL"/>
        </w:rPr>
        <w:t>critical role in explaining Islam to believers</w:t>
      </w:r>
      <w:r w:rsidR="007E0A5E">
        <w:rPr>
          <w:lang w:bidi="he-IL"/>
        </w:rPr>
        <w:t>.  The jurists explain</w:t>
      </w:r>
      <w:r w:rsidR="0010001E" w:rsidRPr="003776BC">
        <w:rPr>
          <w:lang w:bidi="he-IL"/>
        </w:rPr>
        <w:t xml:space="preserve"> the nuance of the Qur’an</w:t>
      </w:r>
      <w:r w:rsidR="0010001E">
        <w:rPr>
          <w:lang w:bidi="he-IL"/>
        </w:rPr>
        <w:t xml:space="preserve">—which is not </w:t>
      </w:r>
      <w:r w:rsidR="007E0A5E">
        <w:rPr>
          <w:lang w:bidi="he-IL"/>
        </w:rPr>
        <w:t xml:space="preserve">organized </w:t>
      </w:r>
      <w:r w:rsidR="0010001E">
        <w:rPr>
          <w:lang w:bidi="he-IL"/>
        </w:rPr>
        <w:t>chronological</w:t>
      </w:r>
      <w:r w:rsidR="007E0A5E">
        <w:rPr>
          <w:lang w:bidi="he-IL"/>
        </w:rPr>
        <w:t>ly for the lay reader to easily follow</w:t>
      </w:r>
      <w:r w:rsidR="0010001E">
        <w:rPr>
          <w:lang w:bidi="he-IL"/>
        </w:rPr>
        <w:t xml:space="preserve">—in </w:t>
      </w:r>
      <w:r w:rsidR="0010001E" w:rsidRPr="003776BC">
        <w:rPr>
          <w:lang w:bidi="he-IL"/>
        </w:rPr>
        <w:t>a way applicable to modern times</w:t>
      </w:r>
      <w:r w:rsidR="004555DB">
        <w:rPr>
          <w:lang w:bidi="he-IL"/>
        </w:rPr>
        <w:t xml:space="preserve">.  </w:t>
      </w:r>
      <w:r w:rsidR="0010001E" w:rsidRPr="003776BC">
        <w:rPr>
          <w:lang w:bidi="he-IL"/>
        </w:rPr>
        <w:t>Believers generally follow the legal school of their family, and may resort to a cleric of that school in requesting legal guidance</w:t>
      </w:r>
      <w:r w:rsidR="000217A4">
        <w:rPr>
          <w:lang w:bidi="he-IL"/>
        </w:rPr>
        <w:t xml:space="preserve"> over difficult</w:t>
      </w:r>
      <w:r w:rsidR="00F7783B">
        <w:rPr>
          <w:lang w:bidi="he-IL"/>
        </w:rPr>
        <w:t xml:space="preserve"> modern</w:t>
      </w:r>
      <w:r w:rsidR="000217A4">
        <w:rPr>
          <w:lang w:bidi="he-IL"/>
        </w:rPr>
        <w:t xml:space="preserve"> social issues</w:t>
      </w:r>
      <w:r w:rsidR="0010001E" w:rsidRPr="003776BC">
        <w:rPr>
          <w:lang w:bidi="he-IL"/>
        </w:rPr>
        <w:t>.</w:t>
      </w:r>
      <w:r w:rsidR="0010001E" w:rsidRPr="003776BC">
        <w:rPr>
          <w:vertAlign w:val="superscript"/>
          <w:lang w:bidi="he-IL"/>
        </w:rPr>
        <w:footnoteReference w:id="66"/>
      </w:r>
      <w:r w:rsidR="004555DB">
        <w:rPr>
          <w:lang w:bidi="he-IL"/>
        </w:rPr>
        <w:t xml:space="preserve"> </w:t>
      </w:r>
      <w:r w:rsidR="007E0A5E">
        <w:rPr>
          <w:lang w:bidi="he-IL"/>
        </w:rPr>
        <w:t xml:space="preserve"> </w:t>
      </w:r>
      <w:r w:rsidR="0010001E" w:rsidRPr="003776BC">
        <w:rPr>
          <w:iCs/>
          <w:lang w:bidi="he-IL"/>
        </w:rPr>
        <w:t xml:space="preserve">One way the </w:t>
      </w:r>
      <w:r w:rsidR="0010001E" w:rsidRPr="003776BC">
        <w:t xml:space="preserve">Saudis deradicalize captured Al Qaeda members is to place them in </w:t>
      </w:r>
      <w:r w:rsidR="0010001E">
        <w:t xml:space="preserve">a </w:t>
      </w:r>
      <w:r w:rsidR="0010001E" w:rsidRPr="003776BC">
        <w:t>program of formal instruction in Islamic history, jurisprudence, and practice.</w:t>
      </w:r>
      <w:r w:rsidR="0010001E" w:rsidRPr="003776BC">
        <w:rPr>
          <w:vertAlign w:val="superscript"/>
        </w:rPr>
        <w:footnoteReference w:id="67"/>
      </w:r>
      <w:r w:rsidR="000217A4">
        <w:t xml:space="preserve">  </w:t>
      </w:r>
      <w:r w:rsidR="0010001E" w:rsidRPr="003776BC">
        <w:t>In other words, the Qur’an must be interpreted properly from the expert of Islamic historians, and not taken at face value where any verse that encourages jihad can be extracted to justify modern attacks.</w:t>
      </w:r>
    </w:p>
    <w:p w:rsidR="0010001E" w:rsidRPr="003776BC" w:rsidRDefault="00EE54D9" w:rsidP="00F7783B">
      <w:pPr>
        <w:ind w:firstLine="720"/>
        <w:contextualSpacing/>
      </w:pPr>
      <w:r>
        <w:rPr>
          <w:lang w:bidi="he-IL"/>
        </w:rPr>
        <w:t xml:space="preserve">The role of the jurist </w:t>
      </w:r>
      <w:r w:rsidR="0010001E" w:rsidRPr="003776BC">
        <w:rPr>
          <w:lang w:bidi="he-IL"/>
        </w:rPr>
        <w:t xml:space="preserve">means </w:t>
      </w:r>
      <w:r>
        <w:rPr>
          <w:lang w:bidi="he-IL"/>
        </w:rPr>
        <w:t>little</w:t>
      </w:r>
      <w:r w:rsidR="0010001E" w:rsidRPr="003776BC">
        <w:rPr>
          <w:lang w:bidi="he-IL"/>
        </w:rPr>
        <w:t xml:space="preserve"> to militant Salafists</w:t>
      </w:r>
      <w:r w:rsidR="004555DB">
        <w:rPr>
          <w:lang w:bidi="he-IL"/>
        </w:rPr>
        <w:t xml:space="preserve">.  </w:t>
      </w:r>
      <w:r w:rsidR="0010001E" w:rsidRPr="003776BC">
        <w:t>The militants embrace the view of jihad as expressed by Ribi, an early Islamic commander of the seventh</w:t>
      </w:r>
      <w:r w:rsidR="000217A4">
        <w:t xml:space="preserve"> century</w:t>
      </w:r>
      <w:r w:rsidR="004555DB">
        <w:t xml:space="preserve">.  </w:t>
      </w:r>
      <w:r w:rsidR="0010001E" w:rsidRPr="003776BC">
        <w:t>As Arabs expanded eastward, Ribi gave Persian King Rustam a choice:</w:t>
      </w:r>
      <w:r w:rsidR="004555DB">
        <w:t xml:space="preserve"> </w:t>
      </w:r>
      <w:r w:rsidR="0010001E" w:rsidRPr="003776BC">
        <w:t>“If you embrace Islam, we will leave you alone</w:t>
      </w:r>
      <w:r w:rsidR="004555DB">
        <w:t xml:space="preserve">.  </w:t>
      </w:r>
      <w:r w:rsidR="0010001E" w:rsidRPr="003776BC">
        <w:t>If you pay the poll tax, we will protect you</w:t>
      </w:r>
      <w:r w:rsidR="004555DB">
        <w:t xml:space="preserve">.  </w:t>
      </w:r>
      <w:r w:rsidR="0010001E" w:rsidRPr="003776BC">
        <w:t>Otherwise it is war.”</w:t>
      </w:r>
      <w:r w:rsidR="0010001E" w:rsidRPr="003776BC">
        <w:rPr>
          <w:vertAlign w:val="superscript"/>
        </w:rPr>
        <w:footnoteReference w:id="68"/>
      </w:r>
      <w:r w:rsidR="000217A4">
        <w:t xml:space="preserve">  </w:t>
      </w:r>
      <w:r w:rsidR="0010001E" w:rsidRPr="003776BC">
        <w:t>There is no greater or lesser jihad—just expansion, with force if necessary.</w:t>
      </w:r>
      <w:r w:rsidR="0010001E" w:rsidRPr="003776BC">
        <w:rPr>
          <w:rStyle w:val="FootnoteReference"/>
        </w:rPr>
        <w:footnoteReference w:id="69"/>
      </w:r>
      <w:r w:rsidR="000217A4">
        <w:t xml:space="preserve">  </w:t>
      </w:r>
      <w:r w:rsidR="0010001E" w:rsidRPr="003776BC">
        <w:rPr>
          <w:lang w:bidi="he-IL"/>
        </w:rPr>
        <w:t xml:space="preserve">Qutbists elevate jihad to </w:t>
      </w:r>
      <w:r w:rsidR="000217A4">
        <w:rPr>
          <w:lang w:bidi="he-IL"/>
        </w:rPr>
        <w:t xml:space="preserve">become a Sixth Pillar of Islam, on the level with </w:t>
      </w:r>
      <w:r w:rsidR="000217A4">
        <w:rPr>
          <w:lang w:bidi="he-IL"/>
        </w:rPr>
        <w:lastRenderedPageBreak/>
        <w:t>the F</w:t>
      </w:r>
      <w:r w:rsidR="0010001E" w:rsidRPr="003776BC">
        <w:rPr>
          <w:lang w:bidi="he-IL"/>
        </w:rPr>
        <w:t>ive Pillars of Islam</w:t>
      </w:r>
      <w:r w:rsidR="000217A4">
        <w:rPr>
          <w:lang w:bidi="he-IL"/>
        </w:rPr>
        <w:t xml:space="preserve"> that all Muslims </w:t>
      </w:r>
      <w:r w:rsidR="00F7783B">
        <w:rPr>
          <w:lang w:bidi="he-IL"/>
        </w:rPr>
        <w:t>profess</w:t>
      </w:r>
      <w:r w:rsidR="0010001E" w:rsidRPr="003776BC">
        <w:rPr>
          <w:lang w:bidi="he-IL"/>
        </w:rPr>
        <w:t>.</w:t>
      </w:r>
      <w:r w:rsidR="0010001E" w:rsidRPr="003776BC">
        <w:rPr>
          <w:vertAlign w:val="superscript"/>
          <w:lang w:bidi="he-IL"/>
        </w:rPr>
        <w:footnoteReference w:id="70"/>
      </w:r>
      <w:r w:rsidR="004555DB">
        <w:rPr>
          <w:lang w:bidi="he-IL"/>
        </w:rPr>
        <w:t xml:space="preserve"> </w:t>
      </w:r>
      <w:r w:rsidR="000217A4">
        <w:rPr>
          <w:lang w:bidi="he-IL"/>
        </w:rPr>
        <w:t xml:space="preserve"> </w:t>
      </w:r>
      <w:r w:rsidR="0010001E" w:rsidRPr="003776BC">
        <w:t>However, it is important to note that many Salafis</w:t>
      </w:r>
      <w:r w:rsidR="000217A4">
        <w:t xml:space="preserve">ts themselves due not promote </w:t>
      </w:r>
      <w:r w:rsidR="0010001E" w:rsidRPr="003776BC">
        <w:t xml:space="preserve">offensive jihad, and instead appeal to </w:t>
      </w:r>
      <w:r w:rsidR="0010001E" w:rsidRPr="003776BC">
        <w:rPr>
          <w:i/>
        </w:rPr>
        <w:t xml:space="preserve">Da’wa, </w:t>
      </w:r>
      <w:r w:rsidR="0010001E" w:rsidRPr="003776BC">
        <w:t>the nonviolent call to Islam, in order to spread the faith</w:t>
      </w:r>
      <w:r w:rsidR="004555DB">
        <w:t xml:space="preserve">.  </w:t>
      </w:r>
      <w:r w:rsidR="0010001E" w:rsidRPr="003776BC">
        <w:t>In 1920, the Muslim Brotherhood in Egypt started to reinvigorate Islam as an ideological force to counter Western global intrusions</w:t>
      </w:r>
      <w:r w:rsidR="004555DB">
        <w:t xml:space="preserve">.  </w:t>
      </w:r>
      <w:r w:rsidR="0010001E" w:rsidRPr="003776BC">
        <w:t>The Muslim Brotherhood was the first formal and modern organization that attempted to implement and push for Salafist ideas</w:t>
      </w:r>
      <w:r w:rsidR="004555DB">
        <w:t xml:space="preserve">.  </w:t>
      </w:r>
    </w:p>
    <w:p w:rsidR="0010001E" w:rsidRPr="003776BC" w:rsidRDefault="0010001E" w:rsidP="0010001E">
      <w:pPr>
        <w:pStyle w:val="Heading2"/>
        <w:contextualSpacing/>
        <w:rPr>
          <w:bCs w:val="0"/>
          <w:i/>
          <w:iCs w:val="0"/>
          <w:szCs w:val="24"/>
        </w:rPr>
      </w:pPr>
      <w:bookmarkStart w:id="25" w:name="_Toc450748676"/>
      <w:r w:rsidRPr="003776BC">
        <w:rPr>
          <w:bCs w:val="0"/>
          <w:i/>
          <w:szCs w:val="24"/>
        </w:rPr>
        <w:t>Qutbism</w:t>
      </w:r>
      <w:bookmarkEnd w:id="25"/>
    </w:p>
    <w:p w:rsidR="002E44CA" w:rsidRDefault="007E0A5E" w:rsidP="00735745">
      <w:pPr>
        <w:ind w:firstLine="720"/>
        <w:contextualSpacing/>
      </w:pPr>
      <w:r>
        <w:t>Much</w:t>
      </w:r>
      <w:r w:rsidRPr="003776BC">
        <w:t xml:space="preserve"> of the ideological and theoretical development </w:t>
      </w:r>
      <w:r w:rsidR="00D12EEF">
        <w:t xml:space="preserve">of militant Salafism </w:t>
      </w:r>
      <w:r w:rsidR="002E456E">
        <w:t>did not occur until the 195</w:t>
      </w:r>
      <w:r w:rsidRPr="003776BC">
        <w:t>0s, und</w:t>
      </w:r>
      <w:r w:rsidR="000217A4">
        <w:t>er the influence of Sayyid Qutb.  Qutb</w:t>
      </w:r>
      <w:r w:rsidRPr="003776BC">
        <w:t xml:space="preserve"> is to Islamic militancy as Karl Marx is to Communism.</w:t>
      </w:r>
      <w:r w:rsidRPr="003776BC">
        <w:rPr>
          <w:vertAlign w:val="superscript"/>
        </w:rPr>
        <w:footnoteReference w:id="71"/>
      </w:r>
      <w:r w:rsidR="009C3DDD">
        <w:t xml:space="preserve">  </w:t>
      </w:r>
      <w:r w:rsidR="002E456E">
        <w:t xml:space="preserve">Qutb published two influential works in the early 1950s, </w:t>
      </w:r>
      <w:r w:rsidR="002E456E">
        <w:rPr>
          <w:i/>
        </w:rPr>
        <w:t xml:space="preserve">Milestones </w:t>
      </w:r>
      <w:r w:rsidR="002E456E">
        <w:t xml:space="preserve">and </w:t>
      </w:r>
      <w:r w:rsidR="002E456E">
        <w:rPr>
          <w:i/>
        </w:rPr>
        <w:t xml:space="preserve">In the Shade of the Qur’an, </w:t>
      </w:r>
      <w:r w:rsidR="002E456E">
        <w:t xml:space="preserve">the latter of </w:t>
      </w:r>
      <w:r w:rsidR="00412509">
        <w:t>which is a multi-volum</w:t>
      </w:r>
      <w:r w:rsidR="000217A4">
        <w:t>e commentary on the Qur’an that</w:t>
      </w:r>
      <w:r w:rsidR="00412509">
        <w:t xml:space="preserve"> connects his ideology to specific</w:t>
      </w:r>
      <w:r w:rsidR="00735745">
        <w:t xml:space="preserve"> </w:t>
      </w:r>
      <w:r w:rsidR="00E34939">
        <w:t>Surahs</w:t>
      </w:r>
      <w:r w:rsidR="00735745">
        <w:t xml:space="preserve"> (“verses”)</w:t>
      </w:r>
      <w:r w:rsidR="000217A4">
        <w:t xml:space="preserve"> in the Qur’an.  Milestones </w:t>
      </w:r>
      <w:r w:rsidR="00412509">
        <w:t xml:space="preserve">is Qutb’s </w:t>
      </w:r>
      <w:r w:rsidR="00412509">
        <w:rPr>
          <w:i/>
        </w:rPr>
        <w:t xml:space="preserve">Communist Manifesto, </w:t>
      </w:r>
      <w:r w:rsidR="00412509">
        <w:t xml:space="preserve">as it articulates a straightforward </w:t>
      </w:r>
      <w:r w:rsidR="002E44CA">
        <w:t>argument fo</w:t>
      </w:r>
      <w:r w:rsidR="000217A4">
        <w:t xml:space="preserve">r why Salafist Muslims must embrace offensive jihad </w:t>
      </w:r>
      <w:r w:rsidR="002E44CA">
        <w:t xml:space="preserve">in order to create the pure Islamic community. In the Shade of the Qur’an is Qutb’s </w:t>
      </w:r>
      <w:r w:rsidR="002E44CA">
        <w:rPr>
          <w:i/>
        </w:rPr>
        <w:t xml:space="preserve">Das Kapital, </w:t>
      </w:r>
      <w:r w:rsidR="002E44CA">
        <w:t xml:space="preserve">a dense justification of the worldview and its philosophical underpinnings.  </w:t>
      </w:r>
    </w:p>
    <w:p w:rsidR="00F74F77" w:rsidRDefault="00D12EEF" w:rsidP="003F601F">
      <w:pPr>
        <w:ind w:firstLine="720"/>
        <w:contextualSpacing/>
      </w:pPr>
      <w:r>
        <w:t xml:space="preserve">In the </w:t>
      </w:r>
      <w:r>
        <w:rPr>
          <w:i/>
          <w:iCs/>
        </w:rPr>
        <w:t xml:space="preserve">Communist Manifesto, </w:t>
      </w:r>
      <w:r>
        <w:t xml:space="preserve">Marx </w:t>
      </w:r>
      <w:r w:rsidR="000217A4">
        <w:t>pushed for a</w:t>
      </w:r>
      <w:r>
        <w:t xml:space="preserve"> dictatorship of the proletariat</w:t>
      </w:r>
      <w:r w:rsidR="000217A4">
        <w:t xml:space="preserve"> to control economic resources and remove the bourgeoisie from power</w:t>
      </w:r>
      <w:r w:rsidR="00F7783B">
        <w:t>, but Marx</w:t>
      </w:r>
      <w:r>
        <w:t xml:space="preserve"> never explicitly argued for gulags, show trials, forced starvation, and mass executions.  </w:t>
      </w:r>
      <w:r w:rsidR="00F7783B">
        <w:t xml:space="preserve">Nonetheless, </w:t>
      </w:r>
      <w:r>
        <w:t xml:space="preserve">the ideology of Marxism created the “good” in-group (the proletariat and </w:t>
      </w:r>
      <w:r>
        <w:lastRenderedPageBreak/>
        <w:t>the wise intelligentsia joining the right side of history) and the “bad” out-group (the capitalists, the West, the imperialists, and anyone on the wrong side of history)</w:t>
      </w:r>
      <w:r w:rsidR="00F74F77">
        <w:t xml:space="preserve">.  </w:t>
      </w:r>
      <w:r>
        <w:t xml:space="preserve">Marxist governments have used </w:t>
      </w:r>
      <w:r w:rsidR="00F74F77">
        <w:t xml:space="preserve">the dictatorship of the proletariat </w:t>
      </w:r>
      <w:r>
        <w:t>to justify its posture and violent actions toward the ou</w:t>
      </w:r>
      <w:r w:rsidR="00F7783B">
        <w:t>t-group.  Qutbism is to Al Qaeda and ISIS</w:t>
      </w:r>
      <w:r>
        <w:t xml:space="preserve">’ attacks on civilians, as Marxism was to the Baader Meinhof Gang’s attacks against civilians.  The difference between Marxism and Qutbism is that the latter pulls upon longstanding </w:t>
      </w:r>
      <w:r w:rsidR="00F7783B">
        <w:t xml:space="preserve">sacred </w:t>
      </w:r>
      <w:r>
        <w:t>values</w:t>
      </w:r>
      <w:r w:rsidR="00F74F77">
        <w:t xml:space="preserve"> that provide personal immortality </w:t>
      </w:r>
      <w:r w:rsidR="003F601F">
        <w:t>through death</w:t>
      </w:r>
      <w:r>
        <w:t xml:space="preserve"> while </w:t>
      </w:r>
      <w:r w:rsidR="003F601F">
        <w:t>fighting</w:t>
      </w:r>
      <w:r>
        <w:t xml:space="preserve"> the enemy, which in turn incentivizes </w:t>
      </w:r>
      <w:r w:rsidR="00F7783B">
        <w:t xml:space="preserve">suicide </w:t>
      </w:r>
      <w:r>
        <w:t>attack</w:t>
      </w:r>
      <w:r w:rsidR="00F74F77">
        <w:t xml:space="preserve">s </w:t>
      </w:r>
      <w:r>
        <w:t xml:space="preserve">in ways Marxism does not.  </w:t>
      </w:r>
    </w:p>
    <w:p w:rsidR="00183BB0" w:rsidRPr="00F74F77" w:rsidRDefault="00D12EEF" w:rsidP="00F74F77">
      <w:pPr>
        <w:ind w:firstLine="720"/>
        <w:contextualSpacing/>
      </w:pPr>
      <w:r>
        <w:t xml:space="preserve">Qutbism bluntly articulates </w:t>
      </w:r>
      <w:r w:rsidRPr="003776BC">
        <w:t xml:space="preserve">the core </w:t>
      </w:r>
      <w:r w:rsidR="00F74F77">
        <w:t xml:space="preserve">sacred values </w:t>
      </w:r>
      <w:r w:rsidRPr="003776BC">
        <w:t xml:space="preserve">that guide, like </w:t>
      </w:r>
      <w:r>
        <w:t>stars for navigating</w:t>
      </w:r>
      <w:r w:rsidRPr="003776BC">
        <w:t xml:space="preserve">, </w:t>
      </w:r>
      <w:r>
        <w:t>the reader</w:t>
      </w:r>
      <w:r w:rsidRPr="003776BC">
        <w:t xml:space="preserve"> into certain conclusions about the state of the world and what good Muslims must do about it</w:t>
      </w:r>
      <w:r>
        <w:t xml:space="preserve">.  </w:t>
      </w:r>
      <w:r w:rsidR="00EE54D9">
        <w:rPr>
          <w:iCs/>
        </w:rPr>
        <w:t>Sayyid Qutb</w:t>
      </w:r>
      <w:r w:rsidR="004A3236">
        <w:rPr>
          <w:iCs/>
        </w:rPr>
        <w:t xml:space="preserve"> </w:t>
      </w:r>
      <w:r w:rsidR="004A3236">
        <w:t>(1906-1966)</w:t>
      </w:r>
      <w:r w:rsidR="00EE54D9">
        <w:rPr>
          <w:iCs/>
        </w:rPr>
        <w:t xml:space="preserve"> influenced </w:t>
      </w:r>
      <w:r w:rsidR="00183BB0">
        <w:rPr>
          <w:iCs/>
        </w:rPr>
        <w:t xml:space="preserve">militant </w:t>
      </w:r>
      <w:r w:rsidR="00EE54D9">
        <w:rPr>
          <w:iCs/>
        </w:rPr>
        <w:t xml:space="preserve">organizations that </w:t>
      </w:r>
      <w:r w:rsidR="00183BB0">
        <w:rPr>
          <w:iCs/>
        </w:rPr>
        <w:t xml:space="preserve">practice violence against civilians while </w:t>
      </w:r>
      <w:r w:rsidR="00EE54D9">
        <w:rPr>
          <w:iCs/>
        </w:rPr>
        <w:t>claim</w:t>
      </w:r>
      <w:r w:rsidR="00183BB0">
        <w:rPr>
          <w:iCs/>
        </w:rPr>
        <w:t>ing</w:t>
      </w:r>
      <w:r w:rsidR="00EE54D9">
        <w:rPr>
          <w:iCs/>
        </w:rPr>
        <w:t xml:space="preserve"> to </w:t>
      </w:r>
      <w:r w:rsidR="00183BB0">
        <w:rPr>
          <w:iCs/>
        </w:rPr>
        <w:t>fulfill</w:t>
      </w:r>
      <w:r w:rsidR="00EE54D9">
        <w:rPr>
          <w:iCs/>
        </w:rPr>
        <w:t xml:space="preserve"> Qutb’s vision</w:t>
      </w:r>
      <w:r w:rsidR="004555DB">
        <w:rPr>
          <w:iCs/>
        </w:rPr>
        <w:t xml:space="preserve">.  </w:t>
      </w:r>
      <w:r w:rsidR="004A3236">
        <w:rPr>
          <w:iCs/>
        </w:rPr>
        <w:t>I</w:t>
      </w:r>
      <w:r w:rsidR="004A3236" w:rsidRPr="003776BC">
        <w:t xml:space="preserve">n </w:t>
      </w:r>
      <w:r w:rsidR="004A3236" w:rsidRPr="003776BC">
        <w:rPr>
          <w:i/>
        </w:rPr>
        <w:t>Knights under the Prophet’s Banner,</w:t>
      </w:r>
      <w:r w:rsidR="004A3236" w:rsidRPr="003776BC">
        <w:t xml:space="preserve"> </w:t>
      </w:r>
      <w:r w:rsidR="004A3236">
        <w:t xml:space="preserve">Ayman Zawahiri </w:t>
      </w:r>
      <w:r w:rsidR="004A3236" w:rsidRPr="003776BC">
        <w:t>credit</w:t>
      </w:r>
      <w:r w:rsidR="004A3236">
        <w:t>ed</w:t>
      </w:r>
      <w:r w:rsidR="004A3236" w:rsidRPr="003776BC">
        <w:t xml:space="preserve"> Qutb as the leader of the modern Islamic Salafist revolution</w:t>
      </w:r>
      <w:r w:rsidR="004A3236" w:rsidRPr="003776BC">
        <w:rPr>
          <w:i/>
        </w:rPr>
        <w:t>.</w:t>
      </w:r>
      <w:r w:rsidR="004A3236" w:rsidRPr="003776BC">
        <w:rPr>
          <w:vertAlign w:val="superscript"/>
        </w:rPr>
        <w:footnoteReference w:id="72"/>
      </w:r>
      <w:r w:rsidR="004555DB">
        <w:rPr>
          <w:i/>
        </w:rPr>
        <w:t xml:space="preserve"> </w:t>
      </w:r>
      <w:r w:rsidR="00F74F77">
        <w:rPr>
          <w:i/>
        </w:rPr>
        <w:t xml:space="preserve"> </w:t>
      </w:r>
      <w:r w:rsidR="00183BB0">
        <w:rPr>
          <w:iCs/>
        </w:rPr>
        <w:t xml:space="preserve">Qutb never argued for suicide attacks—conceptually, it only existed as </w:t>
      </w:r>
      <w:r w:rsidR="004A3236">
        <w:rPr>
          <w:iCs/>
        </w:rPr>
        <w:t xml:space="preserve">Japanese </w:t>
      </w:r>
      <w:r w:rsidR="00183BB0">
        <w:rPr>
          <w:iCs/>
        </w:rPr>
        <w:t xml:space="preserve">kamikaze attacks in World War II—and he never </w:t>
      </w:r>
      <w:r w:rsidR="00183BB0" w:rsidRPr="004A3236">
        <w:rPr>
          <w:iCs/>
        </w:rPr>
        <w:t>explicitly</w:t>
      </w:r>
      <w:r w:rsidR="00183BB0">
        <w:rPr>
          <w:iCs/>
        </w:rPr>
        <w:t xml:space="preserve"> called for violence against non-combatants</w:t>
      </w:r>
      <w:r w:rsidR="004555DB">
        <w:rPr>
          <w:iCs/>
        </w:rPr>
        <w:t xml:space="preserve">.  </w:t>
      </w:r>
      <w:r w:rsidR="00183BB0">
        <w:rPr>
          <w:iCs/>
        </w:rPr>
        <w:t>However, he categorized</w:t>
      </w:r>
      <w:r w:rsidR="004A3236">
        <w:rPr>
          <w:iCs/>
        </w:rPr>
        <w:t xml:space="preserve"> </w:t>
      </w:r>
      <w:r w:rsidR="00183BB0">
        <w:rPr>
          <w:iCs/>
        </w:rPr>
        <w:t xml:space="preserve">non-combatants as representatives of </w:t>
      </w:r>
      <w:r w:rsidR="00FA6655">
        <w:rPr>
          <w:i/>
        </w:rPr>
        <w:t>Jahiliyya</w:t>
      </w:r>
      <w:r w:rsidR="00183BB0">
        <w:rPr>
          <w:i/>
        </w:rPr>
        <w:t xml:space="preserve"> </w:t>
      </w:r>
      <w:r w:rsidR="00183BB0">
        <w:rPr>
          <w:iCs/>
        </w:rPr>
        <w:t>(</w:t>
      </w:r>
      <w:r w:rsidR="004A3236">
        <w:rPr>
          <w:iCs/>
        </w:rPr>
        <w:t>the ignorant pagan world outside of God’s pure revelation</w:t>
      </w:r>
      <w:r w:rsidR="00183BB0">
        <w:rPr>
          <w:iCs/>
        </w:rPr>
        <w:t xml:space="preserve">), he called for militant jihad against </w:t>
      </w:r>
      <w:r w:rsidR="00FA6655">
        <w:rPr>
          <w:iCs/>
        </w:rPr>
        <w:t>Jahiliyya</w:t>
      </w:r>
      <w:r w:rsidR="007A1BE0">
        <w:rPr>
          <w:iCs/>
        </w:rPr>
        <w:t xml:space="preserve">, and he declared all who die practicing jihad against </w:t>
      </w:r>
      <w:r w:rsidR="00FA6655">
        <w:rPr>
          <w:iCs/>
        </w:rPr>
        <w:t>Jahiliyya</w:t>
      </w:r>
      <w:r w:rsidR="007A1BE0">
        <w:rPr>
          <w:iCs/>
        </w:rPr>
        <w:t xml:space="preserve"> were </w:t>
      </w:r>
      <w:r w:rsidR="007A1BE0">
        <w:rPr>
          <w:i/>
        </w:rPr>
        <w:t xml:space="preserve">shaheed </w:t>
      </w:r>
      <w:r w:rsidR="007A1BE0">
        <w:rPr>
          <w:iCs/>
        </w:rPr>
        <w:t>(witnesses to the faith, martyrs)</w:t>
      </w:r>
      <w:r w:rsidR="004555DB">
        <w:rPr>
          <w:iCs/>
        </w:rPr>
        <w:t xml:space="preserve">.  </w:t>
      </w:r>
      <w:r w:rsidR="00EE54D9">
        <w:rPr>
          <w:iCs/>
        </w:rPr>
        <w:t>This categorization leads to a militant posture toward all members of the out-group</w:t>
      </w:r>
      <w:r w:rsidR="007A1BE0">
        <w:rPr>
          <w:iCs/>
        </w:rPr>
        <w:t xml:space="preserve"> and the sanctity in confronting everything the out-group represents</w:t>
      </w:r>
      <w:r w:rsidR="004555DB">
        <w:rPr>
          <w:iCs/>
        </w:rPr>
        <w:t xml:space="preserve">.  </w:t>
      </w:r>
      <w:r w:rsidR="007A1BE0">
        <w:rPr>
          <w:iCs/>
        </w:rPr>
        <w:t>Organizations</w:t>
      </w:r>
      <w:r w:rsidR="00183BB0">
        <w:rPr>
          <w:iCs/>
        </w:rPr>
        <w:t xml:space="preserve"> inspired to operationalize Qutb’s wor</w:t>
      </w:r>
      <w:r w:rsidR="007A1BE0">
        <w:rPr>
          <w:iCs/>
        </w:rPr>
        <w:t xml:space="preserve">ds—Hamas, Palestinian Islamic </w:t>
      </w:r>
      <w:r w:rsidR="007A1BE0">
        <w:rPr>
          <w:iCs/>
        </w:rPr>
        <w:lastRenderedPageBreak/>
        <w:t xml:space="preserve">Jihad (PIF), Al Qaeda, ISIS, Boko Haram—would </w:t>
      </w:r>
      <w:r w:rsidR="00183BB0">
        <w:rPr>
          <w:iCs/>
        </w:rPr>
        <w:t xml:space="preserve">make the connection between jihad against </w:t>
      </w:r>
      <w:r w:rsidR="00A75AE5">
        <w:rPr>
          <w:iCs/>
        </w:rPr>
        <w:t>Jahiliyya</w:t>
      </w:r>
      <w:r w:rsidR="00183BB0">
        <w:rPr>
          <w:iCs/>
        </w:rPr>
        <w:t xml:space="preserve"> and </w:t>
      </w:r>
      <w:r w:rsidR="007A1BE0">
        <w:rPr>
          <w:iCs/>
        </w:rPr>
        <w:t>martyrdom operations against civilians</w:t>
      </w:r>
      <w:r w:rsidR="004555DB">
        <w:rPr>
          <w:iCs/>
        </w:rPr>
        <w:t xml:space="preserve">.  </w:t>
      </w:r>
    </w:p>
    <w:p w:rsidR="0010001E" w:rsidRPr="003776BC" w:rsidRDefault="0010001E" w:rsidP="003F601F">
      <w:pPr>
        <w:ind w:firstLine="720"/>
        <w:contextualSpacing/>
      </w:pPr>
      <w:r w:rsidRPr="003776BC">
        <w:t>In the late 1940s, Qutb traveled to the United States to continue his studies</w:t>
      </w:r>
      <w:r w:rsidR="004555DB">
        <w:t xml:space="preserve">.  </w:t>
      </w:r>
      <w:r w:rsidRPr="003776BC">
        <w:t>Some aspects of America he appreciated, but by and large, Qutb fou</w:t>
      </w:r>
      <w:r>
        <w:t>nd American culture superficial</w:t>
      </w:r>
      <w:r w:rsidR="004555DB">
        <w:t xml:space="preserve">.  </w:t>
      </w:r>
      <w:r w:rsidRPr="003776BC">
        <w:t xml:space="preserve">American relationships </w:t>
      </w:r>
      <w:r w:rsidR="00582409">
        <w:t xml:space="preserve">were </w:t>
      </w:r>
      <w:r w:rsidRPr="003776BC">
        <w:t xml:space="preserve">based on quid-pro-quo status building, </w:t>
      </w:r>
      <w:r>
        <w:t xml:space="preserve">the </w:t>
      </w:r>
      <w:r w:rsidRPr="003776BC">
        <w:t xml:space="preserve">churches </w:t>
      </w:r>
      <w:r w:rsidR="00582409">
        <w:t xml:space="preserve">were </w:t>
      </w:r>
      <w:r w:rsidRPr="003776BC">
        <w:t xml:space="preserve">overly sexed, and America </w:t>
      </w:r>
      <w:r>
        <w:t xml:space="preserve">as a whole </w:t>
      </w:r>
      <w:r w:rsidR="00582409">
        <w:t xml:space="preserve">was </w:t>
      </w:r>
      <w:r w:rsidRPr="003776BC">
        <w:t>hollow and pernicious</w:t>
      </w:r>
      <w:r w:rsidR="004555DB">
        <w:t xml:space="preserve">.  </w:t>
      </w:r>
      <w:r w:rsidRPr="003776BC">
        <w:t>He observed and experienced racism first hand</w:t>
      </w:r>
      <w:r w:rsidR="004555DB">
        <w:t xml:space="preserve">.  </w:t>
      </w:r>
      <w:r w:rsidR="00582409">
        <w:t>H</w:t>
      </w:r>
      <w:r w:rsidRPr="003776BC">
        <w:t>e saw a black man beaten in the street</w:t>
      </w:r>
      <w:r w:rsidR="004555DB">
        <w:t xml:space="preserve">.  </w:t>
      </w:r>
      <w:r w:rsidRPr="003776BC">
        <w:t>In another instance, he and his Egyptian friends were not allowed to enter a movie theater because the owner thought they were black</w:t>
      </w:r>
      <w:r w:rsidR="004555DB">
        <w:t xml:space="preserve">.  </w:t>
      </w:r>
      <w:r w:rsidRPr="003776BC">
        <w:t xml:space="preserve">They protested, “But we’re Egyptians” and the owner let the </w:t>
      </w:r>
      <w:r w:rsidR="00582409">
        <w:t>“</w:t>
      </w:r>
      <w:r w:rsidRPr="003776BC">
        <w:t>black</w:t>
      </w:r>
      <w:r w:rsidR="00582409">
        <w:t>”</w:t>
      </w:r>
      <w:r w:rsidRPr="003776BC">
        <w:t xml:space="preserve"> Egyptians in, but it was not missed that black Americans were not allowed.</w:t>
      </w:r>
      <w:r w:rsidRPr="003776BC">
        <w:rPr>
          <w:vertAlign w:val="superscript"/>
        </w:rPr>
        <w:footnoteReference w:id="73"/>
      </w:r>
      <w:r w:rsidR="004555DB">
        <w:t xml:space="preserve"> </w:t>
      </w:r>
      <w:r w:rsidR="00F74F77">
        <w:t xml:space="preserve"> This along with other </w:t>
      </w:r>
      <w:r w:rsidRPr="003776BC">
        <w:t>incident</w:t>
      </w:r>
      <w:r w:rsidR="00F74F77">
        <w:t xml:space="preserve">s </w:t>
      </w:r>
      <w:r w:rsidRPr="003776BC">
        <w:t>led Qutb to conclude, “The Soul has no value to Americans.”</w:t>
      </w:r>
      <w:r w:rsidRPr="003776BC">
        <w:rPr>
          <w:vertAlign w:val="superscript"/>
        </w:rPr>
        <w:footnoteReference w:id="74"/>
      </w:r>
    </w:p>
    <w:p w:rsidR="0010001E" w:rsidRPr="003776BC" w:rsidRDefault="0010001E" w:rsidP="00B53B77">
      <w:pPr>
        <w:ind w:firstLine="720"/>
        <w:contextualSpacing/>
      </w:pPr>
      <w:r w:rsidRPr="003776BC">
        <w:t xml:space="preserve">When he returned to Egypt, he found the worst aspects of Western culture infesting the Arab World—symbolized by Arab Nationalism and its vanguard </w:t>
      </w:r>
      <w:r w:rsidR="00F74F77">
        <w:t xml:space="preserve">the Egyptian President </w:t>
      </w:r>
      <w:r w:rsidRPr="003776BC">
        <w:t>Gam</w:t>
      </w:r>
      <w:r>
        <w:t>a</w:t>
      </w:r>
      <w:r w:rsidRPr="003776BC">
        <w:t>l Nasser</w:t>
      </w:r>
      <w:r w:rsidR="004555DB">
        <w:t xml:space="preserve">.  </w:t>
      </w:r>
      <w:r w:rsidRPr="003776BC">
        <w:t xml:space="preserve">Qutb joined </w:t>
      </w:r>
      <w:r w:rsidR="00F74F77">
        <w:t xml:space="preserve">the Muslim Brotherhood, and </w:t>
      </w:r>
      <w:r w:rsidRPr="003776BC">
        <w:t>Nasser</w:t>
      </w:r>
      <w:r w:rsidR="00F74F77">
        <w:t xml:space="preserve">’s security forces </w:t>
      </w:r>
      <w:r w:rsidRPr="003776BC">
        <w:t>quickly arrested him for crimes against the regime</w:t>
      </w:r>
      <w:r w:rsidR="004555DB">
        <w:t xml:space="preserve">.  </w:t>
      </w:r>
      <w:r w:rsidRPr="003776BC">
        <w:t xml:space="preserve">From an Egyptian prison, he published </w:t>
      </w:r>
      <w:r w:rsidRPr="00F456DF">
        <w:rPr>
          <w:i/>
          <w:iCs/>
        </w:rPr>
        <w:t>Milestones</w:t>
      </w:r>
      <w:r w:rsidRPr="00AE5122">
        <w:t>,</w:t>
      </w:r>
      <w:r>
        <w:t xml:space="preserve"> which</w:t>
      </w:r>
      <w:r w:rsidRPr="003776BC">
        <w:t xml:space="preserve"> has been cited by radical Muslims </w:t>
      </w:r>
      <w:r>
        <w:t>since</w:t>
      </w:r>
      <w:r w:rsidRPr="003776BC">
        <w:t>.</w:t>
      </w:r>
      <w:r w:rsidRPr="003776BC">
        <w:rPr>
          <w:vertAlign w:val="superscript"/>
        </w:rPr>
        <w:footnoteReference w:id="75"/>
      </w:r>
      <w:r w:rsidR="004555DB">
        <w:t xml:space="preserve"> </w:t>
      </w:r>
      <w:r w:rsidR="00B53B77">
        <w:t>Within the book’</w:t>
      </w:r>
      <w:r w:rsidRPr="003776BC">
        <w:t xml:space="preserve">s given assumptions, </w:t>
      </w:r>
      <w:r w:rsidR="00B53B77" w:rsidRPr="009C3DDD">
        <w:rPr>
          <w:i/>
        </w:rPr>
        <w:t>Milestones</w:t>
      </w:r>
      <w:r w:rsidR="00B53B77">
        <w:t xml:space="preserve"> explains </w:t>
      </w:r>
      <w:r w:rsidRPr="003776BC">
        <w:t>what is wrong with the wo</w:t>
      </w:r>
      <w:r>
        <w:t>rld and what the solution is</w:t>
      </w:r>
      <w:r w:rsidR="004555DB">
        <w:t xml:space="preserve">.  </w:t>
      </w:r>
      <w:r w:rsidR="00F74F77">
        <w:rPr>
          <w:iCs/>
        </w:rPr>
        <w:t>It</w:t>
      </w:r>
      <w:r w:rsidR="00F74F77" w:rsidRPr="003776BC">
        <w:t xml:space="preserve"> gives a purpose to alienated Muslims seeking identity, purity, and historic connection to seminal events in religious history</w:t>
      </w:r>
      <w:r w:rsidR="00F74F77">
        <w:t>.</w:t>
      </w:r>
      <w:r w:rsidR="00B75C88">
        <w:t xml:space="preserve">  </w:t>
      </w:r>
      <w:r>
        <w:t>T</w:t>
      </w:r>
      <w:r w:rsidRPr="003776BC">
        <w:t xml:space="preserve">he Nasser </w:t>
      </w:r>
      <w:r w:rsidRPr="003776BC">
        <w:lastRenderedPageBreak/>
        <w:t>regime executed Qutb on August 29, 1966, at which point Qutb was eager to be a martyr</w:t>
      </w:r>
      <w:r>
        <w:t>:</w:t>
      </w:r>
      <w:r w:rsidRPr="003776BC">
        <w:t xml:space="preserve"> “I performed jihad for 15 years until I earned this martyrdom</w:t>
      </w:r>
      <w:r>
        <w:t>.</w:t>
      </w:r>
      <w:r w:rsidRPr="003776BC">
        <w:t>”</w:t>
      </w:r>
      <w:r w:rsidRPr="003776BC">
        <w:rPr>
          <w:vertAlign w:val="superscript"/>
        </w:rPr>
        <w:footnoteReference w:id="76"/>
      </w:r>
      <w:r w:rsidR="004555DB">
        <w:t xml:space="preserve"> </w:t>
      </w:r>
    </w:p>
    <w:p w:rsidR="00582409" w:rsidRDefault="0010001E" w:rsidP="003F601F">
      <w:pPr>
        <w:ind w:firstLine="720"/>
        <w:contextualSpacing/>
      </w:pPr>
      <w:r w:rsidRPr="003776BC">
        <w:t xml:space="preserve">In </w:t>
      </w:r>
      <w:r w:rsidRPr="00F456DF">
        <w:rPr>
          <w:i/>
        </w:rPr>
        <w:t>Milestones</w:t>
      </w:r>
      <w:r w:rsidRPr="003776BC">
        <w:t xml:space="preserve">, Qutb argues that </w:t>
      </w:r>
      <w:r w:rsidR="00B135C6">
        <w:t>the world outside of pure Islam is in a state of ignorance that has led man to a precipice</w:t>
      </w:r>
      <w:r w:rsidR="004555DB">
        <w:t xml:space="preserve">.  </w:t>
      </w:r>
      <w:r w:rsidRPr="003776BC">
        <w:t xml:space="preserve">To Qutb, the situation is desperate, with </w:t>
      </w:r>
      <w:r w:rsidR="00B135C6">
        <w:t>two destructive wars behind man</w:t>
      </w:r>
      <w:r w:rsidRPr="003776BC">
        <w:t xml:space="preserve"> and nuclear war possible</w:t>
      </w:r>
      <w:r w:rsidR="004555DB">
        <w:t xml:space="preserve">.  </w:t>
      </w:r>
      <w:r w:rsidR="00582409">
        <w:t>M</w:t>
      </w:r>
      <w:r w:rsidR="00B135C6">
        <w:t>an needs the vital values that only Is</w:t>
      </w:r>
      <w:r w:rsidR="003F601F">
        <w:t>lam provides to save mankind.  N</w:t>
      </w:r>
      <w:r w:rsidR="00B135C6">
        <w:t xml:space="preserve">ationalism, </w:t>
      </w:r>
      <w:r w:rsidR="00B135C6" w:rsidRPr="003776BC">
        <w:t xml:space="preserve">capitalism, socialism, communism, and democracy </w:t>
      </w:r>
      <w:r w:rsidR="00B135C6">
        <w:t xml:space="preserve">failed to prevent </w:t>
      </w:r>
      <w:r w:rsidR="003F601F">
        <w:t>past World Wars and will not prevent the next war</w:t>
      </w:r>
      <w:r w:rsidRPr="003776BC">
        <w:t>.</w:t>
      </w:r>
      <w:r w:rsidR="00141B5A" w:rsidRPr="003776BC">
        <w:rPr>
          <w:vertAlign w:val="superscript"/>
        </w:rPr>
        <w:footnoteReference w:id="77"/>
      </w:r>
      <w:r w:rsidR="004555DB">
        <w:t xml:space="preserve"> </w:t>
      </w:r>
    </w:p>
    <w:p w:rsidR="0010001E" w:rsidRPr="003776BC" w:rsidRDefault="00141B5A" w:rsidP="00F44E9E">
      <w:pPr>
        <w:ind w:firstLine="720"/>
        <w:contextualSpacing/>
      </w:pPr>
      <w:r>
        <w:t xml:space="preserve">I argue that the pivot point </w:t>
      </w:r>
      <w:r w:rsidR="0010001E" w:rsidRPr="003776BC">
        <w:t xml:space="preserve">that encourages an intellectual to embrace the conclusions of </w:t>
      </w:r>
      <w:r w:rsidR="0010001E" w:rsidRPr="00F456DF">
        <w:rPr>
          <w:i/>
          <w:iCs/>
        </w:rPr>
        <w:t>Milestones</w:t>
      </w:r>
      <w:r w:rsidR="0010001E" w:rsidRPr="003776BC">
        <w:rPr>
          <w:i/>
          <w:iCs/>
        </w:rPr>
        <w:t xml:space="preserve"> </w:t>
      </w:r>
      <w:r w:rsidR="0010001E" w:rsidRPr="003776BC">
        <w:t>is one’s disposition to the world outside of Islam</w:t>
      </w:r>
      <w:r w:rsidR="004555DB">
        <w:t xml:space="preserve">.  </w:t>
      </w:r>
      <w:r w:rsidR="0010001E" w:rsidRPr="003776BC">
        <w:t>Because Islam is not truly practiced by its self- proclaimed rulers, the world is in a state of</w:t>
      </w:r>
      <w:r w:rsidR="0010001E" w:rsidRPr="003776BC">
        <w:rPr>
          <w:i/>
          <w:iCs/>
        </w:rPr>
        <w:t xml:space="preserve"> </w:t>
      </w:r>
      <w:r w:rsidR="00F74F77">
        <w:rPr>
          <w:iCs/>
        </w:rPr>
        <w:t xml:space="preserve">ignorance, or </w:t>
      </w:r>
      <w:r w:rsidR="009918F1">
        <w:rPr>
          <w:i/>
          <w:iCs/>
        </w:rPr>
        <w:t>Jahiliyya</w:t>
      </w:r>
      <w:r w:rsidR="00F74F77">
        <w:rPr>
          <w:i/>
          <w:iCs/>
        </w:rPr>
        <w:t xml:space="preserve">.  </w:t>
      </w:r>
      <w:r w:rsidR="009C3DDD">
        <w:t>Jahiliyya</w:t>
      </w:r>
      <w:r w:rsidR="0010001E" w:rsidRPr="003776BC">
        <w:t xml:space="preserve"> refers to the pagan world in Arabia before Muhammad, when men worshipped idols instead of the </w:t>
      </w:r>
      <w:r w:rsidR="003F601F">
        <w:t>one God</w:t>
      </w:r>
      <w:r w:rsidR="00F22A4C">
        <w:t xml:space="preserve">.  </w:t>
      </w:r>
      <w:r w:rsidR="000C12BC" w:rsidRPr="003776BC">
        <w:t xml:space="preserve">Qutb </w:t>
      </w:r>
      <w:r w:rsidR="000C12BC">
        <w:t>affirms</w:t>
      </w:r>
      <w:r w:rsidR="000C12BC" w:rsidRPr="003776BC">
        <w:t xml:space="preserve"> that the first generation of the Message</w:t>
      </w:r>
      <w:r w:rsidR="003F601F">
        <w:t>, the Salafi,</w:t>
      </w:r>
      <w:r w:rsidR="000C12BC" w:rsidRPr="003776BC">
        <w:t xml:space="preserve"> is the greatest in the history of man, without comparison in Islam or the history of man.</w:t>
      </w:r>
      <w:r w:rsidR="000C12BC">
        <w:t xml:space="preserve">  Since the Salafi </w:t>
      </w:r>
      <w:r w:rsidR="00F22A4C">
        <w:t>fought pagan Jahiliyya</w:t>
      </w:r>
      <w:r w:rsidR="000C12BC">
        <w:t xml:space="preserve">, modern Muslims should emulate them.  If conquest </w:t>
      </w:r>
      <w:r w:rsidR="0010001E" w:rsidRPr="003776BC">
        <w:t xml:space="preserve">is justified in days of the Prophet, </w:t>
      </w:r>
      <w:r w:rsidR="000C12BC">
        <w:t xml:space="preserve">is it not </w:t>
      </w:r>
      <w:r w:rsidR="0010001E" w:rsidRPr="003776BC">
        <w:t xml:space="preserve">when </w:t>
      </w:r>
      <w:r w:rsidR="009C3DDD">
        <w:rPr>
          <w:i/>
          <w:iCs/>
        </w:rPr>
        <w:t>Jahiliyya</w:t>
      </w:r>
      <w:r w:rsidR="0010001E" w:rsidRPr="003776BC">
        <w:rPr>
          <w:i/>
          <w:iCs/>
        </w:rPr>
        <w:t xml:space="preserve"> </w:t>
      </w:r>
      <w:r w:rsidR="0010001E" w:rsidRPr="003776BC">
        <w:t>has the potential to be catastrophic?</w:t>
      </w:r>
      <w:r w:rsidR="004555DB">
        <w:t xml:space="preserve"> </w:t>
      </w:r>
      <w:r w:rsidR="0010001E" w:rsidRPr="003776BC">
        <w:t xml:space="preserve">Qutb puts it bluntly: </w:t>
      </w:r>
    </w:p>
    <w:p w:rsidR="0010001E" w:rsidRDefault="0010001E" w:rsidP="00B135C6">
      <w:pPr>
        <w:spacing w:line="240" w:lineRule="auto"/>
        <w:ind w:left="720"/>
      </w:pPr>
      <w:r w:rsidRPr="003776BC">
        <w:t xml:space="preserve">The whole world is steeped in </w:t>
      </w:r>
      <w:r w:rsidR="009918F1" w:rsidRPr="003776BC">
        <w:t>Jahiliyya</w:t>
      </w:r>
      <w:r w:rsidRPr="003776BC">
        <w:t>… [It] is based on rebellion against God’s sovereignty on earth</w:t>
      </w:r>
      <w:r w:rsidR="004555DB">
        <w:t xml:space="preserve">.  </w:t>
      </w:r>
      <w:r w:rsidRPr="003776BC">
        <w:t>It transfers to man one of the greatest attributes of God, namely sovereignty, and makes some men lords over others</w:t>
      </w:r>
      <w:r w:rsidR="004555DB">
        <w:t xml:space="preserve">.  </w:t>
      </w:r>
      <w:r w:rsidRPr="003776BC">
        <w:t>The result of this rebellion against the authority of God is the oppression of His creatures</w:t>
      </w:r>
      <w:r w:rsidR="004555DB">
        <w:t xml:space="preserve">.  </w:t>
      </w:r>
      <w:r w:rsidRPr="003776BC">
        <w:t>Thus, the humiliations of the common man under the communist systems and the exploitation of individuals and nations due to greed for wealth and imperialism under the capitalist systems are but a corollary of rebellion against God’s authority and the denial of the dignity of man given to him by God</w:t>
      </w:r>
      <w:r w:rsidR="004555DB">
        <w:t xml:space="preserve">.  </w:t>
      </w:r>
      <w:r w:rsidRPr="003776BC">
        <w:t>In this respect, Islam’s way of life is unique, for in systems other than Islam, some people worship others in some form or another.</w:t>
      </w:r>
      <w:r w:rsidR="00B135C6" w:rsidRPr="003776BC">
        <w:rPr>
          <w:vertAlign w:val="superscript"/>
        </w:rPr>
        <w:footnoteReference w:id="78"/>
      </w:r>
    </w:p>
    <w:p w:rsidR="0010001E" w:rsidRPr="003776BC" w:rsidRDefault="0010001E" w:rsidP="0010001E">
      <w:pPr>
        <w:spacing w:line="240" w:lineRule="auto"/>
        <w:ind w:left="720"/>
      </w:pPr>
    </w:p>
    <w:p w:rsidR="0010001E" w:rsidRPr="003776BC" w:rsidRDefault="0010001E" w:rsidP="00F44E9E">
      <w:pPr>
        <w:contextualSpacing/>
      </w:pPr>
      <w:r w:rsidRPr="003776BC">
        <w:t xml:space="preserve">It is now not in that simple and primitive form of the ancient </w:t>
      </w:r>
      <w:r w:rsidR="009C3DDD">
        <w:t>Jahiliyya</w:t>
      </w:r>
      <w:r w:rsidRPr="003776BC">
        <w:t xml:space="preserve">, but one that is worse than the </w:t>
      </w:r>
      <w:r w:rsidR="009C3DDD">
        <w:t>Jahiliyya</w:t>
      </w:r>
      <w:r w:rsidRPr="003776BC">
        <w:t xml:space="preserve"> of the Prophet.</w:t>
      </w:r>
      <w:r w:rsidRPr="003776BC">
        <w:rPr>
          <w:vertAlign w:val="superscript"/>
        </w:rPr>
        <w:footnoteReference w:id="79"/>
      </w:r>
      <w:r w:rsidR="000C12BC">
        <w:t xml:space="preserve">  </w:t>
      </w:r>
      <w:r w:rsidR="009C3DDD">
        <w:t>Jahiliyya</w:t>
      </w:r>
      <w:r w:rsidRPr="003776BC">
        <w:t xml:space="preserve"> takes the form of claiming that the right to create values, to legislate rules of collective behavior, and to choose any way of life rests with men, without regard to what God has prescribed</w:t>
      </w:r>
      <w:r w:rsidR="004555DB">
        <w:t xml:space="preserve">.  </w:t>
      </w:r>
      <w:r w:rsidRPr="003776BC">
        <w:t>Qutb referred to the Nasserite regime</w:t>
      </w:r>
      <w:r w:rsidR="00582409">
        <w:t>—</w:t>
      </w:r>
      <w:r w:rsidRPr="003776BC">
        <w:t xml:space="preserve">and almost all other governments, for that matter, as a </w:t>
      </w:r>
      <w:r w:rsidR="009C3DDD">
        <w:t>Jahiliyya</w:t>
      </w:r>
      <w:r w:rsidRPr="003776BC">
        <w:t xml:space="preserve"> regime.</w:t>
      </w:r>
      <w:r w:rsidRPr="003776BC">
        <w:rPr>
          <w:vertAlign w:val="superscript"/>
        </w:rPr>
        <w:footnoteReference w:id="80"/>
      </w:r>
      <w:r w:rsidR="00BC7FEB">
        <w:t xml:space="preserve">  </w:t>
      </w:r>
      <w:r w:rsidRPr="003776BC">
        <w:t xml:space="preserve">Because of this, Islam and </w:t>
      </w:r>
      <w:r w:rsidR="009C3DDD">
        <w:t>Jahiliyya</w:t>
      </w:r>
      <w:r w:rsidR="000C12BC">
        <w:t xml:space="preserve"> are incompatible.  There </w:t>
      </w:r>
      <w:r w:rsidRPr="003776BC">
        <w:t>is no “half-Islam” and “half-</w:t>
      </w:r>
      <w:r w:rsidR="005B5AA4">
        <w:t>j</w:t>
      </w:r>
      <w:r w:rsidR="009C3DDD">
        <w:t>ahiliyya</w:t>
      </w:r>
      <w:r w:rsidRPr="003776BC">
        <w:t>”</w:t>
      </w:r>
      <w:r w:rsidR="00F44E9E">
        <w:t>;</w:t>
      </w:r>
      <w:r w:rsidRPr="003776BC">
        <w:t xml:space="preserve"> the p</w:t>
      </w:r>
      <w:r w:rsidR="00F44E9E">
        <w:t xml:space="preserve">olitical ideologies </w:t>
      </w:r>
      <w:r w:rsidRPr="003776BC">
        <w:t>of the West and Islam are mutually exclusive</w:t>
      </w:r>
      <w:r w:rsidR="004555DB">
        <w:t xml:space="preserve">.  </w:t>
      </w:r>
      <w:r w:rsidR="00685297" w:rsidRPr="003776BC">
        <w:t>Thus, any country opposing the pure expression</w:t>
      </w:r>
      <w:r w:rsidR="00685297">
        <w:t xml:space="preserve"> of Islam</w:t>
      </w:r>
      <w:r w:rsidR="00685297" w:rsidRPr="003776BC">
        <w:t xml:space="preserve"> is </w:t>
      </w:r>
      <w:r w:rsidR="00685297" w:rsidRPr="000C12BC">
        <w:rPr>
          <w:i/>
        </w:rPr>
        <w:t>Dar al-Harb</w:t>
      </w:r>
      <w:r w:rsidR="00685297">
        <w:rPr>
          <w:i/>
        </w:rPr>
        <w:t xml:space="preserve"> </w:t>
      </w:r>
      <w:r w:rsidR="00685297">
        <w:t>(“The House of War”)</w:t>
      </w:r>
      <w:r w:rsidR="00685297" w:rsidRPr="003776BC">
        <w:t>.</w:t>
      </w:r>
      <w:r w:rsidR="00685297" w:rsidRPr="003776BC">
        <w:rPr>
          <w:vertAlign w:val="superscript"/>
        </w:rPr>
        <w:footnoteReference w:id="81"/>
      </w:r>
      <w:r w:rsidR="00685297">
        <w:t xml:space="preserve">  </w:t>
      </w:r>
    </w:p>
    <w:p w:rsidR="0010001E" w:rsidRPr="003776BC" w:rsidRDefault="005B5AA4" w:rsidP="00685297">
      <w:pPr>
        <w:ind w:firstLine="720"/>
        <w:contextualSpacing/>
      </w:pPr>
      <w:r>
        <w:t xml:space="preserve">To save mankind from jahiliyya, </w:t>
      </w:r>
      <w:r w:rsidR="000C12BC">
        <w:t xml:space="preserve">aggressive and </w:t>
      </w:r>
      <w:r w:rsidR="0010001E" w:rsidRPr="003776BC">
        <w:t xml:space="preserve">militant jihad is </w:t>
      </w:r>
      <w:r w:rsidR="003A3F3B">
        <w:t>necessary</w:t>
      </w:r>
      <w:r w:rsidR="004555DB">
        <w:t xml:space="preserve">.  </w:t>
      </w:r>
      <w:r w:rsidR="0010001E" w:rsidRPr="003776BC">
        <w:t>Qutb cites Surah 8:39 as the proper definition of peace “Fight with them until there is no more persecution, and all religions are for Allah.”</w:t>
      </w:r>
      <w:r w:rsidR="0010001E" w:rsidRPr="003776BC">
        <w:rPr>
          <w:vertAlign w:val="superscript"/>
        </w:rPr>
        <w:footnoteReference w:id="82"/>
      </w:r>
      <w:r w:rsidR="004555DB">
        <w:t xml:space="preserve"> </w:t>
      </w:r>
      <w:r w:rsidR="000C12BC">
        <w:t xml:space="preserve"> </w:t>
      </w:r>
      <w:r w:rsidR="003A3F3B">
        <w:t>J</w:t>
      </w:r>
      <w:r w:rsidR="0010001E" w:rsidRPr="003776BC">
        <w:t>ihad must be worldwide and aggressive because the stakes are global.</w:t>
      </w:r>
      <w:r w:rsidR="00F44E9E">
        <w:t xml:space="preserve">  </w:t>
      </w:r>
      <w:r w:rsidR="00895915">
        <w:t>Qutb positions</w:t>
      </w:r>
      <w:r w:rsidR="0010001E" w:rsidRPr="003776BC">
        <w:t xml:space="preserve"> the </w:t>
      </w:r>
      <w:r w:rsidR="00551DC8">
        <w:t>value</w:t>
      </w:r>
      <w:r w:rsidR="0010001E" w:rsidRPr="003776BC">
        <w:t xml:space="preserve"> of jihad as the tool </w:t>
      </w:r>
      <w:r w:rsidR="00895915">
        <w:t>for</w:t>
      </w:r>
      <w:r w:rsidR="0010001E" w:rsidRPr="003776BC">
        <w:t xml:space="preserve"> man’s liberation, to “secure complete freedom for every man throughout the world by releasing him from servitude to other human beings so that he may serve his God, who is One and Who has no associates.”</w:t>
      </w:r>
      <w:r w:rsidR="0010001E" w:rsidRPr="003776BC">
        <w:rPr>
          <w:vertAlign w:val="superscript"/>
        </w:rPr>
        <w:footnoteReference w:id="83"/>
      </w:r>
      <w:r w:rsidR="00685297">
        <w:t xml:space="preserve">  </w:t>
      </w:r>
      <w:r w:rsidR="0010001E">
        <w:t>By positioning</w:t>
      </w:r>
      <w:r w:rsidR="0010001E" w:rsidRPr="003776BC">
        <w:t xml:space="preserve"> offensive jihad </w:t>
      </w:r>
      <w:r w:rsidR="0010001E">
        <w:t xml:space="preserve">in such moralistic </w:t>
      </w:r>
      <w:r w:rsidR="00F22A4C">
        <w:t xml:space="preserve">and global </w:t>
      </w:r>
      <w:r w:rsidR="0010001E">
        <w:t>tones</w:t>
      </w:r>
      <w:r w:rsidR="0010001E" w:rsidRPr="003776BC">
        <w:t>, it makes the practice almost ideal behavior:</w:t>
      </w:r>
    </w:p>
    <w:p w:rsidR="0010001E" w:rsidRDefault="0010001E" w:rsidP="00685297">
      <w:pPr>
        <w:spacing w:line="240" w:lineRule="auto"/>
        <w:ind w:left="720"/>
        <w:contextualSpacing/>
      </w:pPr>
      <w:r w:rsidRPr="003776BC">
        <w:t xml:space="preserve">[To] establish God’s authority on the earth; to arrange human affairs according to the true guidance provided by God; to abolish all the Satanic forces and Satanic systems of life; to end the lordship of one man over others, since all men are created creatures of God and no one has the authority to make them his </w:t>
      </w:r>
      <w:r w:rsidRPr="003776BC">
        <w:lastRenderedPageBreak/>
        <w:t>servants or to make arbitrary laws for them</w:t>
      </w:r>
      <w:r w:rsidR="004555DB">
        <w:t xml:space="preserve">.  </w:t>
      </w:r>
      <w:r w:rsidRPr="003776BC">
        <w:t>These reasons are sufficient for proclaiming Jihad.</w:t>
      </w:r>
      <w:r w:rsidR="00685297" w:rsidRPr="003776BC">
        <w:rPr>
          <w:vertAlign w:val="superscript"/>
        </w:rPr>
        <w:footnoteReference w:id="84"/>
      </w:r>
    </w:p>
    <w:p w:rsidR="0010001E" w:rsidRPr="003776BC" w:rsidRDefault="0010001E" w:rsidP="0010001E">
      <w:pPr>
        <w:spacing w:line="240" w:lineRule="auto"/>
        <w:ind w:left="720"/>
        <w:contextualSpacing/>
      </w:pPr>
    </w:p>
    <w:p w:rsidR="0010001E" w:rsidRDefault="0010001E" w:rsidP="00685297">
      <w:pPr>
        <w:contextualSpacing/>
      </w:pPr>
      <w:r w:rsidRPr="003776BC">
        <w:rPr>
          <w:iCs/>
        </w:rPr>
        <w:t xml:space="preserve">Qutb, however, never specifically </w:t>
      </w:r>
      <w:r>
        <w:rPr>
          <w:iCs/>
        </w:rPr>
        <w:t>argue</w:t>
      </w:r>
      <w:r w:rsidR="009C3DDD">
        <w:rPr>
          <w:iCs/>
        </w:rPr>
        <w:t>s</w:t>
      </w:r>
      <w:r>
        <w:rPr>
          <w:iCs/>
        </w:rPr>
        <w:t xml:space="preserve"> for how this jihad should take place</w:t>
      </w:r>
      <w:r w:rsidR="004555DB">
        <w:rPr>
          <w:iCs/>
        </w:rPr>
        <w:t xml:space="preserve">.  </w:t>
      </w:r>
      <w:r w:rsidR="00627F5B">
        <w:rPr>
          <w:iCs/>
        </w:rPr>
        <w:t xml:space="preserve">Like many ideologues, the operational implementation of his </w:t>
      </w:r>
      <w:r w:rsidR="006D7816">
        <w:rPr>
          <w:iCs/>
        </w:rPr>
        <w:t>thought</w:t>
      </w:r>
      <w:r w:rsidR="00627F5B">
        <w:rPr>
          <w:iCs/>
        </w:rPr>
        <w:t xml:space="preserve"> would </w:t>
      </w:r>
      <w:r w:rsidR="006D7816">
        <w:rPr>
          <w:iCs/>
        </w:rPr>
        <w:t>fall to others</w:t>
      </w:r>
      <w:r w:rsidR="004555DB">
        <w:rPr>
          <w:iCs/>
        </w:rPr>
        <w:t xml:space="preserve">.  </w:t>
      </w:r>
      <w:r w:rsidR="006D7816" w:rsidRPr="003776BC">
        <w:t>Bin Laden attended Qutb’s younger br</w:t>
      </w:r>
      <w:r w:rsidR="006D7816">
        <w:t>other’s lectures in Saudi Arabia, absorbed Qutb’s ideas, and sought to implement them</w:t>
      </w:r>
      <w:r w:rsidR="006D7816" w:rsidRPr="003776BC">
        <w:t>.</w:t>
      </w:r>
      <w:r w:rsidR="006D7816" w:rsidRPr="003776BC">
        <w:rPr>
          <w:vertAlign w:val="superscript"/>
        </w:rPr>
        <w:footnoteReference w:id="85"/>
      </w:r>
      <w:r w:rsidR="000C12BC">
        <w:t xml:space="preserve">  </w:t>
      </w:r>
      <w:r w:rsidR="006D7816" w:rsidRPr="003776BC">
        <w:t xml:space="preserve">Al Qaeda took </w:t>
      </w:r>
      <w:r w:rsidR="005B5AA4">
        <w:t xml:space="preserve">beliefs about </w:t>
      </w:r>
      <w:r w:rsidR="006D7816">
        <w:t xml:space="preserve">the state of the world (everything is </w:t>
      </w:r>
      <w:r w:rsidR="009C3DDD">
        <w:t>Jahiliyya</w:t>
      </w:r>
      <w:r w:rsidR="006D7816">
        <w:t xml:space="preserve">), the state of the enemy (all who suppress a true Islamic state are not only the enemy, but in the way of man’s salvation), </w:t>
      </w:r>
      <w:r w:rsidR="006D7816" w:rsidRPr="003776BC">
        <w:t>and turned them into an operational reality</w:t>
      </w:r>
      <w:r w:rsidR="004555DB">
        <w:t xml:space="preserve">.  </w:t>
      </w:r>
      <w:r w:rsidR="000C12BC">
        <w:t xml:space="preserve">Chapter 4 covers </w:t>
      </w:r>
      <w:r w:rsidR="00685297">
        <w:t>Al Qaeda’s operationalization of Qutbism</w:t>
      </w:r>
      <w:r w:rsidR="000C12BC">
        <w:t>.</w:t>
      </w:r>
    </w:p>
    <w:p w:rsidR="007E65CF" w:rsidRPr="00842D2E" w:rsidRDefault="007E65CF" w:rsidP="007E65CF">
      <w:pPr>
        <w:pStyle w:val="Heading2"/>
        <w:rPr>
          <w:bCs w:val="0"/>
          <w:i/>
          <w:szCs w:val="24"/>
        </w:rPr>
      </w:pPr>
      <w:bookmarkStart w:id="26" w:name="_Toc450748677"/>
      <w:bookmarkStart w:id="27" w:name="_Toc445916790"/>
      <w:r>
        <w:rPr>
          <w:bCs w:val="0"/>
          <w:i/>
          <w:szCs w:val="24"/>
        </w:rPr>
        <w:t>Radicalization:</w:t>
      </w:r>
      <w:r w:rsidR="004555DB">
        <w:rPr>
          <w:bCs w:val="0"/>
          <w:i/>
          <w:szCs w:val="24"/>
        </w:rPr>
        <w:t xml:space="preserve"> </w:t>
      </w:r>
      <w:r>
        <w:rPr>
          <w:bCs w:val="0"/>
          <w:i/>
          <w:szCs w:val="24"/>
        </w:rPr>
        <w:t xml:space="preserve">Characteristics of Self-Selected </w:t>
      </w:r>
      <w:r w:rsidR="000C12BC">
        <w:rPr>
          <w:bCs w:val="0"/>
          <w:i/>
          <w:szCs w:val="24"/>
        </w:rPr>
        <w:t xml:space="preserve">Qutbist </w:t>
      </w:r>
      <w:r>
        <w:rPr>
          <w:bCs w:val="0"/>
          <w:i/>
          <w:szCs w:val="24"/>
        </w:rPr>
        <w:t>Martyrs</w:t>
      </w:r>
      <w:bookmarkEnd w:id="26"/>
    </w:p>
    <w:p w:rsidR="007E65CF" w:rsidRDefault="007E65CF" w:rsidP="00F22A4C">
      <w:pPr>
        <w:ind w:firstLine="720"/>
        <w:contextualSpacing/>
      </w:pPr>
      <w:r>
        <w:t>Qutbist ideology explains the radicalization of individuals who do not have any underlying econ</w:t>
      </w:r>
      <w:r w:rsidR="000C12BC">
        <w:t xml:space="preserve">omic or emotional </w:t>
      </w:r>
      <w:r>
        <w:t>drivers for supporting terrorism</w:t>
      </w:r>
      <w:r w:rsidR="004555DB">
        <w:t xml:space="preserve">.  </w:t>
      </w:r>
      <w:r>
        <w:t>Although the demog</w:t>
      </w:r>
      <w:r w:rsidR="000C12BC">
        <w:t>raphics of radicalization cover</w:t>
      </w:r>
      <w:r>
        <w:t xml:space="preserve"> both suicide terrorists</w:t>
      </w:r>
      <w:r w:rsidR="000C12BC">
        <w:t xml:space="preserve"> and standard operatives, </w:t>
      </w:r>
      <w:r>
        <w:t>ideology contributes to both the organizational outlook and the values of the individual willing to become martyrs</w:t>
      </w:r>
      <w:r w:rsidR="004555DB">
        <w:t xml:space="preserve">.  </w:t>
      </w:r>
      <w:r w:rsidR="00685297" w:rsidRPr="003776BC">
        <w:t>Most of the September 11</w:t>
      </w:r>
      <w:r w:rsidR="00685297">
        <w:t>th</w:t>
      </w:r>
      <w:r w:rsidR="00685297" w:rsidRPr="003776BC">
        <w:t xml:space="preserve"> attackers were </w:t>
      </w:r>
      <w:r w:rsidR="00685297">
        <w:t>not practicing Muslims p</w:t>
      </w:r>
      <w:r w:rsidR="00685297" w:rsidRPr="003776BC">
        <w:t>rior to embracing the Qutbist narrative.</w:t>
      </w:r>
      <w:r w:rsidR="00685297" w:rsidRPr="003776BC">
        <w:rPr>
          <w:vertAlign w:val="superscript"/>
        </w:rPr>
        <w:footnoteReference w:id="86"/>
      </w:r>
      <w:r w:rsidR="00685297">
        <w:t xml:space="preserve">  </w:t>
      </w:r>
      <w:r w:rsidRPr="003776BC">
        <w:t>In Marc Sageman’s research, only 25% of Al Qaeda members were dee</w:t>
      </w:r>
      <w:r w:rsidR="00685297">
        <w:t xml:space="preserve">ply religious when young, </w:t>
      </w:r>
      <w:r w:rsidRPr="003776BC">
        <w:t>67% were secular</w:t>
      </w:r>
      <w:r w:rsidR="00685297">
        <w:t>,</w:t>
      </w:r>
      <w:r w:rsidRPr="003776BC">
        <w:t xml:space="preserve"> and the rest were </w:t>
      </w:r>
      <w:r>
        <w:t>converts from Christianity</w:t>
      </w:r>
      <w:r w:rsidRPr="003776BC">
        <w:t>.</w:t>
      </w:r>
      <w:r w:rsidRPr="003776BC">
        <w:rPr>
          <w:vertAlign w:val="superscript"/>
        </w:rPr>
        <w:footnoteReference w:id="87"/>
      </w:r>
      <w:r w:rsidR="000C12BC">
        <w:t xml:space="preserve">  </w:t>
      </w:r>
      <w:r>
        <w:t>Sixty two percent</w:t>
      </w:r>
      <w:r w:rsidRPr="003776BC">
        <w:t xml:space="preserve"> attended university, and </w:t>
      </w:r>
      <w:r>
        <w:t>most</w:t>
      </w:r>
      <w:r w:rsidRPr="003776BC">
        <w:t xml:space="preserve"> have not experienced any trauma.</w:t>
      </w:r>
      <w:r w:rsidRPr="003776BC">
        <w:rPr>
          <w:vertAlign w:val="superscript"/>
        </w:rPr>
        <w:footnoteReference w:id="88"/>
      </w:r>
      <w:r w:rsidR="004555DB">
        <w:t xml:space="preserve"> </w:t>
      </w:r>
      <w:r w:rsidR="000C12BC">
        <w:t xml:space="preserve"> </w:t>
      </w:r>
      <w:r w:rsidRPr="003776BC">
        <w:t xml:space="preserve">Many of the captured fighters in Iraq and Afghanistan had left comfortable lives in the Gulf States, Saudi Arabia, or Western </w:t>
      </w:r>
      <w:r w:rsidRPr="003776BC">
        <w:lastRenderedPageBreak/>
        <w:t>Europe.</w:t>
      </w:r>
      <w:r w:rsidRPr="003776BC">
        <w:rPr>
          <w:vertAlign w:val="superscript"/>
        </w:rPr>
        <w:footnoteReference w:id="89"/>
      </w:r>
      <w:r w:rsidR="004555DB">
        <w:t xml:space="preserve"> </w:t>
      </w:r>
      <w:r w:rsidR="000C12BC">
        <w:t xml:space="preserve"> </w:t>
      </w:r>
      <w:r>
        <w:t>The radicalized individual</w:t>
      </w:r>
      <w:r w:rsidRPr="003776BC">
        <w:t xml:space="preserve"> is not a reflection of </w:t>
      </w:r>
      <w:r>
        <w:t>hi</w:t>
      </w:r>
      <w:r w:rsidR="00704131">
        <w:t>s culture and environment; instead,</w:t>
      </w:r>
      <w:r w:rsidR="002379CD">
        <w:t xml:space="preserve"> he</w:t>
      </w:r>
      <w:r w:rsidRPr="003776BC">
        <w:t xml:space="preserve"> </w:t>
      </w:r>
      <w:r>
        <w:t>embraces an ideology that is a reaction against his environment</w:t>
      </w:r>
      <w:r w:rsidR="004555DB">
        <w:rPr>
          <w:iCs/>
        </w:rPr>
        <w:t xml:space="preserve">.  </w:t>
      </w:r>
    </w:p>
    <w:p w:rsidR="007E65CF" w:rsidRDefault="007E65CF" w:rsidP="00B860AA">
      <w:pPr>
        <w:ind w:firstLine="720"/>
        <w:contextualSpacing/>
      </w:pPr>
      <w:r>
        <w:t>Radicalized individuals are not</w:t>
      </w:r>
      <w:r w:rsidRPr="003776BC">
        <w:t xml:space="preserve"> psychotic, emotionally dysfunctional, </w:t>
      </w:r>
      <w:r>
        <w:t xml:space="preserve">or, with some exceptions, suffering from </w:t>
      </w:r>
      <w:r w:rsidRPr="003776BC">
        <w:t>major depressive disorder</w:t>
      </w:r>
      <w:r w:rsidR="004555DB">
        <w:t xml:space="preserve">.  </w:t>
      </w:r>
      <w:r>
        <w:rPr>
          <w:rFonts w:eastAsia="Calibri"/>
          <w:shd w:val="clear" w:color="auto" w:fill="FFFFFF"/>
          <w:lang w:bidi="he-IL"/>
        </w:rPr>
        <w:t xml:space="preserve">In </w:t>
      </w:r>
      <w:r>
        <w:rPr>
          <w:rFonts w:eastAsia="Calibri"/>
          <w:i/>
          <w:iCs/>
          <w:shd w:val="clear" w:color="auto" w:fill="FFFFFF"/>
          <w:lang w:bidi="he-IL"/>
        </w:rPr>
        <w:t xml:space="preserve">Driven to Death, </w:t>
      </w:r>
      <w:r>
        <w:rPr>
          <w:rFonts w:eastAsia="Calibri"/>
          <w:shd w:val="clear" w:color="auto" w:fill="FFFFFF"/>
          <w:lang w:bidi="he-IL"/>
        </w:rPr>
        <w:t>Israeli psychologist Ariel Merari interviewed captured Palestinian combatants: 15 were failed suicide bombers and 12 were standard operatives</w:t>
      </w:r>
      <w:r w:rsidR="004555DB">
        <w:rPr>
          <w:rFonts w:eastAsia="Calibri"/>
          <w:shd w:val="clear" w:color="auto" w:fill="FFFFFF"/>
          <w:lang w:bidi="he-IL"/>
        </w:rPr>
        <w:t xml:space="preserve">.  </w:t>
      </w:r>
      <w:r>
        <w:rPr>
          <w:rFonts w:eastAsia="Calibri"/>
          <w:shd w:val="clear" w:color="auto" w:fill="FFFFFF"/>
          <w:lang w:bidi="he-IL"/>
        </w:rPr>
        <w:t xml:space="preserve">Merari found that 53% of the would-be bombers were </w:t>
      </w:r>
      <w:r w:rsidR="00B860AA">
        <w:rPr>
          <w:rFonts w:eastAsia="Calibri"/>
          <w:shd w:val="clear" w:color="auto" w:fill="FFFFFF"/>
          <w:lang w:bidi="he-IL"/>
        </w:rPr>
        <w:t>depressed and 40% were suicidal.  Only 8% of the operatives exhibited</w:t>
      </w:r>
      <w:r>
        <w:rPr>
          <w:rFonts w:eastAsia="Calibri"/>
          <w:shd w:val="clear" w:color="auto" w:fill="FFFFFF"/>
          <w:lang w:bidi="he-IL"/>
        </w:rPr>
        <w:t xml:space="preserve"> </w:t>
      </w:r>
      <w:r w:rsidR="00B860AA">
        <w:rPr>
          <w:rFonts w:eastAsia="Calibri"/>
          <w:shd w:val="clear" w:color="auto" w:fill="FFFFFF"/>
          <w:lang w:bidi="he-IL"/>
        </w:rPr>
        <w:t xml:space="preserve">symptoms of </w:t>
      </w:r>
      <w:r>
        <w:rPr>
          <w:rFonts w:eastAsia="Calibri"/>
          <w:shd w:val="clear" w:color="auto" w:fill="FFFFFF"/>
          <w:lang w:bidi="he-IL"/>
        </w:rPr>
        <w:t>depression and no</w:t>
      </w:r>
      <w:r w:rsidR="00B860AA">
        <w:rPr>
          <w:rFonts w:eastAsia="Calibri"/>
          <w:shd w:val="clear" w:color="auto" w:fill="FFFFFF"/>
          <w:lang w:bidi="he-IL"/>
        </w:rPr>
        <w:t>ne exhibited</w:t>
      </w:r>
      <w:r>
        <w:rPr>
          <w:rFonts w:eastAsia="Calibri"/>
          <w:shd w:val="clear" w:color="auto" w:fill="FFFFFF"/>
          <w:lang w:bidi="he-IL"/>
        </w:rPr>
        <w:t xml:space="preserve"> suicidal tendencies.</w:t>
      </w:r>
      <w:r w:rsidRPr="00F5770C">
        <w:rPr>
          <w:vertAlign w:val="superscript"/>
        </w:rPr>
        <w:footnoteReference w:id="90"/>
      </w:r>
      <w:r w:rsidR="004555DB">
        <w:rPr>
          <w:rFonts w:eastAsia="Calibri"/>
          <w:shd w:val="clear" w:color="auto" w:fill="FFFFFF"/>
          <w:lang w:bidi="he-IL"/>
        </w:rPr>
        <w:t xml:space="preserve"> </w:t>
      </w:r>
      <w:r w:rsidR="00704131">
        <w:rPr>
          <w:rFonts w:eastAsia="Calibri"/>
          <w:shd w:val="clear" w:color="auto" w:fill="FFFFFF"/>
          <w:lang w:bidi="he-IL"/>
        </w:rPr>
        <w:t xml:space="preserve"> This gives credence</w:t>
      </w:r>
      <w:r>
        <w:rPr>
          <w:rFonts w:eastAsia="Calibri"/>
          <w:shd w:val="clear" w:color="auto" w:fill="FFFFFF"/>
          <w:lang w:bidi="he-IL"/>
        </w:rPr>
        <w:t xml:space="preserve"> to Lankford’s theory that many suicide bombers</w:t>
      </w:r>
      <w:r w:rsidR="00704131">
        <w:rPr>
          <w:rFonts w:eastAsia="Calibri"/>
          <w:shd w:val="clear" w:color="auto" w:fill="FFFFFF"/>
          <w:lang w:bidi="he-IL"/>
        </w:rPr>
        <w:t xml:space="preserve"> are sublimating major depressive</w:t>
      </w:r>
      <w:r>
        <w:rPr>
          <w:rFonts w:eastAsia="Calibri"/>
          <w:shd w:val="clear" w:color="auto" w:fill="FFFFFF"/>
          <w:lang w:bidi="he-IL"/>
        </w:rPr>
        <w:t xml:space="preserve"> disorder and suicide-trajectory into the martyrdom narrative</w:t>
      </w:r>
      <w:r w:rsidR="004555DB">
        <w:rPr>
          <w:rFonts w:eastAsia="Calibri"/>
          <w:shd w:val="clear" w:color="auto" w:fill="FFFFFF"/>
          <w:lang w:bidi="he-IL"/>
        </w:rPr>
        <w:t xml:space="preserve">.  </w:t>
      </w:r>
      <w:r w:rsidR="00F87649">
        <w:rPr>
          <w:rFonts w:eastAsia="Calibri"/>
          <w:shd w:val="clear" w:color="auto" w:fill="FFFFFF"/>
          <w:lang w:bidi="he-IL"/>
        </w:rPr>
        <w:t>However, even if we take Merari’s data on captured Hamas bombers and project it onto ISIS’s successful bombers, 60% of failed bombers did not exhibit suicidal tendencies.</w:t>
      </w:r>
    </w:p>
    <w:p w:rsidR="007E65CF" w:rsidRDefault="007E65CF" w:rsidP="00B860AA">
      <w:pPr>
        <w:ind w:firstLine="720"/>
        <w:contextualSpacing/>
      </w:pPr>
      <w:r>
        <w:t xml:space="preserve">The online dissemination of Qutbist propaganda exposed many individuals to an ideology </w:t>
      </w:r>
      <w:r w:rsidR="00704131">
        <w:t xml:space="preserve">that previous generations would not have been </w:t>
      </w:r>
      <w:r>
        <w:t>awar</w:t>
      </w:r>
      <w:r w:rsidR="00704131">
        <w:t>e</w:t>
      </w:r>
      <w:r w:rsidR="004555DB">
        <w:t xml:space="preserve">.  </w:t>
      </w:r>
      <w:r w:rsidR="00B860AA" w:rsidRPr="003776BC">
        <w:t>By 2008, Al Qaeda and its likeminded allies operated 5,600 websites.</w:t>
      </w:r>
      <w:r w:rsidR="00B860AA" w:rsidRPr="003776BC">
        <w:rPr>
          <w:vertAlign w:val="superscript"/>
        </w:rPr>
        <w:footnoteReference w:id="91"/>
      </w:r>
      <w:r w:rsidR="00B860AA">
        <w:t xml:space="preserve">  </w:t>
      </w:r>
      <w:r w:rsidR="00B860AA" w:rsidRPr="003776BC">
        <w:t>Army leaders in Afghanistan testif</w:t>
      </w:r>
      <w:r w:rsidR="00B860AA">
        <w:t>ied</w:t>
      </w:r>
      <w:r w:rsidR="00B860AA" w:rsidRPr="003776BC">
        <w:t xml:space="preserve"> to capturing young insurgents who confess</w:t>
      </w:r>
      <w:r w:rsidR="00B860AA">
        <w:t>ed</w:t>
      </w:r>
      <w:r w:rsidR="00B860AA" w:rsidRPr="003776BC">
        <w:t xml:space="preserve"> to being indoctrinated online.</w:t>
      </w:r>
      <w:r w:rsidR="00B860AA" w:rsidRPr="003776BC">
        <w:rPr>
          <w:vertAlign w:val="superscript"/>
        </w:rPr>
        <w:footnoteReference w:id="92"/>
      </w:r>
      <w:r w:rsidR="00B860AA">
        <w:t xml:space="preserve">  </w:t>
      </w:r>
      <w:r w:rsidRPr="003776BC">
        <w:t>Prior to September 11</w:t>
      </w:r>
      <w:r w:rsidRPr="003776BC">
        <w:rPr>
          <w:vertAlign w:val="superscript"/>
        </w:rPr>
        <w:t>th</w:t>
      </w:r>
      <w:r w:rsidRPr="003776BC">
        <w:t xml:space="preserve">, the primary method of recruitment and radicalization for al-Qaeda </w:t>
      </w:r>
      <w:r w:rsidRPr="003776BC">
        <w:lastRenderedPageBreak/>
        <w:t>members was through face to face interaction</w:t>
      </w:r>
      <w:r w:rsidR="004555DB">
        <w:t xml:space="preserve">.  </w:t>
      </w:r>
      <w:r w:rsidRPr="003776BC">
        <w:t>Since the Iraq war, the radicalization process occurs online.</w:t>
      </w:r>
      <w:r w:rsidRPr="003776BC">
        <w:rPr>
          <w:vertAlign w:val="superscript"/>
        </w:rPr>
        <w:footnoteReference w:id="93"/>
      </w:r>
      <w:r w:rsidR="004555DB">
        <w:t xml:space="preserve"> </w:t>
      </w:r>
      <w:r w:rsidR="00704131">
        <w:t xml:space="preserve"> </w:t>
      </w:r>
      <w:r w:rsidRPr="003776BC">
        <w:t xml:space="preserve">Radicalization has become </w:t>
      </w:r>
      <w:r>
        <w:t>increasingly homegrown in the West</w:t>
      </w:r>
      <w:r w:rsidR="00B860AA">
        <w:t xml:space="preserve">, with no formal </w:t>
      </w:r>
      <w:r w:rsidR="009C3DDD">
        <w:t>operational connection with A</w:t>
      </w:r>
      <w:r w:rsidR="00B860AA">
        <w:t>l Qaeda</w:t>
      </w:r>
      <w:r w:rsidRPr="003776BC">
        <w:t>.</w:t>
      </w:r>
      <w:r w:rsidRPr="003776BC">
        <w:rPr>
          <w:vertAlign w:val="superscript"/>
        </w:rPr>
        <w:footnoteReference w:id="94"/>
      </w:r>
      <w:r w:rsidR="004555DB">
        <w:t xml:space="preserve"> </w:t>
      </w:r>
      <w:r w:rsidR="00704131">
        <w:t xml:space="preserve"> </w:t>
      </w:r>
      <w:r w:rsidRPr="003776BC">
        <w:t xml:space="preserve">Recruitment is self-initiated, and the </w:t>
      </w:r>
      <w:r>
        <w:t>Qutbist</w:t>
      </w:r>
      <w:r w:rsidRPr="003776BC">
        <w:t xml:space="preserve"> narrative grabs disaffected individuals looking for </w:t>
      </w:r>
      <w:r>
        <w:t>a just cause to connect</w:t>
      </w:r>
      <w:r w:rsidR="004555DB">
        <w:t xml:space="preserve">.  </w:t>
      </w:r>
      <w:r w:rsidRPr="003776BC">
        <w:t>Many recruit</w:t>
      </w:r>
      <w:r>
        <w:t xml:space="preserve">s radicalized through online propaganda approached Al Qaeda, Hamas, and ISIS </w:t>
      </w:r>
      <w:r w:rsidRPr="003776BC">
        <w:t>asking to be sent as human bombs.</w:t>
      </w:r>
      <w:r w:rsidRPr="003776BC">
        <w:rPr>
          <w:vertAlign w:val="superscript"/>
        </w:rPr>
        <w:footnoteReference w:id="95"/>
      </w:r>
      <w:r w:rsidR="004555DB">
        <w:t xml:space="preserve"> </w:t>
      </w:r>
      <w:r w:rsidR="00704131">
        <w:t xml:space="preserve"> </w:t>
      </w:r>
    </w:p>
    <w:p w:rsidR="007E65CF" w:rsidRPr="003776BC" w:rsidRDefault="007E65CF" w:rsidP="007E65CF">
      <w:pPr>
        <w:ind w:firstLine="720"/>
        <w:contextualSpacing/>
      </w:pPr>
      <w:r>
        <w:t>Online radicalization does not make the radicalized individuals any less committed or passionate about the ideology</w:t>
      </w:r>
      <w:r w:rsidR="004555DB">
        <w:t xml:space="preserve">.  </w:t>
      </w:r>
      <w:r>
        <w:t>The</w:t>
      </w:r>
      <w:r w:rsidRPr="003776BC">
        <w:t xml:space="preserve"> intensity of </w:t>
      </w:r>
      <w:r>
        <w:t>emotions formed</w:t>
      </w:r>
      <w:r w:rsidRPr="003776BC">
        <w:t xml:space="preserve"> through online communication </w:t>
      </w:r>
      <w:r>
        <w:t>compares to emotions developed in person</w:t>
      </w:r>
      <w:r w:rsidRPr="003776BC">
        <w:t>.</w:t>
      </w:r>
      <w:r w:rsidRPr="003776BC">
        <w:rPr>
          <w:vertAlign w:val="superscript"/>
        </w:rPr>
        <w:footnoteReference w:id="96"/>
      </w:r>
      <w:r w:rsidR="004555DB">
        <w:t xml:space="preserve"> </w:t>
      </w:r>
      <w:r w:rsidR="00704131">
        <w:t xml:space="preserve"> </w:t>
      </w:r>
      <w:r>
        <w:t xml:space="preserve">ISIS members in the field </w:t>
      </w:r>
      <w:r w:rsidR="00704131">
        <w:t xml:space="preserve">Skype with </w:t>
      </w:r>
      <w:r>
        <w:t xml:space="preserve">Muslims in Europe and </w:t>
      </w:r>
      <w:r w:rsidR="00704131">
        <w:t xml:space="preserve">the </w:t>
      </w:r>
      <w:r>
        <w:t xml:space="preserve">US, selling them on what belonging to the </w:t>
      </w:r>
      <w:r w:rsidR="00704131">
        <w:t xml:space="preserve">Islamic </w:t>
      </w:r>
      <w:r>
        <w:t xml:space="preserve">State </w:t>
      </w:r>
      <w:r>
        <w:rPr>
          <w:i/>
        </w:rPr>
        <w:t xml:space="preserve">means </w:t>
      </w:r>
      <w:r>
        <w:t>to the individual</w:t>
      </w:r>
      <w:r w:rsidR="004555DB">
        <w:t xml:space="preserve">.  </w:t>
      </w:r>
      <w:r w:rsidRPr="003776BC">
        <w:t xml:space="preserve">Once they enter the Islamic State, recruits </w:t>
      </w:r>
      <w:r>
        <w:t>have learned the depth</w:t>
      </w:r>
      <w:r w:rsidR="00F01FCE">
        <w:t>s of their capabilities to brutalize</w:t>
      </w:r>
      <w:r>
        <w:t xml:space="preserve"> human beings, whether it is </w:t>
      </w:r>
      <w:r w:rsidR="00704131">
        <w:t>decapitating enemies or</w:t>
      </w:r>
      <w:r>
        <w:t xml:space="preserve"> </w:t>
      </w:r>
      <w:r w:rsidRPr="003776BC">
        <w:t>abusing sex slaves</w:t>
      </w:r>
      <w:r w:rsidR="00704131">
        <w:t xml:space="preserve">—all </w:t>
      </w:r>
      <w:r>
        <w:t>the while</w:t>
      </w:r>
      <w:r w:rsidRPr="003776BC">
        <w:t xml:space="preserve"> covering the television screen when women appear</w:t>
      </w:r>
      <w:r w:rsidR="00F01FCE">
        <w:t xml:space="preserve"> because </w:t>
      </w:r>
      <w:r w:rsidR="00594848">
        <w:t xml:space="preserve">viewing them uncovered </w:t>
      </w:r>
      <w:r w:rsidR="00F01FCE">
        <w:t>would be inappropriate</w:t>
      </w:r>
      <w:r w:rsidRPr="003776BC">
        <w:t>.</w:t>
      </w:r>
      <w:r w:rsidRPr="003776BC">
        <w:rPr>
          <w:vertAlign w:val="superscript"/>
        </w:rPr>
        <w:footnoteReference w:id="97"/>
      </w:r>
      <w:r w:rsidR="004555DB">
        <w:t xml:space="preserve"> </w:t>
      </w:r>
    </w:p>
    <w:p w:rsidR="007E65CF" w:rsidRDefault="00704131" w:rsidP="006A721C">
      <w:pPr>
        <w:ind w:firstLine="720"/>
        <w:contextualSpacing/>
      </w:pPr>
      <w:r>
        <w:t xml:space="preserve">The struggle for educated and relatively prosperous Muslims in the West to </w:t>
      </w:r>
      <w:r w:rsidR="007E65CF">
        <w:t>find satisfaction in British, German, French, or American national identity</w:t>
      </w:r>
      <w:r>
        <w:t xml:space="preserve"> is one of the drivers of radicalization.</w:t>
      </w:r>
      <w:r w:rsidR="006A721C" w:rsidRPr="003776BC">
        <w:rPr>
          <w:vertAlign w:val="superscript"/>
        </w:rPr>
        <w:footnoteReference w:id="98"/>
      </w:r>
      <w:r w:rsidR="00F22A4C">
        <w:t xml:space="preserve">  </w:t>
      </w:r>
      <w:r w:rsidR="007E65CF">
        <w:t>ISIS</w:t>
      </w:r>
      <w:r w:rsidR="007E65CF" w:rsidRPr="003776BC">
        <w:t xml:space="preserve"> propaganda caters to this alienation, and markets the romantic idea of the Caliphate as a place fo</w:t>
      </w:r>
      <w:r w:rsidR="007E65CF">
        <w:t>r Muslims to b</w:t>
      </w:r>
      <w:r>
        <w:t xml:space="preserve">elong after exposure to the </w:t>
      </w:r>
      <w:r>
        <w:lastRenderedPageBreak/>
        <w:t>hollow</w:t>
      </w:r>
      <w:r w:rsidR="007E65CF">
        <w:t xml:space="preserve"> </w:t>
      </w:r>
      <w:r w:rsidR="007E65CF" w:rsidRPr="003776BC">
        <w:t>West.</w:t>
      </w:r>
      <w:r w:rsidR="007E65CF" w:rsidRPr="003776BC">
        <w:rPr>
          <w:vertAlign w:val="superscript"/>
        </w:rPr>
        <w:footnoteReference w:id="99"/>
      </w:r>
      <w:r w:rsidR="004555DB">
        <w:t xml:space="preserve"> </w:t>
      </w:r>
      <w:r>
        <w:t xml:space="preserve"> </w:t>
      </w:r>
      <w:r w:rsidR="006A721C">
        <w:t>Social networking forms a bond between the alienated and</w:t>
      </w:r>
      <w:r w:rsidR="007E65CF">
        <w:t xml:space="preserve"> those already radicalized</w:t>
      </w:r>
      <w:r w:rsidR="007E65CF" w:rsidRPr="003776BC">
        <w:t>, creatin</w:t>
      </w:r>
      <w:r w:rsidR="007E65CF">
        <w:t xml:space="preserve">g a connection to the new </w:t>
      </w:r>
      <w:r w:rsidR="007E65CF" w:rsidRPr="003776BC">
        <w:t>in-gro</w:t>
      </w:r>
      <w:r w:rsidR="007E65CF">
        <w:t xml:space="preserve">up identity separate from the family’s </w:t>
      </w:r>
      <w:r w:rsidR="007E65CF" w:rsidRPr="003776BC">
        <w:t>nationality</w:t>
      </w:r>
      <w:r w:rsidR="004555DB">
        <w:t xml:space="preserve">.  </w:t>
      </w:r>
      <w:r w:rsidR="007E65CF">
        <w:t>T</w:t>
      </w:r>
      <w:r w:rsidR="007E65CF" w:rsidRPr="003776BC">
        <w:t xml:space="preserve">he global connection among </w:t>
      </w:r>
      <w:r w:rsidR="007E65CF">
        <w:t xml:space="preserve">alienated </w:t>
      </w:r>
      <w:r>
        <w:t>demonstrate that the ideal I</w:t>
      </w:r>
      <w:r w:rsidR="007E65CF" w:rsidRPr="003776BC">
        <w:t xml:space="preserve">magined </w:t>
      </w:r>
      <w:r w:rsidR="009D0132" w:rsidRPr="009D0132">
        <w:t>Ummah</w:t>
      </w:r>
      <w:r w:rsidR="007E65CF" w:rsidRPr="003776BC">
        <w:t xml:space="preserve"> exists, and </w:t>
      </w:r>
      <w:r>
        <w:t>deserves</w:t>
      </w:r>
      <w:r w:rsidR="007E65CF">
        <w:t xml:space="preserve"> its own government</w:t>
      </w:r>
      <w:r w:rsidR="007E65CF" w:rsidRPr="003776BC">
        <w:t>.</w:t>
      </w:r>
      <w:r w:rsidR="007E65CF" w:rsidRPr="003776BC">
        <w:rPr>
          <w:vertAlign w:val="superscript"/>
        </w:rPr>
        <w:footnoteReference w:id="100"/>
      </w:r>
      <w:r w:rsidR="004555DB">
        <w:t xml:space="preserve"> </w:t>
      </w:r>
    </w:p>
    <w:p w:rsidR="007E65CF" w:rsidRDefault="007E65CF" w:rsidP="006A721C">
      <w:pPr>
        <w:ind w:firstLine="720"/>
        <w:rPr>
          <w:rFonts w:eastAsia="Calibri"/>
          <w:lang w:bidi="he-IL"/>
        </w:rPr>
      </w:pPr>
      <w:r w:rsidRPr="003776BC">
        <w:rPr>
          <w:rFonts w:eastAsia="Calibri"/>
          <w:lang w:bidi="he-IL"/>
        </w:rPr>
        <w:t xml:space="preserve">In </w:t>
      </w:r>
      <w:r w:rsidRPr="003776BC">
        <w:rPr>
          <w:rFonts w:eastAsia="Calibri"/>
          <w:i/>
          <w:lang w:bidi="he-IL"/>
        </w:rPr>
        <w:t>Globalized Islam:</w:t>
      </w:r>
      <w:r w:rsidR="004555DB">
        <w:rPr>
          <w:rFonts w:eastAsia="Calibri"/>
          <w:i/>
          <w:lang w:bidi="he-IL"/>
        </w:rPr>
        <w:t xml:space="preserve"> </w:t>
      </w:r>
      <w:r w:rsidRPr="003776BC">
        <w:rPr>
          <w:rFonts w:eastAsia="Calibri"/>
          <w:i/>
          <w:lang w:bidi="he-IL"/>
        </w:rPr>
        <w:t xml:space="preserve">The Search for a New </w:t>
      </w:r>
      <w:r w:rsidR="009D0132" w:rsidRPr="009D0132">
        <w:rPr>
          <w:rFonts w:eastAsia="Calibri"/>
          <w:i/>
          <w:lang w:bidi="he-IL"/>
        </w:rPr>
        <w:t>Ummah</w:t>
      </w:r>
      <w:r w:rsidRPr="003776BC">
        <w:rPr>
          <w:rFonts w:eastAsia="Calibri"/>
          <w:i/>
          <w:lang w:bidi="he-IL"/>
        </w:rPr>
        <w:t xml:space="preserve">, </w:t>
      </w:r>
      <w:r w:rsidRPr="003776BC">
        <w:rPr>
          <w:rFonts w:eastAsia="Calibri"/>
          <w:lang w:bidi="he-IL"/>
        </w:rPr>
        <w:t>Oliver Roy describes what he calls the deterritorialization of Islam, which in turn, has created a crisis of identity for many Muslims in the West</w:t>
      </w:r>
      <w:r w:rsidR="004555DB">
        <w:rPr>
          <w:rFonts w:eastAsia="Calibri"/>
          <w:lang w:bidi="he-IL"/>
        </w:rPr>
        <w:t xml:space="preserve">.  </w:t>
      </w:r>
      <w:r w:rsidRPr="003776BC">
        <w:rPr>
          <w:rFonts w:eastAsia="Calibri"/>
          <w:lang w:bidi="he-IL"/>
        </w:rPr>
        <w:t>Two historic factors have influenced this crisis of identity—the first is the collapse of the Caliphate, which exis</w:t>
      </w:r>
      <w:r>
        <w:rPr>
          <w:rFonts w:eastAsia="Calibri"/>
          <w:lang w:bidi="he-IL"/>
        </w:rPr>
        <w:t xml:space="preserve">ted as an imperfect </w:t>
      </w:r>
      <w:r w:rsidRPr="003776BC">
        <w:rPr>
          <w:rFonts w:eastAsia="Calibri"/>
          <w:lang w:bidi="he-IL"/>
        </w:rPr>
        <w:t xml:space="preserve">but nonetheless </w:t>
      </w:r>
      <w:r>
        <w:rPr>
          <w:rFonts w:eastAsia="Calibri"/>
          <w:lang w:bidi="he-IL"/>
        </w:rPr>
        <w:t xml:space="preserve">historic </w:t>
      </w:r>
      <w:r w:rsidRPr="003776BC">
        <w:rPr>
          <w:rFonts w:eastAsia="Calibri"/>
          <w:lang w:bidi="he-IL"/>
        </w:rPr>
        <w:t>connection to the political establishment of Muhammad</w:t>
      </w:r>
      <w:r w:rsidR="004555DB">
        <w:rPr>
          <w:rFonts w:eastAsia="Calibri"/>
          <w:lang w:bidi="he-IL"/>
        </w:rPr>
        <w:t xml:space="preserve">.  </w:t>
      </w:r>
      <w:r w:rsidRPr="003776BC">
        <w:rPr>
          <w:rFonts w:eastAsia="Calibri"/>
          <w:lang w:bidi="he-IL"/>
        </w:rPr>
        <w:t>The second is the diaspora of Muslims to non-Islamic Western countries in order to pursue economic opportunities that do not exist in the Arab-Islamic world.</w:t>
      </w:r>
      <w:r w:rsidRPr="003776BC">
        <w:rPr>
          <w:rFonts w:eastAsia="Calibri"/>
          <w:vertAlign w:val="superscript"/>
          <w:lang w:bidi="he-IL"/>
        </w:rPr>
        <w:footnoteReference w:id="101"/>
      </w:r>
      <w:r w:rsidR="004555DB">
        <w:rPr>
          <w:rFonts w:eastAsia="Calibri"/>
          <w:lang w:bidi="he-IL"/>
        </w:rPr>
        <w:t xml:space="preserve"> </w:t>
      </w:r>
      <w:r w:rsidR="00704131">
        <w:rPr>
          <w:rFonts w:eastAsia="Calibri"/>
          <w:lang w:bidi="he-IL"/>
        </w:rPr>
        <w:t xml:space="preserve"> </w:t>
      </w:r>
      <w:r w:rsidRPr="003776BC">
        <w:rPr>
          <w:rFonts w:eastAsia="Calibri"/>
          <w:lang w:bidi="he-IL"/>
        </w:rPr>
        <w:t>Approximately 1/3 of Muslims live as a minority in a post-industrial society that has rendered family identity and extended neighborhood values secondary to individual achievement.</w:t>
      </w:r>
      <w:r w:rsidR="004555DB">
        <w:rPr>
          <w:rFonts w:eastAsia="Calibri"/>
          <w:lang w:bidi="he-IL"/>
        </w:rPr>
        <w:t xml:space="preserve"> </w:t>
      </w:r>
      <w:r w:rsidR="00704131">
        <w:rPr>
          <w:rFonts w:eastAsia="Calibri"/>
          <w:lang w:bidi="he-IL"/>
        </w:rPr>
        <w:t xml:space="preserve"> </w:t>
      </w:r>
      <w:r w:rsidR="00594848">
        <w:rPr>
          <w:rFonts w:eastAsia="Calibri"/>
          <w:lang w:bidi="he-IL"/>
        </w:rPr>
        <w:t>T</w:t>
      </w:r>
      <w:r w:rsidRPr="003776BC">
        <w:rPr>
          <w:rFonts w:eastAsia="Calibri"/>
          <w:lang w:bidi="he-IL"/>
        </w:rPr>
        <w:t>he West’s “exaggerated individualism” only reinforces a sense of isolation for many Muslims familiar with a communal way of life.</w:t>
      </w:r>
      <w:r w:rsidRPr="003776BC">
        <w:rPr>
          <w:rFonts w:eastAsia="Calibri"/>
          <w:vertAlign w:val="superscript"/>
          <w:lang w:bidi="he-IL"/>
        </w:rPr>
        <w:footnoteReference w:id="102"/>
      </w:r>
      <w:r w:rsidR="004555DB">
        <w:rPr>
          <w:rFonts w:eastAsia="Calibri"/>
          <w:lang w:bidi="he-IL"/>
        </w:rPr>
        <w:t xml:space="preserve"> </w:t>
      </w:r>
    </w:p>
    <w:p w:rsidR="007E65CF" w:rsidRDefault="007E65CF" w:rsidP="000645BF">
      <w:pPr>
        <w:ind w:firstLine="720"/>
        <w:rPr>
          <w:rFonts w:eastAsia="Calibri"/>
        </w:rPr>
      </w:pPr>
      <w:r w:rsidRPr="003776BC">
        <w:rPr>
          <w:rFonts w:eastAsia="Calibri"/>
          <w:lang w:bidi="he-IL"/>
        </w:rPr>
        <w:t>The marginalization empowers the de</w:t>
      </w:r>
      <w:r>
        <w:rPr>
          <w:rFonts w:eastAsia="Calibri"/>
          <w:lang w:bidi="he-IL"/>
        </w:rPr>
        <w:t xml:space="preserve">sire to </w:t>
      </w:r>
      <w:r w:rsidR="006A721C">
        <w:rPr>
          <w:rFonts w:eastAsia="Calibri"/>
          <w:lang w:bidi="he-IL"/>
        </w:rPr>
        <w:t>envision</w:t>
      </w:r>
      <w:r>
        <w:rPr>
          <w:rFonts w:eastAsia="Calibri"/>
          <w:lang w:bidi="he-IL"/>
        </w:rPr>
        <w:t xml:space="preserve"> a global </w:t>
      </w:r>
      <w:r w:rsidR="009D0132" w:rsidRPr="009D0132">
        <w:rPr>
          <w:rFonts w:eastAsia="Calibri"/>
          <w:lang w:bidi="he-IL"/>
        </w:rPr>
        <w:t>Ummah</w:t>
      </w:r>
      <w:r>
        <w:rPr>
          <w:rFonts w:eastAsia="Calibri"/>
          <w:i/>
          <w:lang w:bidi="he-IL"/>
        </w:rPr>
        <w:t xml:space="preserve"> </w:t>
      </w:r>
      <w:r w:rsidRPr="003776BC">
        <w:rPr>
          <w:rFonts w:eastAsia="Calibri"/>
          <w:lang w:bidi="he-IL"/>
        </w:rPr>
        <w:t>that transcends the local Islam</w:t>
      </w:r>
      <w:r>
        <w:rPr>
          <w:rFonts w:eastAsia="Calibri"/>
          <w:lang w:bidi="he-IL"/>
        </w:rPr>
        <w:t xml:space="preserve"> that has lost its </w:t>
      </w:r>
      <w:r w:rsidRPr="003776BC">
        <w:rPr>
          <w:rFonts w:eastAsia="Calibri"/>
          <w:lang w:bidi="he-IL"/>
        </w:rPr>
        <w:t xml:space="preserve">currency as an acceptable social identity in </w:t>
      </w:r>
      <w:r>
        <w:rPr>
          <w:rFonts w:eastAsia="Calibri"/>
          <w:lang w:bidi="he-IL"/>
        </w:rPr>
        <w:t xml:space="preserve">the </w:t>
      </w:r>
      <w:r w:rsidRPr="003776BC">
        <w:rPr>
          <w:rFonts w:eastAsia="Calibri"/>
          <w:lang w:bidi="he-IL"/>
        </w:rPr>
        <w:t>globalization</w:t>
      </w:r>
      <w:r>
        <w:rPr>
          <w:rFonts w:eastAsia="Calibri"/>
          <w:lang w:bidi="he-IL"/>
        </w:rPr>
        <w:t xml:space="preserve"> era</w:t>
      </w:r>
      <w:r w:rsidR="00704131">
        <w:rPr>
          <w:rFonts w:eastAsia="Calibri"/>
          <w:lang w:bidi="he-IL"/>
        </w:rPr>
        <w:t>.</w:t>
      </w:r>
      <w:r w:rsidR="004555DB">
        <w:rPr>
          <w:rFonts w:eastAsia="Calibri"/>
          <w:lang w:bidi="he-IL"/>
        </w:rPr>
        <w:t xml:space="preserve"> </w:t>
      </w:r>
      <w:r w:rsidR="00704131">
        <w:rPr>
          <w:rFonts w:eastAsia="Calibri"/>
          <w:lang w:bidi="he-IL"/>
        </w:rPr>
        <w:t xml:space="preserve"> </w:t>
      </w:r>
      <w:r w:rsidRPr="003776BC">
        <w:rPr>
          <w:rFonts w:eastAsia="Calibri"/>
          <w:lang w:bidi="he-IL"/>
        </w:rPr>
        <w:t>For second and third gene</w:t>
      </w:r>
      <w:r>
        <w:rPr>
          <w:rFonts w:eastAsia="Calibri"/>
          <w:lang w:bidi="he-IL"/>
        </w:rPr>
        <w:t>ration Muslims, the concept of “home country”</w:t>
      </w:r>
      <w:r w:rsidRPr="003776BC">
        <w:rPr>
          <w:rFonts w:eastAsia="Calibri"/>
          <w:lang w:bidi="he-IL"/>
        </w:rPr>
        <w:t xml:space="preserve"> makes no sense; they are no longer aligned with the</w:t>
      </w:r>
      <w:r>
        <w:rPr>
          <w:rFonts w:eastAsia="Calibri"/>
          <w:lang w:bidi="he-IL"/>
        </w:rPr>
        <w:t>ir family’s society of origin</w:t>
      </w:r>
      <w:r w:rsidR="004555DB">
        <w:rPr>
          <w:rFonts w:eastAsia="Calibri"/>
          <w:lang w:bidi="he-IL"/>
        </w:rPr>
        <w:t xml:space="preserve">.  </w:t>
      </w:r>
      <w:r w:rsidRPr="003776BC">
        <w:rPr>
          <w:rFonts w:eastAsia="Calibri"/>
          <w:lang w:bidi="he-IL"/>
        </w:rPr>
        <w:t xml:space="preserve">It is more satisfying, as a social </w:t>
      </w:r>
      <w:r>
        <w:rPr>
          <w:rFonts w:eastAsia="Calibri"/>
          <w:lang w:bidi="he-IL"/>
        </w:rPr>
        <w:t xml:space="preserve">identity, to join an imaginary </w:t>
      </w:r>
      <w:r w:rsidR="009D0132" w:rsidRPr="009D0132">
        <w:rPr>
          <w:rFonts w:eastAsia="Calibri"/>
          <w:lang w:bidi="he-IL"/>
        </w:rPr>
        <w:t>Ummah</w:t>
      </w:r>
      <w:r w:rsidR="000645BF">
        <w:rPr>
          <w:rFonts w:eastAsia="Calibri"/>
          <w:lang w:bidi="he-IL"/>
        </w:rPr>
        <w:t xml:space="preserve"> </w:t>
      </w:r>
      <w:r w:rsidRPr="003776BC">
        <w:rPr>
          <w:rFonts w:eastAsia="Calibri"/>
          <w:lang w:bidi="he-IL"/>
        </w:rPr>
        <w:t xml:space="preserve">than a </w:t>
      </w:r>
      <w:r w:rsidRPr="003776BC">
        <w:rPr>
          <w:rFonts w:eastAsia="Calibri"/>
          <w:lang w:bidi="he-IL"/>
        </w:rPr>
        <w:lastRenderedPageBreak/>
        <w:t>real country.</w:t>
      </w:r>
      <w:r w:rsidRPr="003776BC">
        <w:rPr>
          <w:rFonts w:eastAsia="Calibri"/>
          <w:vertAlign w:val="superscript"/>
          <w:lang w:bidi="he-IL"/>
        </w:rPr>
        <w:footnoteReference w:id="103"/>
      </w:r>
      <w:r w:rsidR="004555DB">
        <w:rPr>
          <w:rFonts w:eastAsia="Calibri"/>
          <w:lang w:bidi="he-IL"/>
        </w:rPr>
        <w:t xml:space="preserve"> </w:t>
      </w:r>
      <w:r w:rsidR="00704131">
        <w:rPr>
          <w:rFonts w:eastAsia="Calibri"/>
          <w:lang w:bidi="he-IL"/>
        </w:rPr>
        <w:t xml:space="preserve"> </w:t>
      </w:r>
      <w:r w:rsidR="006A721C">
        <w:rPr>
          <w:rFonts w:eastAsia="Calibri"/>
          <w:lang w:bidi="he-IL"/>
        </w:rPr>
        <w:t xml:space="preserve">The </w:t>
      </w:r>
      <w:r w:rsidR="000645BF">
        <w:rPr>
          <w:rFonts w:eastAsia="Calibri"/>
          <w:lang w:bidi="he-IL"/>
        </w:rPr>
        <w:t>i</w:t>
      </w:r>
      <w:r w:rsidR="006A721C">
        <w:rPr>
          <w:rFonts w:eastAsia="Calibri"/>
          <w:lang w:bidi="he-IL"/>
        </w:rPr>
        <w:t xml:space="preserve">magined Ummah </w:t>
      </w:r>
      <w:r>
        <w:rPr>
          <w:rFonts w:eastAsia="Calibri"/>
          <w:lang w:bidi="he-IL"/>
        </w:rPr>
        <w:t>increa</w:t>
      </w:r>
      <w:r w:rsidRPr="003776BC">
        <w:rPr>
          <w:rFonts w:eastAsia="Calibri"/>
          <w:lang w:bidi="he-IL"/>
        </w:rPr>
        <w:t>s</w:t>
      </w:r>
      <w:r>
        <w:rPr>
          <w:rFonts w:eastAsia="Calibri"/>
          <w:lang w:bidi="he-IL"/>
        </w:rPr>
        <w:t>e</w:t>
      </w:r>
      <w:r w:rsidRPr="003776BC">
        <w:rPr>
          <w:rFonts w:eastAsia="Calibri"/>
          <w:lang w:bidi="he-IL"/>
        </w:rPr>
        <w:t xml:space="preserve">s in relevancy, mainly so disaffected </w:t>
      </w:r>
      <w:r>
        <w:rPr>
          <w:rFonts w:eastAsia="Calibri"/>
          <w:lang w:bidi="he-IL"/>
        </w:rPr>
        <w:t>individuals</w:t>
      </w:r>
      <w:r w:rsidRPr="003776BC">
        <w:rPr>
          <w:rFonts w:eastAsia="Calibri"/>
          <w:lang w:bidi="he-IL"/>
        </w:rPr>
        <w:t xml:space="preserve"> </w:t>
      </w:r>
      <w:r>
        <w:rPr>
          <w:rFonts w:eastAsia="Calibri"/>
          <w:lang w:bidi="he-IL"/>
        </w:rPr>
        <w:t>can connect to an in-group larger than themselves and their neighbors’ groups, while</w:t>
      </w:r>
      <w:r w:rsidRPr="003776BC">
        <w:rPr>
          <w:rFonts w:eastAsia="Calibri"/>
          <w:lang w:bidi="he-IL"/>
        </w:rPr>
        <w:t xml:space="preserve"> the generational Islam tied to specific jurist schools is less relevant</w:t>
      </w:r>
      <w:r w:rsidR="004555DB">
        <w:rPr>
          <w:rFonts w:eastAsia="Calibri"/>
          <w:lang w:bidi="he-IL"/>
        </w:rPr>
        <w:t xml:space="preserve">.  </w:t>
      </w:r>
      <w:r>
        <w:rPr>
          <w:rFonts w:eastAsia="Calibri"/>
          <w:lang w:bidi="he-IL"/>
        </w:rPr>
        <w:t>The traditional</w:t>
      </w:r>
      <w:r w:rsidRPr="003776BC">
        <w:rPr>
          <w:rFonts w:eastAsia="Calibri"/>
          <w:lang w:bidi="he-IL"/>
        </w:rPr>
        <w:t xml:space="preserve"> means of interpreting </w:t>
      </w:r>
      <w:r>
        <w:rPr>
          <w:rFonts w:eastAsia="Calibri"/>
          <w:lang w:bidi="he-IL"/>
        </w:rPr>
        <w:t>the</w:t>
      </w:r>
      <w:r w:rsidRPr="003776BC">
        <w:rPr>
          <w:rFonts w:eastAsia="Calibri"/>
          <w:lang w:bidi="he-IL"/>
        </w:rPr>
        <w:t xml:space="preserve"> </w:t>
      </w:r>
      <w:r>
        <w:rPr>
          <w:rFonts w:eastAsia="Calibri"/>
          <w:lang w:bidi="he-IL"/>
        </w:rPr>
        <w:t>Qur’an</w:t>
      </w:r>
      <w:r w:rsidRPr="003776BC">
        <w:rPr>
          <w:rFonts w:eastAsia="Calibri"/>
          <w:lang w:bidi="he-IL"/>
        </w:rPr>
        <w:t>, often tie</w:t>
      </w:r>
      <w:r w:rsidR="00704131">
        <w:rPr>
          <w:rFonts w:eastAsia="Calibri"/>
          <w:lang w:bidi="he-IL"/>
        </w:rPr>
        <w:t xml:space="preserve">d to regional jurist approaches for </w:t>
      </w:r>
      <w:r w:rsidRPr="003776BC">
        <w:rPr>
          <w:rFonts w:eastAsia="Calibri"/>
          <w:lang w:bidi="he-IL"/>
        </w:rPr>
        <w:t xml:space="preserve">extracting the </w:t>
      </w:r>
      <w:r>
        <w:rPr>
          <w:rFonts w:eastAsia="Calibri"/>
          <w:lang w:bidi="he-IL"/>
        </w:rPr>
        <w:t>Qur’an</w:t>
      </w:r>
      <w:r w:rsidRPr="003776BC">
        <w:rPr>
          <w:rFonts w:eastAsia="Calibri"/>
          <w:lang w:bidi="he-IL"/>
        </w:rPr>
        <w:t>’s message for modern times, is abandoned in favor of a “fresh” reinterpretation of scripture</w:t>
      </w:r>
      <w:r w:rsidR="004555DB">
        <w:rPr>
          <w:rFonts w:eastAsia="Calibri"/>
          <w:lang w:bidi="he-IL"/>
        </w:rPr>
        <w:t xml:space="preserve">.  </w:t>
      </w:r>
      <w:r w:rsidRPr="003776BC">
        <w:rPr>
          <w:rFonts w:eastAsia="Calibri"/>
          <w:lang w:bidi="he-IL"/>
        </w:rPr>
        <w:t>Islamist</w:t>
      </w:r>
      <w:r>
        <w:rPr>
          <w:rFonts w:eastAsia="Calibri"/>
          <w:lang w:bidi="he-IL"/>
        </w:rPr>
        <w:t>s</w:t>
      </w:r>
      <w:r w:rsidRPr="003776BC">
        <w:rPr>
          <w:rFonts w:eastAsia="Calibri"/>
          <w:lang w:bidi="he-IL"/>
        </w:rPr>
        <w:t xml:space="preserve"> </w:t>
      </w:r>
      <w:r>
        <w:rPr>
          <w:rFonts w:eastAsia="Calibri"/>
          <w:lang w:bidi="he-IL"/>
        </w:rPr>
        <w:t xml:space="preserve">have </w:t>
      </w:r>
      <w:r w:rsidRPr="003776BC">
        <w:rPr>
          <w:rFonts w:eastAsia="Calibri"/>
          <w:lang w:bidi="he-IL"/>
        </w:rPr>
        <w:t xml:space="preserve">had more success among educated youths </w:t>
      </w:r>
      <w:r>
        <w:rPr>
          <w:rFonts w:eastAsia="Calibri"/>
          <w:lang w:bidi="he-IL"/>
        </w:rPr>
        <w:t xml:space="preserve">in the West </w:t>
      </w:r>
      <w:r w:rsidRPr="003776BC">
        <w:rPr>
          <w:rFonts w:eastAsia="Calibri"/>
          <w:lang w:bidi="he-IL"/>
        </w:rPr>
        <w:t xml:space="preserve">with a secular background than </w:t>
      </w:r>
      <w:r>
        <w:rPr>
          <w:rFonts w:eastAsia="Calibri"/>
          <w:lang w:bidi="he-IL"/>
        </w:rPr>
        <w:t xml:space="preserve">those </w:t>
      </w:r>
      <w:r w:rsidR="00704131">
        <w:rPr>
          <w:rFonts w:eastAsia="Calibri"/>
          <w:lang w:bidi="he-IL"/>
        </w:rPr>
        <w:t xml:space="preserve">youths attached to the </w:t>
      </w:r>
      <w:r w:rsidRPr="003776BC">
        <w:rPr>
          <w:rFonts w:eastAsia="Calibri"/>
          <w:lang w:bidi="he-IL"/>
        </w:rPr>
        <w:t xml:space="preserve">traditional </w:t>
      </w:r>
      <w:r>
        <w:rPr>
          <w:rFonts w:eastAsia="Calibri"/>
          <w:lang w:bidi="he-IL"/>
        </w:rPr>
        <w:t>school</w:t>
      </w:r>
      <w:r w:rsidR="00704131">
        <w:rPr>
          <w:rFonts w:eastAsia="Calibri"/>
          <w:lang w:bidi="he-IL"/>
        </w:rPr>
        <w:t xml:space="preserve"> of their parents</w:t>
      </w:r>
      <w:r>
        <w:rPr>
          <w:rFonts w:eastAsia="Calibri"/>
          <w:lang w:bidi="he-IL"/>
        </w:rPr>
        <w:t>.</w:t>
      </w:r>
      <w:r w:rsidRPr="003776BC">
        <w:rPr>
          <w:rFonts w:eastAsia="Calibri"/>
          <w:vertAlign w:val="superscript"/>
          <w:lang w:bidi="he-IL"/>
        </w:rPr>
        <w:footnoteReference w:id="104"/>
      </w:r>
      <w:r w:rsidR="004555DB">
        <w:rPr>
          <w:rFonts w:eastAsia="Calibri"/>
          <w:lang w:bidi="he-IL"/>
        </w:rPr>
        <w:t xml:space="preserve"> </w:t>
      </w:r>
      <w:r w:rsidR="00704131">
        <w:rPr>
          <w:rFonts w:eastAsia="Calibri"/>
          <w:lang w:bidi="he-IL"/>
        </w:rPr>
        <w:t xml:space="preserve"> In addition, a</w:t>
      </w:r>
      <w:r w:rsidRPr="003776BC">
        <w:rPr>
          <w:rFonts w:eastAsia="Calibri"/>
          <w:lang w:bidi="he-IL"/>
        </w:rPr>
        <w:t xml:space="preserve">n </w:t>
      </w:r>
      <w:r>
        <w:rPr>
          <w:rFonts w:eastAsia="Calibri"/>
          <w:lang w:bidi="he-IL"/>
        </w:rPr>
        <w:t xml:space="preserve">imagined global </w:t>
      </w:r>
      <w:r w:rsidR="009D0132" w:rsidRPr="009D0132">
        <w:rPr>
          <w:rFonts w:eastAsia="Calibri"/>
          <w:lang w:bidi="he-IL"/>
        </w:rPr>
        <w:t>Ummah</w:t>
      </w:r>
      <w:r>
        <w:rPr>
          <w:rFonts w:eastAsia="Calibri"/>
          <w:lang w:bidi="he-IL"/>
        </w:rPr>
        <w:t xml:space="preserve"> </w:t>
      </w:r>
      <w:r w:rsidR="006A721C">
        <w:rPr>
          <w:rFonts w:eastAsia="Calibri"/>
          <w:lang w:bidi="he-IL"/>
        </w:rPr>
        <w:t>connects the Western Muslim to any oppressed</w:t>
      </w:r>
      <w:r w:rsidR="006A721C">
        <w:rPr>
          <w:rFonts w:eastAsia="Calibri"/>
        </w:rPr>
        <w:t xml:space="preserve"> Muslim elsewhere, and makes the victimization</w:t>
      </w:r>
      <w:r w:rsidRPr="003776BC">
        <w:rPr>
          <w:rFonts w:eastAsia="Calibri"/>
        </w:rPr>
        <w:t xml:space="preserve"> vivid</w:t>
      </w:r>
      <w:r>
        <w:rPr>
          <w:rFonts w:eastAsia="Calibri"/>
        </w:rPr>
        <w:t xml:space="preserve"> </w:t>
      </w:r>
      <w:r w:rsidR="0092142E">
        <w:rPr>
          <w:rFonts w:eastAsia="Calibri"/>
        </w:rPr>
        <w:t>and personal</w:t>
      </w:r>
      <w:r w:rsidRPr="003776BC">
        <w:rPr>
          <w:rFonts w:eastAsia="Calibri"/>
        </w:rPr>
        <w:t>.</w:t>
      </w:r>
      <w:r w:rsidRPr="003776BC">
        <w:rPr>
          <w:rFonts w:eastAsia="Calibri"/>
          <w:vertAlign w:val="superscript"/>
        </w:rPr>
        <w:footnoteReference w:id="105"/>
      </w:r>
      <w:r w:rsidR="0092142E">
        <w:rPr>
          <w:rFonts w:eastAsia="Calibri"/>
        </w:rPr>
        <w:t xml:space="preserve">  This conflict over identity will create the pool of Western recruits for Qutbist organizations.</w:t>
      </w:r>
      <w:r w:rsidR="004555DB">
        <w:rPr>
          <w:rFonts w:eastAsia="Calibri"/>
        </w:rPr>
        <w:t xml:space="preserve"> </w:t>
      </w:r>
    </w:p>
    <w:p w:rsidR="0009069B" w:rsidRPr="007112E5" w:rsidRDefault="00031196" w:rsidP="00B34BE4">
      <w:pPr>
        <w:ind w:firstLine="720"/>
        <w:contextualSpacing/>
        <w:rPr>
          <w:iCs/>
          <w:lang w:bidi="he-IL"/>
        </w:rPr>
      </w:pPr>
      <w:r>
        <w:rPr>
          <w:iCs/>
          <w:lang w:bidi="he-IL"/>
        </w:rPr>
        <w:t>For the radicalized, t</w:t>
      </w:r>
      <w:r w:rsidR="0009069B">
        <w:rPr>
          <w:iCs/>
          <w:lang w:bidi="he-IL"/>
        </w:rPr>
        <w:t xml:space="preserve">he Qutbist in-group operates in three tiers—the broad group of all Muslims (the Islamic Ummah), whom the Qutbists claim to act on behalf of.  </w:t>
      </w:r>
      <w:r>
        <w:rPr>
          <w:iCs/>
          <w:lang w:bidi="he-IL"/>
        </w:rPr>
        <w:t>Within the broad group, there is t</w:t>
      </w:r>
      <w:r w:rsidR="0009069B">
        <w:rPr>
          <w:iCs/>
          <w:lang w:bidi="he-IL"/>
        </w:rPr>
        <w:t xml:space="preserve">he subset of Qutbists who believe they are </w:t>
      </w:r>
      <w:r w:rsidR="00B34BE4">
        <w:rPr>
          <w:iCs/>
          <w:lang w:bidi="he-IL"/>
        </w:rPr>
        <w:t>fulfilling the sacred value of true submission to God</w:t>
      </w:r>
      <w:r w:rsidR="0009069B">
        <w:rPr>
          <w:iCs/>
          <w:lang w:bidi="he-IL"/>
        </w:rPr>
        <w:t>.  Within the subset of Qutbists are the shaheed, the martyrs who die to advance the pure Islamic state.</w:t>
      </w:r>
      <w:r>
        <w:rPr>
          <w:iCs/>
          <w:lang w:bidi="he-IL"/>
        </w:rPr>
        <w:t xml:space="preserve">  </w:t>
      </w:r>
      <w:r w:rsidR="0009069B">
        <w:rPr>
          <w:iCs/>
          <w:lang w:bidi="he-IL"/>
        </w:rPr>
        <w:t xml:space="preserve">The Islamic community acts as both an imagined nation and </w:t>
      </w:r>
      <w:r>
        <w:rPr>
          <w:iCs/>
          <w:lang w:bidi="he-IL"/>
        </w:rPr>
        <w:t>the out-group as needed.</w:t>
      </w:r>
      <w:r w:rsidR="0009069B">
        <w:rPr>
          <w:iCs/>
          <w:lang w:bidi="he-IL"/>
        </w:rPr>
        <w:t xml:space="preserve">  If Muslims are being persecuted by the infidel, then the Qutbists must fight on their behalf.  If those same Muslims stand in the way of the advancement of a pure Islamic state, then they are </w:t>
      </w:r>
      <w:r w:rsidR="0009069B">
        <w:rPr>
          <w:i/>
          <w:iCs/>
          <w:lang w:bidi="he-IL"/>
        </w:rPr>
        <w:t xml:space="preserve">kuffar </w:t>
      </w:r>
      <w:r w:rsidR="0009069B">
        <w:rPr>
          <w:iCs/>
          <w:lang w:bidi="he-IL"/>
        </w:rPr>
        <w:t>and equally worthy of death.</w:t>
      </w:r>
    </w:p>
    <w:p w:rsidR="00704131" w:rsidRDefault="00704131">
      <w:pPr>
        <w:spacing w:line="240" w:lineRule="auto"/>
        <w:rPr>
          <w:rFonts w:asciiTheme="majorHAnsi" w:hAnsiTheme="majorHAnsi"/>
          <w:b/>
          <w:bCs/>
          <w:sz w:val="28"/>
          <w:szCs w:val="32"/>
        </w:rPr>
      </w:pPr>
      <w:r>
        <w:br w:type="page"/>
      </w:r>
    </w:p>
    <w:p w:rsidR="00EC41DA" w:rsidRDefault="00EC41DA" w:rsidP="00DD0216">
      <w:pPr>
        <w:pStyle w:val="Heading1"/>
      </w:pPr>
      <w:bookmarkStart w:id="28" w:name="_Toc450748678"/>
      <w:r w:rsidRPr="000F56FF">
        <w:lastRenderedPageBreak/>
        <w:t xml:space="preserve">Chapter </w:t>
      </w:r>
      <w:r w:rsidR="007E65CF">
        <w:t>3</w:t>
      </w:r>
      <w:r w:rsidRPr="000F56FF">
        <w:t xml:space="preserve">: </w:t>
      </w:r>
      <w:r>
        <w:t>Historic Review of Suicide Bombing Campaigns</w:t>
      </w:r>
      <w:bookmarkEnd w:id="28"/>
    </w:p>
    <w:p w:rsidR="00AA0F15" w:rsidRPr="00AA0F15" w:rsidRDefault="00AA0F15" w:rsidP="00AA0F15">
      <w:pPr>
        <w:pStyle w:val="Heading2"/>
        <w:contextualSpacing/>
        <w:rPr>
          <w:bCs w:val="0"/>
          <w:i/>
          <w:iCs w:val="0"/>
          <w:szCs w:val="24"/>
        </w:rPr>
      </w:pPr>
      <w:bookmarkStart w:id="29" w:name="_Toc450748679"/>
      <w:r w:rsidRPr="003776BC">
        <w:rPr>
          <w:bCs w:val="0"/>
          <w:i/>
          <w:szCs w:val="24"/>
        </w:rPr>
        <w:t xml:space="preserve">The </w:t>
      </w:r>
      <w:r w:rsidR="001007B1">
        <w:rPr>
          <w:bCs w:val="0"/>
          <w:i/>
          <w:szCs w:val="24"/>
        </w:rPr>
        <w:t xml:space="preserve">Shift in Ideology </w:t>
      </w:r>
      <w:r w:rsidR="00F87649">
        <w:rPr>
          <w:bCs w:val="0"/>
          <w:i/>
          <w:szCs w:val="24"/>
        </w:rPr>
        <w:t>across</w:t>
      </w:r>
      <w:r w:rsidR="001007B1">
        <w:rPr>
          <w:bCs w:val="0"/>
          <w:i/>
          <w:szCs w:val="24"/>
        </w:rPr>
        <w:t xml:space="preserve"> Groups Led to Shift in Targets</w:t>
      </w:r>
      <w:bookmarkEnd w:id="29"/>
    </w:p>
    <w:p w:rsidR="001007B1" w:rsidRDefault="0092142E" w:rsidP="0006720C">
      <w:pPr>
        <w:ind w:firstLine="720"/>
        <w:contextualSpacing/>
        <w:rPr>
          <w:rFonts w:ascii="Times New Roman" w:eastAsia="Calibri" w:hAnsi="Times New Roman"/>
          <w:noProof/>
          <w:lang w:bidi="he-IL"/>
        </w:rPr>
      </w:pPr>
      <w:r>
        <w:rPr>
          <w:rFonts w:ascii="Times New Roman" w:eastAsia="Calibri" w:hAnsi="Times New Roman"/>
          <w:noProof/>
          <w:lang w:bidi="he-IL"/>
        </w:rPr>
        <w:t>Qutbist organizations</w:t>
      </w:r>
      <w:r w:rsidR="00594848">
        <w:rPr>
          <w:rFonts w:ascii="Times New Roman" w:eastAsia="Calibri" w:hAnsi="Times New Roman"/>
          <w:noProof/>
          <w:lang w:bidi="he-IL"/>
        </w:rPr>
        <w:t xml:space="preserve"> did not invent suicide terrorism</w:t>
      </w:r>
      <w:r>
        <w:rPr>
          <w:rFonts w:ascii="Times New Roman" w:eastAsia="Calibri" w:hAnsi="Times New Roman"/>
          <w:noProof/>
          <w:lang w:bidi="he-IL"/>
        </w:rPr>
        <w:t xml:space="preserve">.  The first suicide bombing campaigns </w:t>
      </w:r>
      <w:r w:rsidR="00AA0F15">
        <w:rPr>
          <w:rFonts w:ascii="Times New Roman" w:eastAsia="Calibri" w:hAnsi="Times New Roman"/>
          <w:noProof/>
          <w:lang w:bidi="he-IL"/>
        </w:rPr>
        <w:t xml:space="preserve">started in the early 1980s as </w:t>
      </w:r>
      <w:r w:rsidR="00C06CC0">
        <w:rPr>
          <w:rFonts w:ascii="Times New Roman" w:eastAsia="Calibri" w:hAnsi="Times New Roman"/>
          <w:noProof/>
          <w:lang w:bidi="he-IL"/>
        </w:rPr>
        <w:t xml:space="preserve">a </w:t>
      </w:r>
      <w:r w:rsidR="00C865DD">
        <w:rPr>
          <w:rFonts w:ascii="Times New Roman" w:eastAsia="Calibri" w:hAnsi="Times New Roman"/>
          <w:noProof/>
          <w:lang w:bidi="he-IL"/>
        </w:rPr>
        <w:t>tool for nationalist groups to offset the technological advantage of foreign occupiers</w:t>
      </w:r>
      <w:r w:rsidR="004555DB">
        <w:rPr>
          <w:rFonts w:ascii="Times New Roman" w:eastAsia="Calibri" w:hAnsi="Times New Roman"/>
          <w:noProof/>
          <w:lang w:bidi="he-IL"/>
        </w:rPr>
        <w:t xml:space="preserve">.  </w:t>
      </w:r>
      <w:r w:rsidR="00AA0F15">
        <w:rPr>
          <w:rFonts w:ascii="Times New Roman" w:eastAsia="Calibri" w:hAnsi="Times New Roman"/>
          <w:noProof/>
          <w:lang w:bidi="he-IL"/>
        </w:rPr>
        <w:t>The groups that originated and propogated its use were influenced by a mix of social justice and nationalim (in the case of Hezbollah) and Marxism and nationalism (in the case of the LTTE and the Lebanese Socialist groups)</w:t>
      </w:r>
      <w:r w:rsidR="004555DB">
        <w:rPr>
          <w:rFonts w:ascii="Times New Roman" w:eastAsia="Calibri" w:hAnsi="Times New Roman"/>
          <w:noProof/>
          <w:lang w:bidi="he-IL"/>
        </w:rPr>
        <w:t xml:space="preserve">.  </w:t>
      </w:r>
      <w:r w:rsidR="00AA0F15">
        <w:rPr>
          <w:rFonts w:ascii="Times New Roman" w:eastAsia="Calibri" w:hAnsi="Times New Roman"/>
          <w:noProof/>
          <w:lang w:bidi="he-IL"/>
        </w:rPr>
        <w:t>Th</w:t>
      </w:r>
      <w:r>
        <w:rPr>
          <w:rFonts w:ascii="Times New Roman" w:eastAsia="Calibri" w:hAnsi="Times New Roman"/>
          <w:noProof/>
          <w:lang w:bidi="he-IL"/>
        </w:rPr>
        <w:t>is</w:t>
      </w:r>
      <w:r w:rsidR="00C865DD">
        <w:rPr>
          <w:rFonts w:ascii="Times New Roman" w:eastAsia="Calibri" w:hAnsi="Times New Roman"/>
          <w:noProof/>
          <w:lang w:bidi="he-IL"/>
        </w:rPr>
        <w:t xml:space="preserve"> ideological foundation did the following</w:t>
      </w:r>
      <w:r w:rsidR="00AA0F15">
        <w:rPr>
          <w:rFonts w:ascii="Times New Roman" w:eastAsia="Calibri" w:hAnsi="Times New Roman"/>
          <w:noProof/>
          <w:lang w:bidi="he-IL"/>
        </w:rPr>
        <w:t xml:space="preserve">—it limited the ambition of </w:t>
      </w:r>
      <w:r w:rsidR="00C865DD">
        <w:rPr>
          <w:rFonts w:ascii="Times New Roman" w:eastAsia="Calibri" w:hAnsi="Times New Roman"/>
          <w:noProof/>
          <w:lang w:bidi="he-IL"/>
        </w:rPr>
        <w:t>the groups to removing foreign troops on the ground, and it limited the stakeholders that identified with the cause</w:t>
      </w:r>
      <w:r w:rsidR="004555DB">
        <w:rPr>
          <w:rFonts w:ascii="Times New Roman" w:eastAsia="Calibri" w:hAnsi="Times New Roman"/>
          <w:noProof/>
          <w:lang w:bidi="he-IL"/>
        </w:rPr>
        <w:t>.</w:t>
      </w:r>
      <w:r w:rsidR="0065626E">
        <w:rPr>
          <w:rFonts w:ascii="Times New Roman" w:eastAsia="Calibri" w:hAnsi="Times New Roman"/>
          <w:noProof/>
          <w:lang w:bidi="he-IL"/>
        </w:rPr>
        <w:t xml:space="preserve">  </w:t>
      </w:r>
      <w:r w:rsidR="0006720C">
        <w:rPr>
          <w:rFonts w:ascii="Times New Roman" w:eastAsia="Calibri" w:hAnsi="Times New Roman"/>
          <w:noProof/>
          <w:lang w:bidi="he-IL"/>
        </w:rPr>
        <w:t>This contrasts with t</w:t>
      </w:r>
      <w:r w:rsidR="001007B1">
        <w:rPr>
          <w:rFonts w:ascii="Times New Roman" w:eastAsia="Calibri" w:hAnsi="Times New Roman"/>
          <w:noProof/>
          <w:lang w:bidi="he-IL"/>
        </w:rPr>
        <w:t>he Iraq, Afghanistan, Chechen, and Syrian conflicts</w:t>
      </w:r>
      <w:r w:rsidR="0006720C">
        <w:rPr>
          <w:rFonts w:ascii="Times New Roman" w:eastAsia="Calibri" w:hAnsi="Times New Roman"/>
          <w:noProof/>
          <w:lang w:bidi="he-IL"/>
        </w:rPr>
        <w:t>, which</w:t>
      </w:r>
      <w:r w:rsidR="001007B1">
        <w:rPr>
          <w:rFonts w:ascii="Times New Roman" w:eastAsia="Calibri" w:hAnsi="Times New Roman"/>
          <w:noProof/>
          <w:lang w:bidi="he-IL"/>
        </w:rPr>
        <w:t xml:space="preserve"> create</w:t>
      </w:r>
      <w:r w:rsidR="0006720C">
        <w:rPr>
          <w:rFonts w:ascii="Times New Roman" w:eastAsia="Calibri" w:hAnsi="Times New Roman"/>
          <w:noProof/>
          <w:lang w:bidi="he-IL"/>
        </w:rPr>
        <w:t>d stakeholders based on religion</w:t>
      </w:r>
      <w:r w:rsidR="004555DB">
        <w:rPr>
          <w:rFonts w:ascii="Times New Roman" w:eastAsia="Calibri" w:hAnsi="Times New Roman"/>
          <w:noProof/>
          <w:lang w:bidi="he-IL"/>
        </w:rPr>
        <w:t xml:space="preserve">.  </w:t>
      </w:r>
      <w:r w:rsidR="0006720C">
        <w:rPr>
          <w:rFonts w:ascii="Times New Roman" w:eastAsia="Calibri" w:hAnsi="Times New Roman"/>
          <w:noProof/>
          <w:lang w:bidi="he-IL"/>
        </w:rPr>
        <w:t xml:space="preserve">The latter conflicts </w:t>
      </w:r>
      <w:r w:rsidR="001007B1">
        <w:rPr>
          <w:rFonts w:ascii="Times New Roman" w:eastAsia="Calibri" w:hAnsi="Times New Roman"/>
          <w:noProof/>
          <w:lang w:bidi="he-IL"/>
        </w:rPr>
        <w:t xml:space="preserve">received foreign fighters to fight and die for those respective causes based on </w:t>
      </w:r>
      <w:r w:rsidR="0006720C">
        <w:rPr>
          <w:rFonts w:ascii="Times New Roman" w:eastAsia="Calibri" w:hAnsi="Times New Roman"/>
          <w:noProof/>
          <w:lang w:bidi="he-IL"/>
        </w:rPr>
        <w:t>the underlying religious overtones</w:t>
      </w:r>
      <w:r w:rsidR="004555DB">
        <w:rPr>
          <w:rFonts w:ascii="Times New Roman" w:eastAsia="Calibri" w:hAnsi="Times New Roman"/>
          <w:noProof/>
          <w:lang w:bidi="he-IL"/>
        </w:rPr>
        <w:t>.</w:t>
      </w:r>
      <w:r w:rsidR="0065626E">
        <w:rPr>
          <w:rFonts w:ascii="Times New Roman" w:eastAsia="Calibri" w:hAnsi="Times New Roman"/>
          <w:noProof/>
          <w:lang w:bidi="he-IL"/>
        </w:rPr>
        <w:t xml:space="preserve">  </w:t>
      </w:r>
    </w:p>
    <w:p w:rsidR="00C865DD" w:rsidRDefault="00C865DD" w:rsidP="000645BF">
      <w:pPr>
        <w:ind w:firstLine="720"/>
        <w:contextualSpacing/>
        <w:rPr>
          <w:rFonts w:ascii="Times New Roman" w:eastAsia="Calibri" w:hAnsi="Times New Roman"/>
          <w:noProof/>
          <w:lang w:bidi="ar-SA"/>
        </w:rPr>
      </w:pPr>
      <w:r>
        <w:rPr>
          <w:rFonts w:ascii="Times New Roman" w:eastAsia="Calibri" w:hAnsi="Times New Roman"/>
          <w:noProof/>
          <w:lang w:bidi="he-IL"/>
        </w:rPr>
        <w:t>As a tool in asym</w:t>
      </w:r>
      <w:r w:rsidR="00C06CC0">
        <w:rPr>
          <w:rFonts w:ascii="Times New Roman" w:eastAsia="Calibri" w:hAnsi="Times New Roman"/>
          <w:noProof/>
          <w:lang w:bidi="he-IL"/>
        </w:rPr>
        <w:t>m</w:t>
      </w:r>
      <w:r>
        <w:rPr>
          <w:rFonts w:ascii="Times New Roman" w:eastAsia="Calibri" w:hAnsi="Times New Roman"/>
          <w:noProof/>
          <w:lang w:bidi="he-IL"/>
        </w:rPr>
        <w:t xml:space="preserve">etric warfare, </w:t>
      </w:r>
      <w:r w:rsidR="001007B1">
        <w:rPr>
          <w:rFonts w:ascii="Times New Roman" w:eastAsia="Calibri" w:hAnsi="Times New Roman"/>
          <w:noProof/>
          <w:lang w:bidi="he-IL"/>
        </w:rPr>
        <w:t xml:space="preserve">the nationalist-oriented groups </w:t>
      </w:r>
      <w:r w:rsidR="00A00332">
        <w:rPr>
          <w:rFonts w:ascii="Times New Roman" w:eastAsia="Calibri" w:hAnsi="Times New Roman"/>
          <w:noProof/>
          <w:lang w:bidi="he-IL"/>
        </w:rPr>
        <w:t>used suicide terrorism to achieve tactical advantage in military engagements</w:t>
      </w:r>
      <w:r w:rsidR="004555DB">
        <w:rPr>
          <w:rFonts w:ascii="Times New Roman" w:eastAsia="Calibri" w:hAnsi="Times New Roman"/>
          <w:noProof/>
          <w:lang w:bidi="he-IL"/>
        </w:rPr>
        <w:t xml:space="preserve">.  </w:t>
      </w:r>
      <w:r w:rsidR="00A00332">
        <w:rPr>
          <w:rFonts w:ascii="Times New Roman" w:eastAsia="Calibri" w:hAnsi="Times New Roman"/>
          <w:noProof/>
          <w:lang w:bidi="he-IL"/>
        </w:rPr>
        <w:t>Even the most dramatic and symbolic attacks of this era—the Hezbollah bombings of the American embassy in Lebanon and the American and French barracks in Lebanon—capsized the intelligence gathering capabilities of the US and France in Lebanon for years</w:t>
      </w:r>
      <w:r w:rsidR="004555DB">
        <w:rPr>
          <w:rFonts w:ascii="Times New Roman" w:eastAsia="Calibri" w:hAnsi="Times New Roman"/>
          <w:noProof/>
          <w:lang w:bidi="he-IL"/>
        </w:rPr>
        <w:t xml:space="preserve">.  </w:t>
      </w:r>
      <w:r w:rsidR="00A00332">
        <w:rPr>
          <w:rFonts w:ascii="Times New Roman" w:eastAsia="Calibri" w:hAnsi="Times New Roman"/>
          <w:noProof/>
          <w:lang w:bidi="he-IL"/>
        </w:rPr>
        <w:t xml:space="preserve">Thus, the ideological foundation of nationalism framed </w:t>
      </w:r>
      <w:r w:rsidR="00713892">
        <w:rPr>
          <w:rFonts w:ascii="Times New Roman" w:eastAsia="Calibri" w:hAnsi="Times New Roman"/>
          <w:noProof/>
          <w:lang w:bidi="he-IL"/>
        </w:rPr>
        <w:t>the use of targets as primarily functional</w:t>
      </w:r>
      <w:r w:rsidR="004555DB">
        <w:rPr>
          <w:rFonts w:ascii="Times New Roman" w:eastAsia="Calibri" w:hAnsi="Times New Roman"/>
          <w:noProof/>
          <w:lang w:bidi="he-IL"/>
        </w:rPr>
        <w:t xml:space="preserve">.  </w:t>
      </w:r>
      <w:r w:rsidR="003E2595">
        <w:rPr>
          <w:rFonts w:ascii="Times New Roman" w:eastAsia="Calibri" w:hAnsi="Times New Roman"/>
          <w:noProof/>
          <w:lang w:bidi="he-IL"/>
        </w:rPr>
        <w:t>Military</w:t>
      </w:r>
      <w:r w:rsidR="00293745">
        <w:rPr>
          <w:rFonts w:ascii="Times New Roman" w:eastAsia="Calibri" w:hAnsi="Times New Roman"/>
          <w:noProof/>
          <w:lang w:bidi="he-IL"/>
        </w:rPr>
        <w:t xml:space="preserve"> and </w:t>
      </w:r>
      <w:r w:rsidR="007E6BD7">
        <w:rPr>
          <w:rFonts w:ascii="Times New Roman" w:eastAsia="Calibri" w:hAnsi="Times New Roman"/>
          <w:noProof/>
          <w:lang w:bidi="he-IL"/>
        </w:rPr>
        <w:t>government</w:t>
      </w:r>
      <w:r w:rsidR="00293745">
        <w:rPr>
          <w:rFonts w:ascii="Times New Roman" w:eastAsia="Calibri" w:hAnsi="Times New Roman"/>
          <w:noProof/>
          <w:lang w:bidi="he-IL"/>
        </w:rPr>
        <w:t xml:space="preserve"> targets comprised</w:t>
      </w:r>
      <w:r w:rsidR="006277EB">
        <w:rPr>
          <w:rFonts w:ascii="Times New Roman" w:eastAsia="Calibri" w:hAnsi="Times New Roman"/>
          <w:noProof/>
          <w:lang w:bidi="he-IL"/>
        </w:rPr>
        <w:t xml:space="preserve"> 53% and 18% of the 38</w:t>
      </w:r>
      <w:r w:rsidR="00293745">
        <w:rPr>
          <w:rFonts w:ascii="Times New Roman" w:eastAsia="Calibri" w:hAnsi="Times New Roman"/>
          <w:noProof/>
          <w:lang w:bidi="he-IL"/>
        </w:rPr>
        <w:t xml:space="preserve"> global suicide attacks </w:t>
      </w:r>
      <w:r w:rsidR="003E2595" w:rsidRPr="00BD3DCE">
        <w:rPr>
          <w:rFonts w:ascii="Times New Roman" w:eastAsia="Calibri" w:hAnsi="Times New Roman"/>
          <w:noProof/>
          <w:lang w:bidi="ar-SA"/>
        </w:rPr>
        <w:t>between 1981 and 1992</w:t>
      </w:r>
      <w:r w:rsidR="004555DB">
        <w:rPr>
          <w:rFonts w:ascii="Times New Roman" w:eastAsia="Calibri" w:hAnsi="Times New Roman"/>
          <w:noProof/>
          <w:lang w:bidi="ar-SA"/>
        </w:rPr>
        <w:t xml:space="preserve">.  </w:t>
      </w:r>
      <w:r w:rsidR="007E6BD7">
        <w:rPr>
          <w:rFonts w:ascii="Times New Roman" w:eastAsia="Calibri" w:hAnsi="Times New Roman"/>
          <w:noProof/>
          <w:lang w:bidi="ar-SA"/>
        </w:rPr>
        <w:t xml:space="preserve">The remaining target percentages were </w:t>
      </w:r>
      <w:r w:rsidR="0006720C">
        <w:rPr>
          <w:rFonts w:ascii="Times New Roman" w:eastAsia="Calibri" w:hAnsi="Times New Roman"/>
          <w:noProof/>
          <w:lang w:bidi="ar-SA"/>
        </w:rPr>
        <w:t>P</w:t>
      </w:r>
      <w:r w:rsidR="003E2595" w:rsidRPr="00BD3DCE">
        <w:rPr>
          <w:rFonts w:ascii="Times New Roman" w:eastAsia="Calibri" w:hAnsi="Times New Roman"/>
          <w:noProof/>
          <w:lang w:bidi="ar-SA"/>
        </w:rPr>
        <w:t xml:space="preserve">olice </w:t>
      </w:r>
      <w:r w:rsidR="0006720C">
        <w:rPr>
          <w:rFonts w:ascii="Times New Roman" w:eastAsia="Calibri" w:hAnsi="Times New Roman"/>
          <w:noProof/>
          <w:lang w:bidi="ar-SA"/>
        </w:rPr>
        <w:t>(</w:t>
      </w:r>
      <w:r w:rsidR="003E2595" w:rsidRPr="00BD3DCE">
        <w:rPr>
          <w:rFonts w:ascii="Times New Roman" w:eastAsia="Calibri" w:hAnsi="Times New Roman"/>
          <w:noProof/>
          <w:lang w:bidi="ar-SA"/>
        </w:rPr>
        <w:t>11%</w:t>
      </w:r>
      <w:r w:rsidR="0006720C">
        <w:rPr>
          <w:rFonts w:ascii="Times New Roman" w:eastAsia="Calibri" w:hAnsi="Times New Roman"/>
          <w:noProof/>
          <w:lang w:bidi="ar-SA"/>
        </w:rPr>
        <w:t xml:space="preserve">), </w:t>
      </w:r>
      <w:r w:rsidR="0006720C">
        <w:rPr>
          <w:rFonts w:ascii="Times New Roman" w:eastAsia="Calibri" w:hAnsi="Times New Roman"/>
          <w:noProof/>
          <w:lang w:bidi="ar-SA"/>
        </w:rPr>
        <w:lastRenderedPageBreak/>
        <w:t>C</w:t>
      </w:r>
      <w:r w:rsidR="003E2595" w:rsidRPr="00BD3DCE">
        <w:rPr>
          <w:rFonts w:ascii="Times New Roman" w:eastAsia="Calibri" w:hAnsi="Times New Roman"/>
          <w:noProof/>
          <w:lang w:bidi="ar-SA"/>
        </w:rPr>
        <w:t xml:space="preserve">ivilian </w:t>
      </w:r>
      <w:r w:rsidR="0006720C">
        <w:rPr>
          <w:rFonts w:ascii="Times New Roman" w:eastAsia="Calibri" w:hAnsi="Times New Roman"/>
          <w:noProof/>
          <w:lang w:bidi="ar-SA"/>
        </w:rPr>
        <w:t>(</w:t>
      </w:r>
      <w:r w:rsidR="003E2595" w:rsidRPr="00BD3DCE">
        <w:rPr>
          <w:rFonts w:ascii="Times New Roman" w:eastAsia="Calibri" w:hAnsi="Times New Roman"/>
          <w:noProof/>
          <w:lang w:bidi="ar-SA"/>
        </w:rPr>
        <w:t>13%</w:t>
      </w:r>
      <w:r w:rsidR="0006720C">
        <w:rPr>
          <w:rFonts w:ascii="Times New Roman" w:eastAsia="Calibri" w:hAnsi="Times New Roman"/>
          <w:noProof/>
          <w:lang w:bidi="ar-SA"/>
        </w:rPr>
        <w:t>)</w:t>
      </w:r>
      <w:r w:rsidR="003E2595" w:rsidRPr="00BD3DCE">
        <w:rPr>
          <w:rFonts w:ascii="Times New Roman" w:eastAsia="Calibri" w:hAnsi="Times New Roman"/>
          <w:noProof/>
          <w:lang w:bidi="ar-SA"/>
        </w:rPr>
        <w:t xml:space="preserve">, </w:t>
      </w:r>
      <w:r w:rsidR="007E6BD7">
        <w:rPr>
          <w:rFonts w:ascii="Times New Roman" w:eastAsia="Calibri" w:hAnsi="Times New Roman"/>
          <w:noProof/>
          <w:lang w:bidi="ar-SA"/>
        </w:rPr>
        <w:t xml:space="preserve">and </w:t>
      </w:r>
      <w:r w:rsidR="0006720C">
        <w:rPr>
          <w:rFonts w:ascii="Times New Roman" w:eastAsia="Calibri" w:hAnsi="Times New Roman"/>
          <w:noProof/>
          <w:lang w:bidi="ar-SA"/>
        </w:rPr>
        <w:t>I</w:t>
      </w:r>
      <w:r w:rsidR="003E2595" w:rsidRPr="00BD3DCE">
        <w:rPr>
          <w:rFonts w:ascii="Times New Roman" w:eastAsia="Calibri" w:hAnsi="Times New Roman"/>
          <w:noProof/>
          <w:lang w:bidi="ar-SA"/>
        </w:rPr>
        <w:t xml:space="preserve">nformal groups </w:t>
      </w:r>
      <w:r w:rsidR="0006720C">
        <w:rPr>
          <w:rFonts w:ascii="Times New Roman" w:eastAsia="Calibri" w:hAnsi="Times New Roman"/>
          <w:noProof/>
          <w:lang w:bidi="ar-SA"/>
        </w:rPr>
        <w:t>(</w:t>
      </w:r>
      <w:r w:rsidR="003E2595" w:rsidRPr="00BD3DCE">
        <w:rPr>
          <w:rFonts w:ascii="Times New Roman" w:eastAsia="Calibri" w:hAnsi="Times New Roman"/>
          <w:noProof/>
          <w:lang w:bidi="ar-SA"/>
        </w:rPr>
        <w:t>5%</w:t>
      </w:r>
      <w:r w:rsidR="0006720C">
        <w:rPr>
          <w:rFonts w:ascii="Times New Roman" w:eastAsia="Calibri" w:hAnsi="Times New Roman"/>
          <w:noProof/>
          <w:lang w:bidi="ar-SA"/>
        </w:rPr>
        <w:t>)</w:t>
      </w:r>
      <w:r w:rsidR="003E2595" w:rsidRPr="00BD3DCE">
        <w:rPr>
          <w:rFonts w:ascii="Times New Roman" w:eastAsia="Calibri" w:hAnsi="Times New Roman"/>
          <w:noProof/>
          <w:lang w:bidi="ar-SA"/>
        </w:rPr>
        <w:t>.</w:t>
      </w:r>
      <w:r w:rsidR="003E2595" w:rsidRPr="00BD3DCE">
        <w:rPr>
          <w:rFonts w:ascii="Times New Roman" w:eastAsia="Calibri" w:hAnsi="Times New Roman"/>
          <w:noProof/>
          <w:vertAlign w:val="superscript"/>
          <w:lang w:bidi="ar-SA"/>
        </w:rPr>
        <w:footnoteReference w:id="106"/>
      </w:r>
      <w:r w:rsidR="00FB048D">
        <w:rPr>
          <w:rFonts w:ascii="Times New Roman" w:eastAsia="Calibri" w:hAnsi="Times New Roman"/>
          <w:noProof/>
          <w:lang w:bidi="ar-SA"/>
        </w:rPr>
        <w:t xml:space="preserve">  </w:t>
      </w:r>
      <w:r w:rsidR="000645BF">
        <w:rPr>
          <w:rFonts w:ascii="Times New Roman" w:eastAsia="Calibri" w:hAnsi="Times New Roman"/>
          <w:noProof/>
          <w:lang w:bidi="ar-SA"/>
        </w:rPr>
        <w:t>The number of total suicide attacks (38) in the Era of Nationalism is small compared to the number of attacks in the Eras of Religious Nationalism and Fitna (467 and 3,290 respectively).  However, the ideological foundation of the originators of suicide terrorism and the trends in targets offer a contrast to how the infusion of religion into suicide terrorism expanded the number of attacks and altered the target focus.  See Table 1 below.</w:t>
      </w:r>
    </w:p>
    <w:p w:rsidR="003E2595" w:rsidRPr="00382342" w:rsidRDefault="003E2595" w:rsidP="003E2595">
      <w:pPr>
        <w:keepNext/>
        <w:jc w:val="center"/>
        <w:rPr>
          <w:rFonts w:ascii="Times New Roman" w:eastAsia="Calibri" w:hAnsi="Times New Roman"/>
          <w:bCs/>
          <w:noProof/>
          <w:lang w:bidi="ar-SA"/>
        </w:rPr>
      </w:pPr>
      <w:bookmarkStart w:id="30" w:name="_Toc448696236"/>
      <w:bookmarkStart w:id="31" w:name="_Toc450569729"/>
      <w:r w:rsidRPr="00382342">
        <w:rPr>
          <w:rFonts w:ascii="Times New Roman" w:eastAsia="Calibri" w:hAnsi="Times New Roman"/>
          <w:bCs/>
          <w:noProof/>
          <w:lang w:bidi="ar-SA"/>
        </w:rPr>
        <w:t xml:space="preserve">Table </w:t>
      </w:r>
      <w:r w:rsidR="0015339F" w:rsidRPr="00382342">
        <w:rPr>
          <w:rFonts w:ascii="Times New Roman" w:eastAsia="Calibri" w:hAnsi="Times New Roman"/>
          <w:bCs/>
          <w:noProof/>
          <w:lang w:bidi="ar-SA"/>
        </w:rPr>
        <w:fldChar w:fldCharType="begin"/>
      </w:r>
      <w:r w:rsidRPr="00382342">
        <w:rPr>
          <w:rFonts w:ascii="Times New Roman" w:eastAsia="Calibri" w:hAnsi="Times New Roman"/>
          <w:bCs/>
          <w:noProof/>
          <w:lang w:bidi="ar-SA"/>
        </w:rPr>
        <w:instrText xml:space="preserve"> SEQ Table \* ARABIC </w:instrText>
      </w:r>
      <w:r w:rsidR="0015339F" w:rsidRPr="00382342">
        <w:rPr>
          <w:rFonts w:ascii="Times New Roman" w:eastAsia="Calibri" w:hAnsi="Times New Roman"/>
          <w:bCs/>
          <w:noProof/>
          <w:lang w:bidi="ar-SA"/>
        </w:rPr>
        <w:fldChar w:fldCharType="separate"/>
      </w:r>
      <w:r>
        <w:rPr>
          <w:rFonts w:ascii="Times New Roman" w:eastAsia="Calibri" w:hAnsi="Times New Roman"/>
          <w:bCs/>
          <w:noProof/>
          <w:lang w:bidi="ar-SA"/>
        </w:rPr>
        <w:t>1</w:t>
      </w:r>
      <w:r w:rsidR="0015339F" w:rsidRPr="00382342">
        <w:rPr>
          <w:rFonts w:ascii="Times New Roman" w:eastAsia="Calibri" w:hAnsi="Times New Roman"/>
          <w:bCs/>
          <w:noProof/>
          <w:lang w:bidi="ar-SA"/>
        </w:rPr>
        <w:fldChar w:fldCharType="end"/>
      </w:r>
      <w:r w:rsidRPr="00382342">
        <w:rPr>
          <w:rFonts w:ascii="Times New Roman" w:eastAsia="Calibri" w:hAnsi="Times New Roman"/>
          <w:bCs/>
          <w:noProof/>
          <w:lang w:bidi="ar-SA"/>
        </w:rPr>
        <w:t xml:space="preserve"> </w:t>
      </w:r>
      <w:r w:rsidR="0037428F">
        <w:rPr>
          <w:rFonts w:ascii="Times New Roman" w:eastAsia="Calibri" w:hAnsi="Times New Roman"/>
          <w:bCs/>
          <w:noProof/>
          <w:lang w:bidi="ar-SA"/>
        </w:rPr>
        <w:t>–</w:t>
      </w:r>
      <w:r w:rsidRPr="00382342">
        <w:rPr>
          <w:rFonts w:ascii="Times New Roman" w:eastAsia="Calibri" w:hAnsi="Times New Roman"/>
          <w:bCs/>
          <w:noProof/>
          <w:lang w:bidi="ar-SA"/>
        </w:rPr>
        <w:t xml:space="preserve"> </w:t>
      </w:r>
      <w:r w:rsidR="0037428F">
        <w:rPr>
          <w:rFonts w:ascii="Times New Roman" w:eastAsia="Calibri" w:hAnsi="Times New Roman"/>
          <w:bCs/>
          <w:noProof/>
          <w:lang w:bidi="ar-SA"/>
        </w:rPr>
        <w:t xml:space="preserve">Era of Nationalism, </w:t>
      </w:r>
      <w:r w:rsidRPr="00382342">
        <w:rPr>
          <w:rFonts w:ascii="Times New Roman" w:eastAsia="Calibri" w:hAnsi="Times New Roman"/>
          <w:bCs/>
          <w:noProof/>
          <w:lang w:bidi="ar-SA"/>
        </w:rPr>
        <w:t>Global Suicide Attacks, By Year, By Target (START)</w:t>
      </w:r>
      <w:bookmarkEnd w:id="30"/>
      <w:bookmarkEnd w:id="31"/>
    </w:p>
    <w:tbl>
      <w:tblPr>
        <w:tblW w:w="8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0"/>
        <w:gridCol w:w="591"/>
        <w:gridCol w:w="592"/>
        <w:gridCol w:w="592"/>
        <w:gridCol w:w="591"/>
        <w:gridCol w:w="592"/>
        <w:gridCol w:w="592"/>
        <w:gridCol w:w="591"/>
        <w:gridCol w:w="592"/>
        <w:gridCol w:w="592"/>
        <w:gridCol w:w="591"/>
        <w:gridCol w:w="592"/>
        <w:gridCol w:w="592"/>
      </w:tblGrid>
      <w:tr w:rsidR="00A34F5F" w:rsidRPr="00C71A29" w:rsidTr="00C71A29">
        <w:trPr>
          <w:cantSplit/>
          <w:trHeight w:val="800"/>
        </w:trPr>
        <w:tc>
          <w:tcPr>
            <w:tcW w:w="1360" w:type="dxa"/>
            <w:shd w:val="clear" w:color="000000" w:fill="000000"/>
            <w:noWrap/>
            <w:vAlign w:val="center"/>
            <w:hideMark/>
          </w:tcPr>
          <w:p w:rsidR="003E2595" w:rsidRPr="00C71A29" w:rsidRDefault="003E2595" w:rsidP="00E2576C">
            <w:pPr>
              <w:spacing w:line="240" w:lineRule="auto"/>
              <w:jc w:val="center"/>
              <w:rPr>
                <w:rFonts w:ascii="Times New Roman" w:hAnsi="Times New Roman"/>
                <w:color w:val="FFFFFF"/>
                <w:sz w:val="18"/>
                <w:szCs w:val="18"/>
                <w:lang w:bidi="ar-SA"/>
              </w:rPr>
            </w:pPr>
            <w:r w:rsidRPr="00C71A29">
              <w:rPr>
                <w:rFonts w:ascii="Times New Roman" w:hAnsi="Times New Roman"/>
                <w:color w:val="FFFFFF"/>
                <w:sz w:val="18"/>
                <w:szCs w:val="18"/>
                <w:lang w:bidi="ar-SA"/>
              </w:rPr>
              <w:t>Year</w:t>
            </w:r>
          </w:p>
        </w:tc>
        <w:tc>
          <w:tcPr>
            <w:tcW w:w="591" w:type="dxa"/>
            <w:shd w:val="clear" w:color="000000" w:fill="000000"/>
            <w:textDirection w:val="btLr"/>
            <w:vAlign w:val="center"/>
            <w:hideMark/>
          </w:tcPr>
          <w:p w:rsidR="003E2595" w:rsidRPr="00C71A29" w:rsidRDefault="003E2595" w:rsidP="00A34F5F">
            <w:pPr>
              <w:spacing w:line="240" w:lineRule="auto"/>
              <w:ind w:left="113" w:right="113"/>
              <w:jc w:val="center"/>
              <w:rPr>
                <w:rFonts w:ascii="Times New Roman" w:hAnsi="Times New Roman"/>
                <w:color w:val="FFFFFF"/>
                <w:sz w:val="18"/>
                <w:szCs w:val="18"/>
                <w:lang w:bidi="ar-SA"/>
              </w:rPr>
            </w:pPr>
            <w:r w:rsidRPr="00C71A29">
              <w:rPr>
                <w:rFonts w:ascii="Times New Roman" w:hAnsi="Times New Roman"/>
                <w:color w:val="FFFFFF"/>
                <w:sz w:val="18"/>
                <w:szCs w:val="18"/>
                <w:lang w:bidi="ar-SA"/>
              </w:rPr>
              <w:t>1981</w:t>
            </w:r>
          </w:p>
        </w:tc>
        <w:tc>
          <w:tcPr>
            <w:tcW w:w="592" w:type="dxa"/>
            <w:shd w:val="clear" w:color="000000" w:fill="000000"/>
            <w:textDirection w:val="btLr"/>
            <w:vAlign w:val="center"/>
            <w:hideMark/>
          </w:tcPr>
          <w:p w:rsidR="003E2595" w:rsidRPr="00C71A29" w:rsidRDefault="003E2595" w:rsidP="00A34F5F">
            <w:pPr>
              <w:spacing w:line="240" w:lineRule="auto"/>
              <w:ind w:left="113" w:right="113"/>
              <w:jc w:val="center"/>
              <w:rPr>
                <w:rFonts w:ascii="Times New Roman" w:hAnsi="Times New Roman"/>
                <w:color w:val="FFFFFF"/>
                <w:sz w:val="18"/>
                <w:szCs w:val="18"/>
                <w:lang w:bidi="ar-SA"/>
              </w:rPr>
            </w:pPr>
            <w:r w:rsidRPr="00C71A29">
              <w:rPr>
                <w:rFonts w:ascii="Times New Roman" w:hAnsi="Times New Roman"/>
                <w:color w:val="FFFFFF"/>
                <w:sz w:val="18"/>
                <w:szCs w:val="18"/>
                <w:lang w:bidi="ar-SA"/>
              </w:rPr>
              <w:t>1982</w:t>
            </w:r>
          </w:p>
        </w:tc>
        <w:tc>
          <w:tcPr>
            <w:tcW w:w="592" w:type="dxa"/>
            <w:shd w:val="clear" w:color="000000" w:fill="000000"/>
            <w:textDirection w:val="btLr"/>
            <w:vAlign w:val="center"/>
            <w:hideMark/>
          </w:tcPr>
          <w:p w:rsidR="003E2595" w:rsidRPr="00C71A29" w:rsidRDefault="003E2595" w:rsidP="00A34F5F">
            <w:pPr>
              <w:spacing w:line="240" w:lineRule="auto"/>
              <w:ind w:left="113" w:right="113"/>
              <w:jc w:val="center"/>
              <w:rPr>
                <w:rFonts w:ascii="Times New Roman" w:hAnsi="Times New Roman"/>
                <w:color w:val="FFFFFF"/>
                <w:sz w:val="18"/>
                <w:szCs w:val="18"/>
                <w:lang w:bidi="ar-SA"/>
              </w:rPr>
            </w:pPr>
            <w:r w:rsidRPr="00C71A29">
              <w:rPr>
                <w:rFonts w:ascii="Times New Roman" w:hAnsi="Times New Roman"/>
                <w:color w:val="FFFFFF"/>
                <w:sz w:val="18"/>
                <w:szCs w:val="18"/>
                <w:lang w:bidi="ar-SA"/>
              </w:rPr>
              <w:t>1983</w:t>
            </w:r>
          </w:p>
        </w:tc>
        <w:tc>
          <w:tcPr>
            <w:tcW w:w="591" w:type="dxa"/>
            <w:shd w:val="clear" w:color="000000" w:fill="000000"/>
            <w:textDirection w:val="btLr"/>
            <w:vAlign w:val="center"/>
            <w:hideMark/>
          </w:tcPr>
          <w:p w:rsidR="003E2595" w:rsidRPr="00C71A29" w:rsidRDefault="003E2595" w:rsidP="00A34F5F">
            <w:pPr>
              <w:spacing w:line="240" w:lineRule="auto"/>
              <w:ind w:left="113" w:right="113"/>
              <w:jc w:val="center"/>
              <w:rPr>
                <w:rFonts w:ascii="Times New Roman" w:hAnsi="Times New Roman"/>
                <w:color w:val="FFFFFF"/>
                <w:sz w:val="18"/>
                <w:szCs w:val="18"/>
                <w:lang w:bidi="ar-SA"/>
              </w:rPr>
            </w:pPr>
            <w:r w:rsidRPr="00C71A29">
              <w:rPr>
                <w:rFonts w:ascii="Times New Roman" w:hAnsi="Times New Roman"/>
                <w:color w:val="FFFFFF"/>
                <w:sz w:val="18"/>
                <w:szCs w:val="18"/>
                <w:lang w:bidi="ar-SA"/>
              </w:rPr>
              <w:t>1984</w:t>
            </w:r>
          </w:p>
        </w:tc>
        <w:tc>
          <w:tcPr>
            <w:tcW w:w="592" w:type="dxa"/>
            <w:shd w:val="clear" w:color="000000" w:fill="000000"/>
            <w:noWrap/>
            <w:textDirection w:val="btLr"/>
            <w:vAlign w:val="center"/>
            <w:hideMark/>
          </w:tcPr>
          <w:p w:rsidR="003E2595" w:rsidRPr="00C71A29" w:rsidRDefault="003E2595" w:rsidP="00A34F5F">
            <w:pPr>
              <w:spacing w:line="240" w:lineRule="auto"/>
              <w:ind w:left="113" w:right="113"/>
              <w:jc w:val="center"/>
              <w:rPr>
                <w:rFonts w:ascii="Times New Roman" w:hAnsi="Times New Roman"/>
                <w:color w:val="FFFFFF"/>
                <w:sz w:val="18"/>
                <w:szCs w:val="18"/>
                <w:lang w:bidi="ar-SA"/>
              </w:rPr>
            </w:pPr>
            <w:r w:rsidRPr="00C71A29">
              <w:rPr>
                <w:rFonts w:ascii="Times New Roman" w:hAnsi="Times New Roman"/>
                <w:color w:val="FFFFFF"/>
                <w:sz w:val="18"/>
                <w:szCs w:val="18"/>
                <w:lang w:bidi="ar-SA"/>
              </w:rPr>
              <w:t>1985</w:t>
            </w:r>
          </w:p>
        </w:tc>
        <w:tc>
          <w:tcPr>
            <w:tcW w:w="592" w:type="dxa"/>
            <w:shd w:val="clear" w:color="000000" w:fill="000000"/>
            <w:noWrap/>
            <w:textDirection w:val="btLr"/>
            <w:vAlign w:val="center"/>
            <w:hideMark/>
          </w:tcPr>
          <w:p w:rsidR="003E2595" w:rsidRPr="00C71A29" w:rsidRDefault="003E2595" w:rsidP="00A34F5F">
            <w:pPr>
              <w:spacing w:line="240" w:lineRule="auto"/>
              <w:ind w:left="113" w:right="113"/>
              <w:jc w:val="center"/>
              <w:rPr>
                <w:rFonts w:ascii="Times New Roman" w:hAnsi="Times New Roman"/>
                <w:color w:val="FFFFFF"/>
                <w:sz w:val="18"/>
                <w:szCs w:val="18"/>
                <w:lang w:bidi="ar-SA"/>
              </w:rPr>
            </w:pPr>
            <w:r w:rsidRPr="00C71A29">
              <w:rPr>
                <w:rFonts w:ascii="Times New Roman" w:hAnsi="Times New Roman"/>
                <w:color w:val="FFFFFF"/>
                <w:sz w:val="18"/>
                <w:szCs w:val="18"/>
                <w:lang w:bidi="ar-SA"/>
              </w:rPr>
              <w:t>1986</w:t>
            </w:r>
          </w:p>
        </w:tc>
        <w:tc>
          <w:tcPr>
            <w:tcW w:w="591" w:type="dxa"/>
            <w:shd w:val="clear" w:color="000000" w:fill="000000"/>
            <w:noWrap/>
            <w:textDirection w:val="btLr"/>
            <w:vAlign w:val="center"/>
            <w:hideMark/>
          </w:tcPr>
          <w:p w:rsidR="003E2595" w:rsidRPr="00C71A29" w:rsidRDefault="003E2595" w:rsidP="00A34F5F">
            <w:pPr>
              <w:spacing w:line="240" w:lineRule="auto"/>
              <w:ind w:left="113" w:right="113"/>
              <w:jc w:val="center"/>
              <w:rPr>
                <w:rFonts w:ascii="Times New Roman" w:hAnsi="Times New Roman"/>
                <w:color w:val="FFFFFF"/>
                <w:sz w:val="18"/>
                <w:szCs w:val="18"/>
                <w:lang w:bidi="ar-SA"/>
              </w:rPr>
            </w:pPr>
            <w:r w:rsidRPr="00C71A29">
              <w:rPr>
                <w:rFonts w:ascii="Times New Roman" w:hAnsi="Times New Roman"/>
                <w:color w:val="FFFFFF"/>
                <w:sz w:val="18"/>
                <w:szCs w:val="18"/>
                <w:lang w:bidi="ar-SA"/>
              </w:rPr>
              <w:t>1987</w:t>
            </w:r>
          </w:p>
        </w:tc>
        <w:tc>
          <w:tcPr>
            <w:tcW w:w="592" w:type="dxa"/>
            <w:shd w:val="clear" w:color="000000" w:fill="000000"/>
            <w:noWrap/>
            <w:textDirection w:val="btLr"/>
            <w:vAlign w:val="center"/>
            <w:hideMark/>
          </w:tcPr>
          <w:p w:rsidR="003E2595" w:rsidRPr="00C71A29" w:rsidRDefault="003E2595" w:rsidP="00A34F5F">
            <w:pPr>
              <w:spacing w:line="240" w:lineRule="auto"/>
              <w:ind w:left="113" w:right="113"/>
              <w:jc w:val="center"/>
              <w:rPr>
                <w:rFonts w:ascii="Times New Roman" w:hAnsi="Times New Roman"/>
                <w:color w:val="FFFFFF"/>
                <w:sz w:val="18"/>
                <w:szCs w:val="18"/>
                <w:lang w:bidi="ar-SA"/>
              </w:rPr>
            </w:pPr>
            <w:r w:rsidRPr="00C71A29">
              <w:rPr>
                <w:rFonts w:ascii="Times New Roman" w:hAnsi="Times New Roman"/>
                <w:color w:val="FFFFFF"/>
                <w:sz w:val="18"/>
                <w:szCs w:val="18"/>
                <w:lang w:bidi="ar-SA"/>
              </w:rPr>
              <w:t>1988</w:t>
            </w:r>
          </w:p>
        </w:tc>
        <w:tc>
          <w:tcPr>
            <w:tcW w:w="592" w:type="dxa"/>
            <w:shd w:val="clear" w:color="000000" w:fill="000000"/>
            <w:noWrap/>
            <w:textDirection w:val="btLr"/>
            <w:vAlign w:val="center"/>
            <w:hideMark/>
          </w:tcPr>
          <w:p w:rsidR="003E2595" w:rsidRPr="00C71A29" w:rsidRDefault="003E2595" w:rsidP="00A34F5F">
            <w:pPr>
              <w:spacing w:line="240" w:lineRule="auto"/>
              <w:ind w:left="113" w:right="113"/>
              <w:jc w:val="center"/>
              <w:rPr>
                <w:rFonts w:ascii="Times New Roman" w:hAnsi="Times New Roman"/>
                <w:color w:val="FFFFFF"/>
                <w:sz w:val="18"/>
                <w:szCs w:val="18"/>
                <w:lang w:bidi="ar-SA"/>
              </w:rPr>
            </w:pPr>
            <w:r w:rsidRPr="00C71A29">
              <w:rPr>
                <w:rFonts w:ascii="Times New Roman" w:hAnsi="Times New Roman"/>
                <w:color w:val="FFFFFF"/>
                <w:sz w:val="18"/>
                <w:szCs w:val="18"/>
                <w:lang w:bidi="ar-SA"/>
              </w:rPr>
              <w:t>1989</w:t>
            </w:r>
          </w:p>
        </w:tc>
        <w:tc>
          <w:tcPr>
            <w:tcW w:w="591" w:type="dxa"/>
            <w:shd w:val="clear" w:color="000000" w:fill="000000"/>
            <w:noWrap/>
            <w:textDirection w:val="btLr"/>
            <w:vAlign w:val="center"/>
            <w:hideMark/>
          </w:tcPr>
          <w:p w:rsidR="003E2595" w:rsidRPr="00C71A29" w:rsidRDefault="003E2595" w:rsidP="00A34F5F">
            <w:pPr>
              <w:spacing w:line="240" w:lineRule="auto"/>
              <w:ind w:left="113" w:right="113"/>
              <w:jc w:val="center"/>
              <w:rPr>
                <w:rFonts w:ascii="Times New Roman" w:hAnsi="Times New Roman"/>
                <w:color w:val="FFFFFF"/>
                <w:sz w:val="18"/>
                <w:szCs w:val="18"/>
                <w:lang w:bidi="ar-SA"/>
              </w:rPr>
            </w:pPr>
            <w:r w:rsidRPr="00C71A29">
              <w:rPr>
                <w:rFonts w:ascii="Times New Roman" w:hAnsi="Times New Roman"/>
                <w:color w:val="FFFFFF"/>
                <w:sz w:val="18"/>
                <w:szCs w:val="18"/>
                <w:lang w:bidi="ar-SA"/>
              </w:rPr>
              <w:t>1990</w:t>
            </w:r>
          </w:p>
        </w:tc>
        <w:tc>
          <w:tcPr>
            <w:tcW w:w="592" w:type="dxa"/>
            <w:shd w:val="clear" w:color="000000" w:fill="000000"/>
            <w:noWrap/>
            <w:textDirection w:val="btLr"/>
            <w:vAlign w:val="center"/>
            <w:hideMark/>
          </w:tcPr>
          <w:p w:rsidR="003E2595" w:rsidRPr="00C71A29" w:rsidRDefault="003E2595" w:rsidP="00A34F5F">
            <w:pPr>
              <w:spacing w:line="240" w:lineRule="auto"/>
              <w:ind w:left="113" w:right="113"/>
              <w:jc w:val="center"/>
              <w:rPr>
                <w:rFonts w:ascii="Times New Roman" w:hAnsi="Times New Roman"/>
                <w:color w:val="FFFFFF"/>
                <w:sz w:val="18"/>
                <w:szCs w:val="18"/>
                <w:lang w:bidi="ar-SA"/>
              </w:rPr>
            </w:pPr>
            <w:r w:rsidRPr="00C71A29">
              <w:rPr>
                <w:rFonts w:ascii="Times New Roman" w:hAnsi="Times New Roman"/>
                <w:color w:val="FFFFFF"/>
                <w:sz w:val="18"/>
                <w:szCs w:val="18"/>
                <w:lang w:bidi="ar-SA"/>
              </w:rPr>
              <w:t>1991</w:t>
            </w:r>
          </w:p>
        </w:tc>
        <w:tc>
          <w:tcPr>
            <w:tcW w:w="592" w:type="dxa"/>
            <w:shd w:val="clear" w:color="000000" w:fill="000000"/>
            <w:noWrap/>
            <w:textDirection w:val="btLr"/>
            <w:vAlign w:val="center"/>
            <w:hideMark/>
          </w:tcPr>
          <w:p w:rsidR="003E2595" w:rsidRPr="00C71A29" w:rsidRDefault="003E2595" w:rsidP="00A34F5F">
            <w:pPr>
              <w:spacing w:line="240" w:lineRule="auto"/>
              <w:ind w:left="113" w:right="113"/>
              <w:jc w:val="center"/>
              <w:rPr>
                <w:rFonts w:ascii="Times New Roman" w:hAnsi="Times New Roman"/>
                <w:color w:val="FFFFFF"/>
                <w:sz w:val="18"/>
                <w:szCs w:val="18"/>
                <w:lang w:bidi="ar-SA"/>
              </w:rPr>
            </w:pPr>
            <w:r w:rsidRPr="00C71A29">
              <w:rPr>
                <w:rFonts w:ascii="Times New Roman" w:hAnsi="Times New Roman"/>
                <w:color w:val="FFFFFF"/>
                <w:sz w:val="18"/>
                <w:szCs w:val="18"/>
                <w:lang w:bidi="ar-SA"/>
              </w:rPr>
              <w:t>1992</w:t>
            </w:r>
          </w:p>
        </w:tc>
      </w:tr>
      <w:tr w:rsidR="00A34F5F" w:rsidRPr="00C71A29" w:rsidTr="00C71A29">
        <w:trPr>
          <w:trHeight w:val="300"/>
        </w:trPr>
        <w:tc>
          <w:tcPr>
            <w:tcW w:w="1360" w:type="dxa"/>
            <w:shd w:val="clear" w:color="000000" w:fill="000000"/>
            <w:noWrap/>
            <w:vAlign w:val="center"/>
            <w:hideMark/>
          </w:tcPr>
          <w:p w:rsidR="00A34F5F" w:rsidRPr="00C71A29" w:rsidRDefault="003E2595" w:rsidP="00E2576C">
            <w:pPr>
              <w:spacing w:line="240" w:lineRule="auto"/>
              <w:jc w:val="center"/>
              <w:rPr>
                <w:rFonts w:ascii="Times New Roman" w:hAnsi="Times New Roman"/>
                <w:i/>
                <w:iCs/>
                <w:color w:val="FFFFFF"/>
                <w:sz w:val="18"/>
                <w:szCs w:val="18"/>
                <w:lang w:bidi="ar-SA"/>
              </w:rPr>
            </w:pPr>
            <w:r w:rsidRPr="00C71A29">
              <w:rPr>
                <w:rFonts w:ascii="Times New Roman" w:hAnsi="Times New Roman"/>
                <w:i/>
                <w:iCs/>
                <w:color w:val="FFFFFF"/>
                <w:sz w:val="18"/>
                <w:szCs w:val="18"/>
                <w:lang w:bidi="ar-SA"/>
              </w:rPr>
              <w:t xml:space="preserve">Total </w:t>
            </w:r>
          </w:p>
          <w:p w:rsidR="003E2595" w:rsidRPr="00C71A29" w:rsidRDefault="003E2595" w:rsidP="00E2576C">
            <w:pPr>
              <w:spacing w:line="240" w:lineRule="auto"/>
              <w:jc w:val="center"/>
              <w:rPr>
                <w:rFonts w:ascii="Times New Roman" w:hAnsi="Times New Roman"/>
                <w:i/>
                <w:iCs/>
                <w:color w:val="FFFFFF"/>
                <w:sz w:val="18"/>
                <w:szCs w:val="18"/>
                <w:lang w:bidi="ar-SA"/>
              </w:rPr>
            </w:pPr>
            <w:r w:rsidRPr="00C71A29">
              <w:rPr>
                <w:rFonts w:ascii="Times New Roman" w:hAnsi="Times New Roman"/>
                <w:i/>
                <w:iCs/>
                <w:color w:val="FFFFFF"/>
                <w:sz w:val="18"/>
                <w:szCs w:val="18"/>
                <w:lang w:bidi="ar-SA"/>
              </w:rPr>
              <w:t>Attacks</w:t>
            </w:r>
          </w:p>
        </w:tc>
        <w:tc>
          <w:tcPr>
            <w:tcW w:w="591"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1</w:t>
            </w:r>
          </w:p>
        </w:tc>
        <w:tc>
          <w:tcPr>
            <w:tcW w:w="592"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1</w:t>
            </w:r>
          </w:p>
        </w:tc>
        <w:tc>
          <w:tcPr>
            <w:tcW w:w="592"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5</w:t>
            </w:r>
          </w:p>
        </w:tc>
        <w:tc>
          <w:tcPr>
            <w:tcW w:w="591"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2</w:t>
            </w:r>
          </w:p>
        </w:tc>
        <w:tc>
          <w:tcPr>
            <w:tcW w:w="592"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15</w:t>
            </w:r>
          </w:p>
        </w:tc>
        <w:tc>
          <w:tcPr>
            <w:tcW w:w="592"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3</w:t>
            </w:r>
          </w:p>
        </w:tc>
        <w:tc>
          <w:tcPr>
            <w:tcW w:w="591"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2</w:t>
            </w:r>
          </w:p>
        </w:tc>
        <w:tc>
          <w:tcPr>
            <w:tcW w:w="592"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1</w:t>
            </w:r>
          </w:p>
        </w:tc>
        <w:tc>
          <w:tcPr>
            <w:tcW w:w="592"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2</w:t>
            </w:r>
          </w:p>
        </w:tc>
        <w:tc>
          <w:tcPr>
            <w:tcW w:w="591"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2</w:t>
            </w:r>
          </w:p>
        </w:tc>
        <w:tc>
          <w:tcPr>
            <w:tcW w:w="592"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2</w:t>
            </w:r>
          </w:p>
        </w:tc>
        <w:tc>
          <w:tcPr>
            <w:tcW w:w="592"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2</w:t>
            </w:r>
          </w:p>
        </w:tc>
      </w:tr>
      <w:tr w:rsidR="00A34F5F" w:rsidRPr="00C71A29" w:rsidTr="00C71A29">
        <w:trPr>
          <w:trHeight w:val="300"/>
        </w:trPr>
        <w:tc>
          <w:tcPr>
            <w:tcW w:w="1360" w:type="dxa"/>
            <w:shd w:val="clear" w:color="000000" w:fill="000000"/>
            <w:noWrap/>
            <w:vAlign w:val="center"/>
            <w:hideMark/>
          </w:tcPr>
          <w:p w:rsidR="003E2595" w:rsidRPr="00C71A29" w:rsidRDefault="003E2595" w:rsidP="00E2576C">
            <w:pPr>
              <w:spacing w:line="240" w:lineRule="auto"/>
              <w:jc w:val="center"/>
              <w:rPr>
                <w:rFonts w:ascii="Times New Roman" w:hAnsi="Times New Roman"/>
                <w:color w:val="FFFFFF"/>
                <w:sz w:val="18"/>
                <w:szCs w:val="18"/>
                <w:lang w:bidi="ar-SA"/>
              </w:rPr>
            </w:pPr>
            <w:r w:rsidRPr="00C71A29">
              <w:rPr>
                <w:rFonts w:ascii="Times New Roman" w:hAnsi="Times New Roman"/>
                <w:color w:val="FFFFFF"/>
                <w:sz w:val="18"/>
                <w:szCs w:val="18"/>
                <w:lang w:bidi="ar-SA"/>
              </w:rPr>
              <w:t>Military</w:t>
            </w:r>
          </w:p>
        </w:tc>
        <w:tc>
          <w:tcPr>
            <w:tcW w:w="591"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0%</w:t>
            </w:r>
          </w:p>
        </w:tc>
        <w:tc>
          <w:tcPr>
            <w:tcW w:w="592"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100%</w:t>
            </w:r>
          </w:p>
        </w:tc>
        <w:tc>
          <w:tcPr>
            <w:tcW w:w="592"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60%</w:t>
            </w:r>
          </w:p>
        </w:tc>
        <w:tc>
          <w:tcPr>
            <w:tcW w:w="591"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50%</w:t>
            </w:r>
          </w:p>
        </w:tc>
        <w:tc>
          <w:tcPr>
            <w:tcW w:w="592"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53%</w:t>
            </w:r>
          </w:p>
        </w:tc>
        <w:tc>
          <w:tcPr>
            <w:tcW w:w="592"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33%</w:t>
            </w:r>
          </w:p>
        </w:tc>
        <w:tc>
          <w:tcPr>
            <w:tcW w:w="591"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0%</w:t>
            </w:r>
          </w:p>
        </w:tc>
        <w:tc>
          <w:tcPr>
            <w:tcW w:w="592"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100%</w:t>
            </w:r>
          </w:p>
        </w:tc>
        <w:tc>
          <w:tcPr>
            <w:tcW w:w="592"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50%</w:t>
            </w:r>
          </w:p>
        </w:tc>
        <w:tc>
          <w:tcPr>
            <w:tcW w:w="591"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100%</w:t>
            </w:r>
          </w:p>
        </w:tc>
        <w:tc>
          <w:tcPr>
            <w:tcW w:w="592"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50%</w:t>
            </w:r>
          </w:p>
        </w:tc>
        <w:tc>
          <w:tcPr>
            <w:tcW w:w="592"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50%</w:t>
            </w:r>
          </w:p>
        </w:tc>
      </w:tr>
      <w:tr w:rsidR="00A34F5F" w:rsidRPr="00C71A29" w:rsidTr="00C71A29">
        <w:trPr>
          <w:trHeight w:val="300"/>
        </w:trPr>
        <w:tc>
          <w:tcPr>
            <w:tcW w:w="1360" w:type="dxa"/>
            <w:shd w:val="clear" w:color="000000" w:fill="000000"/>
            <w:noWrap/>
            <w:vAlign w:val="center"/>
            <w:hideMark/>
          </w:tcPr>
          <w:p w:rsidR="003E2595" w:rsidRPr="00C71A29" w:rsidRDefault="003E2595" w:rsidP="00C71A29">
            <w:pPr>
              <w:spacing w:line="240" w:lineRule="auto"/>
              <w:jc w:val="center"/>
              <w:rPr>
                <w:rFonts w:ascii="Times New Roman" w:hAnsi="Times New Roman"/>
                <w:color w:val="FFFFFF"/>
                <w:sz w:val="18"/>
                <w:szCs w:val="18"/>
                <w:lang w:bidi="ar-SA"/>
              </w:rPr>
            </w:pPr>
            <w:r w:rsidRPr="00C71A29">
              <w:rPr>
                <w:rFonts w:ascii="Times New Roman" w:hAnsi="Times New Roman"/>
                <w:color w:val="FFFFFF"/>
                <w:sz w:val="18"/>
                <w:szCs w:val="18"/>
                <w:lang w:bidi="ar-SA"/>
              </w:rPr>
              <w:t>Government</w:t>
            </w:r>
          </w:p>
        </w:tc>
        <w:tc>
          <w:tcPr>
            <w:tcW w:w="591"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100%</w:t>
            </w:r>
          </w:p>
        </w:tc>
        <w:tc>
          <w:tcPr>
            <w:tcW w:w="592"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0%</w:t>
            </w:r>
          </w:p>
        </w:tc>
        <w:tc>
          <w:tcPr>
            <w:tcW w:w="592"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40%</w:t>
            </w:r>
          </w:p>
        </w:tc>
        <w:tc>
          <w:tcPr>
            <w:tcW w:w="591"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50%</w:t>
            </w:r>
          </w:p>
        </w:tc>
        <w:tc>
          <w:tcPr>
            <w:tcW w:w="592"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0%</w:t>
            </w:r>
          </w:p>
        </w:tc>
        <w:tc>
          <w:tcPr>
            <w:tcW w:w="592"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33%</w:t>
            </w:r>
          </w:p>
        </w:tc>
        <w:tc>
          <w:tcPr>
            <w:tcW w:w="591"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0%</w:t>
            </w:r>
          </w:p>
        </w:tc>
        <w:tc>
          <w:tcPr>
            <w:tcW w:w="592"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0%</w:t>
            </w:r>
          </w:p>
        </w:tc>
        <w:tc>
          <w:tcPr>
            <w:tcW w:w="592"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0%</w:t>
            </w:r>
          </w:p>
        </w:tc>
        <w:tc>
          <w:tcPr>
            <w:tcW w:w="591"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0%</w:t>
            </w:r>
          </w:p>
        </w:tc>
        <w:tc>
          <w:tcPr>
            <w:tcW w:w="592"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50%</w:t>
            </w:r>
          </w:p>
        </w:tc>
        <w:tc>
          <w:tcPr>
            <w:tcW w:w="592"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50%</w:t>
            </w:r>
          </w:p>
        </w:tc>
      </w:tr>
      <w:tr w:rsidR="00A34F5F" w:rsidRPr="00C71A29" w:rsidTr="00C71A29">
        <w:trPr>
          <w:trHeight w:val="300"/>
        </w:trPr>
        <w:tc>
          <w:tcPr>
            <w:tcW w:w="1360" w:type="dxa"/>
            <w:shd w:val="clear" w:color="000000" w:fill="000000"/>
            <w:noWrap/>
            <w:vAlign w:val="center"/>
            <w:hideMark/>
          </w:tcPr>
          <w:p w:rsidR="003E2595" w:rsidRPr="00C71A29" w:rsidRDefault="003E2595" w:rsidP="00E2576C">
            <w:pPr>
              <w:spacing w:line="240" w:lineRule="auto"/>
              <w:jc w:val="center"/>
              <w:rPr>
                <w:rFonts w:ascii="Times New Roman" w:hAnsi="Times New Roman"/>
                <w:color w:val="FFFFFF"/>
                <w:sz w:val="18"/>
                <w:szCs w:val="18"/>
                <w:lang w:bidi="ar-SA"/>
              </w:rPr>
            </w:pPr>
            <w:r w:rsidRPr="00C71A29">
              <w:rPr>
                <w:rFonts w:ascii="Times New Roman" w:hAnsi="Times New Roman"/>
                <w:color w:val="FFFFFF"/>
                <w:sz w:val="18"/>
                <w:szCs w:val="18"/>
                <w:lang w:bidi="ar-SA"/>
              </w:rPr>
              <w:t>Police</w:t>
            </w:r>
          </w:p>
        </w:tc>
        <w:tc>
          <w:tcPr>
            <w:tcW w:w="591"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0%</w:t>
            </w:r>
          </w:p>
        </w:tc>
        <w:tc>
          <w:tcPr>
            <w:tcW w:w="592"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0%</w:t>
            </w:r>
          </w:p>
        </w:tc>
        <w:tc>
          <w:tcPr>
            <w:tcW w:w="592"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0%</w:t>
            </w:r>
          </w:p>
        </w:tc>
        <w:tc>
          <w:tcPr>
            <w:tcW w:w="591"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0%</w:t>
            </w:r>
          </w:p>
        </w:tc>
        <w:tc>
          <w:tcPr>
            <w:tcW w:w="592"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20%</w:t>
            </w:r>
          </w:p>
        </w:tc>
        <w:tc>
          <w:tcPr>
            <w:tcW w:w="592"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0%</w:t>
            </w:r>
          </w:p>
        </w:tc>
        <w:tc>
          <w:tcPr>
            <w:tcW w:w="591"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0%</w:t>
            </w:r>
          </w:p>
        </w:tc>
        <w:tc>
          <w:tcPr>
            <w:tcW w:w="592"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0%</w:t>
            </w:r>
          </w:p>
        </w:tc>
        <w:tc>
          <w:tcPr>
            <w:tcW w:w="592"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50%</w:t>
            </w:r>
          </w:p>
        </w:tc>
        <w:tc>
          <w:tcPr>
            <w:tcW w:w="591"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0%</w:t>
            </w:r>
          </w:p>
        </w:tc>
        <w:tc>
          <w:tcPr>
            <w:tcW w:w="592"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0%</w:t>
            </w:r>
          </w:p>
        </w:tc>
        <w:tc>
          <w:tcPr>
            <w:tcW w:w="592"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0%</w:t>
            </w:r>
          </w:p>
        </w:tc>
      </w:tr>
      <w:tr w:rsidR="00A34F5F" w:rsidRPr="00C71A29" w:rsidTr="00C71A29">
        <w:trPr>
          <w:trHeight w:val="300"/>
        </w:trPr>
        <w:tc>
          <w:tcPr>
            <w:tcW w:w="1360" w:type="dxa"/>
            <w:shd w:val="clear" w:color="000000" w:fill="000000"/>
            <w:noWrap/>
            <w:vAlign w:val="center"/>
            <w:hideMark/>
          </w:tcPr>
          <w:p w:rsidR="003E2595" w:rsidRPr="00C71A29" w:rsidRDefault="003E2595" w:rsidP="00E2576C">
            <w:pPr>
              <w:spacing w:line="240" w:lineRule="auto"/>
              <w:jc w:val="center"/>
              <w:rPr>
                <w:rFonts w:ascii="Times New Roman" w:hAnsi="Times New Roman"/>
                <w:color w:val="FFFFFF"/>
                <w:sz w:val="18"/>
                <w:szCs w:val="18"/>
                <w:lang w:bidi="ar-SA"/>
              </w:rPr>
            </w:pPr>
            <w:r w:rsidRPr="00C71A29">
              <w:rPr>
                <w:rFonts w:ascii="Times New Roman" w:hAnsi="Times New Roman"/>
                <w:color w:val="FFFFFF"/>
                <w:sz w:val="18"/>
                <w:szCs w:val="18"/>
                <w:lang w:bidi="ar-SA"/>
              </w:rPr>
              <w:t>Civilian</w:t>
            </w:r>
          </w:p>
        </w:tc>
        <w:tc>
          <w:tcPr>
            <w:tcW w:w="591"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0%</w:t>
            </w:r>
          </w:p>
        </w:tc>
        <w:tc>
          <w:tcPr>
            <w:tcW w:w="592"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0%</w:t>
            </w:r>
          </w:p>
        </w:tc>
        <w:tc>
          <w:tcPr>
            <w:tcW w:w="592"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0%</w:t>
            </w:r>
          </w:p>
        </w:tc>
        <w:tc>
          <w:tcPr>
            <w:tcW w:w="591"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0%</w:t>
            </w:r>
          </w:p>
        </w:tc>
        <w:tc>
          <w:tcPr>
            <w:tcW w:w="592"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13%</w:t>
            </w:r>
          </w:p>
        </w:tc>
        <w:tc>
          <w:tcPr>
            <w:tcW w:w="592"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33%</w:t>
            </w:r>
          </w:p>
        </w:tc>
        <w:tc>
          <w:tcPr>
            <w:tcW w:w="591"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100%</w:t>
            </w:r>
          </w:p>
        </w:tc>
        <w:tc>
          <w:tcPr>
            <w:tcW w:w="592"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0%</w:t>
            </w:r>
          </w:p>
        </w:tc>
        <w:tc>
          <w:tcPr>
            <w:tcW w:w="592"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0%</w:t>
            </w:r>
          </w:p>
        </w:tc>
        <w:tc>
          <w:tcPr>
            <w:tcW w:w="591"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0%</w:t>
            </w:r>
          </w:p>
        </w:tc>
        <w:tc>
          <w:tcPr>
            <w:tcW w:w="592"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0%</w:t>
            </w:r>
          </w:p>
        </w:tc>
        <w:tc>
          <w:tcPr>
            <w:tcW w:w="592"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0%</w:t>
            </w:r>
          </w:p>
        </w:tc>
      </w:tr>
      <w:tr w:rsidR="00A34F5F" w:rsidRPr="00C71A29" w:rsidTr="00C71A29">
        <w:trPr>
          <w:trHeight w:val="300"/>
        </w:trPr>
        <w:tc>
          <w:tcPr>
            <w:tcW w:w="1360" w:type="dxa"/>
            <w:shd w:val="clear" w:color="000000" w:fill="000000"/>
            <w:noWrap/>
            <w:vAlign w:val="center"/>
            <w:hideMark/>
          </w:tcPr>
          <w:p w:rsidR="00A34F5F" w:rsidRPr="00C71A29" w:rsidRDefault="003E2595" w:rsidP="00E2576C">
            <w:pPr>
              <w:spacing w:line="240" w:lineRule="auto"/>
              <w:jc w:val="center"/>
              <w:rPr>
                <w:rFonts w:ascii="Times New Roman" w:hAnsi="Times New Roman"/>
                <w:color w:val="FFFFFF"/>
                <w:sz w:val="18"/>
                <w:szCs w:val="18"/>
                <w:lang w:bidi="ar-SA"/>
              </w:rPr>
            </w:pPr>
            <w:r w:rsidRPr="00C71A29">
              <w:rPr>
                <w:rFonts w:ascii="Times New Roman" w:hAnsi="Times New Roman"/>
                <w:color w:val="FFFFFF"/>
                <w:sz w:val="18"/>
                <w:szCs w:val="18"/>
                <w:lang w:bidi="ar-SA"/>
              </w:rPr>
              <w:t xml:space="preserve">Informal </w:t>
            </w:r>
          </w:p>
          <w:p w:rsidR="003E2595" w:rsidRPr="00C71A29" w:rsidRDefault="003E2595" w:rsidP="00E2576C">
            <w:pPr>
              <w:spacing w:line="240" w:lineRule="auto"/>
              <w:jc w:val="center"/>
              <w:rPr>
                <w:rFonts w:ascii="Times New Roman" w:hAnsi="Times New Roman"/>
                <w:color w:val="FFFFFF"/>
                <w:sz w:val="18"/>
                <w:szCs w:val="18"/>
                <w:lang w:bidi="ar-SA"/>
              </w:rPr>
            </w:pPr>
            <w:r w:rsidRPr="00C71A29">
              <w:rPr>
                <w:rFonts w:ascii="Times New Roman" w:hAnsi="Times New Roman"/>
                <w:color w:val="FFFFFF"/>
                <w:sz w:val="18"/>
                <w:szCs w:val="18"/>
                <w:lang w:bidi="ar-SA"/>
              </w:rPr>
              <w:t>Groups</w:t>
            </w:r>
          </w:p>
        </w:tc>
        <w:tc>
          <w:tcPr>
            <w:tcW w:w="591"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0%</w:t>
            </w:r>
          </w:p>
        </w:tc>
        <w:tc>
          <w:tcPr>
            <w:tcW w:w="592"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0%</w:t>
            </w:r>
          </w:p>
        </w:tc>
        <w:tc>
          <w:tcPr>
            <w:tcW w:w="592"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0%</w:t>
            </w:r>
          </w:p>
        </w:tc>
        <w:tc>
          <w:tcPr>
            <w:tcW w:w="591"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0%</w:t>
            </w:r>
          </w:p>
        </w:tc>
        <w:tc>
          <w:tcPr>
            <w:tcW w:w="592"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13%</w:t>
            </w:r>
          </w:p>
        </w:tc>
        <w:tc>
          <w:tcPr>
            <w:tcW w:w="592"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0%</w:t>
            </w:r>
          </w:p>
        </w:tc>
        <w:tc>
          <w:tcPr>
            <w:tcW w:w="591"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0%</w:t>
            </w:r>
          </w:p>
        </w:tc>
        <w:tc>
          <w:tcPr>
            <w:tcW w:w="592"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0%</w:t>
            </w:r>
          </w:p>
        </w:tc>
        <w:tc>
          <w:tcPr>
            <w:tcW w:w="592"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0%</w:t>
            </w:r>
          </w:p>
        </w:tc>
        <w:tc>
          <w:tcPr>
            <w:tcW w:w="591"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0%</w:t>
            </w:r>
          </w:p>
        </w:tc>
        <w:tc>
          <w:tcPr>
            <w:tcW w:w="592"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0%</w:t>
            </w:r>
          </w:p>
        </w:tc>
        <w:tc>
          <w:tcPr>
            <w:tcW w:w="592" w:type="dxa"/>
            <w:shd w:val="clear" w:color="auto" w:fill="auto"/>
            <w:noWrap/>
            <w:vAlign w:val="center"/>
            <w:hideMark/>
          </w:tcPr>
          <w:p w:rsidR="003E2595" w:rsidRPr="00C71A29" w:rsidRDefault="003E2595" w:rsidP="00E2576C">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0%</w:t>
            </w:r>
          </w:p>
        </w:tc>
      </w:tr>
    </w:tbl>
    <w:p w:rsidR="000645BF" w:rsidRPr="00A34F5F" w:rsidRDefault="000645BF" w:rsidP="0006720C">
      <w:pPr>
        <w:ind w:firstLine="720"/>
        <w:contextualSpacing/>
        <w:rPr>
          <w:sz w:val="16"/>
          <w:szCs w:val="16"/>
        </w:rPr>
      </w:pPr>
    </w:p>
    <w:p w:rsidR="000645BF" w:rsidRDefault="007E6BD7" w:rsidP="000645BF">
      <w:pPr>
        <w:ind w:firstLine="720"/>
        <w:contextualSpacing/>
      </w:pPr>
      <w:r>
        <w:t>The second era of suicide terrorism, the Era of Religious</w:t>
      </w:r>
      <w:r w:rsidR="00C06CC0">
        <w:t xml:space="preserve"> </w:t>
      </w:r>
      <w:r>
        <w:t>Nationalism, represents the use of suicide terrorism by primarily Qutbist influenced practitioners Hamas</w:t>
      </w:r>
      <w:r w:rsidR="00A71CD1">
        <w:t xml:space="preserve">, Al Qaeda, and </w:t>
      </w:r>
      <w:r>
        <w:t>the Chechen rebe</w:t>
      </w:r>
      <w:r w:rsidR="00A71CD1">
        <w:t>ls</w:t>
      </w:r>
      <w:r w:rsidR="004555DB">
        <w:t xml:space="preserve">.  </w:t>
      </w:r>
      <w:r w:rsidR="0006720C">
        <w:t xml:space="preserve">The Palestinian and Chechen groups straddled religious end-state objectives with nationalist politics.  </w:t>
      </w:r>
      <w:r w:rsidR="003455FF">
        <w:t>Suicide bombing in guerilla warfare became a tool in terrorism, with an increase in the intentional attack of soft targets across multiple conflicts</w:t>
      </w:r>
      <w:r w:rsidR="004555DB">
        <w:t xml:space="preserve">.  </w:t>
      </w:r>
      <w:r w:rsidR="003455FF">
        <w:t>Each of these groups pushed the boundar</w:t>
      </w:r>
      <w:r w:rsidR="0092142E">
        <w:t>ies of acceptable targets</w:t>
      </w:r>
      <w:r w:rsidR="003455FF">
        <w:t xml:space="preserve"> of suicide terrorism, justifying a step in one direction that a subsequent group would use to justify taking the next step</w:t>
      </w:r>
      <w:r w:rsidR="004555DB">
        <w:t xml:space="preserve">.  </w:t>
      </w:r>
    </w:p>
    <w:p w:rsidR="000645BF" w:rsidRDefault="000645BF" w:rsidP="000645BF">
      <w:pPr>
        <w:ind w:firstLine="720"/>
        <w:contextualSpacing/>
      </w:pPr>
      <w:r>
        <w:lastRenderedPageBreak/>
        <w:t xml:space="preserve">The organizations practicing suicide terrorism had tangible political goals for using the tactic, yet the volunteers would cite religious reasons—and more importantly, rewards—for volunteering to go through with the tactic.  This would incentivize the individual to become a suicide bomber.  In Palestine, a cult of martyrdom sprouted that transcended the political objectives of the sponsoring organization, to the extent that the suicide bombing wing of Hamas (al-Qassam Brigade) would conduct attacks despite explicit opposition by political leaders of Hamas.  </w:t>
      </w:r>
      <w:r w:rsidRPr="003776BC">
        <w:t>From 1994 to 2004—which includes a significant number of LTTE attacks and the start of Operation Iraqi Freedom (OIF)—</w:t>
      </w:r>
      <w:r>
        <w:t xml:space="preserve">there were 467 total </w:t>
      </w:r>
      <w:r w:rsidRPr="003776BC">
        <w:t>global suicide attack targets</w:t>
      </w:r>
      <w:r>
        <w:t>.  The total target breakdown for this era is:</w:t>
      </w:r>
      <w:r w:rsidRPr="003776BC">
        <w:t xml:space="preserve"> </w:t>
      </w:r>
      <w:r>
        <w:t>Military (24%), G</w:t>
      </w:r>
      <w:r w:rsidRPr="003776BC">
        <w:t xml:space="preserve">overnment (14%), </w:t>
      </w:r>
      <w:r>
        <w:t>P</w:t>
      </w:r>
      <w:r w:rsidRPr="003776BC">
        <w:t xml:space="preserve">olice (13%), </w:t>
      </w:r>
      <w:r>
        <w:t>C</w:t>
      </w:r>
      <w:r w:rsidRPr="003776BC">
        <w:t xml:space="preserve">ivilian (44%), and </w:t>
      </w:r>
      <w:r>
        <w:t>I</w:t>
      </w:r>
      <w:r w:rsidRPr="003776BC">
        <w:t xml:space="preserve">nformal </w:t>
      </w:r>
      <w:r>
        <w:t>G</w:t>
      </w:r>
      <w:r w:rsidRPr="003776BC">
        <w:t>roup</w:t>
      </w:r>
      <w:r>
        <w:t>/Unknown</w:t>
      </w:r>
      <w:r w:rsidRPr="003776BC">
        <w:t xml:space="preserve"> (4%).</w:t>
      </w:r>
      <w:r w:rsidRPr="003776BC">
        <w:rPr>
          <w:rStyle w:val="FootnoteReference"/>
        </w:rPr>
        <w:footnoteReference w:id="107"/>
      </w:r>
      <w:r>
        <w:t xml:space="preserve">  </w:t>
      </w:r>
      <w:r w:rsidRPr="003776BC">
        <w:t xml:space="preserve">Table </w:t>
      </w:r>
      <w:r>
        <w:t>2</w:t>
      </w:r>
      <w:r w:rsidRPr="003776BC">
        <w:t xml:space="preserve"> represents the breakdown of targets by year, and demonstrates</w:t>
      </w:r>
      <w:r>
        <w:t xml:space="preserve"> how the spread of Qutbist ideological categories influenced the increase in </w:t>
      </w:r>
      <w:r w:rsidRPr="003776BC">
        <w:t>civilian based targets.</w:t>
      </w:r>
      <w:r>
        <w:t xml:space="preserve"> </w:t>
      </w:r>
    </w:p>
    <w:p w:rsidR="0006720C" w:rsidRPr="0006720C" w:rsidRDefault="0006720C" w:rsidP="0006720C">
      <w:pPr>
        <w:pStyle w:val="Caption"/>
        <w:keepNext/>
        <w:spacing w:line="480" w:lineRule="auto"/>
        <w:jc w:val="center"/>
        <w:rPr>
          <w:sz w:val="20"/>
          <w:szCs w:val="20"/>
        </w:rPr>
      </w:pPr>
      <w:bookmarkStart w:id="32" w:name="_Toc448696237"/>
      <w:bookmarkStart w:id="33" w:name="_Toc450569730"/>
      <w:r w:rsidRPr="0006720C">
        <w:rPr>
          <w:sz w:val="20"/>
          <w:szCs w:val="20"/>
        </w:rPr>
        <w:t xml:space="preserve">Table </w:t>
      </w:r>
      <w:r w:rsidR="0015339F" w:rsidRPr="0006720C">
        <w:rPr>
          <w:sz w:val="20"/>
          <w:szCs w:val="20"/>
        </w:rPr>
        <w:fldChar w:fldCharType="begin"/>
      </w:r>
      <w:r w:rsidRPr="0006720C">
        <w:rPr>
          <w:sz w:val="20"/>
          <w:szCs w:val="20"/>
        </w:rPr>
        <w:instrText xml:space="preserve"> SEQ Table \* ARABIC </w:instrText>
      </w:r>
      <w:r w:rsidR="0015339F" w:rsidRPr="0006720C">
        <w:rPr>
          <w:sz w:val="20"/>
          <w:szCs w:val="20"/>
        </w:rPr>
        <w:fldChar w:fldCharType="separate"/>
      </w:r>
      <w:r w:rsidRPr="0006720C">
        <w:rPr>
          <w:noProof/>
          <w:sz w:val="20"/>
          <w:szCs w:val="20"/>
        </w:rPr>
        <w:t>2</w:t>
      </w:r>
      <w:r w:rsidR="0015339F" w:rsidRPr="0006720C">
        <w:rPr>
          <w:sz w:val="20"/>
          <w:szCs w:val="20"/>
        </w:rPr>
        <w:fldChar w:fldCharType="end"/>
      </w:r>
      <w:r w:rsidRPr="0006720C">
        <w:rPr>
          <w:sz w:val="20"/>
          <w:szCs w:val="20"/>
        </w:rPr>
        <w:t xml:space="preserve"> – Era of Religious Nationalism, Total Global Suicide Attacks, by Year, by Target (START)</w:t>
      </w:r>
      <w:bookmarkEnd w:id="32"/>
      <w:bookmarkEnd w:id="33"/>
    </w:p>
    <w:tbl>
      <w:tblPr>
        <w:tblW w:w="0" w:type="auto"/>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9"/>
        <w:gridCol w:w="510"/>
        <w:gridCol w:w="510"/>
        <w:gridCol w:w="510"/>
        <w:gridCol w:w="510"/>
        <w:gridCol w:w="510"/>
        <w:gridCol w:w="510"/>
        <w:gridCol w:w="510"/>
        <w:gridCol w:w="510"/>
        <w:gridCol w:w="510"/>
        <w:gridCol w:w="510"/>
        <w:gridCol w:w="679"/>
      </w:tblGrid>
      <w:tr w:rsidR="0006720C" w:rsidRPr="00C71A29" w:rsidTr="00C71A29">
        <w:trPr>
          <w:cantSplit/>
          <w:trHeight w:val="818"/>
          <w:jc w:val="center"/>
        </w:trPr>
        <w:tc>
          <w:tcPr>
            <w:tcW w:w="1819" w:type="dxa"/>
            <w:shd w:val="clear" w:color="000000" w:fill="000000"/>
            <w:noWrap/>
            <w:vAlign w:val="center"/>
            <w:hideMark/>
          </w:tcPr>
          <w:p w:rsidR="0006720C" w:rsidRPr="00C71A29" w:rsidRDefault="0006720C" w:rsidP="00C71A29">
            <w:pPr>
              <w:spacing w:line="240" w:lineRule="auto"/>
              <w:jc w:val="center"/>
              <w:rPr>
                <w:color w:val="FFFFFF"/>
                <w:sz w:val="18"/>
                <w:szCs w:val="18"/>
              </w:rPr>
            </w:pPr>
            <w:r w:rsidRPr="00C71A29">
              <w:rPr>
                <w:color w:val="FFFFFF"/>
                <w:sz w:val="18"/>
                <w:szCs w:val="18"/>
              </w:rPr>
              <w:t>Year</w:t>
            </w:r>
          </w:p>
        </w:tc>
        <w:tc>
          <w:tcPr>
            <w:tcW w:w="0" w:type="auto"/>
            <w:shd w:val="clear" w:color="000000" w:fill="000000"/>
            <w:noWrap/>
            <w:textDirection w:val="btLr"/>
            <w:vAlign w:val="center"/>
            <w:hideMark/>
          </w:tcPr>
          <w:p w:rsidR="0006720C" w:rsidRPr="00C71A29" w:rsidRDefault="0006720C" w:rsidP="00C71A29">
            <w:pPr>
              <w:spacing w:line="240" w:lineRule="auto"/>
              <w:ind w:left="113" w:right="113"/>
              <w:jc w:val="center"/>
              <w:rPr>
                <w:color w:val="FFFFFF"/>
                <w:sz w:val="18"/>
                <w:szCs w:val="18"/>
              </w:rPr>
            </w:pPr>
            <w:r w:rsidRPr="00C71A29">
              <w:rPr>
                <w:color w:val="FFFFFF"/>
                <w:sz w:val="18"/>
                <w:szCs w:val="18"/>
              </w:rPr>
              <w:t>1994</w:t>
            </w:r>
          </w:p>
        </w:tc>
        <w:tc>
          <w:tcPr>
            <w:tcW w:w="0" w:type="auto"/>
            <w:shd w:val="clear" w:color="000000" w:fill="000000"/>
            <w:noWrap/>
            <w:textDirection w:val="btLr"/>
            <w:vAlign w:val="center"/>
            <w:hideMark/>
          </w:tcPr>
          <w:p w:rsidR="0006720C" w:rsidRPr="00C71A29" w:rsidRDefault="0006720C" w:rsidP="00C71A29">
            <w:pPr>
              <w:spacing w:line="240" w:lineRule="auto"/>
              <w:ind w:left="113" w:right="113"/>
              <w:jc w:val="center"/>
              <w:rPr>
                <w:color w:val="FFFFFF"/>
                <w:sz w:val="18"/>
                <w:szCs w:val="18"/>
              </w:rPr>
            </w:pPr>
            <w:r w:rsidRPr="00C71A29">
              <w:rPr>
                <w:color w:val="FFFFFF"/>
                <w:sz w:val="18"/>
                <w:szCs w:val="18"/>
              </w:rPr>
              <w:t>1995</w:t>
            </w:r>
          </w:p>
        </w:tc>
        <w:tc>
          <w:tcPr>
            <w:tcW w:w="0" w:type="auto"/>
            <w:shd w:val="clear" w:color="000000" w:fill="000000"/>
            <w:noWrap/>
            <w:textDirection w:val="btLr"/>
            <w:vAlign w:val="center"/>
            <w:hideMark/>
          </w:tcPr>
          <w:p w:rsidR="0006720C" w:rsidRPr="00C71A29" w:rsidRDefault="0006720C" w:rsidP="00C71A29">
            <w:pPr>
              <w:spacing w:line="240" w:lineRule="auto"/>
              <w:ind w:left="113" w:right="113"/>
              <w:jc w:val="center"/>
              <w:rPr>
                <w:color w:val="FFFFFF"/>
                <w:sz w:val="18"/>
                <w:szCs w:val="18"/>
              </w:rPr>
            </w:pPr>
            <w:r w:rsidRPr="00C71A29">
              <w:rPr>
                <w:color w:val="FFFFFF"/>
                <w:sz w:val="18"/>
                <w:szCs w:val="18"/>
              </w:rPr>
              <w:t>1996</w:t>
            </w:r>
          </w:p>
        </w:tc>
        <w:tc>
          <w:tcPr>
            <w:tcW w:w="0" w:type="auto"/>
            <w:shd w:val="clear" w:color="000000" w:fill="000000"/>
            <w:noWrap/>
            <w:textDirection w:val="btLr"/>
            <w:vAlign w:val="center"/>
            <w:hideMark/>
          </w:tcPr>
          <w:p w:rsidR="0006720C" w:rsidRPr="00C71A29" w:rsidRDefault="0006720C" w:rsidP="00C71A29">
            <w:pPr>
              <w:spacing w:line="240" w:lineRule="auto"/>
              <w:ind w:left="113" w:right="113"/>
              <w:jc w:val="center"/>
              <w:rPr>
                <w:color w:val="FFFFFF"/>
                <w:sz w:val="18"/>
                <w:szCs w:val="18"/>
              </w:rPr>
            </w:pPr>
            <w:r w:rsidRPr="00C71A29">
              <w:rPr>
                <w:color w:val="FFFFFF"/>
                <w:sz w:val="18"/>
                <w:szCs w:val="18"/>
              </w:rPr>
              <w:t>1997</w:t>
            </w:r>
          </w:p>
        </w:tc>
        <w:tc>
          <w:tcPr>
            <w:tcW w:w="0" w:type="auto"/>
            <w:shd w:val="clear" w:color="000000" w:fill="000000"/>
            <w:noWrap/>
            <w:textDirection w:val="btLr"/>
            <w:vAlign w:val="center"/>
            <w:hideMark/>
          </w:tcPr>
          <w:p w:rsidR="0006720C" w:rsidRPr="00C71A29" w:rsidRDefault="0006720C" w:rsidP="00C71A29">
            <w:pPr>
              <w:spacing w:line="240" w:lineRule="auto"/>
              <w:ind w:left="113" w:right="113"/>
              <w:jc w:val="center"/>
              <w:rPr>
                <w:color w:val="FFFFFF"/>
                <w:sz w:val="18"/>
                <w:szCs w:val="18"/>
              </w:rPr>
            </w:pPr>
            <w:r w:rsidRPr="00C71A29">
              <w:rPr>
                <w:color w:val="FFFFFF"/>
                <w:sz w:val="18"/>
                <w:szCs w:val="18"/>
              </w:rPr>
              <w:t>1998</w:t>
            </w:r>
          </w:p>
        </w:tc>
        <w:tc>
          <w:tcPr>
            <w:tcW w:w="0" w:type="auto"/>
            <w:shd w:val="clear" w:color="000000" w:fill="000000"/>
            <w:noWrap/>
            <w:textDirection w:val="btLr"/>
            <w:vAlign w:val="center"/>
            <w:hideMark/>
          </w:tcPr>
          <w:p w:rsidR="0006720C" w:rsidRPr="00C71A29" w:rsidRDefault="0006720C" w:rsidP="00C71A29">
            <w:pPr>
              <w:spacing w:line="240" w:lineRule="auto"/>
              <w:ind w:left="113" w:right="113"/>
              <w:jc w:val="center"/>
              <w:rPr>
                <w:color w:val="FFFFFF"/>
                <w:sz w:val="18"/>
                <w:szCs w:val="18"/>
              </w:rPr>
            </w:pPr>
            <w:r w:rsidRPr="00C71A29">
              <w:rPr>
                <w:color w:val="FFFFFF"/>
                <w:sz w:val="18"/>
                <w:szCs w:val="18"/>
              </w:rPr>
              <w:t>1999</w:t>
            </w:r>
          </w:p>
        </w:tc>
        <w:tc>
          <w:tcPr>
            <w:tcW w:w="0" w:type="auto"/>
            <w:shd w:val="clear" w:color="000000" w:fill="000000"/>
            <w:noWrap/>
            <w:textDirection w:val="btLr"/>
            <w:vAlign w:val="center"/>
            <w:hideMark/>
          </w:tcPr>
          <w:p w:rsidR="0006720C" w:rsidRPr="00C71A29" w:rsidRDefault="0006720C" w:rsidP="00C71A29">
            <w:pPr>
              <w:spacing w:line="240" w:lineRule="auto"/>
              <w:ind w:left="113" w:right="113"/>
              <w:jc w:val="center"/>
              <w:rPr>
                <w:color w:val="FFFFFF"/>
                <w:sz w:val="18"/>
                <w:szCs w:val="18"/>
              </w:rPr>
            </w:pPr>
            <w:r w:rsidRPr="00C71A29">
              <w:rPr>
                <w:color w:val="FFFFFF"/>
                <w:sz w:val="18"/>
                <w:szCs w:val="18"/>
              </w:rPr>
              <w:t>2000</w:t>
            </w:r>
          </w:p>
        </w:tc>
        <w:tc>
          <w:tcPr>
            <w:tcW w:w="0" w:type="auto"/>
            <w:shd w:val="clear" w:color="000000" w:fill="000000"/>
            <w:noWrap/>
            <w:textDirection w:val="btLr"/>
            <w:vAlign w:val="center"/>
            <w:hideMark/>
          </w:tcPr>
          <w:p w:rsidR="0006720C" w:rsidRPr="00C71A29" w:rsidRDefault="0006720C" w:rsidP="00C71A29">
            <w:pPr>
              <w:spacing w:line="240" w:lineRule="auto"/>
              <w:ind w:left="113" w:right="113"/>
              <w:jc w:val="center"/>
              <w:rPr>
                <w:color w:val="FFFFFF"/>
                <w:sz w:val="18"/>
                <w:szCs w:val="18"/>
              </w:rPr>
            </w:pPr>
            <w:r w:rsidRPr="00C71A29">
              <w:rPr>
                <w:color w:val="FFFFFF"/>
                <w:sz w:val="18"/>
                <w:szCs w:val="18"/>
              </w:rPr>
              <w:t>2001</w:t>
            </w:r>
          </w:p>
        </w:tc>
        <w:tc>
          <w:tcPr>
            <w:tcW w:w="0" w:type="auto"/>
            <w:shd w:val="clear" w:color="000000" w:fill="000000"/>
            <w:noWrap/>
            <w:textDirection w:val="btLr"/>
            <w:vAlign w:val="center"/>
            <w:hideMark/>
          </w:tcPr>
          <w:p w:rsidR="0006720C" w:rsidRPr="00C71A29" w:rsidRDefault="0006720C" w:rsidP="00C71A29">
            <w:pPr>
              <w:spacing w:line="240" w:lineRule="auto"/>
              <w:ind w:left="113" w:right="113"/>
              <w:jc w:val="center"/>
              <w:rPr>
                <w:color w:val="FFFFFF"/>
                <w:sz w:val="18"/>
                <w:szCs w:val="18"/>
              </w:rPr>
            </w:pPr>
            <w:r w:rsidRPr="00C71A29">
              <w:rPr>
                <w:color w:val="FFFFFF"/>
                <w:sz w:val="18"/>
                <w:szCs w:val="18"/>
              </w:rPr>
              <w:t>2002</w:t>
            </w:r>
          </w:p>
        </w:tc>
        <w:tc>
          <w:tcPr>
            <w:tcW w:w="0" w:type="auto"/>
            <w:shd w:val="clear" w:color="000000" w:fill="000000"/>
            <w:noWrap/>
            <w:textDirection w:val="btLr"/>
            <w:vAlign w:val="center"/>
            <w:hideMark/>
          </w:tcPr>
          <w:p w:rsidR="0006720C" w:rsidRPr="00C71A29" w:rsidRDefault="0006720C" w:rsidP="00C71A29">
            <w:pPr>
              <w:spacing w:line="240" w:lineRule="auto"/>
              <w:ind w:left="113" w:right="113"/>
              <w:jc w:val="center"/>
              <w:rPr>
                <w:color w:val="FFFFFF"/>
                <w:sz w:val="18"/>
                <w:szCs w:val="18"/>
              </w:rPr>
            </w:pPr>
            <w:r w:rsidRPr="00C71A29">
              <w:rPr>
                <w:color w:val="FFFFFF"/>
                <w:sz w:val="18"/>
                <w:szCs w:val="18"/>
              </w:rPr>
              <w:t>2003</w:t>
            </w:r>
          </w:p>
        </w:tc>
        <w:tc>
          <w:tcPr>
            <w:tcW w:w="679" w:type="dxa"/>
            <w:shd w:val="clear" w:color="000000" w:fill="000000"/>
            <w:noWrap/>
            <w:textDirection w:val="btLr"/>
            <w:vAlign w:val="center"/>
            <w:hideMark/>
          </w:tcPr>
          <w:p w:rsidR="0006720C" w:rsidRPr="00C71A29" w:rsidRDefault="0006720C" w:rsidP="00C71A29">
            <w:pPr>
              <w:spacing w:line="240" w:lineRule="auto"/>
              <w:ind w:left="113" w:right="113"/>
              <w:jc w:val="center"/>
              <w:rPr>
                <w:color w:val="FFFFFF"/>
                <w:sz w:val="18"/>
                <w:szCs w:val="18"/>
              </w:rPr>
            </w:pPr>
            <w:r w:rsidRPr="00C71A29">
              <w:rPr>
                <w:color w:val="FFFFFF"/>
                <w:sz w:val="18"/>
                <w:szCs w:val="18"/>
              </w:rPr>
              <w:t>2004</w:t>
            </w:r>
          </w:p>
        </w:tc>
      </w:tr>
      <w:tr w:rsidR="0006720C" w:rsidRPr="00C71A29" w:rsidTr="00C71A29">
        <w:trPr>
          <w:trHeight w:val="300"/>
          <w:jc w:val="center"/>
        </w:trPr>
        <w:tc>
          <w:tcPr>
            <w:tcW w:w="1819" w:type="dxa"/>
            <w:shd w:val="clear" w:color="000000" w:fill="000000"/>
            <w:noWrap/>
            <w:vAlign w:val="bottom"/>
            <w:hideMark/>
          </w:tcPr>
          <w:p w:rsidR="0006720C" w:rsidRPr="00C71A29" w:rsidRDefault="0006720C" w:rsidP="00E01DC5">
            <w:pPr>
              <w:spacing w:line="240" w:lineRule="auto"/>
              <w:jc w:val="center"/>
              <w:rPr>
                <w:i/>
                <w:iCs/>
                <w:color w:val="FFFFFF"/>
                <w:sz w:val="16"/>
                <w:szCs w:val="16"/>
              </w:rPr>
            </w:pPr>
            <w:r w:rsidRPr="00C71A29">
              <w:rPr>
                <w:i/>
                <w:iCs/>
                <w:color w:val="FFFFFF"/>
                <w:sz w:val="16"/>
                <w:szCs w:val="16"/>
              </w:rPr>
              <w:t>Total Attacks</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11</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20</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15</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12</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22</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27</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37</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53</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75</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83</w:t>
            </w:r>
          </w:p>
        </w:tc>
        <w:tc>
          <w:tcPr>
            <w:tcW w:w="679" w:type="dxa"/>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112</w:t>
            </w:r>
          </w:p>
        </w:tc>
      </w:tr>
      <w:tr w:rsidR="0006720C" w:rsidRPr="00C71A29" w:rsidTr="00C71A29">
        <w:trPr>
          <w:trHeight w:val="300"/>
          <w:jc w:val="center"/>
        </w:trPr>
        <w:tc>
          <w:tcPr>
            <w:tcW w:w="1819" w:type="dxa"/>
            <w:shd w:val="clear" w:color="000000" w:fill="000000"/>
            <w:noWrap/>
            <w:vAlign w:val="bottom"/>
            <w:hideMark/>
          </w:tcPr>
          <w:p w:rsidR="0006720C" w:rsidRPr="00C71A29" w:rsidRDefault="0006720C" w:rsidP="00E01DC5">
            <w:pPr>
              <w:spacing w:line="240" w:lineRule="auto"/>
              <w:jc w:val="center"/>
              <w:rPr>
                <w:color w:val="FFFFFF"/>
                <w:sz w:val="16"/>
                <w:szCs w:val="16"/>
              </w:rPr>
            </w:pPr>
            <w:r w:rsidRPr="00C71A29">
              <w:rPr>
                <w:color w:val="FFFFFF"/>
                <w:sz w:val="16"/>
                <w:szCs w:val="16"/>
              </w:rPr>
              <w:t>Military</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45%</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40%</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27%</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33%</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32%</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11%</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59%</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15%</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13%</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19%</w:t>
            </w:r>
          </w:p>
        </w:tc>
        <w:tc>
          <w:tcPr>
            <w:tcW w:w="679" w:type="dxa"/>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24%</w:t>
            </w:r>
          </w:p>
        </w:tc>
      </w:tr>
      <w:tr w:rsidR="0006720C" w:rsidRPr="00C71A29" w:rsidTr="00C71A29">
        <w:trPr>
          <w:trHeight w:val="300"/>
          <w:jc w:val="center"/>
        </w:trPr>
        <w:tc>
          <w:tcPr>
            <w:tcW w:w="1819" w:type="dxa"/>
            <w:shd w:val="clear" w:color="000000" w:fill="000000"/>
            <w:noWrap/>
            <w:vAlign w:val="bottom"/>
            <w:hideMark/>
          </w:tcPr>
          <w:p w:rsidR="0006720C" w:rsidRPr="00C71A29" w:rsidRDefault="0006720C" w:rsidP="00E01DC5">
            <w:pPr>
              <w:spacing w:line="240" w:lineRule="auto"/>
              <w:jc w:val="center"/>
              <w:rPr>
                <w:color w:val="FFFFFF"/>
                <w:sz w:val="16"/>
                <w:szCs w:val="16"/>
              </w:rPr>
            </w:pPr>
            <w:r w:rsidRPr="00C71A29">
              <w:rPr>
                <w:color w:val="FFFFFF"/>
                <w:sz w:val="16"/>
                <w:szCs w:val="16"/>
              </w:rPr>
              <w:t>Government</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0%</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5%</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7%</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0%</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18%</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30%</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22%</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9%</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5%</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14%</w:t>
            </w:r>
          </w:p>
        </w:tc>
        <w:tc>
          <w:tcPr>
            <w:tcW w:w="679" w:type="dxa"/>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21%</w:t>
            </w:r>
          </w:p>
        </w:tc>
      </w:tr>
      <w:tr w:rsidR="0006720C" w:rsidRPr="00C71A29" w:rsidTr="00C71A29">
        <w:trPr>
          <w:trHeight w:val="300"/>
          <w:jc w:val="center"/>
        </w:trPr>
        <w:tc>
          <w:tcPr>
            <w:tcW w:w="1819" w:type="dxa"/>
            <w:shd w:val="clear" w:color="000000" w:fill="000000"/>
            <w:noWrap/>
            <w:vAlign w:val="bottom"/>
            <w:hideMark/>
          </w:tcPr>
          <w:p w:rsidR="0006720C" w:rsidRPr="00C71A29" w:rsidRDefault="0006720C" w:rsidP="00E01DC5">
            <w:pPr>
              <w:spacing w:line="240" w:lineRule="auto"/>
              <w:jc w:val="center"/>
              <w:rPr>
                <w:color w:val="FFFFFF"/>
                <w:sz w:val="16"/>
                <w:szCs w:val="16"/>
              </w:rPr>
            </w:pPr>
            <w:r w:rsidRPr="00C71A29">
              <w:rPr>
                <w:color w:val="FFFFFF"/>
                <w:sz w:val="16"/>
                <w:szCs w:val="16"/>
              </w:rPr>
              <w:t>Police</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0%</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20%</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27%</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17%</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0%</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22%</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11%</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9%</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3%</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7%</w:t>
            </w:r>
          </w:p>
        </w:tc>
        <w:tc>
          <w:tcPr>
            <w:tcW w:w="679" w:type="dxa"/>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24%</w:t>
            </w:r>
          </w:p>
        </w:tc>
      </w:tr>
      <w:tr w:rsidR="0006720C" w:rsidRPr="00C71A29" w:rsidTr="00C71A29">
        <w:trPr>
          <w:trHeight w:val="300"/>
          <w:jc w:val="center"/>
        </w:trPr>
        <w:tc>
          <w:tcPr>
            <w:tcW w:w="1819" w:type="dxa"/>
            <w:shd w:val="clear" w:color="000000" w:fill="000000"/>
            <w:noWrap/>
            <w:vAlign w:val="bottom"/>
            <w:hideMark/>
          </w:tcPr>
          <w:p w:rsidR="0006720C" w:rsidRPr="00C71A29" w:rsidRDefault="0006720C" w:rsidP="00E01DC5">
            <w:pPr>
              <w:spacing w:line="240" w:lineRule="auto"/>
              <w:jc w:val="center"/>
              <w:rPr>
                <w:color w:val="FFFFFF"/>
                <w:sz w:val="16"/>
                <w:szCs w:val="16"/>
              </w:rPr>
            </w:pPr>
            <w:r w:rsidRPr="00C71A29">
              <w:rPr>
                <w:color w:val="FFFFFF"/>
                <w:sz w:val="16"/>
                <w:szCs w:val="16"/>
              </w:rPr>
              <w:t>Civilian</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45%</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25%</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33%</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50%</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45%</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22%</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8%</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62%</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72%</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57%</w:t>
            </w:r>
          </w:p>
        </w:tc>
        <w:tc>
          <w:tcPr>
            <w:tcW w:w="679" w:type="dxa"/>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28%</w:t>
            </w:r>
          </w:p>
        </w:tc>
      </w:tr>
      <w:tr w:rsidR="0006720C" w:rsidRPr="00C71A29" w:rsidTr="00C71A29">
        <w:trPr>
          <w:trHeight w:val="300"/>
          <w:jc w:val="center"/>
        </w:trPr>
        <w:tc>
          <w:tcPr>
            <w:tcW w:w="1819" w:type="dxa"/>
            <w:shd w:val="clear" w:color="000000" w:fill="000000"/>
            <w:noWrap/>
            <w:vAlign w:val="bottom"/>
            <w:hideMark/>
          </w:tcPr>
          <w:p w:rsidR="0006720C" w:rsidRPr="00C71A29" w:rsidRDefault="0006720C" w:rsidP="00E01DC5">
            <w:pPr>
              <w:spacing w:line="240" w:lineRule="auto"/>
              <w:jc w:val="center"/>
              <w:rPr>
                <w:color w:val="FFFFFF"/>
                <w:sz w:val="16"/>
                <w:szCs w:val="16"/>
              </w:rPr>
            </w:pPr>
            <w:r w:rsidRPr="00C71A29">
              <w:rPr>
                <w:color w:val="FFFFFF"/>
                <w:sz w:val="16"/>
                <w:szCs w:val="16"/>
              </w:rPr>
              <w:t>Informal Groups</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9%</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0%</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0%</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0%</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5%</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4%</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0%</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4%</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0%</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0%</w:t>
            </w:r>
          </w:p>
        </w:tc>
        <w:tc>
          <w:tcPr>
            <w:tcW w:w="679" w:type="dxa"/>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1%</w:t>
            </w:r>
          </w:p>
        </w:tc>
      </w:tr>
      <w:tr w:rsidR="0006720C" w:rsidRPr="00C71A29" w:rsidTr="00C71A29">
        <w:trPr>
          <w:trHeight w:val="314"/>
          <w:jc w:val="center"/>
        </w:trPr>
        <w:tc>
          <w:tcPr>
            <w:tcW w:w="1819" w:type="dxa"/>
            <w:shd w:val="clear" w:color="000000" w:fill="000000"/>
            <w:noWrap/>
            <w:vAlign w:val="bottom"/>
            <w:hideMark/>
          </w:tcPr>
          <w:p w:rsidR="0006720C" w:rsidRPr="00C71A29" w:rsidRDefault="0006720C" w:rsidP="00E01DC5">
            <w:pPr>
              <w:spacing w:line="240" w:lineRule="auto"/>
              <w:jc w:val="center"/>
              <w:rPr>
                <w:color w:val="FFFFFF"/>
                <w:sz w:val="16"/>
                <w:szCs w:val="16"/>
              </w:rPr>
            </w:pPr>
            <w:r w:rsidRPr="00C71A29">
              <w:rPr>
                <w:color w:val="FFFFFF"/>
                <w:sz w:val="16"/>
                <w:szCs w:val="16"/>
              </w:rPr>
              <w:t>Unknown</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0%</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10%</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7%</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0%</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0%</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11%</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0%</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0%</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7%</w:t>
            </w:r>
          </w:p>
        </w:tc>
        <w:tc>
          <w:tcPr>
            <w:tcW w:w="0" w:type="auto"/>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2%</w:t>
            </w:r>
          </w:p>
        </w:tc>
        <w:tc>
          <w:tcPr>
            <w:tcW w:w="679" w:type="dxa"/>
            <w:shd w:val="clear" w:color="auto" w:fill="auto"/>
            <w:noWrap/>
            <w:vAlign w:val="bottom"/>
            <w:hideMark/>
          </w:tcPr>
          <w:p w:rsidR="0006720C" w:rsidRPr="00C71A29" w:rsidRDefault="0006720C" w:rsidP="00E01DC5">
            <w:pPr>
              <w:spacing w:line="240" w:lineRule="auto"/>
              <w:jc w:val="center"/>
              <w:rPr>
                <w:color w:val="000000"/>
                <w:sz w:val="16"/>
                <w:szCs w:val="16"/>
              </w:rPr>
            </w:pPr>
            <w:r w:rsidRPr="00C71A29">
              <w:rPr>
                <w:color w:val="000000"/>
                <w:sz w:val="16"/>
                <w:szCs w:val="16"/>
              </w:rPr>
              <w:t>2%</w:t>
            </w:r>
          </w:p>
        </w:tc>
      </w:tr>
    </w:tbl>
    <w:p w:rsidR="0006720C" w:rsidRPr="00C71A29" w:rsidRDefault="0006720C" w:rsidP="0006720C">
      <w:pPr>
        <w:contextualSpacing/>
        <w:rPr>
          <w:sz w:val="16"/>
          <w:szCs w:val="16"/>
        </w:rPr>
      </w:pPr>
    </w:p>
    <w:p w:rsidR="003A4F86" w:rsidRPr="003A4F86" w:rsidRDefault="003455FF" w:rsidP="003A4F86">
      <w:pPr>
        <w:ind w:firstLine="720"/>
        <w:contextualSpacing/>
      </w:pPr>
      <w:r>
        <w:t xml:space="preserve">The </w:t>
      </w:r>
      <w:r w:rsidR="0037428F">
        <w:t xml:space="preserve">third era of suicide terrorism, the Era of Fitna, represents the rise of ISIS, the Afghanistan and Pakistan Talibans, the Boko Haram in Nigeria, and Al Qaeda </w:t>
      </w:r>
      <w:r w:rsidR="0037428F">
        <w:lastRenderedPageBreak/>
        <w:t>franchises in Yemen, Syria (al-Nusra), and Somalia</w:t>
      </w:r>
      <w:r w:rsidR="004555DB">
        <w:t xml:space="preserve">.  </w:t>
      </w:r>
      <w:r w:rsidR="00B509CB">
        <w:t>ISIS has been conducting the most devastating suicide bombing campaign in history since 2005</w:t>
      </w:r>
      <w:r w:rsidR="004555DB">
        <w:t xml:space="preserve">.  </w:t>
      </w:r>
      <w:r w:rsidR="00B509CB">
        <w:t xml:space="preserve">ISIS </w:t>
      </w:r>
      <w:r w:rsidR="0092142E">
        <w:t>combined</w:t>
      </w:r>
      <w:r w:rsidR="00B509CB">
        <w:t xml:space="preserve"> multiple trends </w:t>
      </w:r>
      <w:r w:rsidR="0092142E">
        <w:t xml:space="preserve">of the tactic </w:t>
      </w:r>
      <w:r w:rsidR="00B509CB">
        <w:t>up to this point:</w:t>
      </w:r>
      <w:r w:rsidR="004555DB">
        <w:t xml:space="preserve"> </w:t>
      </w:r>
      <w:r w:rsidR="00B509CB">
        <w:t xml:space="preserve">the strong in-group and out-group divide from Qutbism, </w:t>
      </w:r>
      <w:r w:rsidR="00CB5A82">
        <w:t xml:space="preserve">the ideological objective to build a new government based on the pure and ideal religion, </w:t>
      </w:r>
      <w:r w:rsidR="00B509CB">
        <w:t xml:space="preserve">the dehumanization of non-combatants as </w:t>
      </w:r>
      <w:r w:rsidR="00B509CB">
        <w:rPr>
          <w:i/>
          <w:iCs/>
        </w:rPr>
        <w:t xml:space="preserve">takfir </w:t>
      </w:r>
      <w:r w:rsidR="00B509CB">
        <w:t>which justified the murder of fellow Muslims, and the cult of martyrdom exported from Palestine to incentivize</w:t>
      </w:r>
      <w:r w:rsidR="00CB5A82">
        <w:t xml:space="preserve"> the individual</w:t>
      </w:r>
      <w:r w:rsidR="0092142E">
        <w:t xml:space="preserve"> to commit suicide</w:t>
      </w:r>
      <w:r w:rsidR="004555DB">
        <w:t xml:space="preserve">.  </w:t>
      </w:r>
    </w:p>
    <w:p w:rsidR="003A4F86" w:rsidRPr="003A4F86" w:rsidRDefault="003A4F86" w:rsidP="003A4F86">
      <w:pPr>
        <w:pStyle w:val="Caption"/>
        <w:keepNext/>
        <w:jc w:val="center"/>
        <w:rPr>
          <w:sz w:val="20"/>
          <w:szCs w:val="20"/>
        </w:rPr>
      </w:pPr>
      <w:bookmarkStart w:id="34" w:name="_Toc450569731"/>
      <w:r w:rsidRPr="003A4F86">
        <w:rPr>
          <w:sz w:val="20"/>
          <w:szCs w:val="20"/>
        </w:rPr>
        <w:t xml:space="preserve">Table </w:t>
      </w:r>
      <w:r w:rsidR="0015339F" w:rsidRPr="003A4F86">
        <w:rPr>
          <w:sz w:val="20"/>
          <w:szCs w:val="20"/>
        </w:rPr>
        <w:fldChar w:fldCharType="begin"/>
      </w:r>
      <w:r w:rsidRPr="003A4F86">
        <w:rPr>
          <w:sz w:val="20"/>
          <w:szCs w:val="20"/>
        </w:rPr>
        <w:instrText xml:space="preserve"> SEQ Table \* ARABIC </w:instrText>
      </w:r>
      <w:r w:rsidR="0015339F" w:rsidRPr="003A4F86">
        <w:rPr>
          <w:sz w:val="20"/>
          <w:szCs w:val="20"/>
        </w:rPr>
        <w:fldChar w:fldCharType="separate"/>
      </w:r>
      <w:r w:rsidRPr="003A4F86">
        <w:rPr>
          <w:noProof/>
          <w:sz w:val="20"/>
          <w:szCs w:val="20"/>
        </w:rPr>
        <w:t>3</w:t>
      </w:r>
      <w:r w:rsidR="0015339F" w:rsidRPr="003A4F86">
        <w:rPr>
          <w:noProof/>
          <w:sz w:val="20"/>
          <w:szCs w:val="20"/>
        </w:rPr>
        <w:fldChar w:fldCharType="end"/>
      </w:r>
      <w:r w:rsidRPr="003A4F86">
        <w:rPr>
          <w:sz w:val="20"/>
          <w:szCs w:val="20"/>
        </w:rPr>
        <w:t xml:space="preserve"> – Era of Fitna, Total Global Suicide Attacks, by Year, by Target (START)</w:t>
      </w:r>
      <w:bookmarkEnd w:id="34"/>
    </w:p>
    <w:tbl>
      <w:tblPr>
        <w:tblW w:w="847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685"/>
        <w:gridCol w:w="686"/>
        <w:gridCol w:w="685"/>
        <w:gridCol w:w="686"/>
        <w:gridCol w:w="685"/>
        <w:gridCol w:w="686"/>
        <w:gridCol w:w="685"/>
        <w:gridCol w:w="686"/>
        <w:gridCol w:w="685"/>
        <w:gridCol w:w="686"/>
      </w:tblGrid>
      <w:tr w:rsidR="003A4F86" w:rsidRPr="00C71A29" w:rsidTr="00C71A29">
        <w:trPr>
          <w:cantSplit/>
          <w:trHeight w:val="944"/>
        </w:trPr>
        <w:tc>
          <w:tcPr>
            <w:tcW w:w="1620" w:type="dxa"/>
            <w:shd w:val="clear" w:color="000000" w:fill="000000"/>
            <w:noWrap/>
            <w:vAlign w:val="center"/>
            <w:hideMark/>
          </w:tcPr>
          <w:p w:rsidR="003A4F86" w:rsidRPr="00C71A29" w:rsidRDefault="00C71A29" w:rsidP="00C71A29">
            <w:pPr>
              <w:spacing w:line="240" w:lineRule="auto"/>
              <w:jc w:val="center"/>
              <w:rPr>
                <w:rFonts w:ascii="Times New Roman" w:hAnsi="Times New Roman"/>
                <w:color w:val="FFFFFF"/>
                <w:sz w:val="18"/>
                <w:szCs w:val="18"/>
                <w:lang w:bidi="ar-SA"/>
              </w:rPr>
            </w:pPr>
            <w:r w:rsidRPr="00C71A29">
              <w:rPr>
                <w:rFonts w:ascii="Times New Roman" w:hAnsi="Times New Roman"/>
                <w:color w:val="FFFFFF"/>
                <w:sz w:val="18"/>
                <w:szCs w:val="18"/>
                <w:lang w:bidi="ar-SA"/>
              </w:rPr>
              <w:t>Year</w:t>
            </w:r>
          </w:p>
        </w:tc>
        <w:tc>
          <w:tcPr>
            <w:tcW w:w="685" w:type="dxa"/>
            <w:shd w:val="clear" w:color="000000" w:fill="000000"/>
            <w:noWrap/>
            <w:textDirection w:val="btLr"/>
            <w:vAlign w:val="center"/>
            <w:hideMark/>
          </w:tcPr>
          <w:p w:rsidR="003A4F86" w:rsidRPr="00C71A29" w:rsidRDefault="003A4F86" w:rsidP="00C71A29">
            <w:pPr>
              <w:spacing w:line="240" w:lineRule="auto"/>
              <w:ind w:left="113" w:right="113"/>
              <w:jc w:val="center"/>
              <w:rPr>
                <w:rFonts w:ascii="Times New Roman" w:hAnsi="Times New Roman"/>
                <w:color w:val="FFFFFF"/>
                <w:sz w:val="18"/>
                <w:szCs w:val="18"/>
                <w:lang w:bidi="ar-SA"/>
              </w:rPr>
            </w:pPr>
            <w:r w:rsidRPr="00C71A29">
              <w:rPr>
                <w:rFonts w:ascii="Times New Roman" w:hAnsi="Times New Roman"/>
                <w:color w:val="FFFFFF"/>
                <w:sz w:val="18"/>
                <w:szCs w:val="18"/>
                <w:lang w:bidi="ar-SA"/>
              </w:rPr>
              <w:t>2005</w:t>
            </w:r>
          </w:p>
        </w:tc>
        <w:tc>
          <w:tcPr>
            <w:tcW w:w="686" w:type="dxa"/>
            <w:shd w:val="clear" w:color="000000" w:fill="000000"/>
            <w:noWrap/>
            <w:textDirection w:val="btLr"/>
            <w:vAlign w:val="center"/>
            <w:hideMark/>
          </w:tcPr>
          <w:p w:rsidR="003A4F86" w:rsidRPr="00C71A29" w:rsidRDefault="003A4F86" w:rsidP="00C71A29">
            <w:pPr>
              <w:spacing w:line="240" w:lineRule="auto"/>
              <w:ind w:left="113" w:right="113"/>
              <w:jc w:val="center"/>
              <w:rPr>
                <w:rFonts w:ascii="Times New Roman" w:hAnsi="Times New Roman"/>
                <w:color w:val="FFFFFF"/>
                <w:sz w:val="18"/>
                <w:szCs w:val="18"/>
                <w:lang w:bidi="ar-SA"/>
              </w:rPr>
            </w:pPr>
            <w:r w:rsidRPr="00C71A29">
              <w:rPr>
                <w:rFonts w:ascii="Times New Roman" w:hAnsi="Times New Roman"/>
                <w:color w:val="FFFFFF"/>
                <w:sz w:val="18"/>
                <w:szCs w:val="18"/>
                <w:lang w:bidi="ar-SA"/>
              </w:rPr>
              <w:t>2006</w:t>
            </w:r>
          </w:p>
        </w:tc>
        <w:tc>
          <w:tcPr>
            <w:tcW w:w="685" w:type="dxa"/>
            <w:shd w:val="clear" w:color="000000" w:fill="000000"/>
            <w:noWrap/>
            <w:textDirection w:val="btLr"/>
            <w:vAlign w:val="center"/>
            <w:hideMark/>
          </w:tcPr>
          <w:p w:rsidR="003A4F86" w:rsidRPr="00C71A29" w:rsidRDefault="003A4F86" w:rsidP="00C71A29">
            <w:pPr>
              <w:spacing w:line="240" w:lineRule="auto"/>
              <w:ind w:left="113" w:right="113"/>
              <w:jc w:val="center"/>
              <w:rPr>
                <w:rFonts w:ascii="Times New Roman" w:hAnsi="Times New Roman"/>
                <w:color w:val="FFFFFF"/>
                <w:sz w:val="18"/>
                <w:szCs w:val="18"/>
                <w:lang w:bidi="ar-SA"/>
              </w:rPr>
            </w:pPr>
            <w:r w:rsidRPr="00C71A29">
              <w:rPr>
                <w:rFonts w:ascii="Times New Roman" w:hAnsi="Times New Roman"/>
                <w:color w:val="FFFFFF"/>
                <w:sz w:val="18"/>
                <w:szCs w:val="18"/>
                <w:lang w:bidi="ar-SA"/>
              </w:rPr>
              <w:t>2007</w:t>
            </w:r>
          </w:p>
        </w:tc>
        <w:tc>
          <w:tcPr>
            <w:tcW w:w="686" w:type="dxa"/>
            <w:shd w:val="clear" w:color="000000" w:fill="000000"/>
            <w:noWrap/>
            <w:textDirection w:val="btLr"/>
            <w:vAlign w:val="center"/>
            <w:hideMark/>
          </w:tcPr>
          <w:p w:rsidR="003A4F86" w:rsidRPr="00C71A29" w:rsidRDefault="003A4F86" w:rsidP="00C71A29">
            <w:pPr>
              <w:spacing w:line="240" w:lineRule="auto"/>
              <w:ind w:left="113" w:right="113"/>
              <w:jc w:val="center"/>
              <w:rPr>
                <w:rFonts w:ascii="Times New Roman" w:hAnsi="Times New Roman"/>
                <w:color w:val="FFFFFF"/>
                <w:sz w:val="18"/>
                <w:szCs w:val="18"/>
                <w:lang w:bidi="ar-SA"/>
              </w:rPr>
            </w:pPr>
            <w:r w:rsidRPr="00C71A29">
              <w:rPr>
                <w:rFonts w:ascii="Times New Roman" w:hAnsi="Times New Roman"/>
                <w:color w:val="FFFFFF"/>
                <w:sz w:val="18"/>
                <w:szCs w:val="18"/>
                <w:lang w:bidi="ar-SA"/>
              </w:rPr>
              <w:t>2008</w:t>
            </w:r>
          </w:p>
        </w:tc>
        <w:tc>
          <w:tcPr>
            <w:tcW w:w="685" w:type="dxa"/>
            <w:shd w:val="clear" w:color="000000" w:fill="000000"/>
            <w:noWrap/>
            <w:textDirection w:val="btLr"/>
            <w:vAlign w:val="center"/>
            <w:hideMark/>
          </w:tcPr>
          <w:p w:rsidR="003A4F86" w:rsidRPr="00C71A29" w:rsidRDefault="003A4F86" w:rsidP="00C71A29">
            <w:pPr>
              <w:spacing w:line="240" w:lineRule="auto"/>
              <w:ind w:left="113" w:right="113"/>
              <w:jc w:val="center"/>
              <w:rPr>
                <w:rFonts w:ascii="Times New Roman" w:hAnsi="Times New Roman"/>
                <w:color w:val="FFFFFF"/>
                <w:sz w:val="18"/>
                <w:szCs w:val="18"/>
                <w:lang w:bidi="ar-SA"/>
              </w:rPr>
            </w:pPr>
            <w:r w:rsidRPr="00C71A29">
              <w:rPr>
                <w:rFonts w:ascii="Times New Roman" w:hAnsi="Times New Roman"/>
                <w:color w:val="FFFFFF"/>
                <w:sz w:val="18"/>
                <w:szCs w:val="18"/>
                <w:lang w:bidi="ar-SA"/>
              </w:rPr>
              <w:t>2009</w:t>
            </w:r>
          </w:p>
        </w:tc>
        <w:tc>
          <w:tcPr>
            <w:tcW w:w="686" w:type="dxa"/>
            <w:shd w:val="clear" w:color="000000" w:fill="000000"/>
            <w:noWrap/>
            <w:textDirection w:val="btLr"/>
            <w:vAlign w:val="center"/>
            <w:hideMark/>
          </w:tcPr>
          <w:p w:rsidR="003A4F86" w:rsidRPr="00C71A29" w:rsidRDefault="003A4F86" w:rsidP="00C71A29">
            <w:pPr>
              <w:spacing w:line="240" w:lineRule="auto"/>
              <w:ind w:left="113" w:right="113"/>
              <w:jc w:val="center"/>
              <w:rPr>
                <w:rFonts w:ascii="Times New Roman" w:hAnsi="Times New Roman"/>
                <w:color w:val="FFFFFF"/>
                <w:sz w:val="18"/>
                <w:szCs w:val="18"/>
                <w:lang w:bidi="ar-SA"/>
              </w:rPr>
            </w:pPr>
            <w:r w:rsidRPr="00C71A29">
              <w:rPr>
                <w:rFonts w:ascii="Times New Roman" w:hAnsi="Times New Roman"/>
                <w:color w:val="FFFFFF"/>
                <w:sz w:val="18"/>
                <w:szCs w:val="18"/>
                <w:lang w:bidi="ar-SA"/>
              </w:rPr>
              <w:t>2010</w:t>
            </w:r>
          </w:p>
        </w:tc>
        <w:tc>
          <w:tcPr>
            <w:tcW w:w="685" w:type="dxa"/>
            <w:shd w:val="clear" w:color="000000" w:fill="000000"/>
            <w:noWrap/>
            <w:textDirection w:val="btLr"/>
            <w:vAlign w:val="center"/>
            <w:hideMark/>
          </w:tcPr>
          <w:p w:rsidR="003A4F86" w:rsidRPr="00C71A29" w:rsidRDefault="003A4F86" w:rsidP="00C71A29">
            <w:pPr>
              <w:spacing w:line="240" w:lineRule="auto"/>
              <w:ind w:left="113" w:right="113"/>
              <w:jc w:val="center"/>
              <w:rPr>
                <w:rFonts w:ascii="Times New Roman" w:hAnsi="Times New Roman"/>
                <w:color w:val="FFFFFF"/>
                <w:sz w:val="18"/>
                <w:szCs w:val="18"/>
                <w:lang w:bidi="ar-SA"/>
              </w:rPr>
            </w:pPr>
            <w:r w:rsidRPr="00C71A29">
              <w:rPr>
                <w:rFonts w:ascii="Times New Roman" w:hAnsi="Times New Roman"/>
                <w:color w:val="FFFFFF"/>
                <w:sz w:val="18"/>
                <w:szCs w:val="18"/>
                <w:lang w:bidi="ar-SA"/>
              </w:rPr>
              <w:t>2011</w:t>
            </w:r>
          </w:p>
        </w:tc>
        <w:tc>
          <w:tcPr>
            <w:tcW w:w="686" w:type="dxa"/>
            <w:shd w:val="clear" w:color="000000" w:fill="000000"/>
            <w:noWrap/>
            <w:textDirection w:val="btLr"/>
            <w:vAlign w:val="center"/>
            <w:hideMark/>
          </w:tcPr>
          <w:p w:rsidR="003A4F86" w:rsidRPr="00C71A29" w:rsidRDefault="003A4F86" w:rsidP="00C71A29">
            <w:pPr>
              <w:spacing w:line="240" w:lineRule="auto"/>
              <w:ind w:left="113" w:right="113"/>
              <w:jc w:val="center"/>
              <w:rPr>
                <w:rFonts w:ascii="Times New Roman" w:hAnsi="Times New Roman"/>
                <w:color w:val="FFFFFF"/>
                <w:sz w:val="18"/>
                <w:szCs w:val="18"/>
                <w:lang w:bidi="ar-SA"/>
              </w:rPr>
            </w:pPr>
            <w:r w:rsidRPr="00C71A29">
              <w:rPr>
                <w:rFonts w:ascii="Times New Roman" w:hAnsi="Times New Roman"/>
                <w:color w:val="FFFFFF"/>
                <w:sz w:val="18"/>
                <w:szCs w:val="18"/>
                <w:lang w:bidi="ar-SA"/>
              </w:rPr>
              <w:t>2012</w:t>
            </w:r>
          </w:p>
        </w:tc>
        <w:tc>
          <w:tcPr>
            <w:tcW w:w="685" w:type="dxa"/>
            <w:shd w:val="clear" w:color="000000" w:fill="000000"/>
            <w:noWrap/>
            <w:textDirection w:val="btLr"/>
            <w:vAlign w:val="center"/>
            <w:hideMark/>
          </w:tcPr>
          <w:p w:rsidR="003A4F86" w:rsidRPr="00C71A29" w:rsidRDefault="003A4F86" w:rsidP="00C71A29">
            <w:pPr>
              <w:spacing w:line="240" w:lineRule="auto"/>
              <w:ind w:left="113" w:right="113"/>
              <w:jc w:val="center"/>
              <w:rPr>
                <w:rFonts w:ascii="Times New Roman" w:hAnsi="Times New Roman"/>
                <w:color w:val="FFFFFF"/>
                <w:sz w:val="18"/>
                <w:szCs w:val="18"/>
                <w:lang w:bidi="ar-SA"/>
              </w:rPr>
            </w:pPr>
            <w:r w:rsidRPr="00C71A29">
              <w:rPr>
                <w:rFonts w:ascii="Times New Roman" w:hAnsi="Times New Roman"/>
                <w:color w:val="FFFFFF"/>
                <w:sz w:val="18"/>
                <w:szCs w:val="18"/>
                <w:lang w:bidi="ar-SA"/>
              </w:rPr>
              <w:t>2013</w:t>
            </w:r>
          </w:p>
        </w:tc>
        <w:tc>
          <w:tcPr>
            <w:tcW w:w="686" w:type="dxa"/>
            <w:shd w:val="clear" w:color="000000" w:fill="000000"/>
            <w:noWrap/>
            <w:textDirection w:val="btLr"/>
            <w:vAlign w:val="center"/>
            <w:hideMark/>
          </w:tcPr>
          <w:p w:rsidR="003A4F86" w:rsidRPr="00C71A29" w:rsidRDefault="003A4F86" w:rsidP="00C71A29">
            <w:pPr>
              <w:spacing w:line="240" w:lineRule="auto"/>
              <w:ind w:left="113" w:right="113"/>
              <w:jc w:val="center"/>
              <w:rPr>
                <w:rFonts w:ascii="Times New Roman" w:hAnsi="Times New Roman"/>
                <w:color w:val="FFFFFF"/>
                <w:sz w:val="18"/>
                <w:szCs w:val="18"/>
                <w:lang w:bidi="ar-SA"/>
              </w:rPr>
            </w:pPr>
            <w:r w:rsidRPr="00C71A29">
              <w:rPr>
                <w:rFonts w:ascii="Times New Roman" w:hAnsi="Times New Roman"/>
                <w:color w:val="FFFFFF"/>
                <w:sz w:val="18"/>
                <w:szCs w:val="18"/>
                <w:lang w:bidi="ar-SA"/>
              </w:rPr>
              <w:t>2014</w:t>
            </w:r>
          </w:p>
        </w:tc>
      </w:tr>
      <w:tr w:rsidR="003A4F86" w:rsidRPr="00C71A29" w:rsidTr="00C71A29">
        <w:trPr>
          <w:trHeight w:val="300"/>
        </w:trPr>
        <w:tc>
          <w:tcPr>
            <w:tcW w:w="1620" w:type="dxa"/>
            <w:shd w:val="clear" w:color="000000" w:fill="000000"/>
            <w:noWrap/>
            <w:vAlign w:val="bottom"/>
            <w:hideMark/>
          </w:tcPr>
          <w:p w:rsidR="003A4F86" w:rsidRPr="00C71A29" w:rsidRDefault="003A4F86" w:rsidP="00E01DC5">
            <w:pPr>
              <w:spacing w:line="240" w:lineRule="auto"/>
              <w:jc w:val="center"/>
              <w:rPr>
                <w:rFonts w:ascii="Times New Roman" w:hAnsi="Times New Roman"/>
                <w:i/>
                <w:iCs/>
                <w:color w:val="FFFFFF"/>
                <w:sz w:val="18"/>
                <w:szCs w:val="18"/>
                <w:lang w:bidi="ar-SA"/>
              </w:rPr>
            </w:pPr>
            <w:r w:rsidRPr="00C71A29">
              <w:rPr>
                <w:rFonts w:ascii="Times New Roman" w:hAnsi="Times New Roman"/>
                <w:i/>
                <w:iCs/>
                <w:color w:val="FFFFFF"/>
                <w:sz w:val="18"/>
                <w:szCs w:val="18"/>
                <w:lang w:bidi="ar-SA"/>
              </w:rPr>
              <w:t>Total Attacks</w:t>
            </w:r>
          </w:p>
        </w:tc>
        <w:tc>
          <w:tcPr>
            <w:tcW w:w="685" w:type="dxa"/>
            <w:shd w:val="clear" w:color="auto" w:fill="auto"/>
            <w:noWrap/>
            <w:vAlign w:val="bottom"/>
            <w:hideMark/>
          </w:tcPr>
          <w:p w:rsidR="003A4F86" w:rsidRPr="00C71A29" w:rsidRDefault="003A4F86" w:rsidP="00E01DC5">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203</w:t>
            </w:r>
          </w:p>
        </w:tc>
        <w:tc>
          <w:tcPr>
            <w:tcW w:w="686" w:type="dxa"/>
            <w:shd w:val="clear" w:color="auto" w:fill="auto"/>
            <w:noWrap/>
            <w:vAlign w:val="bottom"/>
            <w:hideMark/>
          </w:tcPr>
          <w:p w:rsidR="003A4F86" w:rsidRPr="00C71A29" w:rsidRDefault="003A4F86" w:rsidP="00E01DC5">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173</w:t>
            </w:r>
          </w:p>
        </w:tc>
        <w:tc>
          <w:tcPr>
            <w:tcW w:w="685" w:type="dxa"/>
            <w:shd w:val="clear" w:color="auto" w:fill="auto"/>
            <w:noWrap/>
            <w:vAlign w:val="bottom"/>
            <w:hideMark/>
          </w:tcPr>
          <w:p w:rsidR="003A4F86" w:rsidRPr="00C71A29" w:rsidRDefault="003A4F86" w:rsidP="00E01DC5">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359</w:t>
            </w:r>
          </w:p>
        </w:tc>
        <w:tc>
          <w:tcPr>
            <w:tcW w:w="686" w:type="dxa"/>
            <w:shd w:val="clear" w:color="auto" w:fill="auto"/>
            <w:noWrap/>
            <w:vAlign w:val="bottom"/>
            <w:hideMark/>
          </w:tcPr>
          <w:p w:rsidR="003A4F86" w:rsidRPr="00C71A29" w:rsidRDefault="003A4F86" w:rsidP="00E01DC5">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242</w:t>
            </w:r>
          </w:p>
        </w:tc>
        <w:tc>
          <w:tcPr>
            <w:tcW w:w="685" w:type="dxa"/>
            <w:shd w:val="clear" w:color="auto" w:fill="auto"/>
            <w:noWrap/>
            <w:vAlign w:val="bottom"/>
            <w:hideMark/>
          </w:tcPr>
          <w:p w:rsidR="003A4F86" w:rsidRPr="00C71A29" w:rsidRDefault="003A4F86" w:rsidP="00E01DC5">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178</w:t>
            </w:r>
          </w:p>
        </w:tc>
        <w:tc>
          <w:tcPr>
            <w:tcW w:w="686" w:type="dxa"/>
            <w:shd w:val="clear" w:color="auto" w:fill="auto"/>
            <w:noWrap/>
            <w:vAlign w:val="bottom"/>
            <w:hideMark/>
          </w:tcPr>
          <w:p w:rsidR="003A4F86" w:rsidRPr="00C71A29" w:rsidRDefault="003A4F86" w:rsidP="00E01DC5">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170</w:t>
            </w:r>
          </w:p>
        </w:tc>
        <w:tc>
          <w:tcPr>
            <w:tcW w:w="685" w:type="dxa"/>
            <w:shd w:val="clear" w:color="auto" w:fill="auto"/>
            <w:noWrap/>
            <w:vAlign w:val="bottom"/>
            <w:hideMark/>
          </w:tcPr>
          <w:p w:rsidR="003A4F86" w:rsidRPr="00C71A29" w:rsidRDefault="003A4F86" w:rsidP="00E01DC5">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202</w:t>
            </w:r>
          </w:p>
        </w:tc>
        <w:tc>
          <w:tcPr>
            <w:tcW w:w="686" w:type="dxa"/>
            <w:shd w:val="clear" w:color="auto" w:fill="auto"/>
            <w:noWrap/>
            <w:vAlign w:val="bottom"/>
            <w:hideMark/>
          </w:tcPr>
          <w:p w:rsidR="003A4F86" w:rsidRPr="00C71A29" w:rsidRDefault="003A4F86" w:rsidP="00E01DC5">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401</w:t>
            </w:r>
          </w:p>
        </w:tc>
        <w:tc>
          <w:tcPr>
            <w:tcW w:w="685" w:type="dxa"/>
            <w:shd w:val="clear" w:color="auto" w:fill="auto"/>
            <w:noWrap/>
            <w:vAlign w:val="bottom"/>
            <w:hideMark/>
          </w:tcPr>
          <w:p w:rsidR="003A4F86" w:rsidRPr="00C71A29" w:rsidRDefault="003A4F86" w:rsidP="00E01DC5">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624</w:t>
            </w:r>
          </w:p>
        </w:tc>
        <w:tc>
          <w:tcPr>
            <w:tcW w:w="686" w:type="dxa"/>
            <w:shd w:val="clear" w:color="auto" w:fill="auto"/>
            <w:noWrap/>
            <w:vAlign w:val="bottom"/>
            <w:hideMark/>
          </w:tcPr>
          <w:p w:rsidR="003A4F86" w:rsidRPr="00C71A29" w:rsidRDefault="003A4F86" w:rsidP="00E01DC5">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738</w:t>
            </w:r>
          </w:p>
        </w:tc>
      </w:tr>
      <w:tr w:rsidR="003A4F86" w:rsidRPr="00C71A29" w:rsidTr="00C71A29">
        <w:trPr>
          <w:trHeight w:val="300"/>
        </w:trPr>
        <w:tc>
          <w:tcPr>
            <w:tcW w:w="1620" w:type="dxa"/>
            <w:shd w:val="clear" w:color="000000" w:fill="000000"/>
            <w:noWrap/>
            <w:vAlign w:val="bottom"/>
            <w:hideMark/>
          </w:tcPr>
          <w:p w:rsidR="003A4F86" w:rsidRPr="00C71A29" w:rsidRDefault="003A4F86" w:rsidP="00E01DC5">
            <w:pPr>
              <w:spacing w:line="240" w:lineRule="auto"/>
              <w:jc w:val="center"/>
              <w:rPr>
                <w:rFonts w:ascii="Times New Roman" w:hAnsi="Times New Roman"/>
                <w:color w:val="FFFFFF"/>
                <w:sz w:val="18"/>
                <w:szCs w:val="18"/>
                <w:lang w:bidi="ar-SA"/>
              </w:rPr>
            </w:pPr>
            <w:r w:rsidRPr="00C71A29">
              <w:rPr>
                <w:rFonts w:ascii="Times New Roman" w:hAnsi="Times New Roman"/>
                <w:color w:val="FFFFFF"/>
                <w:sz w:val="18"/>
                <w:szCs w:val="18"/>
                <w:lang w:bidi="ar-SA"/>
              </w:rPr>
              <w:t xml:space="preserve">Military </w:t>
            </w:r>
          </w:p>
        </w:tc>
        <w:tc>
          <w:tcPr>
            <w:tcW w:w="685" w:type="dxa"/>
            <w:shd w:val="clear" w:color="auto" w:fill="auto"/>
            <w:noWrap/>
            <w:vAlign w:val="bottom"/>
            <w:hideMark/>
          </w:tcPr>
          <w:p w:rsidR="003A4F86" w:rsidRPr="00C71A29" w:rsidRDefault="003A4F86" w:rsidP="00E01DC5">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26%</w:t>
            </w:r>
          </w:p>
        </w:tc>
        <w:tc>
          <w:tcPr>
            <w:tcW w:w="686" w:type="dxa"/>
            <w:shd w:val="clear" w:color="auto" w:fill="auto"/>
            <w:noWrap/>
            <w:vAlign w:val="bottom"/>
            <w:hideMark/>
          </w:tcPr>
          <w:p w:rsidR="003A4F86" w:rsidRPr="00C71A29" w:rsidRDefault="003A4F86" w:rsidP="00E01DC5">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17%</w:t>
            </w:r>
          </w:p>
        </w:tc>
        <w:tc>
          <w:tcPr>
            <w:tcW w:w="685" w:type="dxa"/>
            <w:shd w:val="clear" w:color="auto" w:fill="auto"/>
            <w:noWrap/>
            <w:vAlign w:val="bottom"/>
            <w:hideMark/>
          </w:tcPr>
          <w:p w:rsidR="003A4F86" w:rsidRPr="00C71A29" w:rsidRDefault="003A4F86" w:rsidP="00E01DC5">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18%</w:t>
            </w:r>
          </w:p>
        </w:tc>
        <w:tc>
          <w:tcPr>
            <w:tcW w:w="686" w:type="dxa"/>
            <w:shd w:val="clear" w:color="auto" w:fill="auto"/>
            <w:noWrap/>
            <w:vAlign w:val="bottom"/>
            <w:hideMark/>
          </w:tcPr>
          <w:p w:rsidR="003A4F86" w:rsidRPr="00C71A29" w:rsidRDefault="003A4F86" w:rsidP="00E01DC5">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13%</w:t>
            </w:r>
          </w:p>
        </w:tc>
        <w:tc>
          <w:tcPr>
            <w:tcW w:w="685" w:type="dxa"/>
            <w:shd w:val="clear" w:color="auto" w:fill="auto"/>
            <w:noWrap/>
            <w:vAlign w:val="bottom"/>
            <w:hideMark/>
          </w:tcPr>
          <w:p w:rsidR="003A4F86" w:rsidRPr="00C71A29" w:rsidRDefault="003A4F86" w:rsidP="00E01DC5">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8%</w:t>
            </w:r>
          </w:p>
        </w:tc>
        <w:tc>
          <w:tcPr>
            <w:tcW w:w="686" w:type="dxa"/>
            <w:shd w:val="clear" w:color="auto" w:fill="auto"/>
            <w:noWrap/>
            <w:vAlign w:val="bottom"/>
            <w:hideMark/>
          </w:tcPr>
          <w:p w:rsidR="003A4F86" w:rsidRPr="00C71A29" w:rsidRDefault="003A4F86" w:rsidP="00E01DC5">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9%</w:t>
            </w:r>
          </w:p>
        </w:tc>
        <w:tc>
          <w:tcPr>
            <w:tcW w:w="685" w:type="dxa"/>
            <w:shd w:val="clear" w:color="auto" w:fill="auto"/>
            <w:noWrap/>
            <w:vAlign w:val="bottom"/>
            <w:hideMark/>
          </w:tcPr>
          <w:p w:rsidR="003A4F86" w:rsidRPr="00C71A29" w:rsidRDefault="003A4F86" w:rsidP="00E01DC5">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11%</w:t>
            </w:r>
          </w:p>
        </w:tc>
        <w:tc>
          <w:tcPr>
            <w:tcW w:w="686" w:type="dxa"/>
            <w:shd w:val="clear" w:color="auto" w:fill="auto"/>
            <w:noWrap/>
            <w:vAlign w:val="bottom"/>
            <w:hideMark/>
          </w:tcPr>
          <w:p w:rsidR="003A4F86" w:rsidRPr="00C71A29" w:rsidRDefault="003A4F86" w:rsidP="00E01DC5">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24%</w:t>
            </w:r>
          </w:p>
        </w:tc>
        <w:tc>
          <w:tcPr>
            <w:tcW w:w="685" w:type="dxa"/>
            <w:shd w:val="clear" w:color="auto" w:fill="auto"/>
            <w:noWrap/>
            <w:vAlign w:val="bottom"/>
            <w:hideMark/>
          </w:tcPr>
          <w:p w:rsidR="003A4F86" w:rsidRPr="00C71A29" w:rsidRDefault="003A4F86" w:rsidP="00E01DC5">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28%</w:t>
            </w:r>
          </w:p>
        </w:tc>
        <w:tc>
          <w:tcPr>
            <w:tcW w:w="686" w:type="dxa"/>
            <w:shd w:val="clear" w:color="auto" w:fill="auto"/>
            <w:noWrap/>
            <w:vAlign w:val="bottom"/>
            <w:hideMark/>
          </w:tcPr>
          <w:p w:rsidR="003A4F86" w:rsidRPr="00C71A29" w:rsidRDefault="003A4F86" w:rsidP="00E01DC5">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32%</w:t>
            </w:r>
          </w:p>
        </w:tc>
      </w:tr>
      <w:tr w:rsidR="003A4F86" w:rsidRPr="00C71A29" w:rsidTr="00C71A29">
        <w:trPr>
          <w:trHeight w:val="300"/>
        </w:trPr>
        <w:tc>
          <w:tcPr>
            <w:tcW w:w="1620" w:type="dxa"/>
            <w:shd w:val="clear" w:color="000000" w:fill="000000"/>
            <w:noWrap/>
            <w:vAlign w:val="bottom"/>
            <w:hideMark/>
          </w:tcPr>
          <w:p w:rsidR="003A4F86" w:rsidRPr="00C71A29" w:rsidRDefault="003A4F86" w:rsidP="00E01DC5">
            <w:pPr>
              <w:spacing w:line="240" w:lineRule="auto"/>
              <w:jc w:val="center"/>
              <w:rPr>
                <w:rFonts w:ascii="Times New Roman" w:hAnsi="Times New Roman"/>
                <w:color w:val="FFFFFF"/>
                <w:sz w:val="18"/>
                <w:szCs w:val="18"/>
                <w:lang w:bidi="ar-SA"/>
              </w:rPr>
            </w:pPr>
            <w:r w:rsidRPr="00C71A29">
              <w:rPr>
                <w:rFonts w:ascii="Times New Roman" w:hAnsi="Times New Roman"/>
                <w:color w:val="FFFFFF"/>
                <w:sz w:val="18"/>
                <w:szCs w:val="18"/>
                <w:lang w:bidi="ar-SA"/>
              </w:rPr>
              <w:t>Government</w:t>
            </w:r>
          </w:p>
        </w:tc>
        <w:tc>
          <w:tcPr>
            <w:tcW w:w="685" w:type="dxa"/>
            <w:shd w:val="clear" w:color="auto" w:fill="auto"/>
            <w:noWrap/>
            <w:vAlign w:val="bottom"/>
            <w:hideMark/>
          </w:tcPr>
          <w:p w:rsidR="003A4F86" w:rsidRPr="00C71A29" w:rsidRDefault="003A4F86" w:rsidP="00E01DC5">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15%</w:t>
            </w:r>
          </w:p>
        </w:tc>
        <w:tc>
          <w:tcPr>
            <w:tcW w:w="686" w:type="dxa"/>
            <w:shd w:val="clear" w:color="auto" w:fill="auto"/>
            <w:noWrap/>
            <w:vAlign w:val="bottom"/>
            <w:hideMark/>
          </w:tcPr>
          <w:p w:rsidR="003A4F86" w:rsidRPr="00C71A29" w:rsidRDefault="003A4F86" w:rsidP="00E01DC5">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12%</w:t>
            </w:r>
          </w:p>
        </w:tc>
        <w:tc>
          <w:tcPr>
            <w:tcW w:w="685" w:type="dxa"/>
            <w:shd w:val="clear" w:color="auto" w:fill="auto"/>
            <w:noWrap/>
            <w:vAlign w:val="bottom"/>
            <w:hideMark/>
          </w:tcPr>
          <w:p w:rsidR="003A4F86" w:rsidRPr="00C71A29" w:rsidRDefault="003A4F86" w:rsidP="00E01DC5">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10%</w:t>
            </w:r>
          </w:p>
        </w:tc>
        <w:tc>
          <w:tcPr>
            <w:tcW w:w="686" w:type="dxa"/>
            <w:shd w:val="clear" w:color="auto" w:fill="auto"/>
            <w:noWrap/>
            <w:vAlign w:val="bottom"/>
            <w:hideMark/>
          </w:tcPr>
          <w:p w:rsidR="003A4F86" w:rsidRPr="00C71A29" w:rsidRDefault="003A4F86" w:rsidP="00E01DC5">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20%</w:t>
            </w:r>
          </w:p>
        </w:tc>
        <w:tc>
          <w:tcPr>
            <w:tcW w:w="685" w:type="dxa"/>
            <w:shd w:val="clear" w:color="auto" w:fill="auto"/>
            <w:noWrap/>
            <w:vAlign w:val="bottom"/>
            <w:hideMark/>
          </w:tcPr>
          <w:p w:rsidR="003A4F86" w:rsidRPr="00C71A29" w:rsidRDefault="003A4F86" w:rsidP="00E01DC5">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32%</w:t>
            </w:r>
          </w:p>
        </w:tc>
        <w:tc>
          <w:tcPr>
            <w:tcW w:w="686" w:type="dxa"/>
            <w:shd w:val="clear" w:color="auto" w:fill="auto"/>
            <w:noWrap/>
            <w:vAlign w:val="bottom"/>
            <w:hideMark/>
          </w:tcPr>
          <w:p w:rsidR="003A4F86" w:rsidRPr="00C71A29" w:rsidRDefault="003A4F86" w:rsidP="00E01DC5">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25%</w:t>
            </w:r>
          </w:p>
        </w:tc>
        <w:tc>
          <w:tcPr>
            <w:tcW w:w="685" w:type="dxa"/>
            <w:shd w:val="clear" w:color="auto" w:fill="auto"/>
            <w:noWrap/>
            <w:vAlign w:val="bottom"/>
            <w:hideMark/>
          </w:tcPr>
          <w:p w:rsidR="003A4F86" w:rsidRPr="00C71A29" w:rsidRDefault="003A4F86" w:rsidP="00E01DC5">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29%</w:t>
            </w:r>
          </w:p>
        </w:tc>
        <w:tc>
          <w:tcPr>
            <w:tcW w:w="686" w:type="dxa"/>
            <w:shd w:val="clear" w:color="auto" w:fill="auto"/>
            <w:noWrap/>
            <w:vAlign w:val="bottom"/>
            <w:hideMark/>
          </w:tcPr>
          <w:p w:rsidR="003A4F86" w:rsidRPr="00C71A29" w:rsidRDefault="003A4F86" w:rsidP="00E01DC5">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13%</w:t>
            </w:r>
          </w:p>
        </w:tc>
        <w:tc>
          <w:tcPr>
            <w:tcW w:w="685" w:type="dxa"/>
            <w:shd w:val="clear" w:color="auto" w:fill="auto"/>
            <w:noWrap/>
            <w:vAlign w:val="bottom"/>
            <w:hideMark/>
          </w:tcPr>
          <w:p w:rsidR="003A4F86" w:rsidRPr="00C71A29" w:rsidRDefault="003A4F86" w:rsidP="00E01DC5">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14%</w:t>
            </w:r>
          </w:p>
        </w:tc>
        <w:tc>
          <w:tcPr>
            <w:tcW w:w="686" w:type="dxa"/>
            <w:shd w:val="clear" w:color="auto" w:fill="auto"/>
            <w:noWrap/>
            <w:vAlign w:val="bottom"/>
            <w:hideMark/>
          </w:tcPr>
          <w:p w:rsidR="003A4F86" w:rsidRPr="00C71A29" w:rsidRDefault="003A4F86" w:rsidP="00E01DC5">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11%</w:t>
            </w:r>
          </w:p>
        </w:tc>
      </w:tr>
      <w:tr w:rsidR="003A4F86" w:rsidRPr="00C71A29" w:rsidTr="00C71A29">
        <w:trPr>
          <w:trHeight w:val="300"/>
        </w:trPr>
        <w:tc>
          <w:tcPr>
            <w:tcW w:w="1620" w:type="dxa"/>
            <w:shd w:val="clear" w:color="000000" w:fill="000000"/>
            <w:noWrap/>
            <w:vAlign w:val="bottom"/>
            <w:hideMark/>
          </w:tcPr>
          <w:p w:rsidR="003A4F86" w:rsidRPr="00C71A29" w:rsidRDefault="003A4F86" w:rsidP="00E01DC5">
            <w:pPr>
              <w:spacing w:line="240" w:lineRule="auto"/>
              <w:jc w:val="center"/>
              <w:rPr>
                <w:rFonts w:ascii="Times New Roman" w:hAnsi="Times New Roman"/>
                <w:color w:val="FFFFFF"/>
                <w:sz w:val="18"/>
                <w:szCs w:val="18"/>
                <w:lang w:bidi="ar-SA"/>
              </w:rPr>
            </w:pPr>
            <w:r w:rsidRPr="00C71A29">
              <w:rPr>
                <w:rFonts w:ascii="Times New Roman" w:hAnsi="Times New Roman"/>
                <w:color w:val="FFFFFF"/>
                <w:sz w:val="18"/>
                <w:szCs w:val="18"/>
                <w:lang w:bidi="ar-SA"/>
              </w:rPr>
              <w:t>Police</w:t>
            </w:r>
          </w:p>
        </w:tc>
        <w:tc>
          <w:tcPr>
            <w:tcW w:w="685" w:type="dxa"/>
            <w:shd w:val="clear" w:color="auto" w:fill="auto"/>
            <w:noWrap/>
            <w:vAlign w:val="bottom"/>
            <w:hideMark/>
          </w:tcPr>
          <w:p w:rsidR="003A4F86" w:rsidRPr="00C71A29" w:rsidRDefault="003A4F86" w:rsidP="00E01DC5">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20%</w:t>
            </w:r>
          </w:p>
        </w:tc>
        <w:tc>
          <w:tcPr>
            <w:tcW w:w="686" w:type="dxa"/>
            <w:shd w:val="clear" w:color="auto" w:fill="auto"/>
            <w:noWrap/>
            <w:vAlign w:val="bottom"/>
            <w:hideMark/>
          </w:tcPr>
          <w:p w:rsidR="003A4F86" w:rsidRPr="00C71A29" w:rsidRDefault="003A4F86" w:rsidP="00E01DC5">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24%</w:t>
            </w:r>
          </w:p>
        </w:tc>
        <w:tc>
          <w:tcPr>
            <w:tcW w:w="685" w:type="dxa"/>
            <w:shd w:val="clear" w:color="auto" w:fill="auto"/>
            <w:noWrap/>
            <w:vAlign w:val="bottom"/>
            <w:hideMark/>
          </w:tcPr>
          <w:p w:rsidR="003A4F86" w:rsidRPr="00C71A29" w:rsidRDefault="003A4F86" w:rsidP="00E01DC5">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33%</w:t>
            </w:r>
          </w:p>
        </w:tc>
        <w:tc>
          <w:tcPr>
            <w:tcW w:w="686" w:type="dxa"/>
            <w:shd w:val="clear" w:color="auto" w:fill="auto"/>
            <w:noWrap/>
            <w:vAlign w:val="bottom"/>
            <w:hideMark/>
          </w:tcPr>
          <w:p w:rsidR="003A4F86" w:rsidRPr="00C71A29" w:rsidRDefault="003A4F86" w:rsidP="00E01DC5">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20%</w:t>
            </w:r>
          </w:p>
        </w:tc>
        <w:tc>
          <w:tcPr>
            <w:tcW w:w="685" w:type="dxa"/>
            <w:shd w:val="clear" w:color="auto" w:fill="auto"/>
            <w:noWrap/>
            <w:vAlign w:val="bottom"/>
            <w:hideMark/>
          </w:tcPr>
          <w:p w:rsidR="003A4F86" w:rsidRPr="00C71A29" w:rsidRDefault="003A4F86" w:rsidP="00E01DC5">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8%</w:t>
            </w:r>
          </w:p>
        </w:tc>
        <w:tc>
          <w:tcPr>
            <w:tcW w:w="686" w:type="dxa"/>
            <w:shd w:val="clear" w:color="auto" w:fill="auto"/>
            <w:noWrap/>
            <w:vAlign w:val="bottom"/>
            <w:hideMark/>
          </w:tcPr>
          <w:p w:rsidR="003A4F86" w:rsidRPr="00C71A29" w:rsidRDefault="003A4F86" w:rsidP="00E01DC5">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14%</w:t>
            </w:r>
          </w:p>
        </w:tc>
        <w:tc>
          <w:tcPr>
            <w:tcW w:w="685" w:type="dxa"/>
            <w:shd w:val="clear" w:color="auto" w:fill="auto"/>
            <w:noWrap/>
            <w:vAlign w:val="bottom"/>
            <w:hideMark/>
          </w:tcPr>
          <w:p w:rsidR="003A4F86" w:rsidRPr="00C71A29" w:rsidRDefault="003A4F86" w:rsidP="00E01DC5">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22%</w:t>
            </w:r>
          </w:p>
        </w:tc>
        <w:tc>
          <w:tcPr>
            <w:tcW w:w="686" w:type="dxa"/>
            <w:shd w:val="clear" w:color="auto" w:fill="auto"/>
            <w:noWrap/>
            <w:vAlign w:val="bottom"/>
            <w:hideMark/>
          </w:tcPr>
          <w:p w:rsidR="003A4F86" w:rsidRPr="00C71A29" w:rsidRDefault="003A4F86" w:rsidP="00E01DC5">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26%</w:t>
            </w:r>
          </w:p>
        </w:tc>
        <w:tc>
          <w:tcPr>
            <w:tcW w:w="685" w:type="dxa"/>
            <w:shd w:val="clear" w:color="auto" w:fill="auto"/>
            <w:noWrap/>
            <w:vAlign w:val="bottom"/>
            <w:hideMark/>
          </w:tcPr>
          <w:p w:rsidR="003A4F86" w:rsidRPr="00C71A29" w:rsidRDefault="003A4F86" w:rsidP="00E01DC5">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28%</w:t>
            </w:r>
          </w:p>
        </w:tc>
        <w:tc>
          <w:tcPr>
            <w:tcW w:w="686" w:type="dxa"/>
            <w:shd w:val="clear" w:color="auto" w:fill="auto"/>
            <w:noWrap/>
            <w:vAlign w:val="bottom"/>
            <w:hideMark/>
          </w:tcPr>
          <w:p w:rsidR="003A4F86" w:rsidRPr="00C71A29" w:rsidRDefault="003A4F86" w:rsidP="00E01DC5">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22%</w:t>
            </w:r>
          </w:p>
        </w:tc>
      </w:tr>
      <w:tr w:rsidR="003A4F86" w:rsidRPr="00C71A29" w:rsidTr="00C71A29">
        <w:trPr>
          <w:trHeight w:val="300"/>
        </w:trPr>
        <w:tc>
          <w:tcPr>
            <w:tcW w:w="1620" w:type="dxa"/>
            <w:shd w:val="clear" w:color="000000" w:fill="000000"/>
            <w:noWrap/>
            <w:vAlign w:val="bottom"/>
            <w:hideMark/>
          </w:tcPr>
          <w:p w:rsidR="003A4F86" w:rsidRPr="00C71A29" w:rsidRDefault="003A4F86" w:rsidP="00E01DC5">
            <w:pPr>
              <w:spacing w:line="240" w:lineRule="auto"/>
              <w:jc w:val="center"/>
              <w:rPr>
                <w:rFonts w:ascii="Times New Roman" w:hAnsi="Times New Roman"/>
                <w:color w:val="FFFFFF"/>
                <w:sz w:val="18"/>
                <w:szCs w:val="18"/>
                <w:lang w:bidi="ar-SA"/>
              </w:rPr>
            </w:pPr>
            <w:r w:rsidRPr="00C71A29">
              <w:rPr>
                <w:rFonts w:ascii="Times New Roman" w:hAnsi="Times New Roman"/>
                <w:color w:val="FFFFFF"/>
                <w:sz w:val="18"/>
                <w:szCs w:val="18"/>
                <w:lang w:bidi="ar-SA"/>
              </w:rPr>
              <w:t>Civilians</w:t>
            </w:r>
          </w:p>
        </w:tc>
        <w:tc>
          <w:tcPr>
            <w:tcW w:w="685" w:type="dxa"/>
            <w:shd w:val="clear" w:color="auto" w:fill="auto"/>
            <w:noWrap/>
            <w:vAlign w:val="bottom"/>
            <w:hideMark/>
          </w:tcPr>
          <w:p w:rsidR="003A4F86" w:rsidRPr="00C71A29" w:rsidRDefault="003A4F86" w:rsidP="00E01DC5">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38%</w:t>
            </w:r>
          </w:p>
        </w:tc>
        <w:tc>
          <w:tcPr>
            <w:tcW w:w="686" w:type="dxa"/>
            <w:shd w:val="clear" w:color="auto" w:fill="auto"/>
            <w:noWrap/>
            <w:vAlign w:val="bottom"/>
            <w:hideMark/>
          </w:tcPr>
          <w:p w:rsidR="003A4F86" w:rsidRPr="00C71A29" w:rsidRDefault="003A4F86" w:rsidP="00E01DC5">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43%</w:t>
            </w:r>
          </w:p>
        </w:tc>
        <w:tc>
          <w:tcPr>
            <w:tcW w:w="685" w:type="dxa"/>
            <w:shd w:val="clear" w:color="auto" w:fill="auto"/>
            <w:noWrap/>
            <w:vAlign w:val="bottom"/>
            <w:hideMark/>
          </w:tcPr>
          <w:p w:rsidR="003A4F86" w:rsidRPr="00C71A29" w:rsidRDefault="003A4F86" w:rsidP="00E01DC5">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36%</w:t>
            </w:r>
          </w:p>
        </w:tc>
        <w:tc>
          <w:tcPr>
            <w:tcW w:w="686" w:type="dxa"/>
            <w:shd w:val="clear" w:color="auto" w:fill="auto"/>
            <w:noWrap/>
            <w:vAlign w:val="bottom"/>
            <w:hideMark/>
          </w:tcPr>
          <w:p w:rsidR="003A4F86" w:rsidRPr="00C71A29" w:rsidRDefault="003A4F86" w:rsidP="00E01DC5">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38%</w:t>
            </w:r>
          </w:p>
        </w:tc>
        <w:tc>
          <w:tcPr>
            <w:tcW w:w="685" w:type="dxa"/>
            <w:shd w:val="clear" w:color="auto" w:fill="auto"/>
            <w:noWrap/>
            <w:vAlign w:val="bottom"/>
            <w:hideMark/>
          </w:tcPr>
          <w:p w:rsidR="003A4F86" w:rsidRPr="00C71A29" w:rsidRDefault="003A4F86" w:rsidP="00E01DC5">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46%</w:t>
            </w:r>
          </w:p>
        </w:tc>
        <w:tc>
          <w:tcPr>
            <w:tcW w:w="686" w:type="dxa"/>
            <w:shd w:val="clear" w:color="auto" w:fill="auto"/>
            <w:noWrap/>
            <w:vAlign w:val="bottom"/>
            <w:hideMark/>
          </w:tcPr>
          <w:p w:rsidR="003A4F86" w:rsidRPr="00C71A29" w:rsidRDefault="003A4F86" w:rsidP="00E01DC5">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50%</w:t>
            </w:r>
          </w:p>
        </w:tc>
        <w:tc>
          <w:tcPr>
            <w:tcW w:w="685" w:type="dxa"/>
            <w:shd w:val="clear" w:color="auto" w:fill="auto"/>
            <w:noWrap/>
            <w:vAlign w:val="bottom"/>
            <w:hideMark/>
          </w:tcPr>
          <w:p w:rsidR="003A4F86" w:rsidRPr="00C71A29" w:rsidRDefault="003A4F86" w:rsidP="00E01DC5">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34%</w:t>
            </w:r>
          </w:p>
        </w:tc>
        <w:tc>
          <w:tcPr>
            <w:tcW w:w="686" w:type="dxa"/>
            <w:shd w:val="clear" w:color="auto" w:fill="auto"/>
            <w:noWrap/>
            <w:vAlign w:val="bottom"/>
            <w:hideMark/>
          </w:tcPr>
          <w:p w:rsidR="003A4F86" w:rsidRPr="00C71A29" w:rsidRDefault="003A4F86" w:rsidP="00E01DC5">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27%</w:t>
            </w:r>
          </w:p>
        </w:tc>
        <w:tc>
          <w:tcPr>
            <w:tcW w:w="685" w:type="dxa"/>
            <w:shd w:val="clear" w:color="auto" w:fill="auto"/>
            <w:noWrap/>
            <w:vAlign w:val="bottom"/>
            <w:hideMark/>
          </w:tcPr>
          <w:p w:rsidR="003A4F86" w:rsidRPr="00C71A29" w:rsidRDefault="003A4F86" w:rsidP="00E01DC5">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25%</w:t>
            </w:r>
          </w:p>
        </w:tc>
        <w:tc>
          <w:tcPr>
            <w:tcW w:w="686" w:type="dxa"/>
            <w:shd w:val="clear" w:color="auto" w:fill="auto"/>
            <w:noWrap/>
            <w:vAlign w:val="bottom"/>
            <w:hideMark/>
          </w:tcPr>
          <w:p w:rsidR="003A4F86" w:rsidRPr="00C71A29" w:rsidRDefault="003A4F86" w:rsidP="00E01DC5">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23%</w:t>
            </w:r>
          </w:p>
        </w:tc>
      </w:tr>
      <w:tr w:rsidR="003A4F86" w:rsidRPr="00C71A29" w:rsidTr="00C71A29">
        <w:trPr>
          <w:trHeight w:val="300"/>
        </w:trPr>
        <w:tc>
          <w:tcPr>
            <w:tcW w:w="1620" w:type="dxa"/>
            <w:shd w:val="clear" w:color="000000" w:fill="000000"/>
            <w:noWrap/>
            <w:vAlign w:val="bottom"/>
            <w:hideMark/>
          </w:tcPr>
          <w:p w:rsidR="003A4F86" w:rsidRPr="00C71A29" w:rsidRDefault="003A4F86" w:rsidP="00E01DC5">
            <w:pPr>
              <w:spacing w:line="240" w:lineRule="auto"/>
              <w:jc w:val="center"/>
              <w:rPr>
                <w:rFonts w:ascii="Times New Roman" w:hAnsi="Times New Roman"/>
                <w:color w:val="FFFFFF"/>
                <w:sz w:val="18"/>
                <w:szCs w:val="18"/>
                <w:lang w:bidi="ar-SA"/>
              </w:rPr>
            </w:pPr>
            <w:r w:rsidRPr="00C71A29">
              <w:rPr>
                <w:rFonts w:ascii="Times New Roman" w:hAnsi="Times New Roman"/>
                <w:color w:val="FFFFFF"/>
                <w:sz w:val="18"/>
                <w:szCs w:val="18"/>
                <w:lang w:bidi="ar-SA"/>
              </w:rPr>
              <w:t>Informal Groups</w:t>
            </w:r>
          </w:p>
        </w:tc>
        <w:tc>
          <w:tcPr>
            <w:tcW w:w="685" w:type="dxa"/>
            <w:shd w:val="clear" w:color="auto" w:fill="auto"/>
            <w:noWrap/>
            <w:vAlign w:val="bottom"/>
            <w:hideMark/>
          </w:tcPr>
          <w:p w:rsidR="003A4F86" w:rsidRPr="00C71A29" w:rsidRDefault="003A4F86" w:rsidP="00E01DC5">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0%</w:t>
            </w:r>
          </w:p>
        </w:tc>
        <w:tc>
          <w:tcPr>
            <w:tcW w:w="686" w:type="dxa"/>
            <w:shd w:val="clear" w:color="auto" w:fill="auto"/>
            <w:noWrap/>
            <w:vAlign w:val="bottom"/>
            <w:hideMark/>
          </w:tcPr>
          <w:p w:rsidR="003A4F86" w:rsidRPr="00C71A29" w:rsidRDefault="003A4F86" w:rsidP="00E01DC5">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1%</w:t>
            </w:r>
          </w:p>
        </w:tc>
        <w:tc>
          <w:tcPr>
            <w:tcW w:w="685" w:type="dxa"/>
            <w:shd w:val="clear" w:color="auto" w:fill="auto"/>
            <w:noWrap/>
            <w:vAlign w:val="bottom"/>
            <w:hideMark/>
          </w:tcPr>
          <w:p w:rsidR="003A4F86" w:rsidRPr="00C71A29" w:rsidRDefault="003A4F86" w:rsidP="00E01DC5">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3%</w:t>
            </w:r>
          </w:p>
        </w:tc>
        <w:tc>
          <w:tcPr>
            <w:tcW w:w="686" w:type="dxa"/>
            <w:shd w:val="clear" w:color="auto" w:fill="auto"/>
            <w:noWrap/>
            <w:vAlign w:val="bottom"/>
            <w:hideMark/>
          </w:tcPr>
          <w:p w:rsidR="003A4F86" w:rsidRPr="00C71A29" w:rsidRDefault="003A4F86" w:rsidP="00E01DC5">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8%</w:t>
            </w:r>
          </w:p>
        </w:tc>
        <w:tc>
          <w:tcPr>
            <w:tcW w:w="685" w:type="dxa"/>
            <w:shd w:val="clear" w:color="auto" w:fill="auto"/>
            <w:noWrap/>
            <w:vAlign w:val="bottom"/>
            <w:hideMark/>
          </w:tcPr>
          <w:p w:rsidR="003A4F86" w:rsidRPr="00C71A29" w:rsidRDefault="003A4F86" w:rsidP="00E01DC5">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2%</w:t>
            </w:r>
          </w:p>
        </w:tc>
        <w:tc>
          <w:tcPr>
            <w:tcW w:w="686" w:type="dxa"/>
            <w:shd w:val="clear" w:color="auto" w:fill="auto"/>
            <w:noWrap/>
            <w:vAlign w:val="bottom"/>
            <w:hideMark/>
          </w:tcPr>
          <w:p w:rsidR="003A4F86" w:rsidRPr="00C71A29" w:rsidRDefault="003A4F86" w:rsidP="00E01DC5">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2%</w:t>
            </w:r>
          </w:p>
        </w:tc>
        <w:tc>
          <w:tcPr>
            <w:tcW w:w="685" w:type="dxa"/>
            <w:shd w:val="clear" w:color="auto" w:fill="auto"/>
            <w:noWrap/>
            <w:vAlign w:val="bottom"/>
            <w:hideMark/>
          </w:tcPr>
          <w:p w:rsidR="003A4F86" w:rsidRPr="00C71A29" w:rsidRDefault="003A4F86" w:rsidP="00E01DC5">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1%</w:t>
            </w:r>
          </w:p>
        </w:tc>
        <w:tc>
          <w:tcPr>
            <w:tcW w:w="686" w:type="dxa"/>
            <w:shd w:val="clear" w:color="auto" w:fill="auto"/>
            <w:noWrap/>
            <w:vAlign w:val="bottom"/>
            <w:hideMark/>
          </w:tcPr>
          <w:p w:rsidR="003A4F86" w:rsidRPr="00C71A29" w:rsidRDefault="003A4F86" w:rsidP="00E01DC5">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5%</w:t>
            </w:r>
          </w:p>
        </w:tc>
        <w:tc>
          <w:tcPr>
            <w:tcW w:w="685" w:type="dxa"/>
            <w:shd w:val="clear" w:color="auto" w:fill="auto"/>
            <w:noWrap/>
            <w:vAlign w:val="bottom"/>
            <w:hideMark/>
          </w:tcPr>
          <w:p w:rsidR="003A4F86" w:rsidRPr="00C71A29" w:rsidRDefault="003A4F86" w:rsidP="00E01DC5">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3%</w:t>
            </w:r>
          </w:p>
        </w:tc>
        <w:tc>
          <w:tcPr>
            <w:tcW w:w="686" w:type="dxa"/>
            <w:shd w:val="clear" w:color="auto" w:fill="auto"/>
            <w:noWrap/>
            <w:vAlign w:val="bottom"/>
            <w:hideMark/>
          </w:tcPr>
          <w:p w:rsidR="003A4F86" w:rsidRPr="00C71A29" w:rsidRDefault="003A4F86" w:rsidP="00E01DC5">
            <w:pPr>
              <w:spacing w:line="240" w:lineRule="auto"/>
              <w:jc w:val="center"/>
              <w:rPr>
                <w:rFonts w:ascii="Times New Roman" w:hAnsi="Times New Roman"/>
                <w:color w:val="000000"/>
                <w:sz w:val="16"/>
                <w:szCs w:val="16"/>
                <w:lang w:bidi="ar-SA"/>
              </w:rPr>
            </w:pPr>
            <w:r w:rsidRPr="00C71A29">
              <w:rPr>
                <w:rFonts w:ascii="Times New Roman" w:hAnsi="Times New Roman"/>
                <w:color w:val="000000"/>
                <w:sz w:val="16"/>
                <w:szCs w:val="16"/>
                <w:lang w:bidi="ar-SA"/>
              </w:rPr>
              <w:t>6%</w:t>
            </w:r>
          </w:p>
        </w:tc>
      </w:tr>
    </w:tbl>
    <w:p w:rsidR="003A4F86" w:rsidRPr="00C71A29" w:rsidRDefault="003A4F86" w:rsidP="003A4F86">
      <w:pPr>
        <w:ind w:firstLine="720"/>
        <w:contextualSpacing/>
        <w:rPr>
          <w:rFonts w:ascii="Times New Roman" w:hAnsi="Times New Roman"/>
        </w:rPr>
      </w:pPr>
    </w:p>
    <w:p w:rsidR="00A00332" w:rsidRPr="003A4F86" w:rsidRDefault="00CB5A82" w:rsidP="003A4F86">
      <w:pPr>
        <w:ind w:firstLine="720"/>
        <w:contextualSpacing/>
        <w:rPr>
          <w:sz w:val="20"/>
          <w:szCs w:val="20"/>
        </w:rPr>
      </w:pPr>
      <w:r>
        <w:t>The organizations in this era have functional reasons for using suicide terrorism—the insecurity in Iraq and Afghanistan gave thes</w:t>
      </w:r>
      <w:r w:rsidR="00005406">
        <w:t xml:space="preserve">e groups the space to conduct attacks—yet even this does not fully explain why individuals were travelling to Iraq to become a bomber, why the organizations used suicide terrorism instead of conventional terrorist attacks, what type of government they are trying to create, and why that type of government </w:t>
      </w:r>
      <w:r w:rsidR="003A4F86">
        <w:t>attracts</w:t>
      </w:r>
      <w:r w:rsidR="00005406">
        <w:t xml:space="preserve"> stakeholders from out of the region</w:t>
      </w:r>
      <w:r w:rsidR="004555DB">
        <w:t xml:space="preserve">.  </w:t>
      </w:r>
      <w:r w:rsidR="00005406">
        <w:t xml:space="preserve">To understand the dramatic rise in attacks in this era, the ideological basis and individual internalization of this ideology </w:t>
      </w:r>
      <w:r w:rsidR="003A4F86">
        <w:t>matters</w:t>
      </w:r>
      <w:r w:rsidR="004555DB">
        <w:t xml:space="preserve">.  </w:t>
      </w:r>
      <w:r w:rsidR="0065384C">
        <w:t>From 2005 to 2014, there were 3,290 total global suicide attacks</w:t>
      </w:r>
      <w:r w:rsidR="004555DB">
        <w:t xml:space="preserve">.  </w:t>
      </w:r>
      <w:r w:rsidR="0065384C">
        <w:t xml:space="preserve">ISIS suicide attacks in Iraq represents 41% of all attacks in this </w:t>
      </w:r>
      <w:r w:rsidR="0065384C">
        <w:lastRenderedPageBreak/>
        <w:t xml:space="preserve">era, and 14% of all suicide attacks in this era </w:t>
      </w:r>
      <w:r w:rsidR="00B509CB">
        <w:t>targeted</w:t>
      </w:r>
      <w:r w:rsidR="0065384C">
        <w:t xml:space="preserve"> Iraqi civilians</w:t>
      </w:r>
      <w:r w:rsidR="004555DB">
        <w:t xml:space="preserve">.  </w:t>
      </w:r>
      <w:r w:rsidR="00005406">
        <w:t xml:space="preserve">Table 3 </w:t>
      </w:r>
      <w:r w:rsidR="00EF5FDB">
        <w:t xml:space="preserve">above </w:t>
      </w:r>
      <w:r w:rsidR="00005406">
        <w:t>charts the attacks for this era.</w:t>
      </w:r>
      <w:r w:rsidR="003A4F86" w:rsidRPr="003A4F86">
        <w:rPr>
          <w:sz w:val="20"/>
          <w:szCs w:val="20"/>
        </w:rPr>
        <w:t xml:space="preserve"> </w:t>
      </w:r>
    </w:p>
    <w:p w:rsidR="00EC41DA" w:rsidRDefault="00EC41DA" w:rsidP="006D765C">
      <w:pPr>
        <w:pStyle w:val="Heading2"/>
        <w:contextualSpacing/>
        <w:rPr>
          <w:bCs w:val="0"/>
          <w:i/>
          <w:iCs w:val="0"/>
          <w:szCs w:val="24"/>
        </w:rPr>
      </w:pPr>
      <w:bookmarkStart w:id="35" w:name="_Toc445916757"/>
      <w:bookmarkStart w:id="36" w:name="_Toc450748680"/>
      <w:r w:rsidRPr="003776BC">
        <w:rPr>
          <w:bCs w:val="0"/>
          <w:i/>
          <w:szCs w:val="24"/>
        </w:rPr>
        <w:t xml:space="preserve">The Ideological Foundation of </w:t>
      </w:r>
      <w:r w:rsidR="006D765C">
        <w:rPr>
          <w:bCs w:val="0"/>
          <w:i/>
          <w:szCs w:val="24"/>
        </w:rPr>
        <w:t>Suicide Terrorism</w:t>
      </w:r>
      <w:r w:rsidRPr="003776BC">
        <w:rPr>
          <w:bCs w:val="0"/>
          <w:i/>
          <w:szCs w:val="24"/>
        </w:rPr>
        <w:t xml:space="preserve"> </w:t>
      </w:r>
      <w:bookmarkEnd w:id="35"/>
      <w:r w:rsidRPr="003776BC">
        <w:rPr>
          <w:bCs w:val="0"/>
          <w:i/>
          <w:szCs w:val="24"/>
        </w:rPr>
        <w:t>in the 1980s</w:t>
      </w:r>
      <w:bookmarkEnd w:id="36"/>
    </w:p>
    <w:p w:rsidR="00D16C09" w:rsidRDefault="0092142E" w:rsidP="006F44EE">
      <w:pPr>
        <w:ind w:firstLine="720"/>
        <w:contextualSpacing/>
        <w:rPr>
          <w:rFonts w:ascii="Times New Roman" w:eastAsia="Calibri" w:hAnsi="Times New Roman"/>
          <w:noProof/>
          <w:lang w:bidi="ar-SA"/>
        </w:rPr>
      </w:pPr>
      <w:r>
        <w:rPr>
          <w:rFonts w:ascii="Times New Roman" w:eastAsia="Calibri" w:hAnsi="Times New Roman"/>
          <w:noProof/>
          <w:lang w:bidi="ar-SA"/>
        </w:rPr>
        <w:t>Marxist and social justice values influenced t</w:t>
      </w:r>
      <w:r w:rsidR="006D765C">
        <w:rPr>
          <w:rFonts w:ascii="Times New Roman" w:eastAsia="Calibri" w:hAnsi="Times New Roman"/>
          <w:noProof/>
          <w:lang w:bidi="ar-SA"/>
        </w:rPr>
        <w:t>he origina</w:t>
      </w:r>
      <w:r w:rsidR="00D16C09">
        <w:rPr>
          <w:rFonts w:ascii="Times New Roman" w:eastAsia="Calibri" w:hAnsi="Times New Roman"/>
          <w:noProof/>
          <w:lang w:bidi="ar-SA"/>
        </w:rPr>
        <w:t>tor</w:t>
      </w:r>
      <w:r w:rsidR="006D765C">
        <w:rPr>
          <w:rFonts w:ascii="Times New Roman" w:eastAsia="Calibri" w:hAnsi="Times New Roman"/>
          <w:noProof/>
          <w:lang w:bidi="ar-SA"/>
        </w:rPr>
        <w:t xml:space="preserve"> and early adopters</w:t>
      </w:r>
      <w:r>
        <w:rPr>
          <w:rFonts w:ascii="Times New Roman" w:eastAsia="Calibri" w:hAnsi="Times New Roman"/>
          <w:noProof/>
          <w:lang w:bidi="ar-SA"/>
        </w:rPr>
        <w:t xml:space="preserve"> of suicide terrorism</w:t>
      </w:r>
      <w:r w:rsidR="00FC2227">
        <w:rPr>
          <w:rFonts w:ascii="Times New Roman" w:eastAsia="Calibri" w:hAnsi="Times New Roman"/>
          <w:noProof/>
          <w:lang w:bidi="ar-SA"/>
        </w:rPr>
        <w:t xml:space="preserve">, and this </w:t>
      </w:r>
      <w:r w:rsidR="003A4F86">
        <w:rPr>
          <w:rFonts w:ascii="Times New Roman" w:eastAsia="Calibri" w:hAnsi="Times New Roman"/>
          <w:noProof/>
          <w:lang w:bidi="ar-SA"/>
        </w:rPr>
        <w:t xml:space="preserve">structured </w:t>
      </w:r>
      <w:r w:rsidR="00FC2227">
        <w:rPr>
          <w:rFonts w:ascii="Times New Roman" w:eastAsia="Calibri" w:hAnsi="Times New Roman"/>
          <w:noProof/>
          <w:lang w:bidi="ar-SA"/>
        </w:rPr>
        <w:t>how these groups selected targets</w:t>
      </w:r>
      <w:r w:rsidR="004555DB">
        <w:rPr>
          <w:rFonts w:ascii="Times New Roman" w:eastAsia="Calibri" w:hAnsi="Times New Roman"/>
          <w:noProof/>
          <w:lang w:bidi="ar-SA"/>
        </w:rPr>
        <w:t xml:space="preserve">.  </w:t>
      </w:r>
      <w:r w:rsidR="00D16C09">
        <w:rPr>
          <w:rFonts w:ascii="Times New Roman" w:eastAsia="Calibri" w:hAnsi="Times New Roman"/>
          <w:noProof/>
          <w:lang w:bidi="ar-SA"/>
        </w:rPr>
        <w:t>The LTTE</w:t>
      </w:r>
      <w:r>
        <w:rPr>
          <w:rFonts w:ascii="Times New Roman" w:eastAsia="Calibri" w:hAnsi="Times New Roman"/>
          <w:noProof/>
          <w:lang w:bidi="ar-SA"/>
        </w:rPr>
        <w:t xml:space="preserve">, the </w:t>
      </w:r>
      <w:r w:rsidR="00D16C09">
        <w:rPr>
          <w:rFonts w:ascii="Times New Roman" w:eastAsia="Calibri" w:hAnsi="Times New Roman"/>
          <w:noProof/>
          <w:lang w:bidi="ar-SA"/>
        </w:rPr>
        <w:t>PKK, and the Lebanese socialist groups adhered to Marxist rhetoric and worker’s revolution</w:t>
      </w:r>
      <w:r w:rsidR="004555DB">
        <w:rPr>
          <w:rFonts w:ascii="Times New Roman" w:eastAsia="Calibri" w:hAnsi="Times New Roman"/>
          <w:noProof/>
          <w:lang w:bidi="ar-SA"/>
        </w:rPr>
        <w:t xml:space="preserve">.  </w:t>
      </w:r>
      <w:r w:rsidR="00FC2227">
        <w:rPr>
          <w:rFonts w:ascii="Times New Roman" w:eastAsia="Calibri" w:hAnsi="Times New Roman"/>
          <w:noProof/>
          <w:lang w:bidi="ar-SA"/>
        </w:rPr>
        <w:t>Although explicitly anti-Marxist, Hezbollah believed in a class consciousness similar to Marxist tenets, but this identification with the oppressed was ro</w:t>
      </w:r>
      <w:r w:rsidR="00D418E4">
        <w:rPr>
          <w:rFonts w:ascii="Times New Roman" w:eastAsia="Calibri" w:hAnsi="Times New Roman"/>
          <w:noProof/>
          <w:lang w:bidi="ar-SA"/>
        </w:rPr>
        <w:t>oted in Sunni oppression of Shia</w:t>
      </w:r>
      <w:r w:rsidR="00FC2227">
        <w:rPr>
          <w:rFonts w:ascii="Times New Roman" w:eastAsia="Calibri" w:hAnsi="Times New Roman"/>
          <w:noProof/>
          <w:lang w:bidi="ar-SA"/>
        </w:rPr>
        <w:t>s and not dialectical materialism</w:t>
      </w:r>
      <w:r w:rsidR="004555DB">
        <w:rPr>
          <w:rFonts w:ascii="Times New Roman" w:eastAsia="Calibri" w:hAnsi="Times New Roman"/>
          <w:noProof/>
          <w:lang w:bidi="ar-SA"/>
        </w:rPr>
        <w:t xml:space="preserve">.  </w:t>
      </w:r>
      <w:r w:rsidR="00AD355A">
        <w:rPr>
          <w:rFonts w:ascii="Times New Roman" w:eastAsia="Calibri" w:hAnsi="Times New Roman"/>
          <w:noProof/>
          <w:lang w:bidi="ar-SA"/>
        </w:rPr>
        <w:t>Each of these groups adopted the tactic before Qutbist organizations did</w:t>
      </w:r>
      <w:r w:rsidR="004555DB">
        <w:rPr>
          <w:rFonts w:ascii="Times New Roman" w:eastAsia="Calibri" w:hAnsi="Times New Roman"/>
          <w:noProof/>
          <w:lang w:bidi="ar-SA"/>
        </w:rPr>
        <w:t xml:space="preserve">.  </w:t>
      </w:r>
      <w:r w:rsidR="00AD355A">
        <w:rPr>
          <w:rFonts w:ascii="Times New Roman" w:eastAsia="Calibri" w:hAnsi="Times New Roman"/>
          <w:noProof/>
          <w:lang w:bidi="ar-SA"/>
        </w:rPr>
        <w:t>The purpose of a historic review of suicide terrorism is twofold:</w:t>
      </w:r>
      <w:r w:rsidR="004555DB">
        <w:rPr>
          <w:rFonts w:ascii="Times New Roman" w:eastAsia="Calibri" w:hAnsi="Times New Roman"/>
          <w:noProof/>
          <w:lang w:bidi="ar-SA"/>
        </w:rPr>
        <w:t xml:space="preserve"> </w:t>
      </w:r>
      <w:r w:rsidR="00AD355A">
        <w:rPr>
          <w:rFonts w:ascii="Times New Roman" w:eastAsia="Calibri" w:hAnsi="Times New Roman"/>
          <w:noProof/>
          <w:lang w:bidi="ar-SA"/>
        </w:rPr>
        <w:t xml:space="preserve">to demonstrate that no ideology completely monopolized the tactic, and to </w:t>
      </w:r>
      <w:r w:rsidR="006F44EE">
        <w:rPr>
          <w:rFonts w:ascii="Times New Roman" w:eastAsia="Calibri" w:hAnsi="Times New Roman"/>
          <w:noProof/>
          <w:lang w:bidi="ar-SA"/>
        </w:rPr>
        <w:t>compare</w:t>
      </w:r>
      <w:r w:rsidR="00AD355A">
        <w:rPr>
          <w:rFonts w:ascii="Times New Roman" w:eastAsia="Calibri" w:hAnsi="Times New Roman"/>
          <w:noProof/>
          <w:lang w:bidi="ar-SA"/>
        </w:rPr>
        <w:t xml:space="preserve"> how Qutbist organizations changed the tactic and its usage in comparison to </w:t>
      </w:r>
      <w:r w:rsidR="006F44EE">
        <w:rPr>
          <w:rFonts w:ascii="Times New Roman" w:eastAsia="Calibri" w:hAnsi="Times New Roman"/>
          <w:noProof/>
          <w:lang w:bidi="ar-SA"/>
        </w:rPr>
        <w:t>previous suicide bombing campaigns</w:t>
      </w:r>
      <w:r w:rsidR="004555DB">
        <w:rPr>
          <w:rFonts w:ascii="Times New Roman" w:eastAsia="Calibri" w:hAnsi="Times New Roman"/>
          <w:noProof/>
          <w:lang w:bidi="ar-SA"/>
        </w:rPr>
        <w:t xml:space="preserve">.  </w:t>
      </w:r>
    </w:p>
    <w:p w:rsidR="003455FF" w:rsidRDefault="00EF5FDB" w:rsidP="00AD355A">
      <w:pPr>
        <w:ind w:firstLine="720"/>
        <w:contextualSpacing/>
        <w:rPr>
          <w:rFonts w:ascii="Times New Roman" w:eastAsia="Calibri" w:hAnsi="Times New Roman"/>
          <w:noProof/>
          <w:lang w:bidi="ar-SA"/>
        </w:rPr>
      </w:pPr>
      <w:r>
        <w:rPr>
          <w:rFonts w:ascii="Times New Roman" w:eastAsia="Calibri" w:hAnsi="Times New Roman"/>
          <w:noProof/>
          <w:lang w:bidi="ar-SA"/>
        </w:rPr>
        <w:t>T</w:t>
      </w:r>
      <w:r w:rsidR="006D765C">
        <w:rPr>
          <w:rFonts w:ascii="Times New Roman" w:eastAsia="Calibri" w:hAnsi="Times New Roman"/>
          <w:noProof/>
          <w:lang w:bidi="ar-SA"/>
        </w:rPr>
        <w:t xml:space="preserve">he </w:t>
      </w:r>
      <w:r w:rsidR="007E6BD7">
        <w:rPr>
          <w:rFonts w:ascii="Times New Roman" w:eastAsia="Calibri" w:hAnsi="Times New Roman"/>
          <w:noProof/>
          <w:lang w:bidi="ar-SA"/>
        </w:rPr>
        <w:t>most nota</w:t>
      </w:r>
      <w:r w:rsidR="00AD355A">
        <w:rPr>
          <w:rFonts w:ascii="Times New Roman" w:eastAsia="Calibri" w:hAnsi="Times New Roman"/>
          <w:noProof/>
          <w:lang w:bidi="ar-SA"/>
        </w:rPr>
        <w:t>ble suicide attacks prior to the 1980s were</w:t>
      </w:r>
      <w:r w:rsidR="007E6BD7">
        <w:rPr>
          <w:rFonts w:ascii="Times New Roman" w:eastAsia="Calibri" w:hAnsi="Times New Roman"/>
          <w:noProof/>
          <w:lang w:bidi="ar-SA"/>
        </w:rPr>
        <w:t xml:space="preserve"> the </w:t>
      </w:r>
      <w:r w:rsidR="00AD355A">
        <w:rPr>
          <w:rFonts w:ascii="Times New Roman" w:eastAsia="Calibri" w:hAnsi="Times New Roman"/>
          <w:noProof/>
          <w:lang w:bidi="ar-SA"/>
        </w:rPr>
        <w:t xml:space="preserve">Japanese </w:t>
      </w:r>
      <w:r w:rsidR="007E6BD7">
        <w:rPr>
          <w:rFonts w:ascii="Times New Roman" w:eastAsia="Calibri" w:hAnsi="Times New Roman"/>
          <w:noProof/>
          <w:lang w:bidi="ar-SA"/>
        </w:rPr>
        <w:t>kamikaze attacks in World War II</w:t>
      </w:r>
      <w:r w:rsidR="004555DB">
        <w:rPr>
          <w:rFonts w:ascii="Times New Roman" w:eastAsia="Calibri" w:hAnsi="Times New Roman"/>
          <w:noProof/>
          <w:lang w:bidi="ar-SA"/>
        </w:rPr>
        <w:t xml:space="preserve">.  </w:t>
      </w:r>
      <w:r w:rsidR="00AD355A">
        <w:rPr>
          <w:rFonts w:ascii="Times New Roman" w:eastAsia="Calibri" w:hAnsi="Times New Roman"/>
          <w:noProof/>
          <w:lang w:bidi="ar-SA"/>
        </w:rPr>
        <w:t>In constrast to self-selected martyrs, t</w:t>
      </w:r>
      <w:r w:rsidR="007E6BD7">
        <w:rPr>
          <w:rFonts w:ascii="Times New Roman" w:eastAsia="Calibri" w:hAnsi="Times New Roman"/>
          <w:noProof/>
          <w:lang w:bidi="ar-SA"/>
        </w:rPr>
        <w:t xml:space="preserve">he kamikaze pilots were conscripted, and they were used </w:t>
      </w:r>
      <w:r w:rsidR="00AD355A">
        <w:rPr>
          <w:rFonts w:ascii="Times New Roman" w:eastAsia="Calibri" w:hAnsi="Times New Roman"/>
          <w:noProof/>
          <w:lang w:bidi="ar-SA"/>
        </w:rPr>
        <w:t xml:space="preserve">exclusively </w:t>
      </w:r>
      <w:r w:rsidR="007E6BD7">
        <w:rPr>
          <w:rFonts w:ascii="Times New Roman" w:eastAsia="Calibri" w:hAnsi="Times New Roman"/>
          <w:noProof/>
          <w:lang w:bidi="ar-SA"/>
        </w:rPr>
        <w:t>against American military targets</w:t>
      </w:r>
      <w:r w:rsidR="004555DB">
        <w:rPr>
          <w:rFonts w:ascii="Times New Roman" w:eastAsia="Calibri" w:hAnsi="Times New Roman"/>
          <w:noProof/>
          <w:lang w:bidi="ar-SA"/>
        </w:rPr>
        <w:t xml:space="preserve">.  </w:t>
      </w:r>
      <w:r w:rsidR="007E6BD7">
        <w:rPr>
          <w:rFonts w:ascii="Times New Roman" w:eastAsia="Calibri" w:hAnsi="Times New Roman"/>
          <w:noProof/>
          <w:lang w:bidi="ar-SA"/>
        </w:rPr>
        <w:t xml:space="preserve">Many kamikaze pilots wrote in their diaries the disillusionment they had with the cause and </w:t>
      </w:r>
      <w:r w:rsidR="003A5A87">
        <w:rPr>
          <w:rFonts w:ascii="Times New Roman" w:eastAsia="Calibri" w:hAnsi="Times New Roman"/>
          <w:noProof/>
          <w:lang w:bidi="ar-SA"/>
        </w:rPr>
        <w:t xml:space="preserve">the </w:t>
      </w:r>
      <w:r w:rsidR="007E6BD7">
        <w:rPr>
          <w:rFonts w:ascii="Times New Roman" w:eastAsia="Calibri" w:hAnsi="Times New Roman"/>
          <w:noProof/>
          <w:lang w:bidi="ar-SA"/>
        </w:rPr>
        <w:t xml:space="preserve">fear for being selected </w:t>
      </w:r>
      <w:r w:rsidR="003A5A87">
        <w:rPr>
          <w:rFonts w:ascii="Times New Roman" w:eastAsia="Calibri" w:hAnsi="Times New Roman"/>
          <w:noProof/>
          <w:lang w:bidi="ar-SA"/>
        </w:rPr>
        <w:t>in a</w:t>
      </w:r>
      <w:r w:rsidR="007E6BD7">
        <w:rPr>
          <w:rFonts w:ascii="Times New Roman" w:eastAsia="Calibri" w:hAnsi="Times New Roman"/>
          <w:noProof/>
          <w:lang w:bidi="ar-SA"/>
        </w:rPr>
        <w:t xml:space="preserve"> kamikaze</w:t>
      </w:r>
      <w:r w:rsidR="003A5A87">
        <w:rPr>
          <w:rFonts w:ascii="Times New Roman" w:eastAsia="Calibri" w:hAnsi="Times New Roman"/>
          <w:noProof/>
          <w:lang w:bidi="ar-SA"/>
        </w:rPr>
        <w:t xml:space="preserve"> attack</w:t>
      </w:r>
      <w:r w:rsidR="004555DB">
        <w:rPr>
          <w:rFonts w:ascii="Times New Roman" w:eastAsia="Calibri" w:hAnsi="Times New Roman"/>
          <w:noProof/>
          <w:lang w:bidi="ar-SA"/>
        </w:rPr>
        <w:t xml:space="preserve">.  </w:t>
      </w:r>
      <w:r w:rsidR="00AD355A">
        <w:rPr>
          <w:rFonts w:ascii="Times New Roman" w:eastAsia="Calibri" w:hAnsi="Times New Roman"/>
          <w:noProof/>
          <w:lang w:bidi="ar-SA"/>
        </w:rPr>
        <w:t>However, the Japanese government still appealed to Shinto and Buddhist values to justify the attack and encourage the conscripted.</w:t>
      </w:r>
      <w:r w:rsidR="00AD355A">
        <w:rPr>
          <w:rStyle w:val="FootnoteReference"/>
        </w:rPr>
        <w:footnoteReference w:id="108"/>
      </w:r>
      <w:r w:rsidR="004555DB">
        <w:rPr>
          <w:rFonts w:ascii="Times New Roman" w:eastAsia="Calibri" w:hAnsi="Times New Roman"/>
          <w:noProof/>
          <w:lang w:bidi="ar-SA"/>
        </w:rPr>
        <w:t xml:space="preserve"> </w:t>
      </w:r>
      <w:r w:rsidR="003A5A87">
        <w:rPr>
          <w:rFonts w:ascii="Times New Roman" w:eastAsia="Calibri" w:hAnsi="Times New Roman"/>
          <w:noProof/>
          <w:lang w:bidi="ar-SA"/>
        </w:rPr>
        <w:t xml:space="preserve"> </w:t>
      </w:r>
      <w:r w:rsidR="00AD355A">
        <w:rPr>
          <w:rFonts w:ascii="Times New Roman" w:eastAsia="Calibri" w:hAnsi="Times New Roman"/>
          <w:noProof/>
          <w:lang w:bidi="ar-SA"/>
        </w:rPr>
        <w:t>Secular-leaning organizations that conscript the suicide attack</w:t>
      </w:r>
      <w:r w:rsidR="006F44EE">
        <w:rPr>
          <w:rFonts w:ascii="Times New Roman" w:eastAsia="Calibri" w:hAnsi="Times New Roman"/>
          <w:noProof/>
          <w:lang w:bidi="ar-SA"/>
        </w:rPr>
        <w:t>er</w:t>
      </w:r>
      <w:r w:rsidR="00AD355A">
        <w:rPr>
          <w:rFonts w:ascii="Times New Roman" w:eastAsia="Calibri" w:hAnsi="Times New Roman"/>
          <w:noProof/>
          <w:lang w:bidi="ar-SA"/>
        </w:rPr>
        <w:t>s, such as the LTTE, will also use religious values to assist in the individual to go through with the attack</w:t>
      </w:r>
      <w:r w:rsidR="004555DB">
        <w:rPr>
          <w:rFonts w:ascii="Times New Roman" w:eastAsia="Calibri" w:hAnsi="Times New Roman"/>
          <w:noProof/>
          <w:lang w:bidi="ar-SA"/>
        </w:rPr>
        <w:t xml:space="preserve">.  </w:t>
      </w:r>
    </w:p>
    <w:p w:rsidR="007E6BD7" w:rsidRDefault="007E6BD7" w:rsidP="007E6BD7">
      <w:pPr>
        <w:ind w:firstLine="720"/>
        <w:contextualSpacing/>
        <w:rPr>
          <w:rFonts w:ascii="Times New Roman" w:eastAsia="Calibri" w:hAnsi="Times New Roman"/>
          <w:noProof/>
          <w:lang w:bidi="ar-SA"/>
        </w:rPr>
      </w:pPr>
      <w:r>
        <w:rPr>
          <w:rFonts w:ascii="Times New Roman" w:eastAsia="Calibri" w:hAnsi="Times New Roman"/>
          <w:noProof/>
          <w:lang w:bidi="ar-SA"/>
        </w:rPr>
        <w:lastRenderedPageBreak/>
        <w:t xml:space="preserve">William Pierce’s </w:t>
      </w:r>
      <w:r>
        <w:rPr>
          <w:rFonts w:ascii="Times New Roman" w:eastAsia="Calibri" w:hAnsi="Times New Roman"/>
          <w:i/>
          <w:noProof/>
          <w:lang w:bidi="ar-SA"/>
        </w:rPr>
        <w:t xml:space="preserve">Turner Diaries </w:t>
      </w:r>
      <w:r>
        <w:rPr>
          <w:rFonts w:ascii="Times New Roman" w:eastAsia="Calibri" w:hAnsi="Times New Roman"/>
          <w:noProof/>
          <w:lang w:bidi="ar-SA"/>
        </w:rPr>
        <w:t>(1978)</w:t>
      </w:r>
      <w:r w:rsidR="006F44EE">
        <w:rPr>
          <w:rFonts w:ascii="Times New Roman" w:eastAsia="Calibri" w:hAnsi="Times New Roman"/>
          <w:noProof/>
          <w:lang w:bidi="ar-SA"/>
        </w:rPr>
        <w:t xml:space="preserve"> presented one of the most infamous fictional suicide attacks</w:t>
      </w:r>
      <w:r w:rsidR="004555DB">
        <w:rPr>
          <w:rFonts w:ascii="Times New Roman" w:eastAsia="Calibri" w:hAnsi="Times New Roman"/>
          <w:noProof/>
          <w:lang w:bidi="ar-SA"/>
        </w:rPr>
        <w:t xml:space="preserve">.  </w:t>
      </w:r>
      <w:r>
        <w:rPr>
          <w:rFonts w:ascii="Times New Roman" w:eastAsia="Calibri" w:hAnsi="Times New Roman"/>
          <w:noProof/>
          <w:lang w:bidi="ar-SA"/>
        </w:rPr>
        <w:t>The “protagonist” Earl Thomas crashes a crop duster armed with a nuclear bomb into the Pentagon, which allowed the Neo-Nazi Order to take over the world.</w:t>
      </w:r>
      <w:r>
        <w:rPr>
          <w:rStyle w:val="FootnoteReference"/>
          <w:rFonts w:asciiTheme="majorBidi" w:eastAsia="Arial Unicode MS" w:hAnsiTheme="majorBidi"/>
          <w:color w:val="000000"/>
          <w:shd w:val="clear" w:color="auto" w:fill="FFFFFF"/>
        </w:rPr>
        <w:footnoteReference w:id="109"/>
      </w:r>
      <w:r w:rsidR="003B25B5">
        <w:rPr>
          <w:rFonts w:ascii="Times New Roman" w:eastAsia="Calibri" w:hAnsi="Times New Roman"/>
          <w:noProof/>
          <w:lang w:bidi="ar-SA"/>
        </w:rPr>
        <w:t xml:space="preserve">  </w:t>
      </w:r>
      <w:r>
        <w:rPr>
          <w:rFonts w:ascii="Times New Roman" w:eastAsia="Calibri" w:hAnsi="Times New Roman"/>
          <w:noProof/>
          <w:lang w:bidi="ar-SA"/>
        </w:rPr>
        <w:t xml:space="preserve">The Turner Diaries has influenced many white supremacists in the US and Europe, including those behind the </w:t>
      </w:r>
      <w:r w:rsidR="00F56195">
        <w:rPr>
          <w:rFonts w:ascii="Times New Roman" w:eastAsia="Calibri" w:hAnsi="Times New Roman"/>
          <w:noProof/>
          <w:lang w:bidi="ar-SA"/>
        </w:rPr>
        <w:t xml:space="preserve">1995 </w:t>
      </w:r>
      <w:r>
        <w:rPr>
          <w:rFonts w:ascii="Times New Roman" w:eastAsia="Calibri" w:hAnsi="Times New Roman"/>
          <w:noProof/>
          <w:lang w:bidi="ar-SA"/>
        </w:rPr>
        <w:t>Murrah Building bombing</w:t>
      </w:r>
      <w:r w:rsidR="00F56195">
        <w:rPr>
          <w:rFonts w:ascii="Times New Roman" w:eastAsia="Calibri" w:hAnsi="Times New Roman"/>
          <w:noProof/>
          <w:lang w:bidi="ar-SA"/>
        </w:rPr>
        <w:t xml:space="preserve"> in Oklahoma City</w:t>
      </w:r>
      <w:r>
        <w:rPr>
          <w:rFonts w:ascii="Times New Roman" w:eastAsia="Calibri" w:hAnsi="Times New Roman"/>
          <w:noProof/>
          <w:lang w:bidi="ar-SA"/>
        </w:rPr>
        <w:t>,</w:t>
      </w:r>
      <w:r w:rsidR="00F56195">
        <w:rPr>
          <w:rFonts w:ascii="Times New Roman" w:eastAsia="Calibri" w:hAnsi="Times New Roman"/>
          <w:noProof/>
          <w:lang w:bidi="ar-SA"/>
        </w:rPr>
        <w:t xml:space="preserve"> </w:t>
      </w:r>
      <w:r>
        <w:rPr>
          <w:rFonts w:ascii="Times New Roman" w:eastAsia="Calibri" w:hAnsi="Times New Roman"/>
          <w:noProof/>
          <w:lang w:bidi="ar-SA"/>
        </w:rPr>
        <w:t>yet there was not a rash of suicide attacks by white nationalists</w:t>
      </w:r>
      <w:r w:rsidR="004555DB">
        <w:rPr>
          <w:rFonts w:ascii="Times New Roman" w:eastAsia="Calibri" w:hAnsi="Times New Roman"/>
          <w:noProof/>
          <w:lang w:bidi="ar-SA"/>
        </w:rPr>
        <w:t>.</w:t>
      </w:r>
      <w:r w:rsidR="0065626E">
        <w:rPr>
          <w:rFonts w:ascii="Times New Roman" w:eastAsia="Calibri" w:hAnsi="Times New Roman"/>
          <w:noProof/>
          <w:lang w:bidi="ar-SA"/>
        </w:rPr>
        <w:t xml:space="preserve">  </w:t>
      </w:r>
      <w:r>
        <w:rPr>
          <w:rFonts w:ascii="Times New Roman" w:eastAsia="Calibri" w:hAnsi="Times New Roman"/>
          <w:noProof/>
          <w:lang w:bidi="ar-SA"/>
        </w:rPr>
        <w:t>One reason is that Pierce and his Neo-Nazism was explicitly anti-Christian, which limited its roots among a broader American culture</w:t>
      </w:r>
      <w:r w:rsidR="004555DB">
        <w:rPr>
          <w:rFonts w:ascii="Times New Roman" w:eastAsia="Calibri" w:hAnsi="Times New Roman"/>
          <w:noProof/>
          <w:lang w:bidi="ar-SA"/>
        </w:rPr>
        <w:t xml:space="preserve">.  </w:t>
      </w:r>
      <w:r>
        <w:rPr>
          <w:rFonts w:ascii="Times New Roman" w:eastAsia="Calibri" w:hAnsi="Times New Roman"/>
          <w:noProof/>
          <w:lang w:bidi="ar-SA"/>
        </w:rPr>
        <w:t>The fictional Earl Thomas renounced belief in an afterlife on his flight into the Pentagon</w:t>
      </w:r>
      <w:r w:rsidR="004555DB">
        <w:rPr>
          <w:rFonts w:ascii="Times New Roman" w:eastAsia="Calibri" w:hAnsi="Times New Roman"/>
          <w:noProof/>
          <w:lang w:bidi="ar-SA"/>
        </w:rPr>
        <w:t>.</w:t>
      </w:r>
      <w:r w:rsidR="0065626E">
        <w:rPr>
          <w:rFonts w:ascii="Times New Roman" w:eastAsia="Calibri" w:hAnsi="Times New Roman"/>
          <w:noProof/>
          <w:lang w:bidi="ar-SA"/>
        </w:rPr>
        <w:t xml:space="preserve">  </w:t>
      </w:r>
      <w:r>
        <w:rPr>
          <w:rFonts w:ascii="Times New Roman" w:eastAsia="Calibri" w:hAnsi="Times New Roman"/>
          <w:noProof/>
          <w:lang w:bidi="ar-SA"/>
        </w:rPr>
        <w:t>Timothy McVeigh, like his fictional hero</w:t>
      </w:r>
      <w:r>
        <w:rPr>
          <w:rFonts w:asciiTheme="majorBidi" w:eastAsia="Arial Unicode MS" w:hAnsiTheme="majorBidi"/>
          <w:color w:val="000000"/>
          <w:shd w:val="clear" w:color="auto" w:fill="FFFFFF"/>
        </w:rPr>
        <w:t>, described himself as an agnostic.</w:t>
      </w:r>
      <w:r>
        <w:rPr>
          <w:rStyle w:val="FootnoteReference"/>
          <w:rFonts w:asciiTheme="majorBidi" w:eastAsia="Arial Unicode MS" w:hAnsiTheme="majorBidi"/>
          <w:color w:val="000000"/>
          <w:shd w:val="clear" w:color="auto" w:fill="FFFFFF"/>
        </w:rPr>
        <w:footnoteReference w:id="110"/>
      </w:r>
      <w:r w:rsidR="004555DB">
        <w:rPr>
          <w:rFonts w:asciiTheme="majorBidi" w:eastAsia="Arial Unicode MS" w:hAnsiTheme="majorBidi"/>
          <w:color w:val="000000"/>
          <w:shd w:val="clear" w:color="auto" w:fill="FFFFFF"/>
        </w:rPr>
        <w:t xml:space="preserve"> </w:t>
      </w:r>
      <w:r w:rsidR="003B25B5">
        <w:rPr>
          <w:rFonts w:asciiTheme="majorBidi" w:eastAsia="Arial Unicode MS" w:hAnsiTheme="majorBidi"/>
          <w:color w:val="000000"/>
          <w:shd w:val="clear" w:color="auto" w:fill="FFFFFF"/>
        </w:rPr>
        <w:t xml:space="preserve"> </w:t>
      </w:r>
      <w:r>
        <w:rPr>
          <w:rFonts w:asciiTheme="majorBidi" w:eastAsia="Arial Unicode MS" w:hAnsiTheme="majorBidi"/>
          <w:color w:val="000000"/>
          <w:shd w:val="clear" w:color="auto" w:fill="FFFFFF"/>
        </w:rPr>
        <w:t>Although there are multiple reasons why the white supremacist movement has not conducted both the conventional and suicide attacks to the degree that militant Qutbists have, one reason is because the substantiating ideology does not p</w:t>
      </w:r>
      <w:r w:rsidR="006277EB">
        <w:rPr>
          <w:rFonts w:asciiTheme="majorBidi" w:eastAsia="Arial Unicode MS" w:hAnsiTheme="majorBidi"/>
          <w:color w:val="000000"/>
          <w:shd w:val="clear" w:color="auto" w:fill="FFFFFF"/>
        </w:rPr>
        <w:t xml:space="preserve">romise </w:t>
      </w:r>
      <w:r>
        <w:rPr>
          <w:rFonts w:asciiTheme="majorBidi" w:eastAsia="Arial Unicode MS" w:hAnsiTheme="majorBidi"/>
          <w:color w:val="000000"/>
          <w:shd w:val="clear" w:color="auto" w:fill="FFFFFF"/>
        </w:rPr>
        <w:t>personal immortality</w:t>
      </w:r>
      <w:r w:rsidR="006277EB">
        <w:rPr>
          <w:rFonts w:asciiTheme="majorBidi" w:eastAsia="Arial Unicode MS" w:hAnsiTheme="majorBidi"/>
          <w:color w:val="000000"/>
          <w:shd w:val="clear" w:color="auto" w:fill="FFFFFF"/>
        </w:rPr>
        <w:t xml:space="preserve">, which </w:t>
      </w:r>
      <w:r w:rsidR="003B25B5">
        <w:rPr>
          <w:rFonts w:asciiTheme="majorBidi" w:eastAsia="Arial Unicode MS" w:hAnsiTheme="majorBidi"/>
          <w:color w:val="000000"/>
          <w:shd w:val="clear" w:color="auto" w:fill="FFFFFF"/>
        </w:rPr>
        <w:t xml:space="preserve">is key to provide </w:t>
      </w:r>
      <w:r>
        <w:rPr>
          <w:rFonts w:asciiTheme="majorBidi" w:eastAsia="Arial Unicode MS" w:hAnsiTheme="majorBidi"/>
          <w:color w:val="000000"/>
          <w:shd w:val="clear" w:color="auto" w:fill="FFFFFF"/>
        </w:rPr>
        <w:t>psychological safety to go through with suicide.</w:t>
      </w:r>
    </w:p>
    <w:p w:rsidR="00EC41DA" w:rsidRPr="003776BC" w:rsidRDefault="00FC2227" w:rsidP="00DD281E">
      <w:pPr>
        <w:ind w:firstLine="720"/>
        <w:contextualSpacing/>
        <w:rPr>
          <w:lang w:bidi="he-IL"/>
        </w:rPr>
      </w:pPr>
      <w:r>
        <w:rPr>
          <w:lang w:bidi="he-IL"/>
        </w:rPr>
        <w:t xml:space="preserve">Suicide terrorism in the 1980s emerged in the waning days of the Cold </w:t>
      </w:r>
      <w:r w:rsidR="00EF5FDB">
        <w:rPr>
          <w:lang w:bidi="he-IL"/>
        </w:rPr>
        <w:t xml:space="preserve">War, which explains some </w:t>
      </w:r>
      <w:r>
        <w:rPr>
          <w:lang w:bidi="he-IL"/>
        </w:rPr>
        <w:t xml:space="preserve">ideological restraint </w:t>
      </w:r>
      <w:r w:rsidR="00EF5FDB">
        <w:rPr>
          <w:lang w:bidi="he-IL"/>
        </w:rPr>
        <w:t xml:space="preserve">in its usage </w:t>
      </w:r>
      <w:r>
        <w:rPr>
          <w:lang w:bidi="he-IL"/>
        </w:rPr>
        <w:t>in the Era of Nationalism</w:t>
      </w:r>
      <w:r w:rsidR="004555DB">
        <w:rPr>
          <w:lang w:bidi="he-IL"/>
        </w:rPr>
        <w:t xml:space="preserve">.  </w:t>
      </w:r>
      <w:r>
        <w:rPr>
          <w:lang w:bidi="he-IL"/>
        </w:rPr>
        <w:t>W</w:t>
      </w:r>
      <w:r w:rsidR="00EC41DA" w:rsidRPr="003776BC">
        <w:rPr>
          <w:lang w:bidi="he-IL"/>
        </w:rPr>
        <w:t>hen the Cold War began, most</w:t>
      </w:r>
      <w:r>
        <w:rPr>
          <w:lang w:bidi="he-IL"/>
        </w:rPr>
        <w:t xml:space="preserve"> rebel groups turned to the Soviet Union</w:t>
      </w:r>
      <w:r w:rsidR="00EC41DA" w:rsidRPr="003776BC">
        <w:rPr>
          <w:lang w:bidi="he-IL"/>
        </w:rPr>
        <w:t xml:space="preserve"> or </w:t>
      </w:r>
      <w:r>
        <w:rPr>
          <w:lang w:bidi="he-IL"/>
        </w:rPr>
        <w:t xml:space="preserve">Maoist </w:t>
      </w:r>
      <w:r w:rsidR="00EC41DA" w:rsidRPr="003776BC">
        <w:rPr>
          <w:lang w:bidi="he-IL"/>
        </w:rPr>
        <w:t>China—both result</w:t>
      </w:r>
      <w:r>
        <w:rPr>
          <w:lang w:bidi="he-IL"/>
        </w:rPr>
        <w:t>s</w:t>
      </w:r>
      <w:r w:rsidR="00EC41DA" w:rsidRPr="003776BC">
        <w:rPr>
          <w:lang w:bidi="he-IL"/>
        </w:rPr>
        <w:t xml:space="preserve"> of successful revolution—as ideological beacons for their own nationalist and socialist movements</w:t>
      </w:r>
      <w:r w:rsidR="00EC41DA">
        <w:rPr>
          <w:lang w:bidi="he-IL"/>
        </w:rPr>
        <w:t xml:space="preserve">, </w:t>
      </w:r>
      <w:r w:rsidR="00EC41DA" w:rsidRPr="003776BC">
        <w:rPr>
          <w:lang w:bidi="he-IL"/>
        </w:rPr>
        <w:t>particularly since many were combatting post-colonial enterprises that usually aligned with the United States’ side of the Cold War</w:t>
      </w:r>
      <w:r w:rsidR="004555DB">
        <w:rPr>
          <w:lang w:bidi="he-IL"/>
        </w:rPr>
        <w:t xml:space="preserve">.  </w:t>
      </w:r>
      <w:r w:rsidR="00EC41DA" w:rsidRPr="003776BC">
        <w:rPr>
          <w:lang w:bidi="he-IL"/>
        </w:rPr>
        <w:t>In some instances, the USSR would send actual materiel to nationalist movements that paid obeisance to the left side of the global political spectrum</w:t>
      </w:r>
      <w:r w:rsidR="004555DB">
        <w:rPr>
          <w:lang w:bidi="he-IL"/>
        </w:rPr>
        <w:t xml:space="preserve">.  </w:t>
      </w:r>
      <w:r w:rsidR="00EC41DA" w:rsidRPr="003776BC">
        <w:rPr>
          <w:lang w:bidi="he-IL"/>
        </w:rPr>
        <w:t xml:space="preserve">But by the 1980s, the Soviet </w:t>
      </w:r>
      <w:r w:rsidR="00EC41DA" w:rsidRPr="003776BC">
        <w:rPr>
          <w:lang w:bidi="he-IL"/>
        </w:rPr>
        <w:lastRenderedPageBreak/>
        <w:t xml:space="preserve">Union ceased to be a motivating force for global revolution and rebellion, and </w:t>
      </w:r>
      <w:r w:rsidR="00F56195">
        <w:rPr>
          <w:lang w:bidi="he-IL"/>
        </w:rPr>
        <w:t xml:space="preserve">Chinese Chairman </w:t>
      </w:r>
      <w:r w:rsidR="00EC41DA" w:rsidRPr="003776BC">
        <w:rPr>
          <w:lang w:bidi="he-IL"/>
        </w:rPr>
        <w:t>Mao</w:t>
      </w:r>
      <w:r w:rsidR="00F56195">
        <w:rPr>
          <w:lang w:bidi="he-IL"/>
        </w:rPr>
        <w:t xml:space="preserve"> Zedong</w:t>
      </w:r>
      <w:r w:rsidR="00EC41DA" w:rsidRPr="003776BC">
        <w:rPr>
          <w:lang w:bidi="he-IL"/>
        </w:rPr>
        <w:t xml:space="preserve">’s accommodation of </w:t>
      </w:r>
      <w:r w:rsidR="00F56195">
        <w:rPr>
          <w:lang w:bidi="he-IL"/>
        </w:rPr>
        <w:t xml:space="preserve">US President Richard </w:t>
      </w:r>
      <w:r w:rsidR="00EC41DA" w:rsidRPr="003776BC">
        <w:rPr>
          <w:lang w:bidi="he-IL"/>
        </w:rPr>
        <w:t>Nixon in the 1970s likewise b</w:t>
      </w:r>
      <w:r w:rsidR="006F44EE">
        <w:rPr>
          <w:lang w:bidi="he-IL"/>
        </w:rPr>
        <w:t>etrayed revolutionary principles</w:t>
      </w:r>
      <w:r w:rsidR="004555DB">
        <w:rPr>
          <w:lang w:bidi="he-IL"/>
        </w:rPr>
        <w:t xml:space="preserve">.  </w:t>
      </w:r>
      <w:r>
        <w:rPr>
          <w:lang w:bidi="he-IL"/>
        </w:rPr>
        <w:t>The LTTE, the PKK, and the Lebanese groups were the last remnants of rebel fighters adhering to an ideology that lost much of its motivating power</w:t>
      </w:r>
      <w:r w:rsidR="004555DB">
        <w:rPr>
          <w:lang w:bidi="he-IL"/>
        </w:rPr>
        <w:t xml:space="preserve">.  </w:t>
      </w:r>
      <w:r w:rsidR="00D12C09">
        <w:rPr>
          <w:lang w:bidi="he-IL"/>
        </w:rPr>
        <w:t>In the 1970s, many of the transnational leftwing terrorist groups—the Japanese Red Army, the Baader Meinhof Gang, Carlos the Jackal—targeted</w:t>
      </w:r>
      <w:r w:rsidR="0096396D">
        <w:rPr>
          <w:lang w:bidi="he-IL"/>
        </w:rPr>
        <w:t xml:space="preserve"> and assassinated</w:t>
      </w:r>
      <w:r w:rsidR="00D12C09">
        <w:rPr>
          <w:lang w:bidi="he-IL"/>
        </w:rPr>
        <w:t xml:space="preserve"> </w:t>
      </w:r>
      <w:r w:rsidR="00EE3A93">
        <w:rPr>
          <w:lang w:bidi="he-IL"/>
        </w:rPr>
        <w:t xml:space="preserve">bourgeois </w:t>
      </w:r>
      <w:r w:rsidR="00D12C09">
        <w:rPr>
          <w:lang w:bidi="he-IL"/>
        </w:rPr>
        <w:t xml:space="preserve">civilians </w:t>
      </w:r>
      <w:r w:rsidR="00F56195">
        <w:rPr>
          <w:lang w:bidi="he-IL"/>
        </w:rPr>
        <w:t>who</w:t>
      </w:r>
      <w:r w:rsidR="00EE3A93">
        <w:rPr>
          <w:lang w:bidi="he-IL"/>
        </w:rPr>
        <w:t>m they believed</w:t>
      </w:r>
      <w:r w:rsidR="00F56195">
        <w:rPr>
          <w:lang w:bidi="he-IL"/>
        </w:rPr>
        <w:t xml:space="preserve"> </w:t>
      </w:r>
      <w:r w:rsidR="00D12C09">
        <w:rPr>
          <w:lang w:bidi="he-IL"/>
        </w:rPr>
        <w:t xml:space="preserve">represented the </w:t>
      </w:r>
      <w:r w:rsidR="006F44EE">
        <w:rPr>
          <w:lang w:bidi="he-IL"/>
        </w:rPr>
        <w:t xml:space="preserve">collective </w:t>
      </w:r>
      <w:r w:rsidR="00D12C09">
        <w:rPr>
          <w:lang w:bidi="he-IL"/>
        </w:rPr>
        <w:t>oppressi</w:t>
      </w:r>
      <w:r w:rsidR="00EE3A93">
        <w:rPr>
          <w:lang w:bidi="he-IL"/>
        </w:rPr>
        <w:t>on of the</w:t>
      </w:r>
      <w:r w:rsidR="00D12C09">
        <w:rPr>
          <w:lang w:bidi="he-IL"/>
        </w:rPr>
        <w:t xml:space="preserve"> proletariat</w:t>
      </w:r>
      <w:r w:rsidR="004555DB">
        <w:rPr>
          <w:lang w:bidi="he-IL"/>
        </w:rPr>
        <w:t xml:space="preserve">.  </w:t>
      </w:r>
      <w:r w:rsidR="00D12C09">
        <w:rPr>
          <w:lang w:bidi="he-IL"/>
        </w:rPr>
        <w:t>However</w:t>
      </w:r>
      <w:r w:rsidR="00F56195">
        <w:rPr>
          <w:lang w:bidi="he-IL"/>
        </w:rPr>
        <w:t>,</w:t>
      </w:r>
      <w:r w:rsidR="00D12C09">
        <w:rPr>
          <w:lang w:bidi="he-IL"/>
        </w:rPr>
        <w:t xml:space="preserve"> they did not conduct any suicide attacks, likely for three reasons:</w:t>
      </w:r>
      <w:r w:rsidR="004555DB">
        <w:rPr>
          <w:lang w:bidi="he-IL"/>
        </w:rPr>
        <w:t xml:space="preserve"> </w:t>
      </w:r>
      <w:r w:rsidR="00D12C09">
        <w:rPr>
          <w:lang w:bidi="he-IL"/>
        </w:rPr>
        <w:t>the tactic was invented after their defeats or deaths, the decline of Marxism limited support for the</w:t>
      </w:r>
      <w:r w:rsidR="00DD281E">
        <w:rPr>
          <w:lang w:bidi="he-IL"/>
        </w:rPr>
        <w:t xml:space="preserve"> ideology </w:t>
      </w:r>
      <w:r w:rsidR="00D12C09">
        <w:rPr>
          <w:lang w:bidi="he-IL"/>
        </w:rPr>
        <w:t>outside of a few regions (such as Sri Lanka and Kurdistan), and, most importantly, the type of in-group and out-group di</w:t>
      </w:r>
      <w:r w:rsidR="00DD281E">
        <w:rPr>
          <w:lang w:bidi="he-IL"/>
        </w:rPr>
        <w:t xml:space="preserve">vide is different in Marxism </w:t>
      </w:r>
      <w:r w:rsidR="00A35E3D">
        <w:rPr>
          <w:lang w:bidi="he-IL"/>
        </w:rPr>
        <w:t xml:space="preserve">and </w:t>
      </w:r>
      <w:r w:rsidR="00D12C09">
        <w:rPr>
          <w:lang w:bidi="he-IL"/>
        </w:rPr>
        <w:t>Qutbism.</w:t>
      </w:r>
    </w:p>
    <w:p w:rsidR="00005406" w:rsidRPr="003776BC" w:rsidRDefault="00005406" w:rsidP="006046BF">
      <w:pPr>
        <w:ind w:firstLine="720"/>
        <w:contextualSpacing/>
      </w:pPr>
      <w:r w:rsidRPr="003776BC">
        <w:t>Marxism can (and h</w:t>
      </w:r>
      <w:r>
        <w:t>as) created stakeholders globall</w:t>
      </w:r>
      <w:r w:rsidRPr="003776BC">
        <w:t>y for its cause, and it can (and has) created r</w:t>
      </w:r>
      <w:r>
        <w:t>igid in-group and out-</w:t>
      </w:r>
      <w:r w:rsidRPr="003776BC">
        <w:t>group conflict with horrific consequences</w:t>
      </w:r>
      <w:r w:rsidR="004555DB">
        <w:t xml:space="preserve">.  </w:t>
      </w:r>
      <w:r>
        <w:t>T</w:t>
      </w:r>
      <w:r w:rsidRPr="003776BC">
        <w:t>he Soviet imposed Holodomor famine in Poland, the gulags, the show trials, the Cultural Revolution, and the Khmer Rouge</w:t>
      </w:r>
      <w:r w:rsidRPr="003776BC">
        <w:softHyphen/>
        <w:t xml:space="preserve"> are proof </w:t>
      </w:r>
      <w:r w:rsidR="00DD281E">
        <w:t xml:space="preserve">that Marxism </w:t>
      </w:r>
      <w:r w:rsidR="003B25B5">
        <w:t xml:space="preserve">can incite </w:t>
      </w:r>
      <w:r w:rsidR="00DD281E">
        <w:t>violent dehumanization</w:t>
      </w:r>
      <w:r w:rsidR="004555DB">
        <w:t xml:space="preserve">.  </w:t>
      </w:r>
      <w:r w:rsidR="00DD281E">
        <w:t>The lessons of group narcissism on intergroup hostility explain Marxist violence as well</w:t>
      </w:r>
      <w:r w:rsidR="004555DB">
        <w:t xml:space="preserve">.  </w:t>
      </w:r>
      <w:r w:rsidRPr="003776BC">
        <w:t>The difference between cosmic Marxism and cosmic Islamic militancy is that, in Marxism, the potential in-group member is anyone who is oppressed, in any country in the world</w:t>
      </w:r>
      <w:r w:rsidR="004555DB">
        <w:t xml:space="preserve">.  </w:t>
      </w:r>
      <w:r>
        <w:t xml:space="preserve">The exploited workers </w:t>
      </w:r>
      <w:r w:rsidRPr="003776BC">
        <w:t>a</w:t>
      </w:r>
      <w:r>
        <w:t>nd their intellectual advocates</w:t>
      </w:r>
      <w:r w:rsidRPr="003776BC">
        <w:t xml:space="preserve"> are allies</w:t>
      </w:r>
      <w:r w:rsidR="004555DB">
        <w:t xml:space="preserve">.  </w:t>
      </w:r>
      <w:r w:rsidRPr="003776BC">
        <w:t>Thus, wanton attacks on civilians can the</w:t>
      </w:r>
      <w:r w:rsidR="00D40E59">
        <w:t>oretically undermine potential</w:t>
      </w:r>
      <w:r w:rsidRPr="003776BC">
        <w:t xml:space="preserve"> support for global worker</w:t>
      </w:r>
      <w:r>
        <w:t>s</w:t>
      </w:r>
      <w:r w:rsidRPr="003776BC">
        <w:t>’ revolution</w:t>
      </w:r>
      <w:r w:rsidR="004555DB">
        <w:t xml:space="preserve">.  </w:t>
      </w:r>
      <w:r w:rsidRPr="003776BC">
        <w:t xml:space="preserve">Capricious slaughter of civilians would merely </w:t>
      </w:r>
      <w:r>
        <w:t>push</w:t>
      </w:r>
      <w:r w:rsidRPr="003776BC">
        <w:t xml:space="preserve"> workers to rally around the </w:t>
      </w:r>
      <w:r>
        <w:t>former</w:t>
      </w:r>
      <w:r w:rsidRPr="003776BC">
        <w:t xml:space="preserve"> regime instead of the socialist </w:t>
      </w:r>
      <w:r w:rsidRPr="003776BC">
        <w:lastRenderedPageBreak/>
        <w:t>vanguard</w:t>
      </w:r>
      <w:r w:rsidR="004555DB">
        <w:t xml:space="preserve">.  </w:t>
      </w:r>
      <w:r w:rsidRPr="003776BC">
        <w:t>The in-group and out-groups are</w:t>
      </w:r>
      <w:r w:rsidR="00D40E59">
        <w:t xml:space="preserve"> intermixed, making separating the out-group</w:t>
      </w:r>
      <w:r w:rsidRPr="003776BC">
        <w:t xml:space="preserve"> difficult for a violent attack</w:t>
      </w:r>
      <w:r w:rsidR="004555DB">
        <w:t xml:space="preserve">.  </w:t>
      </w:r>
      <w:r w:rsidRPr="003776BC">
        <w:t xml:space="preserve">For Marxists, as born by history, the reordering of man (and its pernicious consequences) occurs after </w:t>
      </w:r>
      <w:r w:rsidR="006F44EE">
        <w:t>they attain power</w:t>
      </w:r>
      <w:r w:rsidR="004555DB">
        <w:t xml:space="preserve">.  </w:t>
      </w:r>
    </w:p>
    <w:p w:rsidR="00A84B1E" w:rsidRDefault="005954BC" w:rsidP="006F44EE">
      <w:pPr>
        <w:ind w:firstLine="720"/>
        <w:contextualSpacing/>
      </w:pPr>
      <w:r>
        <w:t>For Qutbists, the in-group and out-group divide is easier to recognize and act on</w:t>
      </w:r>
      <w:r w:rsidR="004555DB">
        <w:t xml:space="preserve">.  </w:t>
      </w:r>
      <w:r w:rsidR="00005406" w:rsidRPr="003776BC">
        <w:t>The in-group and out-group are, for the most part, geographically and culturally separated</w:t>
      </w:r>
      <w:r>
        <w:t xml:space="preserve">, which makes it </w:t>
      </w:r>
      <w:r w:rsidR="00005406" w:rsidRPr="003776BC">
        <w:t>ea</w:t>
      </w:r>
      <w:r w:rsidR="006F44EE">
        <w:t xml:space="preserve">sier to target large out-groups </w:t>
      </w:r>
      <w:r w:rsidR="00005406" w:rsidRPr="003776BC">
        <w:t>without fear of contaminating the cause among the audience the Qutbists intend to win over first</w:t>
      </w:r>
      <w:r w:rsidR="004555DB">
        <w:t xml:space="preserve">.  </w:t>
      </w:r>
      <w:r w:rsidR="00306E4C">
        <w:t>If an ISIS suicid</w:t>
      </w:r>
      <w:r w:rsidR="00D418E4">
        <w:t>e bomber goes into an Iraqi Shia</w:t>
      </w:r>
      <w:r w:rsidR="00306E4C">
        <w:t xml:space="preserve"> marketplace and detonates himself, everyone who dies is an infidel and worthy of death</w:t>
      </w:r>
      <w:r w:rsidR="004555DB">
        <w:t xml:space="preserve">.  </w:t>
      </w:r>
      <w:r w:rsidR="00F87649">
        <w:t xml:space="preserve">If a Marxist suicide bomber detonates himself in an American mall, he very well may kill many bourgeois enemies, but also many workers that the bomber is theoretically </w:t>
      </w:r>
      <w:r w:rsidR="00BD4069">
        <w:t xml:space="preserve">in his in-group.  </w:t>
      </w:r>
      <w:r w:rsidR="00D418E4">
        <w:t>If a Shia</w:t>
      </w:r>
      <w:r w:rsidR="00F87649">
        <w:t xml:space="preserve"> suicide bomber detonates himself in an American mall, he </w:t>
      </w:r>
      <w:r w:rsidR="006F44EE">
        <w:t xml:space="preserve">will </w:t>
      </w:r>
      <w:r w:rsidR="00F87649">
        <w:t xml:space="preserve">kill many in the “House of Oppressed,” </w:t>
      </w:r>
      <w:r w:rsidR="006F44EE">
        <w:t xml:space="preserve">an in-group </w:t>
      </w:r>
      <w:r w:rsidR="00F87649">
        <w:t xml:space="preserve">that the </w:t>
      </w:r>
      <w:r w:rsidR="006F44EE">
        <w:t xml:space="preserve">Shia radical </w:t>
      </w:r>
      <w:r w:rsidR="00F87649">
        <w:t>theoretically identifies with (discussed below in Cognitive Terrain of Lebanese Bombers).</w:t>
      </w:r>
    </w:p>
    <w:p w:rsidR="00EC41DA" w:rsidRPr="0096396D" w:rsidRDefault="006F44EE" w:rsidP="006046BF">
      <w:pPr>
        <w:ind w:firstLine="720"/>
        <w:contextualSpacing/>
      </w:pPr>
      <w:r>
        <w:t>The</w:t>
      </w:r>
      <w:r w:rsidR="00A84B1E">
        <w:t xml:space="preserve"> role of religious identity</w:t>
      </w:r>
      <w:r>
        <w:t xml:space="preserve"> mitigates much of the fear of suicide and creates a framework for pulling adherents from over the globe</w:t>
      </w:r>
      <w:r w:rsidR="004555DB">
        <w:t xml:space="preserve">.  </w:t>
      </w:r>
      <w:r w:rsidR="00CC164D">
        <w:t>Any</w:t>
      </w:r>
      <w:r w:rsidR="00005406" w:rsidRPr="003776BC">
        <w:t xml:space="preserve"> stakeholder affiliated with the religion can self-select to </w:t>
      </w:r>
      <w:r w:rsidR="006046BF">
        <w:t>defend the religion</w:t>
      </w:r>
      <w:r w:rsidR="00005406" w:rsidRPr="003776BC">
        <w:t xml:space="preserve"> in any area where the religion is in conflict</w:t>
      </w:r>
      <w:r w:rsidR="004555DB">
        <w:t xml:space="preserve">.  </w:t>
      </w:r>
      <w:r w:rsidR="00005406" w:rsidRPr="003776BC">
        <w:t>Thus, a Westernized Muslim in London can identify with what happens to Iraqis—to the extent that the Westernized Muslim</w:t>
      </w:r>
      <w:r w:rsidR="00005406">
        <w:t>,</w:t>
      </w:r>
      <w:r w:rsidR="00005406" w:rsidRPr="003776BC">
        <w:t xml:space="preserve"> who has never been to Iraq</w:t>
      </w:r>
      <w:r w:rsidR="00005406">
        <w:t>,</w:t>
      </w:r>
      <w:r w:rsidR="00005406" w:rsidRPr="003776BC">
        <w:t xml:space="preserve"> can k</w:t>
      </w:r>
      <w:r>
        <w:t>ill himself and fellow Londoners</w:t>
      </w:r>
      <w:r w:rsidR="004555DB">
        <w:t xml:space="preserve">.  </w:t>
      </w:r>
    </w:p>
    <w:p w:rsidR="00EC41DA" w:rsidRPr="003776BC" w:rsidRDefault="00EC41DA" w:rsidP="00EC41DA">
      <w:pPr>
        <w:pStyle w:val="Heading2"/>
        <w:contextualSpacing/>
        <w:rPr>
          <w:szCs w:val="24"/>
        </w:rPr>
      </w:pPr>
      <w:bookmarkStart w:id="37" w:name="_Toc450748681"/>
      <w:r w:rsidRPr="003776BC">
        <w:rPr>
          <w:bCs w:val="0"/>
          <w:i/>
          <w:szCs w:val="24"/>
        </w:rPr>
        <w:t>Hezbollah and Syrian Groups in Lebanon</w:t>
      </w:r>
      <w:bookmarkEnd w:id="37"/>
    </w:p>
    <w:p w:rsidR="00A84B1E" w:rsidRDefault="00EC41DA" w:rsidP="002A6175">
      <w:pPr>
        <w:ind w:firstLine="720"/>
        <w:contextualSpacing/>
        <w:rPr>
          <w:rFonts w:ascii="Times New Roman" w:eastAsia="Calibri" w:hAnsi="Times New Roman"/>
          <w:noProof/>
          <w:lang w:bidi="ar-SA"/>
        </w:rPr>
      </w:pPr>
      <w:r w:rsidRPr="00BD3DCE">
        <w:rPr>
          <w:rFonts w:ascii="Times New Roman" w:eastAsia="Calibri" w:hAnsi="Times New Roman"/>
          <w:noProof/>
          <w:lang w:bidi="ar-SA"/>
        </w:rPr>
        <w:t>The first suicide bombing campaign emerged from the complicated</w:t>
      </w:r>
      <w:r w:rsidR="004555DB">
        <w:rPr>
          <w:rFonts w:ascii="Times New Roman" w:eastAsia="Calibri" w:hAnsi="Times New Roman"/>
          <w:noProof/>
          <w:lang w:bidi="ar-SA"/>
        </w:rPr>
        <w:t xml:space="preserve"> </w:t>
      </w:r>
      <w:r w:rsidRPr="00BD3DCE">
        <w:rPr>
          <w:rFonts w:ascii="Times New Roman" w:eastAsia="Calibri" w:hAnsi="Times New Roman"/>
          <w:noProof/>
          <w:lang w:bidi="ar-SA"/>
        </w:rPr>
        <w:t>social and geopolitical politics in Lebanon</w:t>
      </w:r>
      <w:r w:rsidR="004555DB">
        <w:rPr>
          <w:rFonts w:ascii="Times New Roman" w:eastAsia="Calibri" w:hAnsi="Times New Roman"/>
          <w:noProof/>
          <w:lang w:bidi="ar-SA"/>
        </w:rPr>
        <w:t xml:space="preserve">.  </w:t>
      </w:r>
      <w:r w:rsidRPr="00BD3DCE">
        <w:rPr>
          <w:rFonts w:ascii="Times New Roman" w:eastAsia="Calibri" w:hAnsi="Times New Roman"/>
          <w:noProof/>
          <w:lang w:bidi="ar-SA"/>
        </w:rPr>
        <w:t xml:space="preserve">After World War II, Lebanon </w:t>
      </w:r>
      <w:r>
        <w:rPr>
          <w:rFonts w:ascii="Times New Roman" w:eastAsia="Calibri" w:hAnsi="Times New Roman"/>
          <w:noProof/>
          <w:lang w:bidi="ar-SA"/>
        </w:rPr>
        <w:t>gather</w:t>
      </w:r>
      <w:r w:rsidRPr="00BD3DCE">
        <w:rPr>
          <w:rFonts w:ascii="Times New Roman" w:eastAsia="Calibri" w:hAnsi="Times New Roman"/>
          <w:noProof/>
          <w:lang w:bidi="ar-SA"/>
        </w:rPr>
        <w:t>ed four separa</w:t>
      </w:r>
      <w:r w:rsidR="00D418E4">
        <w:rPr>
          <w:rFonts w:ascii="Times New Roman" w:eastAsia="Calibri" w:hAnsi="Times New Roman"/>
          <w:noProof/>
          <w:lang w:bidi="ar-SA"/>
        </w:rPr>
        <w:t xml:space="preserve">te </w:t>
      </w:r>
      <w:r w:rsidR="00D418E4">
        <w:rPr>
          <w:rFonts w:ascii="Times New Roman" w:eastAsia="Calibri" w:hAnsi="Times New Roman"/>
          <w:noProof/>
          <w:lang w:bidi="ar-SA"/>
        </w:rPr>
        <w:lastRenderedPageBreak/>
        <w:t>religious groups—Sunnis, Shia</w:t>
      </w:r>
      <w:r w:rsidRPr="00BD3DCE">
        <w:rPr>
          <w:rFonts w:ascii="Times New Roman" w:eastAsia="Calibri" w:hAnsi="Times New Roman"/>
          <w:noProof/>
          <w:lang w:bidi="ar-SA"/>
        </w:rPr>
        <w:t xml:space="preserve">s, </w:t>
      </w:r>
      <w:r w:rsidR="004B31F9">
        <w:rPr>
          <w:rFonts w:ascii="Times New Roman" w:eastAsia="Calibri" w:hAnsi="Times New Roman"/>
          <w:noProof/>
          <w:lang w:bidi="ar-SA"/>
        </w:rPr>
        <w:t xml:space="preserve">Maronite </w:t>
      </w:r>
      <w:r w:rsidRPr="00BD3DCE">
        <w:rPr>
          <w:rFonts w:ascii="Times New Roman" w:eastAsia="Calibri" w:hAnsi="Times New Roman"/>
          <w:noProof/>
          <w:lang w:bidi="ar-SA"/>
        </w:rPr>
        <w:t>Christians, and Druze—into one country</w:t>
      </w:r>
      <w:r w:rsidR="004555DB">
        <w:rPr>
          <w:rFonts w:ascii="Times New Roman" w:eastAsia="Calibri" w:hAnsi="Times New Roman"/>
          <w:noProof/>
          <w:lang w:bidi="ar-SA"/>
        </w:rPr>
        <w:t xml:space="preserve">.  </w:t>
      </w:r>
      <w:r w:rsidRPr="00BD3DCE">
        <w:rPr>
          <w:rFonts w:ascii="Times New Roman" w:eastAsia="Calibri" w:hAnsi="Times New Roman"/>
          <w:noProof/>
          <w:lang w:bidi="ar-SA"/>
        </w:rPr>
        <w:t xml:space="preserve">The government was structured around a confessional system that </w:t>
      </w:r>
      <w:r w:rsidR="002A6175">
        <w:rPr>
          <w:rFonts w:ascii="Times New Roman" w:eastAsia="Calibri" w:hAnsi="Times New Roman"/>
          <w:noProof/>
          <w:lang w:bidi="ar-SA"/>
        </w:rPr>
        <w:t>ensured</w:t>
      </w:r>
      <w:r w:rsidRPr="00BD3DCE">
        <w:rPr>
          <w:rFonts w:ascii="Times New Roman" w:eastAsia="Calibri" w:hAnsi="Times New Roman"/>
          <w:noProof/>
          <w:lang w:bidi="ar-SA"/>
        </w:rPr>
        <w:t xml:space="preserve"> proportional representation for each group in different offices</w:t>
      </w:r>
      <w:r w:rsidR="004555DB">
        <w:rPr>
          <w:rFonts w:ascii="Times New Roman" w:eastAsia="Calibri" w:hAnsi="Times New Roman"/>
          <w:noProof/>
          <w:lang w:bidi="ar-SA"/>
        </w:rPr>
        <w:t xml:space="preserve">.  </w:t>
      </w:r>
      <w:r w:rsidRPr="00BD3DCE">
        <w:rPr>
          <w:rFonts w:ascii="Times New Roman" w:eastAsia="Calibri" w:hAnsi="Times New Roman"/>
          <w:noProof/>
          <w:lang w:bidi="ar-SA"/>
        </w:rPr>
        <w:t xml:space="preserve">The major positions went to the Sunnis and Christians, leaving </w:t>
      </w:r>
      <w:r w:rsidR="00D418E4">
        <w:rPr>
          <w:rFonts w:ascii="Times New Roman" w:eastAsia="Calibri" w:hAnsi="Times New Roman"/>
          <w:noProof/>
          <w:lang w:bidi="ar-SA"/>
        </w:rPr>
        <w:t>Shia</w:t>
      </w:r>
      <w:r w:rsidRPr="00BD3DCE">
        <w:rPr>
          <w:rFonts w:ascii="Times New Roman" w:eastAsia="Calibri" w:hAnsi="Times New Roman"/>
          <w:noProof/>
          <w:lang w:bidi="ar-SA"/>
        </w:rPr>
        <w:t xml:space="preserve">s and Druze </w:t>
      </w:r>
      <w:r>
        <w:rPr>
          <w:rFonts w:ascii="Times New Roman" w:eastAsia="Calibri" w:hAnsi="Times New Roman"/>
          <w:noProof/>
          <w:lang w:bidi="ar-SA"/>
        </w:rPr>
        <w:t xml:space="preserve">with </w:t>
      </w:r>
      <w:r w:rsidRPr="00BD3DCE">
        <w:rPr>
          <w:rFonts w:ascii="Times New Roman" w:eastAsia="Calibri" w:hAnsi="Times New Roman"/>
          <w:noProof/>
          <w:lang w:bidi="ar-SA"/>
        </w:rPr>
        <w:t>limited access to political (and, by extension, economic) resources</w:t>
      </w:r>
      <w:r w:rsidR="004555DB">
        <w:rPr>
          <w:rFonts w:ascii="Times New Roman" w:eastAsia="Calibri" w:hAnsi="Times New Roman"/>
          <w:noProof/>
          <w:lang w:bidi="ar-SA"/>
        </w:rPr>
        <w:t xml:space="preserve">.  </w:t>
      </w:r>
      <w:r w:rsidR="004B31F9">
        <w:rPr>
          <w:rFonts w:ascii="Times New Roman" w:eastAsia="Calibri" w:hAnsi="Times New Roman"/>
          <w:noProof/>
          <w:lang w:bidi="ar-SA"/>
        </w:rPr>
        <w:t xml:space="preserve">Since Lebanon was a French protectorate between the World Wars, the political culture favored the Christians.  </w:t>
      </w:r>
      <w:r w:rsidR="00CC164D">
        <w:rPr>
          <w:rFonts w:ascii="Times New Roman" w:eastAsia="Calibri" w:hAnsi="Times New Roman"/>
          <w:noProof/>
          <w:lang w:bidi="ar-SA"/>
        </w:rPr>
        <w:t>T</w:t>
      </w:r>
      <w:r w:rsidR="00510817">
        <w:rPr>
          <w:rFonts w:ascii="Times New Roman" w:eastAsia="Calibri" w:hAnsi="Times New Roman"/>
          <w:noProof/>
          <w:lang w:bidi="ar-SA"/>
        </w:rPr>
        <w:t xml:space="preserve">he Christians </w:t>
      </w:r>
      <w:r w:rsidR="004B31F9">
        <w:rPr>
          <w:rFonts w:ascii="Times New Roman" w:eastAsia="Calibri" w:hAnsi="Times New Roman"/>
          <w:noProof/>
          <w:lang w:bidi="ar-SA"/>
        </w:rPr>
        <w:t xml:space="preserve">(primarily) </w:t>
      </w:r>
      <w:r w:rsidR="00510817">
        <w:rPr>
          <w:rFonts w:ascii="Times New Roman" w:eastAsia="Calibri" w:hAnsi="Times New Roman"/>
          <w:noProof/>
          <w:lang w:bidi="ar-SA"/>
        </w:rPr>
        <w:t xml:space="preserve">and Sunnis </w:t>
      </w:r>
      <w:r w:rsidR="004B31F9">
        <w:rPr>
          <w:rFonts w:ascii="Times New Roman" w:eastAsia="Calibri" w:hAnsi="Times New Roman"/>
          <w:noProof/>
          <w:lang w:bidi="ar-SA"/>
        </w:rPr>
        <w:t xml:space="preserve">(secondarily) </w:t>
      </w:r>
      <w:r w:rsidR="00510817">
        <w:rPr>
          <w:rFonts w:ascii="Times New Roman" w:eastAsia="Calibri" w:hAnsi="Times New Roman"/>
          <w:noProof/>
          <w:lang w:bidi="ar-SA"/>
        </w:rPr>
        <w:t>benefitted the most economically</w:t>
      </w:r>
      <w:r w:rsidR="00CC164D">
        <w:rPr>
          <w:rFonts w:ascii="Times New Roman" w:eastAsia="Calibri" w:hAnsi="Times New Roman"/>
          <w:noProof/>
          <w:lang w:bidi="ar-SA"/>
        </w:rPr>
        <w:t xml:space="preserve"> from the confessional system</w:t>
      </w:r>
      <w:r w:rsidR="00510817">
        <w:rPr>
          <w:rFonts w:ascii="Times New Roman" w:eastAsia="Calibri" w:hAnsi="Times New Roman"/>
          <w:noProof/>
          <w:lang w:bidi="ar-SA"/>
        </w:rPr>
        <w:t xml:space="preserve">.  </w:t>
      </w:r>
      <w:r w:rsidRPr="00BD3DCE">
        <w:rPr>
          <w:rFonts w:ascii="Times New Roman" w:eastAsia="Calibri" w:hAnsi="Times New Roman"/>
          <w:noProof/>
          <w:lang w:bidi="ar-SA"/>
        </w:rPr>
        <w:t>For decades, Lebanon prospered, as it was a haven of market economics in a desert of Arab socialism</w:t>
      </w:r>
      <w:r w:rsidR="004555DB">
        <w:rPr>
          <w:rFonts w:ascii="Times New Roman" w:eastAsia="Calibri" w:hAnsi="Times New Roman"/>
          <w:noProof/>
          <w:lang w:bidi="ar-SA"/>
        </w:rPr>
        <w:t xml:space="preserve">.  </w:t>
      </w:r>
      <w:r w:rsidRPr="00BD3DCE">
        <w:rPr>
          <w:rFonts w:ascii="Times New Roman" w:eastAsia="Calibri" w:hAnsi="Times New Roman"/>
          <w:noProof/>
          <w:lang w:bidi="ar-SA"/>
        </w:rPr>
        <w:t>But in tim</w:t>
      </w:r>
      <w:r w:rsidR="00BD4069">
        <w:rPr>
          <w:rFonts w:ascii="Times New Roman" w:eastAsia="Calibri" w:hAnsi="Times New Roman"/>
          <w:noProof/>
          <w:lang w:bidi="ar-SA"/>
        </w:rPr>
        <w:t xml:space="preserve">e, the social tension over the confessional system </w:t>
      </w:r>
      <w:r w:rsidRPr="00BD3DCE">
        <w:rPr>
          <w:rFonts w:ascii="Times New Roman" w:eastAsia="Calibri" w:hAnsi="Times New Roman"/>
          <w:noProof/>
          <w:lang w:bidi="ar-SA"/>
        </w:rPr>
        <w:t>would take its toll and lead to a devastating civil war</w:t>
      </w:r>
      <w:r w:rsidR="004555DB">
        <w:rPr>
          <w:rFonts w:ascii="Times New Roman" w:eastAsia="Calibri" w:hAnsi="Times New Roman"/>
          <w:noProof/>
          <w:lang w:bidi="ar-SA"/>
        </w:rPr>
        <w:t xml:space="preserve">.  </w:t>
      </w:r>
      <w:r w:rsidR="00510817">
        <w:rPr>
          <w:rFonts w:ascii="Times New Roman" w:eastAsia="Calibri" w:hAnsi="Times New Roman"/>
          <w:noProof/>
          <w:lang w:bidi="ar-SA"/>
        </w:rPr>
        <w:t xml:space="preserve">The </w:t>
      </w:r>
      <w:r w:rsidR="00D418E4">
        <w:rPr>
          <w:rFonts w:ascii="Times New Roman" w:eastAsia="Calibri" w:hAnsi="Times New Roman"/>
          <w:noProof/>
          <w:lang w:bidi="ar-SA"/>
        </w:rPr>
        <w:t>Shia</w:t>
      </w:r>
      <w:r w:rsidR="00510817">
        <w:rPr>
          <w:rFonts w:ascii="Times New Roman" w:eastAsia="Calibri" w:hAnsi="Times New Roman"/>
          <w:noProof/>
          <w:lang w:bidi="ar-SA"/>
        </w:rPr>
        <w:t xml:space="preserve"> demographic increased dramatically</w:t>
      </w:r>
      <w:r w:rsidR="004B31F9">
        <w:rPr>
          <w:rFonts w:ascii="Times New Roman" w:eastAsia="Calibri" w:hAnsi="Times New Roman"/>
          <w:noProof/>
          <w:lang w:bidi="ar-SA"/>
        </w:rPr>
        <w:t xml:space="preserve"> in the decades following establishment of </w:t>
      </w:r>
      <w:r w:rsidR="00BD4069">
        <w:rPr>
          <w:rFonts w:ascii="Times New Roman" w:eastAsia="Calibri" w:hAnsi="Times New Roman"/>
          <w:noProof/>
          <w:lang w:bidi="ar-SA"/>
        </w:rPr>
        <w:t>Lebanon</w:t>
      </w:r>
      <w:r w:rsidR="00510817">
        <w:rPr>
          <w:rFonts w:ascii="Times New Roman" w:eastAsia="Calibri" w:hAnsi="Times New Roman"/>
          <w:noProof/>
          <w:lang w:bidi="ar-SA"/>
        </w:rPr>
        <w:t xml:space="preserve">, and thus </w:t>
      </w:r>
      <w:r w:rsidR="00D418E4">
        <w:rPr>
          <w:rFonts w:ascii="Times New Roman" w:eastAsia="Calibri" w:hAnsi="Times New Roman"/>
          <w:noProof/>
          <w:lang w:bidi="ar-SA"/>
        </w:rPr>
        <w:t>the Shia</w:t>
      </w:r>
      <w:r w:rsidR="004B31F9">
        <w:rPr>
          <w:rFonts w:ascii="Times New Roman" w:eastAsia="Calibri" w:hAnsi="Times New Roman"/>
          <w:noProof/>
          <w:lang w:bidi="ar-SA"/>
        </w:rPr>
        <w:t xml:space="preserve"> community was at a permanent disadvantage in accessing economic resources.</w:t>
      </w:r>
    </w:p>
    <w:p w:rsidR="00EC41DA" w:rsidRPr="00BD3DCE" w:rsidRDefault="004B31F9" w:rsidP="002A6175">
      <w:pPr>
        <w:ind w:firstLine="720"/>
        <w:contextualSpacing/>
        <w:rPr>
          <w:rFonts w:ascii="Times New Roman" w:eastAsia="Calibri" w:hAnsi="Times New Roman"/>
          <w:noProof/>
          <w:lang w:bidi="he-IL"/>
        </w:rPr>
      </w:pPr>
      <w:r>
        <w:rPr>
          <w:rFonts w:ascii="Times New Roman" w:eastAsia="Calibri" w:hAnsi="Times New Roman"/>
          <w:noProof/>
          <w:lang w:bidi="ar-SA"/>
        </w:rPr>
        <w:t>I</w:t>
      </w:r>
      <w:r w:rsidR="00BD4069">
        <w:rPr>
          <w:rFonts w:ascii="Times New Roman" w:eastAsia="Calibri" w:hAnsi="Times New Roman"/>
          <w:noProof/>
          <w:lang w:bidi="ar-SA"/>
        </w:rPr>
        <w:t xml:space="preserve">n 1970, </w:t>
      </w:r>
      <w:r w:rsidR="00EC41DA" w:rsidRPr="00BD3DCE">
        <w:rPr>
          <w:rFonts w:ascii="Times New Roman" w:eastAsia="Calibri" w:hAnsi="Times New Roman"/>
          <w:noProof/>
          <w:lang w:bidi="ar-SA"/>
        </w:rPr>
        <w:t>King Abdullah</w:t>
      </w:r>
      <w:r w:rsidR="00A84B1E">
        <w:rPr>
          <w:rFonts w:ascii="Times New Roman" w:eastAsia="Calibri" w:hAnsi="Times New Roman"/>
          <w:noProof/>
          <w:lang w:bidi="ar-SA"/>
        </w:rPr>
        <w:t xml:space="preserve"> Hussein I</w:t>
      </w:r>
      <w:r w:rsidR="00EC41DA" w:rsidRPr="00BD3DCE">
        <w:rPr>
          <w:rFonts w:ascii="Times New Roman" w:eastAsia="Calibri" w:hAnsi="Times New Roman"/>
          <w:noProof/>
          <w:lang w:bidi="ar-SA"/>
        </w:rPr>
        <w:t xml:space="preserve"> of Jordan expelled Palestinian activists and agitators from Jordan, who subsequently relocated to Lebanon</w:t>
      </w:r>
      <w:r w:rsidR="004555DB">
        <w:rPr>
          <w:rFonts w:ascii="Times New Roman" w:eastAsia="Calibri" w:hAnsi="Times New Roman"/>
          <w:noProof/>
          <w:lang w:bidi="ar-SA"/>
        </w:rPr>
        <w:t xml:space="preserve">.  </w:t>
      </w:r>
      <w:r w:rsidR="00EC41DA" w:rsidRPr="00BD3DCE">
        <w:rPr>
          <w:rFonts w:ascii="Times New Roman" w:eastAsia="Calibri" w:hAnsi="Times New Roman"/>
          <w:noProof/>
          <w:lang w:bidi="ar-SA"/>
        </w:rPr>
        <w:t>The expelled Palestinians</w:t>
      </w:r>
      <w:r w:rsidR="00EC41DA">
        <w:rPr>
          <w:rFonts w:ascii="Times New Roman" w:eastAsia="Calibri" w:hAnsi="Times New Roman"/>
          <w:noProof/>
          <w:lang w:bidi="ar-SA"/>
        </w:rPr>
        <w:t xml:space="preserve"> from Jordan </w:t>
      </w:r>
      <w:r w:rsidR="00EC41DA" w:rsidRPr="00BD3DCE">
        <w:rPr>
          <w:rFonts w:ascii="Times New Roman" w:eastAsia="Calibri" w:hAnsi="Times New Roman"/>
          <w:noProof/>
          <w:lang w:bidi="ar-SA"/>
        </w:rPr>
        <w:t>militarized southern Lebanon, and in turn strained the tense social, economic, and political high wire act of Lebanon</w:t>
      </w:r>
      <w:r w:rsidR="004555DB">
        <w:rPr>
          <w:rFonts w:ascii="Times New Roman" w:eastAsia="Calibri" w:hAnsi="Times New Roman"/>
          <w:noProof/>
          <w:lang w:bidi="ar-SA"/>
        </w:rPr>
        <w:t xml:space="preserve">.  </w:t>
      </w:r>
      <w:r w:rsidR="00A84B1E">
        <w:rPr>
          <w:rFonts w:ascii="Times New Roman" w:eastAsia="Calibri" w:hAnsi="Times New Roman"/>
          <w:noProof/>
          <w:lang w:bidi="ar-SA"/>
        </w:rPr>
        <w:t>S</w:t>
      </w:r>
      <w:r w:rsidR="00EC41DA" w:rsidRPr="00BD3DCE">
        <w:rPr>
          <w:rFonts w:ascii="Times New Roman" w:eastAsia="Calibri" w:hAnsi="Times New Roman"/>
          <w:noProof/>
          <w:lang w:bidi="he-IL"/>
        </w:rPr>
        <w:t xml:space="preserve">yria invaded Lebanon in 1975, primarily to stabilize it and </w:t>
      </w:r>
      <w:r w:rsidR="00EC41DA">
        <w:rPr>
          <w:rFonts w:ascii="Times New Roman" w:eastAsia="Calibri" w:hAnsi="Times New Roman"/>
          <w:noProof/>
          <w:lang w:bidi="he-IL"/>
        </w:rPr>
        <w:t>create</w:t>
      </w:r>
      <w:r w:rsidR="00EC41DA" w:rsidRPr="00BD3DCE">
        <w:rPr>
          <w:rFonts w:ascii="Times New Roman" w:eastAsia="Calibri" w:hAnsi="Times New Roman"/>
          <w:noProof/>
          <w:lang w:bidi="he-IL"/>
        </w:rPr>
        <w:t xml:space="preserve"> a buffer against Israel</w:t>
      </w:r>
      <w:r w:rsidR="004555DB">
        <w:rPr>
          <w:rFonts w:ascii="Times New Roman" w:eastAsia="Calibri" w:hAnsi="Times New Roman"/>
          <w:noProof/>
          <w:lang w:bidi="he-IL"/>
        </w:rPr>
        <w:t xml:space="preserve">.  </w:t>
      </w:r>
      <w:r w:rsidR="00A84B1E">
        <w:rPr>
          <w:rFonts w:ascii="Times New Roman" w:eastAsia="Calibri" w:hAnsi="Times New Roman"/>
          <w:noProof/>
          <w:lang w:bidi="he-IL"/>
        </w:rPr>
        <w:t xml:space="preserve">In 1982, Israel invaded </w:t>
      </w:r>
      <w:r w:rsidR="00EC41DA" w:rsidRPr="00BD3DCE">
        <w:rPr>
          <w:rFonts w:ascii="Times New Roman" w:eastAsia="Calibri" w:hAnsi="Times New Roman"/>
          <w:noProof/>
          <w:lang w:bidi="he-IL"/>
        </w:rPr>
        <w:t xml:space="preserve">to eradicate </w:t>
      </w:r>
      <w:r w:rsidR="00EC41DA">
        <w:rPr>
          <w:rFonts w:ascii="Times New Roman" w:eastAsia="Calibri" w:hAnsi="Times New Roman"/>
          <w:noProof/>
          <w:lang w:bidi="he-IL"/>
        </w:rPr>
        <w:t>the Palestinian Liberation Organization</w:t>
      </w:r>
      <w:r w:rsidR="001309EE">
        <w:rPr>
          <w:rFonts w:ascii="Times New Roman" w:eastAsia="Calibri" w:hAnsi="Times New Roman"/>
          <w:noProof/>
          <w:lang w:bidi="he-IL"/>
        </w:rPr>
        <w:t xml:space="preserve"> (PLO)</w:t>
      </w:r>
      <w:r w:rsidR="00EC41DA">
        <w:rPr>
          <w:rFonts w:ascii="Times New Roman" w:eastAsia="Calibri" w:hAnsi="Times New Roman"/>
          <w:noProof/>
          <w:lang w:bidi="he-IL"/>
        </w:rPr>
        <w:t xml:space="preserve">’s </w:t>
      </w:r>
      <w:r w:rsidR="00EC41DA" w:rsidRPr="00BD3DCE">
        <w:rPr>
          <w:rFonts w:ascii="Times New Roman" w:eastAsia="Calibri" w:hAnsi="Times New Roman"/>
          <w:noProof/>
          <w:lang w:bidi="he-IL"/>
        </w:rPr>
        <w:t>bases near the bo</w:t>
      </w:r>
      <w:r w:rsidR="002A6175">
        <w:rPr>
          <w:rFonts w:ascii="Times New Roman" w:eastAsia="Calibri" w:hAnsi="Times New Roman"/>
          <w:noProof/>
          <w:lang w:bidi="he-IL"/>
        </w:rPr>
        <w:t>rder that shelled Israeli towns and</w:t>
      </w:r>
      <w:r w:rsidR="00EC41DA" w:rsidRPr="00BD3DCE">
        <w:rPr>
          <w:rFonts w:ascii="Times New Roman" w:eastAsia="Calibri" w:hAnsi="Times New Roman"/>
          <w:noProof/>
          <w:lang w:bidi="he-IL"/>
        </w:rPr>
        <w:t xml:space="preserve"> to destroy the PLO’s political authority in the West Bank</w:t>
      </w:r>
      <w:r w:rsidR="004555DB">
        <w:rPr>
          <w:rFonts w:ascii="Times New Roman" w:eastAsia="Calibri" w:hAnsi="Times New Roman"/>
          <w:noProof/>
          <w:lang w:bidi="he-IL"/>
        </w:rPr>
        <w:t xml:space="preserve">.  </w:t>
      </w:r>
      <w:r w:rsidR="00EC41DA" w:rsidRPr="00BD3DCE">
        <w:rPr>
          <w:rFonts w:ascii="Times New Roman" w:eastAsia="Calibri" w:hAnsi="Times New Roman"/>
          <w:noProof/>
          <w:lang w:bidi="he-IL"/>
        </w:rPr>
        <w:t xml:space="preserve">Months later, the US and France </w:t>
      </w:r>
      <w:r w:rsidR="00510817">
        <w:rPr>
          <w:rFonts w:ascii="Times New Roman" w:eastAsia="Calibri" w:hAnsi="Times New Roman"/>
          <w:noProof/>
          <w:lang w:bidi="he-IL"/>
        </w:rPr>
        <w:t xml:space="preserve">sent ground forces into </w:t>
      </w:r>
      <w:r w:rsidR="00EC41DA" w:rsidRPr="00BD3DCE">
        <w:rPr>
          <w:rFonts w:ascii="Times New Roman" w:eastAsia="Calibri" w:hAnsi="Times New Roman"/>
          <w:noProof/>
          <w:lang w:bidi="he-IL"/>
        </w:rPr>
        <w:t>Lebanon</w:t>
      </w:r>
      <w:r w:rsidR="00EE3A93">
        <w:rPr>
          <w:rFonts w:ascii="Times New Roman" w:eastAsia="Calibri" w:hAnsi="Times New Roman"/>
          <w:noProof/>
          <w:lang w:bidi="he-IL"/>
        </w:rPr>
        <w:t xml:space="preserve"> t</w:t>
      </w:r>
      <w:r w:rsidR="00EC41DA" w:rsidRPr="00BD3DCE">
        <w:rPr>
          <w:rFonts w:ascii="Times New Roman" w:eastAsia="Calibri" w:hAnsi="Times New Roman"/>
          <w:noProof/>
          <w:lang w:bidi="he-IL"/>
        </w:rPr>
        <w:t xml:space="preserve">o help PLO leadership escape to Tunis and </w:t>
      </w:r>
      <w:r w:rsidR="00510817">
        <w:rPr>
          <w:rFonts w:ascii="Times New Roman" w:eastAsia="Calibri" w:hAnsi="Times New Roman"/>
          <w:noProof/>
          <w:lang w:bidi="he-IL"/>
        </w:rPr>
        <w:t xml:space="preserve">to </w:t>
      </w:r>
      <w:r w:rsidR="00EC41DA" w:rsidRPr="00BD3DCE">
        <w:rPr>
          <w:rFonts w:ascii="Times New Roman" w:eastAsia="Calibri" w:hAnsi="Times New Roman"/>
          <w:noProof/>
          <w:lang w:bidi="he-IL"/>
        </w:rPr>
        <w:t>keep all combatants at bay</w:t>
      </w:r>
      <w:r w:rsidR="004555DB">
        <w:rPr>
          <w:rFonts w:ascii="Times New Roman" w:eastAsia="Calibri" w:hAnsi="Times New Roman"/>
          <w:noProof/>
          <w:lang w:bidi="he-IL"/>
        </w:rPr>
        <w:t xml:space="preserve">.  </w:t>
      </w:r>
    </w:p>
    <w:p w:rsidR="00EC41DA" w:rsidRDefault="00EC41DA" w:rsidP="002A6175">
      <w:pPr>
        <w:ind w:firstLine="720"/>
        <w:contextualSpacing/>
        <w:rPr>
          <w:rFonts w:ascii="Times New Roman" w:eastAsia="Calibri" w:hAnsi="Times New Roman"/>
          <w:noProof/>
          <w:lang w:bidi="ar-SA"/>
        </w:rPr>
      </w:pPr>
      <w:r>
        <w:rPr>
          <w:rFonts w:ascii="Times New Roman" w:eastAsia="Calibri" w:hAnsi="Times New Roman"/>
          <w:noProof/>
          <w:lang w:bidi="he-IL"/>
        </w:rPr>
        <w:t>B</w:t>
      </w:r>
      <w:r w:rsidRPr="00BD3DCE">
        <w:rPr>
          <w:rFonts w:ascii="Times New Roman" w:eastAsia="Calibri" w:hAnsi="Times New Roman"/>
          <w:noProof/>
          <w:lang w:bidi="he-IL"/>
        </w:rPr>
        <w:t xml:space="preserve">etween the Syrian and Israeli incursions into Lebanon, the Ayatollah </w:t>
      </w:r>
      <w:r w:rsidR="00A84B1E">
        <w:rPr>
          <w:rFonts w:ascii="Times New Roman" w:eastAsia="Calibri" w:hAnsi="Times New Roman"/>
          <w:noProof/>
          <w:lang w:bidi="he-IL"/>
        </w:rPr>
        <w:t xml:space="preserve">Khoemeini </w:t>
      </w:r>
      <w:r w:rsidRPr="00BD3DCE">
        <w:rPr>
          <w:rFonts w:ascii="Times New Roman" w:eastAsia="Calibri" w:hAnsi="Times New Roman"/>
          <w:noProof/>
          <w:lang w:bidi="he-IL"/>
        </w:rPr>
        <w:t xml:space="preserve">and his allies forced the Shah </w:t>
      </w:r>
      <w:r>
        <w:rPr>
          <w:rFonts w:ascii="Times New Roman" w:eastAsia="Calibri" w:hAnsi="Times New Roman"/>
          <w:noProof/>
          <w:lang w:bidi="he-IL"/>
        </w:rPr>
        <w:t xml:space="preserve">of Iran </w:t>
      </w:r>
      <w:r w:rsidR="00A84B1E">
        <w:rPr>
          <w:rFonts w:ascii="Times New Roman" w:eastAsia="Calibri" w:hAnsi="Times New Roman"/>
          <w:noProof/>
          <w:lang w:bidi="he-IL"/>
        </w:rPr>
        <w:t>to abdicate</w:t>
      </w:r>
      <w:r w:rsidR="00BD4069">
        <w:rPr>
          <w:rFonts w:ascii="Times New Roman" w:eastAsia="Calibri" w:hAnsi="Times New Roman"/>
          <w:noProof/>
          <w:lang w:bidi="he-IL"/>
        </w:rPr>
        <w:t xml:space="preserve">.  </w:t>
      </w:r>
      <w:r w:rsidR="00A84B1E">
        <w:rPr>
          <w:rFonts w:ascii="Times New Roman" w:eastAsia="Calibri" w:hAnsi="Times New Roman"/>
          <w:noProof/>
          <w:lang w:bidi="he-IL"/>
        </w:rPr>
        <w:t xml:space="preserve">In </w:t>
      </w:r>
      <w:r w:rsidRPr="00BD3DCE">
        <w:rPr>
          <w:rFonts w:ascii="Times New Roman" w:eastAsia="Calibri" w:hAnsi="Times New Roman"/>
          <w:noProof/>
          <w:lang w:bidi="he-IL"/>
        </w:rPr>
        <w:t>the place of his pro-</w:t>
      </w:r>
      <w:r w:rsidRPr="00BD3DCE">
        <w:rPr>
          <w:rFonts w:ascii="Times New Roman" w:eastAsia="Calibri" w:hAnsi="Times New Roman"/>
          <w:noProof/>
          <w:lang w:bidi="he-IL"/>
        </w:rPr>
        <w:lastRenderedPageBreak/>
        <w:t>Western government, the Iranian revolutionaries installed a theocracy of Shia legal scholars</w:t>
      </w:r>
      <w:r w:rsidR="004555DB">
        <w:rPr>
          <w:rFonts w:ascii="Times New Roman" w:eastAsia="Calibri" w:hAnsi="Times New Roman"/>
          <w:noProof/>
          <w:lang w:bidi="he-IL"/>
        </w:rPr>
        <w:t xml:space="preserve">.  </w:t>
      </w:r>
      <w:r w:rsidRPr="00BD3DCE">
        <w:rPr>
          <w:rFonts w:ascii="Times New Roman" w:eastAsia="Calibri" w:hAnsi="Times New Roman"/>
          <w:noProof/>
          <w:lang w:bidi="he-IL"/>
        </w:rPr>
        <w:t>These jurists represented the first beacon of Shia power since the end of the Abbasaid Caliphate almost a millenia before</w:t>
      </w:r>
      <w:r w:rsidR="004555DB">
        <w:rPr>
          <w:rFonts w:ascii="Times New Roman" w:eastAsia="Calibri" w:hAnsi="Times New Roman"/>
          <w:noProof/>
          <w:lang w:bidi="he-IL"/>
        </w:rPr>
        <w:t xml:space="preserve">.  </w:t>
      </w:r>
      <w:r w:rsidRPr="00BD3DCE">
        <w:rPr>
          <w:rFonts w:ascii="Times New Roman" w:eastAsia="Calibri" w:hAnsi="Times New Roman"/>
          <w:noProof/>
          <w:lang w:bidi="he-IL"/>
        </w:rPr>
        <w:t xml:space="preserve">The new government </w:t>
      </w:r>
      <w:r w:rsidR="002A6175">
        <w:rPr>
          <w:rFonts w:ascii="Times New Roman" w:eastAsia="Calibri" w:hAnsi="Times New Roman"/>
          <w:noProof/>
          <w:lang w:bidi="he-IL"/>
        </w:rPr>
        <w:t>took an</w:t>
      </w:r>
      <w:r w:rsidRPr="00BD3DCE">
        <w:rPr>
          <w:rFonts w:ascii="Times New Roman" w:eastAsia="Calibri" w:hAnsi="Times New Roman"/>
          <w:noProof/>
          <w:lang w:bidi="he-IL"/>
        </w:rPr>
        <w:t xml:space="preserve"> aggressive posture against the Shah’s former allies, namely the US and Israel</w:t>
      </w:r>
      <w:r w:rsidR="004555DB">
        <w:rPr>
          <w:rFonts w:ascii="Times New Roman" w:eastAsia="Calibri" w:hAnsi="Times New Roman"/>
          <w:noProof/>
          <w:lang w:bidi="he-IL"/>
        </w:rPr>
        <w:t xml:space="preserve">.  </w:t>
      </w:r>
      <w:r w:rsidRPr="00BD3DCE">
        <w:rPr>
          <w:rFonts w:ascii="Times New Roman" w:eastAsia="Calibri" w:hAnsi="Times New Roman"/>
          <w:noProof/>
          <w:lang w:bidi="ar-SA"/>
        </w:rPr>
        <w:t>The Iranian Revolutionary G</w:t>
      </w:r>
      <w:r w:rsidR="00A84B1E">
        <w:rPr>
          <w:rFonts w:ascii="Times New Roman" w:eastAsia="Calibri" w:hAnsi="Times New Roman"/>
          <w:noProof/>
          <w:lang w:bidi="ar-SA"/>
        </w:rPr>
        <w:t>uard</w:t>
      </w:r>
      <w:r w:rsidRPr="00BD3DCE">
        <w:rPr>
          <w:rFonts w:ascii="Times New Roman" w:eastAsia="Calibri" w:hAnsi="Times New Roman"/>
          <w:noProof/>
          <w:lang w:bidi="ar-SA"/>
        </w:rPr>
        <w:t xml:space="preserve"> (IRG) found an oppor</w:t>
      </w:r>
      <w:r w:rsidR="00A84B1E">
        <w:rPr>
          <w:rFonts w:ascii="Times New Roman" w:eastAsia="Calibri" w:hAnsi="Times New Roman"/>
          <w:noProof/>
          <w:lang w:bidi="ar-SA"/>
        </w:rPr>
        <w:t>tunity to expand Iranian influence in the Arab World</w:t>
      </w:r>
      <w:r w:rsidR="00BD4069">
        <w:rPr>
          <w:rFonts w:ascii="Times New Roman" w:eastAsia="Calibri" w:hAnsi="Times New Roman"/>
          <w:noProof/>
          <w:lang w:bidi="ar-SA"/>
        </w:rPr>
        <w:t xml:space="preserve"> to counter US influence</w:t>
      </w:r>
      <w:r w:rsidR="00D418E4">
        <w:rPr>
          <w:rFonts w:ascii="Times New Roman" w:eastAsia="Calibri" w:hAnsi="Times New Roman"/>
          <w:noProof/>
          <w:lang w:bidi="ar-SA"/>
        </w:rPr>
        <w:t>, particularly through Arab Shia communities</w:t>
      </w:r>
      <w:r w:rsidRPr="00BD3DCE">
        <w:rPr>
          <w:rFonts w:ascii="Times New Roman" w:eastAsia="Calibri" w:hAnsi="Times New Roman"/>
          <w:noProof/>
          <w:lang w:bidi="ar-SA"/>
        </w:rPr>
        <w:t>.</w:t>
      </w:r>
      <w:r w:rsidRPr="00BD3DCE">
        <w:rPr>
          <w:rFonts w:ascii="Times New Roman" w:eastAsia="Calibri" w:hAnsi="Times New Roman"/>
          <w:noProof/>
          <w:vertAlign w:val="superscript"/>
          <w:lang w:bidi="ar-SA"/>
        </w:rPr>
        <w:footnoteReference w:id="111"/>
      </w:r>
      <w:r w:rsidR="00BD4069">
        <w:rPr>
          <w:rFonts w:ascii="Times New Roman" w:eastAsia="Calibri" w:hAnsi="Times New Roman"/>
          <w:noProof/>
          <w:lang w:bidi="ar-SA"/>
        </w:rPr>
        <w:t xml:space="preserve">  </w:t>
      </w:r>
      <w:r w:rsidRPr="00BD3DCE">
        <w:rPr>
          <w:rFonts w:ascii="Times New Roman" w:eastAsia="Calibri" w:hAnsi="Times New Roman"/>
          <w:noProof/>
          <w:lang w:bidi="ar-SA"/>
        </w:rPr>
        <w:t xml:space="preserve">Soon after the Iranian revolution, </w:t>
      </w:r>
      <w:r>
        <w:rPr>
          <w:rFonts w:ascii="Times New Roman" w:eastAsia="Calibri" w:hAnsi="Times New Roman"/>
          <w:noProof/>
          <w:lang w:bidi="ar-SA"/>
        </w:rPr>
        <w:t xml:space="preserve">the Ayatollah Ruhallah </w:t>
      </w:r>
      <w:r w:rsidRPr="00BD3DCE">
        <w:rPr>
          <w:rFonts w:ascii="Times New Roman" w:eastAsia="Calibri" w:hAnsi="Times New Roman"/>
          <w:noProof/>
          <w:lang w:bidi="ar-SA"/>
        </w:rPr>
        <w:t>Khomeini sent over 1,000 IRG troops to Lebanon to train the local Shia in guerilla warfare.</w:t>
      </w:r>
      <w:r w:rsidRPr="00BD3DCE">
        <w:rPr>
          <w:rFonts w:ascii="Times New Roman" w:eastAsia="Calibri" w:hAnsi="Times New Roman"/>
          <w:noProof/>
          <w:vertAlign w:val="superscript"/>
          <w:lang w:bidi="ar-SA"/>
        </w:rPr>
        <w:footnoteReference w:id="112"/>
      </w:r>
      <w:r w:rsidR="004555DB">
        <w:rPr>
          <w:rFonts w:ascii="Times New Roman" w:eastAsia="Calibri" w:hAnsi="Times New Roman"/>
          <w:noProof/>
          <w:lang w:bidi="ar-SA"/>
        </w:rPr>
        <w:t xml:space="preserve"> </w:t>
      </w:r>
    </w:p>
    <w:p w:rsidR="00A84B1E" w:rsidRPr="00BD3DCE" w:rsidRDefault="002A6175" w:rsidP="006046BF">
      <w:pPr>
        <w:ind w:firstLine="720"/>
        <w:contextualSpacing/>
        <w:rPr>
          <w:rFonts w:ascii="Times New Roman" w:eastAsia="Calibri" w:hAnsi="Times New Roman"/>
          <w:noProof/>
          <w:lang w:bidi="he-IL"/>
        </w:rPr>
      </w:pPr>
      <w:r>
        <w:rPr>
          <w:rFonts w:ascii="Times New Roman" w:eastAsia="Calibri" w:hAnsi="Times New Roman"/>
          <w:noProof/>
          <w:lang w:bidi="ar-SA"/>
        </w:rPr>
        <w:t>The first suicide bombi</w:t>
      </w:r>
      <w:r w:rsidR="003269F8">
        <w:rPr>
          <w:rFonts w:ascii="Times New Roman" w:eastAsia="Calibri" w:hAnsi="Times New Roman"/>
          <w:noProof/>
          <w:lang w:bidi="ar-SA"/>
        </w:rPr>
        <w:t>n</w:t>
      </w:r>
      <w:r>
        <w:rPr>
          <w:rFonts w:ascii="Times New Roman" w:eastAsia="Calibri" w:hAnsi="Times New Roman"/>
          <w:noProof/>
          <w:lang w:bidi="ar-SA"/>
        </w:rPr>
        <w:t>g</w:t>
      </w:r>
      <w:r w:rsidR="003269F8">
        <w:rPr>
          <w:rFonts w:ascii="Times New Roman" w:eastAsia="Calibri" w:hAnsi="Times New Roman"/>
          <w:noProof/>
          <w:lang w:bidi="ar-SA"/>
        </w:rPr>
        <w:t xml:space="preserve"> campaign resulted from Iranian sponsorship, tied to Iranian strategic objectives in the region</w:t>
      </w:r>
      <w:r w:rsidR="004555DB">
        <w:rPr>
          <w:rFonts w:ascii="Times New Roman" w:eastAsia="Calibri" w:hAnsi="Times New Roman"/>
          <w:noProof/>
          <w:lang w:bidi="ar-SA"/>
        </w:rPr>
        <w:t xml:space="preserve">.  </w:t>
      </w:r>
      <w:r w:rsidR="00A84B1E" w:rsidRPr="00BD3DCE">
        <w:rPr>
          <w:rFonts w:ascii="Times New Roman" w:eastAsia="Calibri" w:hAnsi="Times New Roman"/>
          <w:noProof/>
          <w:lang w:bidi="he-IL"/>
        </w:rPr>
        <w:t xml:space="preserve">In December 1981, the Iranian-backed </w:t>
      </w:r>
      <w:r w:rsidR="00D418E4">
        <w:rPr>
          <w:rFonts w:ascii="Times New Roman" w:eastAsia="Calibri" w:hAnsi="Times New Roman"/>
          <w:noProof/>
          <w:lang w:bidi="he-IL"/>
        </w:rPr>
        <w:t>Shia</w:t>
      </w:r>
      <w:r w:rsidR="00A84B1E" w:rsidRPr="00BD3DCE">
        <w:rPr>
          <w:rFonts w:ascii="Times New Roman" w:eastAsia="Calibri" w:hAnsi="Times New Roman"/>
          <w:noProof/>
          <w:lang w:bidi="he-IL"/>
        </w:rPr>
        <w:t xml:space="preserve"> group Al Dawa (“the Call”) drove a </w:t>
      </w:r>
      <w:r w:rsidR="00A84B1E" w:rsidRPr="009E6480">
        <w:rPr>
          <w:rFonts w:ascii="Times New Roman" w:eastAsia="Calibri" w:hAnsi="Times New Roman"/>
          <w:noProof/>
          <w:lang w:bidi="he-IL"/>
        </w:rPr>
        <w:t>bomb</w:t>
      </w:r>
      <w:r w:rsidR="00A84B1E">
        <w:rPr>
          <w:rFonts w:ascii="Times New Roman" w:eastAsia="Calibri" w:hAnsi="Times New Roman"/>
          <w:noProof/>
          <w:lang w:bidi="he-IL"/>
        </w:rPr>
        <w:t>-</w:t>
      </w:r>
      <w:r w:rsidR="00A84B1E" w:rsidRPr="009E6480">
        <w:rPr>
          <w:rFonts w:ascii="Times New Roman" w:eastAsia="Calibri" w:hAnsi="Times New Roman"/>
          <w:noProof/>
          <w:lang w:bidi="he-IL"/>
        </w:rPr>
        <w:t>packed car into the Iraqi embassy in Be</w:t>
      </w:r>
      <w:r w:rsidR="00A84B1E">
        <w:rPr>
          <w:rFonts w:ascii="Times New Roman" w:eastAsia="Calibri" w:hAnsi="Times New Roman"/>
          <w:noProof/>
          <w:lang w:bidi="he-IL"/>
        </w:rPr>
        <w:t>iru</w:t>
      </w:r>
      <w:r w:rsidR="00A84B1E" w:rsidRPr="009E6480">
        <w:rPr>
          <w:rFonts w:ascii="Times New Roman" w:eastAsia="Calibri" w:hAnsi="Times New Roman"/>
          <w:noProof/>
          <w:lang w:bidi="he-IL"/>
        </w:rPr>
        <w:t>t, conducting the first suicide attack in</w:t>
      </w:r>
      <w:r w:rsidR="00A84B1E" w:rsidRPr="00BD3DCE">
        <w:rPr>
          <w:rFonts w:ascii="Times New Roman" w:eastAsia="Calibri" w:hAnsi="Times New Roman"/>
          <w:noProof/>
          <w:lang w:bidi="he-IL"/>
        </w:rPr>
        <w:t xml:space="preserve"> a sustained campaign.</w:t>
      </w:r>
      <w:r w:rsidR="00A84B1E" w:rsidRPr="00BD3DCE">
        <w:rPr>
          <w:rFonts w:ascii="Times New Roman" w:eastAsia="Calibri" w:hAnsi="Times New Roman"/>
          <w:noProof/>
          <w:vertAlign w:val="superscript"/>
          <w:lang w:bidi="he-IL"/>
        </w:rPr>
        <w:footnoteReference w:id="113"/>
      </w:r>
      <w:r w:rsidR="006046BF">
        <w:rPr>
          <w:rFonts w:ascii="Times New Roman" w:eastAsia="Calibri" w:hAnsi="Times New Roman"/>
          <w:noProof/>
          <w:lang w:bidi="he-IL"/>
        </w:rPr>
        <w:t xml:space="preserve">  </w:t>
      </w:r>
      <w:r w:rsidR="00A84B1E" w:rsidRPr="00BD3DCE">
        <w:rPr>
          <w:rFonts w:ascii="Times New Roman" w:eastAsia="Calibri" w:hAnsi="Times New Roman"/>
          <w:noProof/>
          <w:lang w:bidi="he-IL"/>
        </w:rPr>
        <w:t xml:space="preserve">Many of the members of </w:t>
      </w:r>
      <w:r w:rsidR="00A84B1E">
        <w:rPr>
          <w:rFonts w:ascii="Times New Roman" w:eastAsia="Calibri" w:hAnsi="Times New Roman"/>
          <w:noProof/>
          <w:lang w:bidi="he-IL"/>
        </w:rPr>
        <w:t>A</w:t>
      </w:r>
      <w:r w:rsidR="00A84B1E" w:rsidRPr="00BD3DCE">
        <w:rPr>
          <w:rFonts w:ascii="Times New Roman" w:eastAsia="Calibri" w:hAnsi="Times New Roman"/>
          <w:noProof/>
          <w:lang w:bidi="he-IL"/>
        </w:rPr>
        <w:t>l Dawa became members of Hezbollah (“the Party of God”)</w:t>
      </w:r>
      <w:r w:rsidR="004555DB">
        <w:rPr>
          <w:rFonts w:ascii="Times New Roman" w:eastAsia="Calibri" w:hAnsi="Times New Roman"/>
          <w:noProof/>
          <w:lang w:bidi="he-IL"/>
        </w:rPr>
        <w:t xml:space="preserve">.  </w:t>
      </w:r>
      <w:r w:rsidR="00A84B1E" w:rsidRPr="00BD3DCE">
        <w:rPr>
          <w:rFonts w:ascii="Times New Roman" w:eastAsia="Calibri" w:hAnsi="Times New Roman"/>
          <w:noProof/>
          <w:lang w:bidi="he-IL"/>
        </w:rPr>
        <w:t xml:space="preserve">In April 1983, a suicide bomber drove into the US Embassy in Beirut, killing </w:t>
      </w:r>
      <w:r w:rsidR="00A84B1E">
        <w:rPr>
          <w:rFonts w:ascii="Times New Roman" w:eastAsia="Calibri" w:hAnsi="Times New Roman"/>
          <w:noProof/>
          <w:lang w:bidi="he-IL"/>
        </w:rPr>
        <w:t>17</w:t>
      </w:r>
      <w:r w:rsidR="00A84B1E" w:rsidRPr="00BD3DCE">
        <w:rPr>
          <w:rFonts w:ascii="Times New Roman" w:eastAsia="Calibri" w:hAnsi="Times New Roman"/>
          <w:noProof/>
          <w:lang w:bidi="he-IL"/>
        </w:rPr>
        <w:t xml:space="preserve"> American </w:t>
      </w:r>
      <w:r w:rsidR="00A84B1E">
        <w:rPr>
          <w:rFonts w:ascii="Times New Roman" w:eastAsia="Calibri" w:hAnsi="Times New Roman"/>
          <w:noProof/>
          <w:lang w:bidi="he-IL"/>
        </w:rPr>
        <w:t>CIA operatives and embassy staff personnel and 46</w:t>
      </w:r>
      <w:r w:rsidR="00A84B1E" w:rsidRPr="00BD3DCE">
        <w:rPr>
          <w:rFonts w:ascii="Times New Roman" w:eastAsia="Calibri" w:hAnsi="Times New Roman"/>
          <w:noProof/>
          <w:lang w:bidi="he-IL"/>
        </w:rPr>
        <w:t xml:space="preserve"> Lebanese workers</w:t>
      </w:r>
      <w:r w:rsidR="004555DB">
        <w:rPr>
          <w:rFonts w:ascii="Times New Roman" w:eastAsia="Calibri" w:hAnsi="Times New Roman"/>
          <w:noProof/>
          <w:lang w:bidi="he-IL"/>
        </w:rPr>
        <w:t xml:space="preserve">.  </w:t>
      </w:r>
      <w:r>
        <w:rPr>
          <w:rFonts w:ascii="Times New Roman" w:eastAsia="Calibri" w:hAnsi="Times New Roman"/>
          <w:noProof/>
          <w:lang w:bidi="he-IL"/>
        </w:rPr>
        <w:t xml:space="preserve">Soon after, </w:t>
      </w:r>
      <w:r w:rsidR="003269F8" w:rsidRPr="00BD3DCE">
        <w:rPr>
          <w:rFonts w:ascii="Times New Roman" w:eastAsia="Calibri" w:hAnsi="Times New Roman"/>
          <w:noProof/>
          <w:lang w:bidi="he-IL"/>
        </w:rPr>
        <w:t>Iran ordered Hezbollah to conduct a “spectacular attack” against MNF forces.</w:t>
      </w:r>
      <w:r w:rsidR="003269F8" w:rsidRPr="00BD3DCE">
        <w:rPr>
          <w:rFonts w:ascii="Times New Roman" w:eastAsia="Calibri" w:hAnsi="Times New Roman"/>
          <w:noProof/>
          <w:vertAlign w:val="superscript"/>
          <w:lang w:bidi="he-IL"/>
        </w:rPr>
        <w:footnoteReference w:id="114"/>
      </w:r>
      <w:r w:rsidR="003269F8" w:rsidRPr="00BD3DCE">
        <w:rPr>
          <w:rFonts w:ascii="Times New Roman" w:eastAsia="Calibri" w:hAnsi="Times New Roman"/>
          <w:noProof/>
          <w:lang w:bidi="he-IL"/>
        </w:rPr>
        <w:t xml:space="preserve"> </w:t>
      </w:r>
      <w:r w:rsidR="00BD4069">
        <w:rPr>
          <w:rFonts w:ascii="Times New Roman" w:eastAsia="Calibri" w:hAnsi="Times New Roman"/>
          <w:noProof/>
          <w:lang w:bidi="he-IL"/>
        </w:rPr>
        <w:t xml:space="preserve"> </w:t>
      </w:r>
      <w:r w:rsidR="00A84B1E" w:rsidRPr="00BD3DCE">
        <w:rPr>
          <w:rFonts w:ascii="Times New Roman" w:eastAsia="Calibri" w:hAnsi="Times New Roman"/>
          <w:noProof/>
          <w:lang w:bidi="he-IL"/>
        </w:rPr>
        <w:t>On October 23, 1983, two suicide attackers detonated their vehicular suicide bombs on the US Marine and French barracks with</w:t>
      </w:r>
      <w:r w:rsidR="001309EE">
        <w:rPr>
          <w:rFonts w:ascii="Times New Roman" w:eastAsia="Calibri" w:hAnsi="Times New Roman"/>
          <w:noProof/>
          <w:lang w:bidi="he-IL"/>
        </w:rPr>
        <w:t>in</w:t>
      </w:r>
      <w:r w:rsidR="00A84B1E" w:rsidRPr="00BD3DCE">
        <w:rPr>
          <w:rFonts w:ascii="Times New Roman" w:eastAsia="Calibri" w:hAnsi="Times New Roman"/>
          <w:noProof/>
          <w:lang w:bidi="he-IL"/>
        </w:rPr>
        <w:t xml:space="preserve"> minutes of each other, killing 241 Americans and 58 French servicemen</w:t>
      </w:r>
      <w:r w:rsidR="004555DB">
        <w:rPr>
          <w:rFonts w:ascii="Times New Roman" w:eastAsia="Calibri" w:hAnsi="Times New Roman"/>
          <w:noProof/>
          <w:lang w:bidi="he-IL"/>
        </w:rPr>
        <w:t xml:space="preserve">.  </w:t>
      </w:r>
      <w:r w:rsidR="003269F8" w:rsidRPr="00BD3DCE">
        <w:rPr>
          <w:rFonts w:ascii="Times New Roman" w:eastAsia="Calibri" w:hAnsi="Times New Roman"/>
          <w:noProof/>
          <w:lang w:bidi="he-IL"/>
        </w:rPr>
        <w:t>America and France were the two countries providing intelligence and materiel support</w:t>
      </w:r>
      <w:r w:rsidR="003269F8">
        <w:rPr>
          <w:rFonts w:ascii="Times New Roman" w:eastAsia="Calibri" w:hAnsi="Times New Roman"/>
          <w:noProof/>
          <w:lang w:bidi="he-IL"/>
        </w:rPr>
        <w:t>, respectively,</w:t>
      </w:r>
      <w:r w:rsidR="003269F8" w:rsidRPr="00BD3DCE">
        <w:rPr>
          <w:rFonts w:ascii="Times New Roman" w:eastAsia="Calibri" w:hAnsi="Times New Roman"/>
          <w:noProof/>
          <w:lang w:bidi="he-IL"/>
        </w:rPr>
        <w:t xml:space="preserve"> to Iraq during the Iraq-Iran war.</w:t>
      </w:r>
      <w:r w:rsidR="004555DB">
        <w:rPr>
          <w:rFonts w:ascii="Times New Roman" w:eastAsia="Calibri" w:hAnsi="Times New Roman"/>
          <w:noProof/>
          <w:lang w:bidi="he-IL"/>
        </w:rPr>
        <w:t xml:space="preserve"> </w:t>
      </w:r>
      <w:r w:rsidR="00BD4069">
        <w:rPr>
          <w:rFonts w:ascii="Times New Roman" w:eastAsia="Calibri" w:hAnsi="Times New Roman"/>
          <w:noProof/>
          <w:lang w:bidi="he-IL"/>
        </w:rPr>
        <w:t xml:space="preserve"> </w:t>
      </w:r>
      <w:r w:rsidR="00A84B1E" w:rsidRPr="00BD3DCE">
        <w:rPr>
          <w:rFonts w:ascii="Times New Roman" w:eastAsia="Calibri" w:hAnsi="Times New Roman"/>
          <w:noProof/>
          <w:lang w:bidi="he-IL"/>
        </w:rPr>
        <w:t xml:space="preserve">Twelve days later a </w:t>
      </w:r>
      <w:r w:rsidR="00A84B1E" w:rsidRPr="00BD3DCE">
        <w:rPr>
          <w:rFonts w:ascii="Times New Roman" w:eastAsia="Calibri" w:hAnsi="Times New Roman"/>
          <w:noProof/>
          <w:lang w:bidi="he-IL"/>
        </w:rPr>
        <w:lastRenderedPageBreak/>
        <w:t xml:space="preserve">suicide attack denonated on </w:t>
      </w:r>
      <w:r w:rsidR="00A84B1E">
        <w:rPr>
          <w:rFonts w:ascii="Times New Roman" w:eastAsia="Calibri" w:hAnsi="Times New Roman"/>
          <w:noProof/>
          <w:lang w:bidi="he-IL"/>
        </w:rPr>
        <w:t xml:space="preserve">an </w:t>
      </w:r>
      <w:r w:rsidR="00A84B1E" w:rsidRPr="00BD3DCE">
        <w:rPr>
          <w:rFonts w:ascii="Times New Roman" w:eastAsia="Calibri" w:hAnsi="Times New Roman"/>
          <w:noProof/>
          <w:lang w:bidi="he-IL"/>
        </w:rPr>
        <w:t>Israeli convoy, killing 60</w:t>
      </w:r>
      <w:r w:rsidR="004555DB">
        <w:rPr>
          <w:rFonts w:ascii="Times New Roman" w:eastAsia="Calibri" w:hAnsi="Times New Roman"/>
          <w:noProof/>
          <w:lang w:bidi="he-IL"/>
        </w:rPr>
        <w:t>.</w:t>
      </w:r>
      <w:r w:rsidR="0065626E">
        <w:rPr>
          <w:rFonts w:ascii="Times New Roman" w:eastAsia="Calibri" w:hAnsi="Times New Roman"/>
          <w:noProof/>
          <w:lang w:bidi="he-IL"/>
        </w:rPr>
        <w:t xml:space="preserve">  </w:t>
      </w:r>
      <w:r w:rsidR="00A84B1E" w:rsidRPr="00BD3DCE">
        <w:rPr>
          <w:rFonts w:ascii="Times New Roman" w:eastAsia="Calibri" w:hAnsi="Times New Roman"/>
          <w:noProof/>
          <w:lang w:bidi="he-IL"/>
        </w:rPr>
        <w:t>In February 1984, the multinational forces left Lebanon</w:t>
      </w:r>
      <w:r w:rsidR="004555DB">
        <w:rPr>
          <w:rFonts w:ascii="Times New Roman" w:eastAsia="Calibri" w:hAnsi="Times New Roman"/>
          <w:noProof/>
          <w:lang w:bidi="he-IL"/>
        </w:rPr>
        <w:t xml:space="preserve">.  </w:t>
      </w:r>
      <w:r w:rsidR="00A84B1E" w:rsidRPr="00BD3DCE">
        <w:rPr>
          <w:rFonts w:ascii="Times New Roman" w:eastAsia="Calibri" w:hAnsi="Times New Roman"/>
          <w:noProof/>
          <w:lang w:bidi="he-IL"/>
        </w:rPr>
        <w:t xml:space="preserve">Soon after, other Lebanese groups joined in using the tactic, and </w:t>
      </w:r>
      <w:r w:rsidR="00A84B1E" w:rsidRPr="00BD3DCE">
        <w:rPr>
          <w:rFonts w:ascii="Times New Roman" w:eastAsia="Calibri" w:hAnsi="Times New Roman"/>
          <w:noProof/>
          <w:lang w:bidi="ar-SA"/>
        </w:rPr>
        <w:t>the Tamil Tigers in Sri Lanka would follow.</w:t>
      </w:r>
    </w:p>
    <w:p w:rsidR="00EC41DA" w:rsidRPr="00EA564E" w:rsidRDefault="00EC41DA" w:rsidP="00F57EFD">
      <w:pPr>
        <w:pStyle w:val="Heading3"/>
        <w:rPr>
          <w:rStyle w:val="SubtleEmphasis"/>
          <w:i/>
        </w:rPr>
      </w:pPr>
      <w:bookmarkStart w:id="38" w:name="_Toc450748682"/>
      <w:r w:rsidRPr="00EA564E">
        <w:rPr>
          <w:rStyle w:val="SubtleEmphasis"/>
          <w:i/>
        </w:rPr>
        <w:t>Cognitive Terrain of Lebanese Bombers</w:t>
      </w:r>
      <w:bookmarkEnd w:id="38"/>
    </w:p>
    <w:p w:rsidR="00EC41DA" w:rsidRPr="003776BC" w:rsidRDefault="00EC41DA" w:rsidP="00AF55E2">
      <w:pPr>
        <w:ind w:firstLine="720"/>
        <w:contextualSpacing/>
      </w:pPr>
      <w:r w:rsidRPr="003776BC">
        <w:t xml:space="preserve">Unlike Sunni militants, who prioritize jihad </w:t>
      </w:r>
      <w:r w:rsidR="00244E6C">
        <w:t xml:space="preserve">against unbelievers </w:t>
      </w:r>
      <w:r w:rsidRPr="003776BC">
        <w:t xml:space="preserve">in the name of theological differences, the Shia </w:t>
      </w:r>
      <w:r w:rsidR="00244E6C">
        <w:t xml:space="preserve">militant </w:t>
      </w:r>
      <w:r w:rsidRPr="003776BC">
        <w:t>conception of jihad</w:t>
      </w:r>
      <w:r w:rsidR="00244E6C">
        <w:t xml:space="preserve"> </w:t>
      </w:r>
      <w:r w:rsidRPr="003776BC">
        <w:t>emphasize</w:t>
      </w:r>
      <w:r w:rsidR="00244E6C">
        <w:t>s combatting oppression</w:t>
      </w:r>
      <w:r w:rsidR="004555DB">
        <w:rPr>
          <w:iCs/>
        </w:rPr>
        <w:t xml:space="preserve">.  </w:t>
      </w:r>
      <w:r w:rsidRPr="003776BC">
        <w:t xml:space="preserve">Sunnis divide the world by the </w:t>
      </w:r>
      <w:r w:rsidR="00BD4069">
        <w:t>“</w:t>
      </w:r>
      <w:r w:rsidRPr="003776BC">
        <w:t>House of Islam,</w:t>
      </w:r>
      <w:r w:rsidR="00BD4069">
        <w:t>”</w:t>
      </w:r>
      <w:r w:rsidRPr="003776BC">
        <w:t xml:space="preserve"> where Muslims live, against the </w:t>
      </w:r>
      <w:r w:rsidR="00BD4069">
        <w:t>“</w:t>
      </w:r>
      <w:r w:rsidRPr="003776BC">
        <w:t>House of War,</w:t>
      </w:r>
      <w:r w:rsidR="00BD4069">
        <w:t>”</w:t>
      </w:r>
      <w:r w:rsidRPr="003776BC">
        <w:t xml:space="preserve"> where unbelievers live</w:t>
      </w:r>
      <w:r w:rsidR="004555DB">
        <w:t xml:space="preserve">.  </w:t>
      </w:r>
      <w:r w:rsidRPr="003776BC">
        <w:t>Hezbollah, on the other hand, divide</w:t>
      </w:r>
      <w:r w:rsidR="00244E6C">
        <w:t>s</w:t>
      </w:r>
      <w:r w:rsidRPr="003776BC">
        <w:t xml:space="preserve"> the world into “House of Oppressors” and the “House of the Oppressed,” a perspective </w:t>
      </w:r>
      <w:r w:rsidR="003269F8">
        <w:t xml:space="preserve">formed </w:t>
      </w:r>
      <w:r w:rsidRPr="003776BC">
        <w:t>from centuries of oppression at the hand of Sunnis.</w:t>
      </w:r>
      <w:r w:rsidRPr="003776BC">
        <w:rPr>
          <w:vertAlign w:val="superscript"/>
        </w:rPr>
        <w:footnoteReference w:id="115"/>
      </w:r>
      <w:r w:rsidR="004555DB">
        <w:t xml:space="preserve"> </w:t>
      </w:r>
      <w:r w:rsidR="00BD4069">
        <w:t xml:space="preserve"> </w:t>
      </w:r>
      <w:r>
        <w:t>A</w:t>
      </w:r>
      <w:r w:rsidRPr="003776BC">
        <w:t>lmost every Hezbollah official speech</w:t>
      </w:r>
      <w:r>
        <w:t xml:space="preserve"> </w:t>
      </w:r>
      <w:r w:rsidR="00244E6C">
        <w:t xml:space="preserve">has </w:t>
      </w:r>
      <w:r>
        <w:t>evoked</w:t>
      </w:r>
      <w:r w:rsidRPr="003776BC">
        <w:t xml:space="preserve"> this dynamic of oppressor and oppressed.</w:t>
      </w:r>
      <w:r w:rsidR="00AF55E2">
        <w:t xml:space="preserve"> </w:t>
      </w:r>
      <w:r w:rsidR="00BD4069">
        <w:t xml:space="preserve"> </w:t>
      </w:r>
      <w:r w:rsidRPr="003776BC">
        <w:t xml:space="preserve">To radical Sunnis, Islamic identity </w:t>
      </w:r>
      <w:r w:rsidR="00BD4069">
        <w:t>is</w:t>
      </w:r>
      <w:r w:rsidRPr="003776BC">
        <w:t xml:space="preserve"> the top priority and social justice follow</w:t>
      </w:r>
      <w:r>
        <w:t>ed</w:t>
      </w:r>
      <w:r w:rsidRPr="003776BC">
        <w:t xml:space="preserve"> </w:t>
      </w:r>
      <w:r>
        <w:t>later</w:t>
      </w:r>
      <w:r w:rsidR="004555DB">
        <w:t xml:space="preserve">.  </w:t>
      </w:r>
      <w:r w:rsidR="00D418E4">
        <w:t>To radical Shia</w:t>
      </w:r>
      <w:r w:rsidRPr="003776BC">
        <w:t xml:space="preserve">s, social justice </w:t>
      </w:r>
      <w:r w:rsidR="00BD4069">
        <w:t>is</w:t>
      </w:r>
      <w:r w:rsidRPr="003776BC">
        <w:t xml:space="preserve"> the top priority and Islamic identity follows</w:t>
      </w:r>
      <w:r w:rsidR="004555DB">
        <w:t xml:space="preserve">.  </w:t>
      </w:r>
      <w:r w:rsidRPr="003776BC">
        <w:t xml:space="preserve">Because of the oppression and oppressor narrative, the greater Shia “in-group” </w:t>
      </w:r>
      <w:r w:rsidR="003269F8">
        <w:t>was</w:t>
      </w:r>
      <w:r w:rsidR="00D418E4">
        <w:t xml:space="preserve"> not necessarily just </w:t>
      </w:r>
      <w:r w:rsidR="00BD4069">
        <w:t>fellow Shias</w:t>
      </w:r>
      <w:r w:rsidRPr="003776BC">
        <w:t xml:space="preserve"> but victims of tyranny anywhere</w:t>
      </w:r>
      <w:r w:rsidR="004555DB">
        <w:t xml:space="preserve">.  </w:t>
      </w:r>
      <w:r w:rsidR="00244E6C">
        <w:t>Before</w:t>
      </w:r>
      <w:r w:rsidRPr="003776BC">
        <w:t xml:space="preserve"> the Iranian Revolution, </w:t>
      </w:r>
      <w:r w:rsidR="00D418E4">
        <w:t>Shia</w:t>
      </w:r>
      <w:r w:rsidRPr="003776BC">
        <w:t xml:space="preserve">s would identify with left-leaning </w:t>
      </w:r>
      <w:r w:rsidR="003269F8">
        <w:t>parties and political platforms</w:t>
      </w:r>
      <w:r w:rsidRPr="003776BC">
        <w:t>.</w:t>
      </w:r>
      <w:r w:rsidRPr="003776BC">
        <w:rPr>
          <w:vertAlign w:val="superscript"/>
        </w:rPr>
        <w:footnoteReference w:id="116"/>
      </w:r>
      <w:r w:rsidR="004555DB">
        <w:t xml:space="preserve"> </w:t>
      </w:r>
      <w:r w:rsidR="00BD4069">
        <w:t xml:space="preserve"> </w:t>
      </w:r>
      <w:r w:rsidRPr="00C20BB2">
        <w:t xml:space="preserve">The social justice </w:t>
      </w:r>
      <w:r>
        <w:t xml:space="preserve">in-group perspective </w:t>
      </w:r>
      <w:r w:rsidR="00244E6C">
        <w:t>of Hezbollah would</w:t>
      </w:r>
      <w:r w:rsidRPr="00C20BB2">
        <w:t xml:space="preserve"> </w:t>
      </w:r>
      <w:r>
        <w:t>lead them</w:t>
      </w:r>
      <w:r w:rsidRPr="00C20BB2">
        <w:t xml:space="preserve"> to share tactics with left leaning groups and, leading into the next era, </w:t>
      </w:r>
      <w:r>
        <w:t xml:space="preserve">militant </w:t>
      </w:r>
      <w:r w:rsidRPr="00C20BB2">
        <w:t xml:space="preserve">Sunni groups </w:t>
      </w:r>
      <w:r w:rsidR="003269F8">
        <w:t xml:space="preserve">oppressed by Israel and Arab governments </w:t>
      </w:r>
      <w:r w:rsidRPr="00C20BB2">
        <w:t>as well.</w:t>
      </w:r>
    </w:p>
    <w:p w:rsidR="00EC41DA" w:rsidRPr="003776BC" w:rsidRDefault="003269F8" w:rsidP="002A6175">
      <w:pPr>
        <w:ind w:firstLine="720"/>
        <w:contextualSpacing/>
      </w:pPr>
      <w:r>
        <w:t>S</w:t>
      </w:r>
      <w:r w:rsidR="00EC41DA" w:rsidRPr="003776BC">
        <w:t>ympathetic</w:t>
      </w:r>
      <w:r>
        <w:t xml:space="preserve"> Shia</w:t>
      </w:r>
      <w:r w:rsidR="00EC41DA" w:rsidRPr="003776BC">
        <w:t xml:space="preserve"> clerics developed a theological justification for the tactic</w:t>
      </w:r>
      <w:r w:rsidR="00BD4069">
        <w:t xml:space="preserve">.  </w:t>
      </w:r>
      <w:r w:rsidR="00EC41DA" w:rsidRPr="003776BC">
        <w:t xml:space="preserve">Iran and Hezbollah coined the phrase </w:t>
      </w:r>
      <w:r w:rsidR="00EC41DA" w:rsidRPr="003776BC">
        <w:rPr>
          <w:i/>
          <w:iCs/>
        </w:rPr>
        <w:t xml:space="preserve">al-amalyiat al-istishhadiyya </w:t>
      </w:r>
      <w:r w:rsidR="00EC41DA" w:rsidRPr="003776BC">
        <w:t xml:space="preserve">for suicide bombing, </w:t>
      </w:r>
      <w:r w:rsidR="00EC41DA" w:rsidRPr="003776BC">
        <w:lastRenderedPageBreak/>
        <w:t>known as “martyr operation.”</w:t>
      </w:r>
      <w:r w:rsidR="00EC41DA" w:rsidRPr="003776BC">
        <w:rPr>
          <w:vertAlign w:val="superscript"/>
        </w:rPr>
        <w:footnoteReference w:id="117"/>
      </w:r>
      <w:r w:rsidR="004555DB">
        <w:t xml:space="preserve"> </w:t>
      </w:r>
      <w:r w:rsidR="00BD4069">
        <w:t xml:space="preserve"> </w:t>
      </w:r>
      <w:r w:rsidR="00EC41DA" w:rsidRPr="003776BC">
        <w:t xml:space="preserve">The Lebanese </w:t>
      </w:r>
      <w:r w:rsidR="00D418E4">
        <w:t>Shia</w:t>
      </w:r>
      <w:r w:rsidR="00EC41DA" w:rsidRPr="003776BC">
        <w:t xml:space="preserve"> theologian Ayatollah Sayyid Mohammed Fadlallah set the rules for Shia use of s</w:t>
      </w:r>
      <w:r w:rsidR="00EC41DA">
        <w:t>uicide bombings</w:t>
      </w:r>
      <w:r w:rsidR="004555DB">
        <w:t xml:space="preserve">.  </w:t>
      </w:r>
      <w:r w:rsidR="00EC41DA">
        <w:t>He argued</w:t>
      </w:r>
      <w:r w:rsidR="00EC41DA" w:rsidRPr="003776BC">
        <w:t xml:space="preserve">, “We believe that suicide operations should only be </w:t>
      </w:r>
      <w:r w:rsidR="00EC41DA">
        <w:t>carried out if they can bring a</w:t>
      </w:r>
      <w:r w:rsidR="00EC41DA" w:rsidRPr="003776BC">
        <w:t>b</w:t>
      </w:r>
      <w:r w:rsidR="00EC41DA">
        <w:t>o</w:t>
      </w:r>
      <w:r w:rsidR="00EC41DA" w:rsidRPr="003776BC">
        <w:t>ut a political or military change in proportion to the passions that incite a person to make of his body an explosive bomb.”</w:t>
      </w:r>
      <w:r w:rsidR="00EC41DA" w:rsidRPr="003776BC">
        <w:rPr>
          <w:vertAlign w:val="superscript"/>
        </w:rPr>
        <w:footnoteReference w:id="118"/>
      </w:r>
      <w:r w:rsidR="004555DB">
        <w:t xml:space="preserve"> </w:t>
      </w:r>
      <w:r w:rsidR="00BD4069">
        <w:t xml:space="preserve"> </w:t>
      </w:r>
      <w:r w:rsidR="00F87649">
        <w:t>To Sheikh Fadlallah</w:t>
      </w:r>
      <w:r w:rsidR="00F87649" w:rsidRPr="003776BC">
        <w:t xml:space="preserve"> the aim “is to have a political impact on an enemy whom it is impossible to fight by conventional means, then his sacrifice can be part of a jihad.”</w:t>
      </w:r>
      <w:r w:rsidR="00F87649" w:rsidRPr="003776BC">
        <w:rPr>
          <w:vertAlign w:val="superscript"/>
        </w:rPr>
        <w:footnoteReference w:id="119"/>
      </w:r>
      <w:r w:rsidR="00F87649">
        <w:t xml:space="preserve"> </w:t>
      </w:r>
      <w:r w:rsidR="00BD4069">
        <w:t xml:space="preserve"> </w:t>
      </w:r>
      <w:r w:rsidR="00EC41DA" w:rsidRPr="003776BC">
        <w:t xml:space="preserve">Fadlallah did not emphasize </w:t>
      </w:r>
      <w:r>
        <w:t>the individual rewards of martyrdom</w:t>
      </w:r>
      <w:r w:rsidR="00EC41DA" w:rsidRPr="003776BC">
        <w:t>; the reward was the advancement of the living cause.</w:t>
      </w:r>
    </w:p>
    <w:p w:rsidR="00EC41DA" w:rsidRDefault="00E2576C" w:rsidP="00D16F3E">
      <w:pPr>
        <w:ind w:firstLine="720"/>
        <w:contextualSpacing/>
      </w:pPr>
      <w:r>
        <w:t xml:space="preserve">There was little </w:t>
      </w:r>
      <w:r w:rsidR="00BD4069">
        <w:t xml:space="preserve">that was </w:t>
      </w:r>
      <w:r>
        <w:t>religious about Fadlallah’s arguments, other than referencing and justifying jihad under certain political conditions</w:t>
      </w:r>
      <w:r w:rsidR="004555DB">
        <w:t xml:space="preserve">.  </w:t>
      </w:r>
      <w:r w:rsidR="00F87649">
        <w:t xml:space="preserve">He never used takfir, tawhid, or other religious values that Qutbists used in order to demonstrate the soundness of their actions according to the faith.  </w:t>
      </w:r>
      <w:r>
        <w:t xml:space="preserve">However, the messenger provided the sanctification of </w:t>
      </w:r>
      <w:r w:rsidR="00D16F3E">
        <w:t>political objectives</w:t>
      </w:r>
      <w:r w:rsidR="00BD4069">
        <w:t xml:space="preserve">.  </w:t>
      </w:r>
      <w:r>
        <w:t>Because a sheikh approved, the tactic was acceptable</w:t>
      </w:r>
      <w:r w:rsidR="004555DB">
        <w:t xml:space="preserve">.  </w:t>
      </w:r>
      <w:r>
        <w:t>A</w:t>
      </w:r>
      <w:r w:rsidR="00EC41DA" w:rsidRPr="003776BC">
        <w:t>ll of Hezbollah’s targets during this era were military and political entities.</w:t>
      </w:r>
      <w:r w:rsidR="00EC41DA" w:rsidRPr="003776BC">
        <w:rPr>
          <w:rStyle w:val="FootnoteReference"/>
        </w:rPr>
        <w:footnoteReference w:id="120"/>
      </w:r>
      <w:r w:rsidR="004555DB">
        <w:t xml:space="preserve"> </w:t>
      </w:r>
      <w:r w:rsidR="00BD4069">
        <w:t xml:space="preserve"> </w:t>
      </w:r>
      <w:r w:rsidR="00EC41DA" w:rsidRPr="003776BC">
        <w:t>In the 1980s, Hezbollah performed over 25 suicide attacks.</w:t>
      </w:r>
      <w:r w:rsidR="00EC41DA" w:rsidRPr="003776BC">
        <w:rPr>
          <w:vertAlign w:val="superscript"/>
        </w:rPr>
        <w:footnoteReference w:id="121"/>
      </w:r>
      <w:r w:rsidR="004555DB">
        <w:t xml:space="preserve"> </w:t>
      </w:r>
      <w:r w:rsidR="00BD4069">
        <w:t xml:space="preserve"> </w:t>
      </w:r>
      <w:r w:rsidR="00EC41DA" w:rsidRPr="003776BC">
        <w:t xml:space="preserve">However, out of 1,500 Hezbollah terrorist operations in the 1990s, the organization only </w:t>
      </w:r>
      <w:r>
        <w:t>performed two suicide bombings</w:t>
      </w:r>
      <w:r w:rsidR="004555DB">
        <w:t xml:space="preserve">.  </w:t>
      </w:r>
      <w:r>
        <w:t xml:space="preserve">According to Hezbollah, they no longer needed martyrdom operations because they developed the infrastructure in southern Lebanon for a </w:t>
      </w:r>
      <w:r>
        <w:lastRenderedPageBreak/>
        <w:t>paramilitary state</w:t>
      </w:r>
      <w:r w:rsidR="00EC41DA" w:rsidRPr="003776BC">
        <w:t>.</w:t>
      </w:r>
      <w:r w:rsidR="00EC41DA" w:rsidRPr="003776BC">
        <w:rPr>
          <w:vertAlign w:val="superscript"/>
        </w:rPr>
        <w:footnoteReference w:id="122"/>
      </w:r>
      <w:r w:rsidR="004555DB">
        <w:t xml:space="preserve"> </w:t>
      </w:r>
      <w:r w:rsidR="00BD4069">
        <w:t xml:space="preserve"> </w:t>
      </w:r>
      <w:r>
        <w:t>By the late 1990s, Hezbollah no longer even had a suicide bombing training program</w:t>
      </w:r>
      <w:r w:rsidR="004555DB">
        <w:t xml:space="preserve">.  </w:t>
      </w:r>
    </w:p>
    <w:p w:rsidR="00EC41DA" w:rsidRPr="00EA564E" w:rsidRDefault="00EC41DA" w:rsidP="00F57EFD">
      <w:pPr>
        <w:pStyle w:val="Heading3"/>
        <w:rPr>
          <w:rStyle w:val="SubtleEmphasis"/>
          <w:bCs w:val="0"/>
          <w:i/>
        </w:rPr>
      </w:pPr>
      <w:bookmarkStart w:id="39" w:name="_Toc445916763"/>
      <w:bookmarkStart w:id="40" w:name="_Toc450748683"/>
      <w:r w:rsidRPr="00EA564E">
        <w:rPr>
          <w:rStyle w:val="SubtleEmphasis"/>
          <w:i/>
        </w:rPr>
        <w:t>The Campaigns of the Nationalist-Marxist Organizations in Lebanon</w:t>
      </w:r>
      <w:bookmarkEnd w:id="39"/>
      <w:bookmarkEnd w:id="40"/>
    </w:p>
    <w:p w:rsidR="00EC41DA" w:rsidRPr="003776BC" w:rsidRDefault="00EC41DA" w:rsidP="008520B9">
      <w:pPr>
        <w:ind w:firstLine="720"/>
        <w:contextualSpacing/>
      </w:pPr>
      <w:r w:rsidRPr="003776BC">
        <w:t xml:space="preserve">In Lebanon, a second wave of suicide bombing campaigns followed </w:t>
      </w:r>
      <w:r w:rsidR="00BD4069">
        <w:t>Hezbollah’s initiative</w:t>
      </w:r>
      <w:r w:rsidR="00EE3A93">
        <w:t xml:space="preserve">.  </w:t>
      </w:r>
      <w:r w:rsidRPr="003776BC">
        <w:t xml:space="preserve">These </w:t>
      </w:r>
      <w:r w:rsidR="00D16F3E">
        <w:t xml:space="preserve">participating </w:t>
      </w:r>
      <w:r w:rsidRPr="003776BC">
        <w:t xml:space="preserve">groups included the Syrian Baath Party, the Arab Socialist Union, the Syrian </w:t>
      </w:r>
      <w:r w:rsidR="00EE3A93">
        <w:t xml:space="preserve">Social Nationalist </w:t>
      </w:r>
      <w:r w:rsidRPr="003776BC">
        <w:t>Party</w:t>
      </w:r>
      <w:r w:rsidR="00EE3A93">
        <w:t xml:space="preserve"> (SSNP)</w:t>
      </w:r>
      <w:r w:rsidRPr="003776BC">
        <w:t>, the Lebanese Communist Party, and the Nasserist Organization.</w:t>
      </w:r>
      <w:r w:rsidRPr="003776BC">
        <w:rPr>
          <w:vertAlign w:val="superscript"/>
        </w:rPr>
        <w:footnoteReference w:id="123"/>
      </w:r>
      <w:r w:rsidR="004555DB">
        <w:t xml:space="preserve"> </w:t>
      </w:r>
      <w:r w:rsidR="00EE3A93">
        <w:t xml:space="preserve"> </w:t>
      </w:r>
      <w:r w:rsidRPr="003776BC">
        <w:t>The suicide bombers in Lebanon were not all devout Muslims</w:t>
      </w:r>
      <w:r w:rsidR="004555DB">
        <w:t xml:space="preserve">.  </w:t>
      </w:r>
      <w:r w:rsidRPr="003776BC">
        <w:t xml:space="preserve">Of the </w:t>
      </w:r>
      <w:r w:rsidR="008520B9">
        <w:t>forty-one</w:t>
      </w:r>
      <w:r w:rsidRPr="003776BC">
        <w:t xml:space="preserve"> </w:t>
      </w:r>
      <w:r w:rsidRPr="00382342">
        <w:rPr>
          <w:iCs/>
        </w:rPr>
        <w:t>known</w:t>
      </w:r>
      <w:r w:rsidRPr="003776BC">
        <w:t xml:space="preserve"> suicide attackers </w:t>
      </w:r>
      <w:r w:rsidR="008520B9">
        <w:t>during the Lebanese conflict, twenty-seven</w:t>
      </w:r>
      <w:r w:rsidRPr="003776BC">
        <w:t xml:space="preserve"> were from socialist or communist parties (even </w:t>
      </w:r>
      <w:r w:rsidR="00E2576C">
        <w:t xml:space="preserve">those who conducted attacks on behalf of </w:t>
      </w:r>
      <w:r w:rsidRPr="003776BC">
        <w:t>Hezbollah), three were Christian, and only eight were Islamic radicals</w:t>
      </w:r>
      <w:r w:rsidR="004555DB">
        <w:t xml:space="preserve">.  </w:t>
      </w:r>
      <w:r>
        <w:t>H</w:t>
      </w:r>
      <w:r w:rsidRPr="003776BC">
        <w:t>owever</w:t>
      </w:r>
      <w:r>
        <w:t>,</w:t>
      </w:r>
      <w:r w:rsidRPr="003776BC">
        <w:t xml:space="preserve"> it is fair to note that many of Hezbollah’s attackers are unknown.</w:t>
      </w:r>
      <w:r w:rsidRPr="003776BC">
        <w:rPr>
          <w:vertAlign w:val="superscript"/>
        </w:rPr>
        <w:footnoteReference w:id="124"/>
      </w:r>
      <w:r w:rsidR="00380D53">
        <w:t xml:space="preserve">  </w:t>
      </w:r>
      <w:r w:rsidRPr="003776BC">
        <w:t xml:space="preserve">Like Hezbollah, these groups primarily attacked military targets, as the SSNP </w:t>
      </w:r>
      <w:r>
        <w:t xml:space="preserve">insisted it was not </w:t>
      </w:r>
      <w:r w:rsidRPr="003776BC">
        <w:t>a terrorist organization because it refused to target civilians.</w:t>
      </w:r>
      <w:r w:rsidRPr="003776BC">
        <w:rPr>
          <w:vertAlign w:val="superscript"/>
        </w:rPr>
        <w:footnoteReference w:id="125"/>
      </w:r>
    </w:p>
    <w:p w:rsidR="00EC41DA" w:rsidRPr="003776BC" w:rsidRDefault="00EC41DA" w:rsidP="00EC41DA">
      <w:pPr>
        <w:contextualSpacing/>
      </w:pPr>
      <w:r w:rsidRPr="003776BC">
        <w:tab/>
        <w:t>The cult of martyrdom, which would become a staple of the Palestinian suicide campaigns, started with these national-socialist groups</w:t>
      </w:r>
      <w:r>
        <w:t>, particularly through videotaped wills</w:t>
      </w:r>
      <w:r w:rsidR="004555DB">
        <w:t xml:space="preserve">.  </w:t>
      </w:r>
      <w:r w:rsidRPr="003776BC">
        <w:t xml:space="preserve">These </w:t>
      </w:r>
      <w:r>
        <w:t>tapes</w:t>
      </w:r>
      <w:r w:rsidRPr="003776BC">
        <w:t xml:space="preserve"> marketed the martyr’s reason for dying for the cause</w:t>
      </w:r>
      <w:r w:rsidR="004555DB">
        <w:t xml:space="preserve">.  </w:t>
      </w:r>
      <w:r>
        <w:t>Jamal as-Sati, o</w:t>
      </w:r>
      <w:r w:rsidRPr="003776BC">
        <w:t>ne of the Lebanese Communist bombers, addressed in his testament that he was acting on behalf of “the poor of the whole world.”</w:t>
      </w:r>
      <w:r w:rsidRPr="003776BC">
        <w:rPr>
          <w:vertAlign w:val="superscript"/>
        </w:rPr>
        <w:footnoteReference w:id="126"/>
      </w:r>
      <w:r w:rsidR="004555DB">
        <w:t xml:space="preserve"> </w:t>
      </w:r>
      <w:r w:rsidR="00EE3A93">
        <w:t xml:space="preserve"> </w:t>
      </w:r>
      <w:r w:rsidRPr="003776BC">
        <w:t>Sati, however, came from a family of respectable means in the Beqaa valley</w:t>
      </w:r>
      <w:r w:rsidR="004555DB">
        <w:t xml:space="preserve">.  </w:t>
      </w:r>
    </w:p>
    <w:p w:rsidR="00AF55E2" w:rsidRDefault="00EC41DA" w:rsidP="00AF55E2">
      <w:pPr>
        <w:ind w:firstLine="720"/>
        <w:contextualSpacing/>
      </w:pPr>
      <w:r w:rsidRPr="003776BC">
        <w:lastRenderedPageBreak/>
        <w:t>The SSNP sponsored the first known female suicide bomber, Sana Mheidleh</w:t>
      </w:r>
      <w:r w:rsidR="004555DB">
        <w:t xml:space="preserve">.  </w:t>
      </w:r>
      <w:r w:rsidR="00F87649" w:rsidRPr="003776BC">
        <w:t>On</w:t>
      </w:r>
      <w:r w:rsidR="00F87649">
        <w:t xml:space="preserve"> </w:t>
      </w:r>
      <w:r w:rsidR="00F87649" w:rsidRPr="003776BC">
        <w:t>April </w:t>
      </w:r>
      <w:r w:rsidR="00F87649">
        <w:t xml:space="preserve">9, </w:t>
      </w:r>
      <w:r w:rsidR="00F87649" w:rsidRPr="003776BC">
        <w:t xml:space="preserve">1985, the 16-year-old </w:t>
      </w:r>
      <w:r w:rsidR="00F87649">
        <w:t>girl</w:t>
      </w:r>
      <w:r w:rsidR="00F87649" w:rsidRPr="003776BC">
        <w:t xml:space="preserve"> rammed a car loaded with 440 pounds of explosive into an Israeli convoy, killing two Israeli soldiers.</w:t>
      </w:r>
      <w:bookmarkStart w:id="41" w:name="qpzz124"/>
      <w:bookmarkStart w:id="42" w:name="qpzz126"/>
      <w:bookmarkStart w:id="43" w:name="qpzz127"/>
      <w:bookmarkEnd w:id="41"/>
      <w:bookmarkEnd w:id="42"/>
      <w:bookmarkEnd w:id="43"/>
      <w:r w:rsidR="00F87649" w:rsidRPr="003776BC">
        <w:rPr>
          <w:vertAlign w:val="superscript"/>
        </w:rPr>
        <w:footnoteReference w:id="127"/>
      </w:r>
      <w:bookmarkStart w:id="44" w:name="qpzz130"/>
      <w:bookmarkEnd w:id="44"/>
      <w:r w:rsidR="00380D53">
        <w:t xml:space="preserve">  </w:t>
      </w:r>
      <w:r w:rsidR="00EE3A93">
        <w:t>A</w:t>
      </w:r>
      <w:r w:rsidR="00380D53">
        <w:t>lthough Mheidleh was Shia</w:t>
      </w:r>
      <w:r w:rsidRPr="003776BC">
        <w:t>, she made no mention of religion as a motivation in her letters and recordings that announced her intentions.</w:t>
      </w:r>
      <w:bookmarkStart w:id="45" w:name="qpzz131"/>
      <w:bookmarkStart w:id="46" w:name="qpzz133"/>
      <w:bookmarkStart w:id="47" w:name="qpzz134"/>
      <w:bookmarkEnd w:id="45"/>
      <w:bookmarkEnd w:id="46"/>
      <w:bookmarkEnd w:id="47"/>
      <w:r w:rsidRPr="003776BC">
        <w:rPr>
          <w:vertAlign w:val="superscript"/>
        </w:rPr>
        <w:footnoteReference w:id="128"/>
      </w:r>
      <w:r w:rsidR="00AF55E2">
        <w:t xml:space="preserve">  </w:t>
      </w:r>
      <w:r>
        <w:t>In her</w:t>
      </w:r>
      <w:r w:rsidRPr="003776BC">
        <w:t xml:space="preserve"> videotape</w:t>
      </w:r>
      <w:r>
        <w:t>, she declared</w:t>
      </w:r>
      <w:r w:rsidRPr="003776BC">
        <w:t xml:space="preserve"> </w:t>
      </w:r>
      <w:r>
        <w:t>this was h</w:t>
      </w:r>
      <w:r w:rsidRPr="003776BC">
        <w:t xml:space="preserve">er national duty, and </w:t>
      </w:r>
      <w:r>
        <w:t xml:space="preserve">she </w:t>
      </w:r>
      <w:r w:rsidRPr="003776BC">
        <w:t xml:space="preserve">was glad </w:t>
      </w:r>
      <w:r>
        <w:t xml:space="preserve">to </w:t>
      </w:r>
      <w:r w:rsidRPr="003776BC">
        <w:t xml:space="preserve">give </w:t>
      </w:r>
      <w:r>
        <w:t xml:space="preserve">her </w:t>
      </w:r>
      <w:r w:rsidRPr="003776BC">
        <w:t>life for</w:t>
      </w:r>
      <w:r>
        <w:t xml:space="preserve"> Hafez al-</w:t>
      </w:r>
      <w:r w:rsidRPr="003776BC">
        <w:t>Assad.</w:t>
      </w:r>
      <w:r w:rsidRPr="003776BC">
        <w:rPr>
          <w:vertAlign w:val="superscript"/>
        </w:rPr>
        <w:footnoteReference w:id="129"/>
      </w:r>
      <w:r w:rsidR="00380D53">
        <w:t xml:space="preserve">  </w:t>
      </w:r>
      <w:r w:rsidRPr="003776BC">
        <w:t>Mheidleh, who did not know how to drive a car before the attack, stated, “All my life I have been thinking of a revolutionary action</w:t>
      </w:r>
      <w:r w:rsidR="004555DB">
        <w:t xml:space="preserve">.  </w:t>
      </w:r>
      <w:r w:rsidRPr="003776BC">
        <w:t>I have decided to fulfill my duty toward the south.”</w:t>
      </w:r>
      <w:r w:rsidR="00380D53">
        <w:t xml:space="preserve">  </w:t>
      </w:r>
      <w:r w:rsidRPr="003776BC">
        <w:t>Mheidleh</w:t>
      </w:r>
      <w:r w:rsidR="00EE3A93">
        <w:t xml:space="preserve"> tied her sacrifice to</w:t>
      </w:r>
      <w:r>
        <w:t xml:space="preserve"> national liberation</w:t>
      </w:r>
      <w:r w:rsidR="00EE3A93">
        <w:t xml:space="preserve"> on behalf of Greater Syria, a region that covers both Syria and Lebanon, as well as portions of Jordan, Iraq, and Turkey:</w:t>
      </w:r>
    </w:p>
    <w:p w:rsidR="00AF55E2" w:rsidRDefault="00EC41DA" w:rsidP="00AF55E2">
      <w:pPr>
        <w:spacing w:line="240" w:lineRule="auto"/>
        <w:ind w:left="720"/>
        <w:contextualSpacing/>
      </w:pPr>
      <w:r w:rsidRPr="003776BC">
        <w:t>When you see and hear me I will be dead</w:t>
      </w:r>
      <w:r w:rsidR="004555DB">
        <w:t xml:space="preserve">.  </w:t>
      </w:r>
      <w:r w:rsidRPr="003776BC">
        <w:t>I choose death in order to fulfill my national duty</w:t>
      </w:r>
      <w:r w:rsidR="004555DB">
        <w:t xml:space="preserve">.  </w:t>
      </w:r>
      <w:r w:rsidRPr="003776BC">
        <w:t>I hope I’ll be able to kill the highest possible number of the enemy…Do not be sad for me</w:t>
      </w:r>
      <w:r w:rsidR="004555DB">
        <w:t xml:space="preserve">.  </w:t>
      </w:r>
      <w:r w:rsidRPr="003776BC">
        <w:t>The</w:t>
      </w:r>
      <w:r w:rsidR="00AF55E2">
        <w:t xml:space="preserve"> south must be liberated.</w:t>
      </w:r>
    </w:p>
    <w:p w:rsidR="00AF55E2" w:rsidRDefault="00380D53" w:rsidP="00AF55E2">
      <w:pPr>
        <w:spacing w:line="240" w:lineRule="auto"/>
        <w:ind w:left="720"/>
        <w:contextualSpacing/>
      </w:pPr>
      <w:r>
        <w:t xml:space="preserve"> </w:t>
      </w:r>
      <w:r w:rsidR="004555DB">
        <w:t xml:space="preserve"> </w:t>
      </w:r>
    </w:p>
    <w:p w:rsidR="00EC41DA" w:rsidRPr="003776BC" w:rsidRDefault="00EC41DA" w:rsidP="00AF55E2">
      <w:pPr>
        <w:contextualSpacing/>
      </w:pPr>
      <w:r w:rsidRPr="003776BC">
        <w:t>The SSNP dispatched at least five more female suicide bombers by 1990</w:t>
      </w:r>
      <w:r w:rsidR="004555DB">
        <w:t xml:space="preserve">.  </w:t>
      </w:r>
    </w:p>
    <w:p w:rsidR="00EC41DA" w:rsidRPr="00AD3ABF" w:rsidRDefault="00EC41DA" w:rsidP="00EC41DA">
      <w:pPr>
        <w:pStyle w:val="Heading2"/>
        <w:rPr>
          <w:bCs w:val="0"/>
          <w:i/>
          <w:iCs w:val="0"/>
          <w:szCs w:val="24"/>
        </w:rPr>
      </w:pPr>
      <w:bookmarkStart w:id="48" w:name="_Toc445916766"/>
      <w:bookmarkStart w:id="49" w:name="_Toc450748684"/>
      <w:r w:rsidRPr="003776BC">
        <w:rPr>
          <w:rStyle w:val="SubtleEmphasis"/>
          <w:szCs w:val="24"/>
        </w:rPr>
        <w:t>Tamil Tigers Innovation, Adoption, and Use of Suicide Terrorism</w:t>
      </w:r>
      <w:bookmarkEnd w:id="48"/>
      <w:bookmarkEnd w:id="49"/>
    </w:p>
    <w:p w:rsidR="00EC41DA" w:rsidRPr="003776BC" w:rsidRDefault="00EC41DA" w:rsidP="008520B9">
      <w:pPr>
        <w:ind w:firstLine="720"/>
        <w:contextualSpacing/>
      </w:pPr>
      <w:r>
        <w:t xml:space="preserve">Tamil </w:t>
      </w:r>
      <w:r w:rsidR="00510817">
        <w:t>Tigers’ suicide bombing campaign shared</w:t>
      </w:r>
      <w:r>
        <w:t xml:space="preserve"> underlying </w:t>
      </w:r>
      <w:r w:rsidR="00510817">
        <w:t>political factors with Hezbollah’s suicide bombing campaign</w:t>
      </w:r>
      <w:r>
        <w:t xml:space="preserve">, particularly </w:t>
      </w:r>
      <w:r w:rsidR="00510817">
        <w:t xml:space="preserve">in </w:t>
      </w:r>
      <w:r>
        <w:t>the role of sacred values</w:t>
      </w:r>
      <w:r w:rsidR="00510817">
        <w:t xml:space="preserve"> based in nationalism</w:t>
      </w:r>
      <w:r w:rsidR="004555DB">
        <w:t xml:space="preserve">.  </w:t>
      </w:r>
      <w:r w:rsidRPr="003776BC">
        <w:t xml:space="preserve">One admirer of Hezbollah’s campaign was Villipai </w:t>
      </w:r>
      <w:r w:rsidR="00AA6554">
        <w:t>Prabhakaran</w:t>
      </w:r>
      <w:r w:rsidRPr="003776BC">
        <w:t>, the tyrannical leader of the LTTE.</w:t>
      </w:r>
      <w:r w:rsidRPr="003776BC">
        <w:rPr>
          <w:vertAlign w:val="superscript"/>
        </w:rPr>
        <w:footnoteReference w:id="130"/>
      </w:r>
      <w:r w:rsidR="004555DB">
        <w:t xml:space="preserve"> </w:t>
      </w:r>
      <w:r w:rsidR="00AF55E2">
        <w:t xml:space="preserve"> </w:t>
      </w:r>
      <w:r w:rsidRPr="003776BC">
        <w:t>The LTTE represented the Tamil e</w:t>
      </w:r>
      <w:r>
        <w:t>thnic group, a Hindu minority sharing the small island dominated by</w:t>
      </w:r>
      <w:r w:rsidRPr="003776BC">
        <w:t xml:space="preserve"> the majority Buddhist Sri Lankan</w:t>
      </w:r>
      <w:r>
        <w:t>s</w:t>
      </w:r>
      <w:r w:rsidR="004555DB">
        <w:t xml:space="preserve">.  </w:t>
      </w:r>
      <w:r w:rsidRPr="003776BC">
        <w:t xml:space="preserve">The dream of the Tigers was </w:t>
      </w:r>
      <w:r w:rsidRPr="003776BC">
        <w:rPr>
          <w:i/>
        </w:rPr>
        <w:t xml:space="preserve">Tamil Eelam, </w:t>
      </w:r>
      <w:r w:rsidRPr="003776BC">
        <w:t>their own Hindi homeland</w:t>
      </w:r>
      <w:r w:rsidR="004555DB">
        <w:t xml:space="preserve">.  </w:t>
      </w:r>
      <w:r>
        <w:t>This</w:t>
      </w:r>
      <w:r w:rsidRPr="003776BC">
        <w:t xml:space="preserve"> </w:t>
      </w:r>
      <w:r w:rsidRPr="003776BC">
        <w:lastRenderedPageBreak/>
        <w:t>ethnic and rel</w:t>
      </w:r>
      <w:r>
        <w:t>igious tension led to a guerilla</w:t>
      </w:r>
      <w:r w:rsidRPr="003776BC">
        <w:t xml:space="preserve"> war from 1993 to 2009, w</w:t>
      </w:r>
      <w:r>
        <w:t>hich killed</w:t>
      </w:r>
      <w:r w:rsidRPr="003776BC">
        <w:t xml:space="preserve"> over 64,000.</w:t>
      </w:r>
      <w:r w:rsidRPr="003776BC">
        <w:rPr>
          <w:vertAlign w:val="superscript"/>
        </w:rPr>
        <w:footnoteReference w:id="131"/>
      </w:r>
      <w:r w:rsidR="004555DB">
        <w:t xml:space="preserve"> </w:t>
      </w:r>
      <w:r w:rsidR="00380D53">
        <w:t xml:space="preserve"> </w:t>
      </w:r>
      <w:r w:rsidR="005D6DE9">
        <w:t xml:space="preserve">The persecution of Tamils contributed to the willingness of Tamils to become suicide bombers, even if they were conscripted </w:t>
      </w:r>
      <w:r w:rsidR="008520B9">
        <w:t>by Tamil operatives</w:t>
      </w:r>
      <w:r w:rsidR="004555DB">
        <w:t xml:space="preserve">.  </w:t>
      </w:r>
    </w:p>
    <w:p w:rsidR="00EC41DA" w:rsidRPr="003776BC" w:rsidRDefault="00EC41DA" w:rsidP="00AF55E2">
      <w:pPr>
        <w:ind w:firstLine="720"/>
        <w:contextualSpacing/>
        <w:rPr>
          <w:rStyle w:val="SubtleEmphasis"/>
          <w:bCs/>
          <w:iCs/>
        </w:rPr>
      </w:pPr>
      <w:r w:rsidRPr="003776BC">
        <w:t>The LTTE carried out its first suicide bombing in 1989, six years after the MNF barracks bombing</w:t>
      </w:r>
      <w:r w:rsidR="004555DB">
        <w:t xml:space="preserve">.  </w:t>
      </w:r>
      <w:r w:rsidRPr="003776BC">
        <w:t>Over t</w:t>
      </w:r>
      <w:r w:rsidR="008520B9">
        <w:t>he next decade, the LTTE’s suicide bombing wing, the Black Tigers,</w:t>
      </w:r>
      <w:r w:rsidRPr="003776BC">
        <w:t xml:space="preserve"> became the most ruthless and most disciplined </w:t>
      </w:r>
      <w:r w:rsidR="008520B9">
        <w:t>practitioners of suicide terrorism</w:t>
      </w:r>
      <w:r w:rsidRPr="003776BC">
        <w:t>, responsible for more than half of the suicide attacks worldwide prior to Operation Iraqi Freedom in 2003.</w:t>
      </w:r>
      <w:r w:rsidRPr="003776BC">
        <w:rPr>
          <w:vertAlign w:val="superscript"/>
        </w:rPr>
        <w:footnoteReference w:id="132"/>
      </w:r>
      <w:r w:rsidR="004555DB">
        <w:t xml:space="preserve"> </w:t>
      </w:r>
      <w:r w:rsidR="00380D53">
        <w:t xml:space="preserve"> </w:t>
      </w:r>
      <w:r w:rsidR="00244E6C">
        <w:t>The LTTE ha</w:t>
      </w:r>
      <w:r w:rsidRPr="003776BC">
        <w:t xml:space="preserve">s </w:t>
      </w:r>
      <w:r w:rsidR="00244E6C">
        <w:t xml:space="preserve">been </w:t>
      </w:r>
      <w:r w:rsidRPr="003776BC">
        <w:t>the only Tamil group to conduct s</w:t>
      </w:r>
      <w:r w:rsidR="00380D53">
        <w:t>uicide attacks, and between 1989</w:t>
      </w:r>
      <w:r w:rsidRPr="003776BC">
        <w:t xml:space="preserve"> and 2009, the Black Tigers executed 109 suicide bombing missions, causing over 1,200 deaths.</w:t>
      </w:r>
      <w:r w:rsidRPr="003776BC">
        <w:rPr>
          <w:vertAlign w:val="superscript"/>
        </w:rPr>
        <w:footnoteReference w:id="133"/>
      </w:r>
      <w:r w:rsidR="00380D53">
        <w:t xml:space="preserve">  </w:t>
      </w:r>
      <w:r>
        <w:t>The Tigers used</w:t>
      </w:r>
      <w:r w:rsidRPr="003776BC">
        <w:t xml:space="preserve"> suicide bombings in conjunction with a conventional ground assault</w:t>
      </w:r>
      <w:r w:rsidR="004555DB">
        <w:t xml:space="preserve">.  </w:t>
      </w:r>
      <w:r w:rsidRPr="003776BC">
        <w:t xml:space="preserve">A </w:t>
      </w:r>
      <w:r w:rsidR="008520B9">
        <w:t xml:space="preserve">suicide bomber would ram a truck loaded with explosives </w:t>
      </w:r>
      <w:r w:rsidRPr="003776BC">
        <w:t>into a camp, followed by LTTE regulars penetrating the base with light arms.</w:t>
      </w:r>
      <w:r w:rsidRPr="003776BC">
        <w:rPr>
          <w:vertAlign w:val="superscript"/>
        </w:rPr>
        <w:footnoteReference w:id="134"/>
      </w:r>
      <w:r w:rsidR="004555DB">
        <w:t xml:space="preserve"> </w:t>
      </w:r>
      <w:r w:rsidR="00380D53">
        <w:t xml:space="preserve"> </w:t>
      </w:r>
      <w:r w:rsidRPr="003776BC">
        <w:t xml:space="preserve">The LTTE were </w:t>
      </w:r>
      <w:r>
        <w:t>innovators</w:t>
      </w:r>
      <w:r w:rsidRPr="003776BC">
        <w:t>, introducing the suicide bomb vest and the naval sui</w:t>
      </w:r>
      <w:r w:rsidR="008520B9">
        <w:t xml:space="preserve">cide bomb.  </w:t>
      </w:r>
      <w:r w:rsidRPr="003776BC">
        <w:t>LTTE boat bombs destroyed a third of the Sri Lankan navy.</w:t>
      </w:r>
      <w:r w:rsidRPr="003776BC">
        <w:rPr>
          <w:vertAlign w:val="superscript"/>
        </w:rPr>
        <w:footnoteReference w:id="135"/>
      </w:r>
      <w:r w:rsidR="004555DB">
        <w:t xml:space="preserve"> </w:t>
      </w:r>
      <w:r w:rsidR="00380D53">
        <w:t xml:space="preserve"> </w:t>
      </w:r>
      <w:r w:rsidRPr="003776BC">
        <w:t>The LTTE’s target breakdown for</w:t>
      </w:r>
      <w:r w:rsidR="00380D53">
        <w:t xml:space="preserve"> its entire history </w:t>
      </w:r>
      <w:r w:rsidRPr="003776BC">
        <w:t>is:</w:t>
      </w:r>
      <w:r w:rsidR="004555DB">
        <w:t xml:space="preserve"> </w:t>
      </w:r>
      <w:r>
        <w:t>M</w:t>
      </w:r>
      <w:r w:rsidR="00AF55E2">
        <w:t>ilitary</w:t>
      </w:r>
      <w:r w:rsidRPr="003776BC">
        <w:t xml:space="preserve"> </w:t>
      </w:r>
      <w:r>
        <w:t>(</w:t>
      </w:r>
      <w:r w:rsidRPr="003776BC">
        <w:t>50%</w:t>
      </w:r>
      <w:r>
        <w:t>)</w:t>
      </w:r>
      <w:r w:rsidRPr="003776BC">
        <w:t xml:space="preserve">, </w:t>
      </w:r>
      <w:r>
        <w:t>Government</w:t>
      </w:r>
      <w:r w:rsidRPr="003776BC">
        <w:t xml:space="preserve"> </w:t>
      </w:r>
      <w:r>
        <w:t>(</w:t>
      </w:r>
      <w:r w:rsidRPr="003776BC">
        <w:t>17%</w:t>
      </w:r>
      <w:r>
        <w:t>)</w:t>
      </w:r>
      <w:r w:rsidRPr="003776BC">
        <w:t xml:space="preserve">, </w:t>
      </w:r>
      <w:r>
        <w:t>P</w:t>
      </w:r>
      <w:r w:rsidRPr="003776BC">
        <w:t xml:space="preserve">olice </w:t>
      </w:r>
      <w:r>
        <w:t>(</w:t>
      </w:r>
      <w:r w:rsidRPr="003776BC">
        <w:t>9%</w:t>
      </w:r>
      <w:r>
        <w:t>)</w:t>
      </w:r>
      <w:r w:rsidRPr="003776BC">
        <w:t xml:space="preserve">, and </w:t>
      </w:r>
      <w:r>
        <w:t>C</w:t>
      </w:r>
      <w:r w:rsidRPr="003776BC">
        <w:t xml:space="preserve">ivilian </w:t>
      </w:r>
      <w:r>
        <w:t>(</w:t>
      </w:r>
      <w:r w:rsidRPr="003776BC">
        <w:t>17%</w:t>
      </w:r>
      <w:r>
        <w:t>)</w:t>
      </w:r>
      <w:r w:rsidR="004555DB">
        <w:t xml:space="preserve">.  </w:t>
      </w:r>
    </w:p>
    <w:p w:rsidR="00EC41DA" w:rsidRDefault="00EC41DA" w:rsidP="008520B9">
      <w:pPr>
        <w:ind w:firstLine="720"/>
        <w:contextualSpacing/>
      </w:pPr>
      <w:r w:rsidRPr="003776BC">
        <w:t xml:space="preserve">There are two issues regarding the Tamil </w:t>
      </w:r>
      <w:r>
        <w:t>campaign</w:t>
      </w:r>
      <w:r w:rsidRPr="003776BC">
        <w:t xml:space="preserve"> worth noting</w:t>
      </w:r>
      <w:r w:rsidR="004555DB">
        <w:t xml:space="preserve">.  </w:t>
      </w:r>
      <w:r w:rsidRPr="003776BC">
        <w:t xml:space="preserve">First, the Tamil suicide operatives </w:t>
      </w:r>
      <w:r w:rsidR="008520B9">
        <w:t>were not</w:t>
      </w:r>
      <w:r w:rsidRPr="003776BC">
        <w:t xml:space="preserve"> self-selected</w:t>
      </w:r>
      <w:r w:rsidR="004555DB">
        <w:t xml:space="preserve">.  </w:t>
      </w:r>
      <w:r w:rsidRPr="003776BC">
        <w:t xml:space="preserve">Recruiters actively </w:t>
      </w:r>
      <w:r w:rsidR="00380D53">
        <w:t>selected</w:t>
      </w:r>
      <w:r w:rsidRPr="003776BC">
        <w:t xml:space="preserve"> the Black Tigers, and the </w:t>
      </w:r>
      <w:r>
        <w:t xml:space="preserve">chosen </w:t>
      </w:r>
      <w:r w:rsidR="008520B9">
        <w:t>could not</w:t>
      </w:r>
      <w:r w:rsidRPr="003776BC">
        <w:t xml:space="preserve"> withdraw from planned operations without fear of </w:t>
      </w:r>
      <w:r w:rsidRPr="003776BC">
        <w:lastRenderedPageBreak/>
        <w:t>retaliation against their families</w:t>
      </w:r>
      <w:r w:rsidR="004555DB">
        <w:t xml:space="preserve">.  </w:t>
      </w:r>
      <w:r w:rsidRPr="003776BC">
        <w:t>This contrasts with the martyrs in the Middle East, which are mostly self-recruiting and deeply c</w:t>
      </w:r>
      <w:r>
        <w:t>ommitted to global ideology</w:t>
      </w:r>
      <w:r w:rsidRPr="003776BC">
        <w:t>.</w:t>
      </w:r>
      <w:r w:rsidRPr="003776BC">
        <w:rPr>
          <w:vertAlign w:val="superscript"/>
        </w:rPr>
        <w:footnoteReference w:id="136"/>
      </w:r>
      <w:r w:rsidR="004555DB">
        <w:t xml:space="preserve"> </w:t>
      </w:r>
    </w:p>
    <w:p w:rsidR="00EC41DA" w:rsidRPr="003776BC" w:rsidRDefault="00EC41DA" w:rsidP="00EC41DA">
      <w:pPr>
        <w:ind w:firstLine="720"/>
        <w:contextualSpacing/>
      </w:pPr>
      <w:r w:rsidRPr="003776BC">
        <w:t>Secondly, the LTTE have often been characterized as a secular organizat</w:t>
      </w:r>
      <w:r>
        <w:t>ion, which is a misconception</w:t>
      </w:r>
      <w:r w:rsidR="004555DB">
        <w:t xml:space="preserve">.  </w:t>
      </w:r>
      <w:r w:rsidRPr="003776BC">
        <w:t>The LTTE mixed Marxist rhetoric with Hindu sacred values</w:t>
      </w:r>
      <w:r w:rsidR="004555DB">
        <w:t xml:space="preserve">.  </w:t>
      </w:r>
      <w:r w:rsidRPr="003776BC">
        <w:t>Like many of the organizations that emerged in the mid-1970s, the Tamil Tigers started as a revolutionary nationalist movement that paid loose obeisance to Marxist and international Leftist rhetoric</w:t>
      </w:r>
      <w:r w:rsidR="004555DB">
        <w:t xml:space="preserve">.  </w:t>
      </w:r>
      <w:r w:rsidRPr="003776BC">
        <w:t>Prabhakaran established a Stalinist platform centered on his personality</w:t>
      </w:r>
      <w:r w:rsidR="004555DB">
        <w:t xml:space="preserve">.  </w:t>
      </w:r>
      <w:r w:rsidRPr="003776BC">
        <w:t>In the 1998 document “Struggle for Tamil Eelam and the Liberation Tigers</w:t>
      </w:r>
      <w:r w:rsidR="006B70C3">
        <w:t>,”</w:t>
      </w:r>
      <w:r w:rsidRPr="003776BC">
        <w:t xml:space="preserve"> the LTTE declared:</w:t>
      </w:r>
      <w:r w:rsidRPr="003776BC">
        <w:rPr>
          <w:vertAlign w:val="superscript"/>
        </w:rPr>
        <w:footnoteReference w:id="137"/>
      </w:r>
    </w:p>
    <w:p w:rsidR="00EC41DA" w:rsidRDefault="00EC41DA" w:rsidP="00EC41DA">
      <w:pPr>
        <w:spacing w:line="240" w:lineRule="auto"/>
        <w:ind w:left="720"/>
        <w:contextualSpacing/>
      </w:pPr>
      <w:r w:rsidRPr="003776BC">
        <w:t>LTTE has resolved to work in solidarity with the world national liberation movements, socialist states, and international working class parties</w:t>
      </w:r>
      <w:r w:rsidR="004555DB">
        <w:t xml:space="preserve">.  </w:t>
      </w:r>
      <w:r w:rsidRPr="003776BC">
        <w:t>We uphold an anti-imperialist policy and therefore we pledge our militant solidarity against western imperialism, neo-colonialists, Zionism, racism and other forces of reaction.</w:t>
      </w:r>
    </w:p>
    <w:p w:rsidR="00EC41DA" w:rsidRPr="003776BC" w:rsidRDefault="00EC41DA" w:rsidP="00EC41DA">
      <w:pPr>
        <w:spacing w:line="240" w:lineRule="auto"/>
        <w:ind w:left="720"/>
        <w:contextualSpacing/>
      </w:pPr>
    </w:p>
    <w:p w:rsidR="00EC41DA" w:rsidRPr="003776BC" w:rsidRDefault="00143038" w:rsidP="00143038">
      <w:pPr>
        <w:contextualSpacing/>
      </w:pPr>
      <w:r>
        <w:t>All LTTE members swear an oath to</w:t>
      </w:r>
      <w:r w:rsidR="00EC41DA" w:rsidRPr="003776BC">
        <w:t xml:space="preserve"> sacrifice their life for their land: ‘‘I hereby promise that I am prepared to sacrifice my life and fight to create a free Socialist Tamil Eelam, which is the sublime aspiration of our Revol</w:t>
      </w:r>
      <w:r w:rsidR="006B70C3">
        <w:t>utionary Organization.</w:t>
      </w:r>
      <w:r w:rsidR="00EC41DA" w:rsidRPr="003776BC">
        <w:t>’’</w:t>
      </w:r>
      <w:r w:rsidR="00EC41DA" w:rsidRPr="003776BC">
        <w:rPr>
          <w:vertAlign w:val="superscript"/>
        </w:rPr>
        <w:footnoteReference w:id="138"/>
      </w:r>
      <w:r w:rsidR="004555DB">
        <w:t xml:space="preserve"> </w:t>
      </w:r>
    </w:p>
    <w:p w:rsidR="00EC41DA" w:rsidRPr="003776BC" w:rsidRDefault="00EC41DA" w:rsidP="00EC41DA">
      <w:pPr>
        <w:ind w:firstLine="720"/>
        <w:contextualSpacing/>
      </w:pPr>
      <w:r>
        <w:t>Despite the coercive recruitment, t</w:t>
      </w:r>
      <w:r w:rsidRPr="003776BC">
        <w:t>he LTTE</w:t>
      </w:r>
      <w:r>
        <w:t xml:space="preserve"> nurtured a cult </w:t>
      </w:r>
      <w:r w:rsidRPr="003776BC">
        <w:t>of martyrdom for its Black Tigers</w:t>
      </w:r>
      <w:r w:rsidR="004555DB">
        <w:t xml:space="preserve">.  </w:t>
      </w:r>
      <w:r w:rsidRPr="003776BC">
        <w:t xml:space="preserve">The LTTE built holy shrines for martyrs and created five holidays honoring </w:t>
      </w:r>
      <w:r>
        <w:t>them</w:t>
      </w:r>
      <w:r w:rsidRPr="003776BC">
        <w:t>.</w:t>
      </w:r>
      <w:r w:rsidRPr="003776BC">
        <w:rPr>
          <w:vertAlign w:val="superscript"/>
        </w:rPr>
        <w:footnoteReference w:id="139"/>
      </w:r>
      <w:r w:rsidR="004555DB">
        <w:t xml:space="preserve"> </w:t>
      </w:r>
      <w:r w:rsidR="006B70C3">
        <w:t xml:space="preserve"> </w:t>
      </w:r>
      <w:r w:rsidRPr="003776BC">
        <w:t>The Black Tigers anticipated respect in this life</w:t>
      </w:r>
      <w:r>
        <w:t xml:space="preserve"> </w:t>
      </w:r>
      <w:r w:rsidRPr="003776BC">
        <w:t>and some form of immortality.</w:t>
      </w:r>
      <w:r w:rsidRPr="003776BC">
        <w:rPr>
          <w:vertAlign w:val="superscript"/>
        </w:rPr>
        <w:footnoteReference w:id="140"/>
      </w:r>
      <w:r w:rsidR="004555DB">
        <w:t xml:space="preserve"> </w:t>
      </w:r>
      <w:r w:rsidR="006B70C3">
        <w:t xml:space="preserve"> </w:t>
      </w:r>
      <w:r w:rsidRPr="003776BC">
        <w:t>The LTTE constructed a statue of Captain Millar</w:t>
      </w:r>
      <w:r>
        <w:t>, the first LTTE suicide bomber</w:t>
      </w:r>
      <w:r w:rsidR="004555DB">
        <w:t xml:space="preserve">.  </w:t>
      </w:r>
      <w:r w:rsidRPr="003776BC">
        <w:t>Tamils s</w:t>
      </w:r>
      <w:r>
        <w:t xml:space="preserve">old </w:t>
      </w:r>
      <w:r w:rsidRPr="003776BC">
        <w:t xml:space="preserve">filmed suicide attacks, and billboards in Tamil areas </w:t>
      </w:r>
      <w:r w:rsidRPr="003776BC">
        <w:lastRenderedPageBreak/>
        <w:t>display</w:t>
      </w:r>
      <w:r>
        <w:t>ed</w:t>
      </w:r>
      <w:r w:rsidRPr="003776BC">
        <w:t xml:space="preserve"> a c</w:t>
      </w:r>
      <w:r>
        <w:t>artoon</w:t>
      </w:r>
      <w:r w:rsidRPr="003776BC">
        <w:t xml:space="preserve"> showing women how to </w:t>
      </w:r>
      <w:r>
        <w:t>detonate in a way</w:t>
      </w:r>
      <w:r w:rsidRPr="003776BC">
        <w:t xml:space="preserve"> to kill as many as possible.</w:t>
      </w:r>
      <w:r w:rsidRPr="003776BC">
        <w:rPr>
          <w:vertAlign w:val="superscript"/>
        </w:rPr>
        <w:footnoteReference w:id="141"/>
      </w:r>
      <w:r w:rsidR="004555DB">
        <w:t xml:space="preserve"> </w:t>
      </w:r>
      <w:r w:rsidR="006B70C3">
        <w:t xml:space="preserve"> </w:t>
      </w:r>
      <w:r>
        <w:t xml:space="preserve">Tamil children could recite </w:t>
      </w:r>
      <w:r w:rsidRPr="003776BC">
        <w:t>the names of martyrs.</w:t>
      </w:r>
      <w:r w:rsidRPr="003776BC">
        <w:rPr>
          <w:vertAlign w:val="superscript"/>
        </w:rPr>
        <w:footnoteReference w:id="142"/>
      </w:r>
      <w:r w:rsidR="004555DB">
        <w:t xml:space="preserve"> </w:t>
      </w:r>
    </w:p>
    <w:p w:rsidR="006B70C3" w:rsidRDefault="00EC41DA" w:rsidP="00143038">
      <w:pPr>
        <w:ind w:firstLine="720"/>
        <w:contextualSpacing/>
      </w:pPr>
      <w:r w:rsidRPr="003776BC">
        <w:t xml:space="preserve">The Tamil Tigers relied on the Hindu concept of </w:t>
      </w:r>
      <w:r w:rsidR="00143038">
        <w:rPr>
          <w:i/>
        </w:rPr>
        <w:t>tiyakam</w:t>
      </w:r>
      <w:r w:rsidRPr="003776BC">
        <w:rPr>
          <w:i/>
        </w:rPr>
        <w:t xml:space="preserve"> </w:t>
      </w:r>
      <w:r w:rsidRPr="003776BC">
        <w:t xml:space="preserve">from the </w:t>
      </w:r>
      <w:r w:rsidR="00143038">
        <w:t>B</w:t>
      </w:r>
      <w:r w:rsidR="00143038" w:rsidRPr="002137B8">
        <w:t>hagavad</w:t>
      </w:r>
      <w:r w:rsidR="00143038" w:rsidRPr="003776BC">
        <w:t>-</w:t>
      </w:r>
      <w:r w:rsidR="00143038">
        <w:t>G</w:t>
      </w:r>
      <w:r w:rsidR="00143038" w:rsidRPr="003776BC">
        <w:t>ita</w:t>
      </w:r>
      <w:r w:rsidR="004555DB">
        <w:t xml:space="preserve">.  </w:t>
      </w:r>
      <w:r w:rsidR="00143038">
        <w:t xml:space="preserve">Tiyakam </w:t>
      </w:r>
      <w:r w:rsidRPr="003776BC">
        <w:t>is the “voluntary abandonment of life,” the taking of one’s life as well as someone else’s.</w:t>
      </w:r>
      <w:r w:rsidRPr="003776BC">
        <w:rPr>
          <w:vertAlign w:val="superscript"/>
        </w:rPr>
        <w:footnoteReference w:id="143"/>
      </w:r>
      <w:r w:rsidR="004555DB">
        <w:t xml:space="preserve"> </w:t>
      </w:r>
      <w:r w:rsidR="006B70C3">
        <w:t xml:space="preserve"> </w:t>
      </w:r>
      <w:r w:rsidRPr="003776BC">
        <w:t>This is a specific type of sacred death, which LTTE extrapolated as a sacred form of murder-suicide</w:t>
      </w:r>
      <w:r w:rsidR="004555DB">
        <w:t xml:space="preserve">.  </w:t>
      </w:r>
      <w:r w:rsidRPr="003776BC">
        <w:t xml:space="preserve">Likewise, </w:t>
      </w:r>
      <w:r w:rsidR="00AA6554">
        <w:t>Prabhakaran</w:t>
      </w:r>
      <w:r w:rsidRPr="003776BC">
        <w:t xml:space="preserve"> relied on Hindu constructs of “guru-ship” to justify his cult of personality </w:t>
      </w:r>
      <w:r>
        <w:t>and command obedience</w:t>
      </w:r>
      <w:r w:rsidR="004555DB">
        <w:t xml:space="preserve">.  </w:t>
      </w:r>
      <w:r w:rsidRPr="003776BC">
        <w:t xml:space="preserve">He promoted himself as a descendant of the Chola Kings, which embodied </w:t>
      </w:r>
      <w:r>
        <w:t xml:space="preserve">the </w:t>
      </w:r>
      <w:r w:rsidRPr="003776BC">
        <w:t>spirit of Tamil’s glorious past.</w:t>
      </w:r>
      <w:r w:rsidRPr="003776BC">
        <w:rPr>
          <w:vertAlign w:val="superscript"/>
        </w:rPr>
        <w:footnoteReference w:id="144"/>
      </w:r>
      <w:r w:rsidR="004555DB">
        <w:t xml:space="preserve"> </w:t>
      </w:r>
      <w:r w:rsidR="006B70C3">
        <w:t xml:space="preserve"> </w:t>
      </w:r>
    </w:p>
    <w:p w:rsidR="00EC41DA" w:rsidRPr="003776BC" w:rsidRDefault="008520B9" w:rsidP="008520B9">
      <w:pPr>
        <w:ind w:firstLine="720"/>
        <w:contextualSpacing/>
      </w:pPr>
      <w:r>
        <w:t>The LTTE</w:t>
      </w:r>
      <w:r w:rsidR="00EC41DA" w:rsidRPr="003776BC">
        <w:t xml:space="preserve"> collapsed so quickly after his death in 2009 because his personal </w:t>
      </w:r>
      <w:r>
        <w:t>brand</w:t>
      </w:r>
      <w:r w:rsidR="00EC41DA" w:rsidRPr="003776BC">
        <w:t xml:space="preserve"> was so vital to the </w:t>
      </w:r>
      <w:r w:rsidR="00EC41DA">
        <w:t>LTTE</w:t>
      </w:r>
      <w:r w:rsidR="00EC41DA" w:rsidRPr="003776BC">
        <w:t xml:space="preserve"> culture</w:t>
      </w:r>
      <w:r w:rsidR="004555DB">
        <w:t xml:space="preserve">.  </w:t>
      </w:r>
      <w:r w:rsidR="00EC41DA" w:rsidRPr="003776BC">
        <w:t xml:space="preserve">He formed a quasi-religion </w:t>
      </w:r>
      <w:r w:rsidR="00EC41DA">
        <w:t>with</w:t>
      </w:r>
      <w:r w:rsidR="00EC41DA" w:rsidRPr="003776BC">
        <w:t xml:space="preserve"> him a</w:t>
      </w:r>
      <w:r w:rsidR="00EC41DA">
        <w:t>t</w:t>
      </w:r>
      <w:r w:rsidR="00EC41DA" w:rsidRPr="003776BC">
        <w:t xml:space="preserve"> the center of the Tamil universe, and every suicide attack went through him</w:t>
      </w:r>
      <w:r w:rsidR="004555DB">
        <w:t xml:space="preserve">.  </w:t>
      </w:r>
      <w:r w:rsidR="00EC41DA" w:rsidRPr="003776BC">
        <w:t>LTTE op</w:t>
      </w:r>
      <w:r w:rsidR="00EC41DA">
        <w:t>eratives, other than leaders, did</w:t>
      </w:r>
      <w:r w:rsidR="00EC41DA" w:rsidRPr="003776BC">
        <w:t xml:space="preserve"> not </w:t>
      </w:r>
      <w:r w:rsidR="00EC41DA">
        <w:t>meet</w:t>
      </w:r>
      <w:r w:rsidR="00EC41DA" w:rsidRPr="003776BC">
        <w:t xml:space="preserve"> Prabhakaran until selected as Black Tigers</w:t>
      </w:r>
      <w:r w:rsidR="004555DB">
        <w:t xml:space="preserve">.  </w:t>
      </w:r>
      <w:r w:rsidR="00EC41DA" w:rsidRPr="003776BC">
        <w:t xml:space="preserve">Prior to each attack, the Tiger would get to enjoy dinner with </w:t>
      </w:r>
      <w:r w:rsidR="00AA6554">
        <w:t>Prabhakaran</w:t>
      </w:r>
      <w:r w:rsidR="00EC41DA" w:rsidRPr="003776BC">
        <w:t xml:space="preserve">, </w:t>
      </w:r>
      <w:r w:rsidR="00EC41DA">
        <w:t>for some</w:t>
      </w:r>
      <w:r w:rsidR="00EC41DA" w:rsidRPr="003776BC">
        <w:t xml:space="preserve"> an almost religious experience</w:t>
      </w:r>
      <w:r w:rsidR="004555DB">
        <w:t xml:space="preserve">.  </w:t>
      </w:r>
      <w:r w:rsidR="00EC41DA" w:rsidRPr="003776BC">
        <w:t>“For us, he is mother, father, and God all rolled into one</w:t>
      </w:r>
      <w:r w:rsidR="00EC41DA">
        <w:t>,</w:t>
      </w:r>
      <w:r w:rsidR="00EC41DA" w:rsidRPr="003776BC">
        <w:t>”</w:t>
      </w:r>
      <w:r w:rsidR="00EC41DA">
        <w:t xml:space="preserve"> o</w:t>
      </w:r>
      <w:r w:rsidR="00EC41DA" w:rsidRPr="003776BC">
        <w:t xml:space="preserve">ne Tiger </w:t>
      </w:r>
      <w:r w:rsidR="00EC41DA">
        <w:t xml:space="preserve">said of </w:t>
      </w:r>
      <w:r w:rsidR="006B70C3">
        <w:t xml:space="preserve">Prabhakharan.  </w:t>
      </w:r>
      <w:r w:rsidR="00EC41DA">
        <w:t>Another</w:t>
      </w:r>
      <w:r w:rsidR="00EC41DA" w:rsidRPr="003776BC">
        <w:t xml:space="preserve"> dying Tigress, who </w:t>
      </w:r>
      <w:r w:rsidR="00EC41DA">
        <w:t xml:space="preserve">rammed a bulldozer </w:t>
      </w:r>
      <w:r w:rsidR="00EC41DA" w:rsidRPr="003776BC">
        <w:t>into Sri Lank</w:t>
      </w:r>
      <w:r w:rsidR="00EC41DA">
        <w:t>an lines and with limbs blown away</w:t>
      </w:r>
      <w:r w:rsidR="00EC41DA" w:rsidRPr="003776BC">
        <w:t>, spat out water given to her by Sri Lankan soldiers, and died with “Annai, Annai (Elder Brother, referring to Prabhakaran)” on her lips.</w:t>
      </w:r>
      <w:r w:rsidR="004555DB">
        <w:t xml:space="preserve"> </w:t>
      </w:r>
    </w:p>
    <w:bookmarkEnd w:id="27"/>
    <w:p w:rsidR="006277EB" w:rsidRDefault="006277EB">
      <w:pPr>
        <w:spacing w:line="240" w:lineRule="auto"/>
        <w:rPr>
          <w:rFonts w:asciiTheme="majorHAnsi" w:hAnsiTheme="majorHAnsi"/>
          <w:b/>
          <w:bCs/>
          <w:sz w:val="28"/>
          <w:szCs w:val="32"/>
        </w:rPr>
      </w:pPr>
      <w:r>
        <w:br w:type="page"/>
      </w:r>
    </w:p>
    <w:p w:rsidR="0081557D" w:rsidRPr="006277EB" w:rsidRDefault="0081557D" w:rsidP="00DD0216">
      <w:pPr>
        <w:pStyle w:val="Heading1"/>
      </w:pPr>
      <w:bookmarkStart w:id="50" w:name="_Toc450748685"/>
      <w:r w:rsidRPr="000F56FF">
        <w:lastRenderedPageBreak/>
        <w:t xml:space="preserve">Chapter </w:t>
      </w:r>
      <w:r>
        <w:t>4</w:t>
      </w:r>
      <w:r w:rsidRPr="000F56FF">
        <w:t xml:space="preserve">: </w:t>
      </w:r>
      <w:r>
        <w:t>The Operationalization of Martyrdom and Qutbism:</w:t>
      </w:r>
      <w:r w:rsidR="004555DB">
        <w:t xml:space="preserve"> </w:t>
      </w:r>
      <w:r>
        <w:t>Hamas, Al Qaeda, and ISIS</w:t>
      </w:r>
      <w:bookmarkEnd w:id="50"/>
    </w:p>
    <w:p w:rsidR="0081557D" w:rsidRPr="003776BC" w:rsidRDefault="0081557D" w:rsidP="0081557D">
      <w:pPr>
        <w:pStyle w:val="Heading2"/>
        <w:contextualSpacing/>
        <w:rPr>
          <w:bCs w:val="0"/>
          <w:i/>
          <w:iCs w:val="0"/>
          <w:szCs w:val="24"/>
        </w:rPr>
      </w:pPr>
      <w:bookmarkStart w:id="51" w:name="_Toc450748686"/>
      <w:bookmarkStart w:id="52" w:name="_Toc445916817"/>
      <w:r w:rsidRPr="003776BC">
        <w:rPr>
          <w:bCs w:val="0"/>
          <w:i/>
          <w:szCs w:val="24"/>
        </w:rPr>
        <w:t>The Palestinian Campaigns</w:t>
      </w:r>
      <w:bookmarkEnd w:id="51"/>
    </w:p>
    <w:p w:rsidR="0081557D" w:rsidRPr="00443F9A" w:rsidRDefault="0081557D" w:rsidP="00F57EFD">
      <w:pPr>
        <w:pStyle w:val="Heading3"/>
      </w:pPr>
      <w:bookmarkStart w:id="53" w:name="_Toc445916776"/>
      <w:bookmarkStart w:id="54" w:name="_Toc450748687"/>
      <w:r w:rsidRPr="00443F9A">
        <w:rPr>
          <w:rStyle w:val="SubtleEmphasis"/>
          <w:i/>
        </w:rPr>
        <w:t>The Development of Hamas and Palestinian Islamic Jihad</w:t>
      </w:r>
      <w:bookmarkEnd w:id="53"/>
      <w:bookmarkEnd w:id="54"/>
    </w:p>
    <w:p w:rsidR="005C52D3" w:rsidRDefault="0096396D" w:rsidP="00143038">
      <w:pPr>
        <w:ind w:firstLine="720"/>
        <w:contextualSpacing/>
      </w:pPr>
      <w:r>
        <w:t xml:space="preserve">The Palestinian campaigns represented the confluence of nationalism and religion.  </w:t>
      </w:r>
      <w:r w:rsidR="008520B9" w:rsidRPr="003776BC">
        <w:t xml:space="preserve">Both Hamas and PIJ sprouted from the Palestinian </w:t>
      </w:r>
      <w:r w:rsidR="008520B9">
        <w:t xml:space="preserve">wing of the </w:t>
      </w:r>
      <w:r w:rsidR="008520B9" w:rsidRPr="003776BC">
        <w:t>Muslim brotherhood, the</w:t>
      </w:r>
      <w:r w:rsidR="008520B9">
        <w:t xml:space="preserve"> post-WWI </w:t>
      </w:r>
      <w:r w:rsidR="008520B9" w:rsidRPr="003776BC">
        <w:t>leader in promoting Islamist political thought.</w:t>
      </w:r>
      <w:r w:rsidR="008520B9" w:rsidRPr="003776BC">
        <w:rPr>
          <w:vertAlign w:val="superscript"/>
        </w:rPr>
        <w:footnoteReference w:id="145"/>
      </w:r>
      <w:r w:rsidR="008520B9">
        <w:t xml:space="preserve">  </w:t>
      </w:r>
      <w:r w:rsidR="0081557D" w:rsidRPr="003776BC">
        <w:t xml:space="preserve">The First Intifada represented the long standing, grassroots resentment toward both Israel and the PLO, and thus gave groups such as </w:t>
      </w:r>
      <w:r w:rsidR="0081557D">
        <w:t>the PIJ</w:t>
      </w:r>
      <w:r w:rsidR="0081557D" w:rsidRPr="003776BC">
        <w:t xml:space="preserve"> and Hamas, untainted by compromise,</w:t>
      </w:r>
      <w:r w:rsidR="006B70C3">
        <w:t xml:space="preserve"> and energetically infused with </w:t>
      </w:r>
      <w:r w:rsidR="0081557D" w:rsidRPr="003776BC">
        <w:t>religious confidence, the platform to confront Israel with extreme measures</w:t>
      </w:r>
      <w:r w:rsidR="004555DB">
        <w:t xml:space="preserve">.  </w:t>
      </w:r>
      <w:r w:rsidR="0081557D" w:rsidRPr="003776BC">
        <w:t xml:space="preserve">Hamas and PIJ benefitted significantly from being “off </w:t>
      </w:r>
      <w:r w:rsidR="006B70C3">
        <w:t>brand</w:t>
      </w:r>
      <w:r w:rsidR="0081557D" w:rsidRPr="003776BC">
        <w:t>” at the time of Palestinian frustration with the PLO</w:t>
      </w:r>
      <w:r w:rsidR="00D0732B">
        <w:t xml:space="preserve">, due to the PLO’s concessions to Israel during the peace process.  The PLO also disenfranchised many Palestinians due to a </w:t>
      </w:r>
      <w:r w:rsidR="0081557D" w:rsidRPr="003776BC">
        <w:t xml:space="preserve">corrupt patronage </w:t>
      </w:r>
      <w:r w:rsidR="00D0732B">
        <w:t xml:space="preserve">system </w:t>
      </w:r>
      <w:r w:rsidR="0081557D" w:rsidRPr="003776BC">
        <w:t xml:space="preserve">that provided differential access to </w:t>
      </w:r>
      <w:r w:rsidR="00D0732B">
        <w:t xml:space="preserve">the scarce economic resources and opportunities available to Palestinians—with preference given to </w:t>
      </w:r>
      <w:r w:rsidR="0081557D" w:rsidRPr="003776BC">
        <w:t>PLO supporters</w:t>
      </w:r>
      <w:r w:rsidR="00D0732B">
        <w:t xml:space="preserve"> for those jobs, scholarships, and similar</w:t>
      </w:r>
      <w:r w:rsidR="00143038">
        <w:t xml:space="preserve"> economic </w:t>
      </w:r>
      <w:r w:rsidR="00D0732B">
        <w:t>assets</w:t>
      </w:r>
      <w:r w:rsidR="0081557D" w:rsidRPr="003776BC">
        <w:t>.</w:t>
      </w:r>
      <w:r w:rsidR="0081557D" w:rsidRPr="003776BC">
        <w:rPr>
          <w:vertAlign w:val="superscript"/>
        </w:rPr>
        <w:footnoteReference w:id="146"/>
      </w:r>
      <w:r w:rsidR="004555DB">
        <w:t xml:space="preserve"> </w:t>
      </w:r>
      <w:r w:rsidR="00F87649">
        <w:t xml:space="preserve"> </w:t>
      </w:r>
    </w:p>
    <w:p w:rsidR="0081557D" w:rsidRPr="003776BC" w:rsidRDefault="006B70C3" w:rsidP="008520B9">
      <w:pPr>
        <w:ind w:firstLine="720"/>
        <w:contextualSpacing/>
      </w:pPr>
      <w:r>
        <w:t>In the midst of the First Intifada (1987-1991)</w:t>
      </w:r>
      <w:r w:rsidR="0081557D" w:rsidRPr="003776BC">
        <w:t>, Hamas leader Sheikh Yassin declared Islam and Palestine as one</w:t>
      </w:r>
      <w:r>
        <w:t>.  C</w:t>
      </w:r>
      <w:r w:rsidR="0081557D" w:rsidRPr="003776BC">
        <w:t xml:space="preserve">eding an inch of land </w:t>
      </w:r>
      <w:r w:rsidR="0081557D">
        <w:t>wa</w:t>
      </w:r>
      <w:r w:rsidR="0081557D" w:rsidRPr="003776BC">
        <w:t>s not permissible, which appealed to many Palestinians angry over PLO concessions.</w:t>
      </w:r>
      <w:r w:rsidR="0081557D" w:rsidRPr="003776BC">
        <w:rPr>
          <w:vertAlign w:val="superscript"/>
        </w:rPr>
        <w:footnoteReference w:id="147"/>
      </w:r>
      <w:r w:rsidR="004555DB">
        <w:t xml:space="preserve"> </w:t>
      </w:r>
      <w:r>
        <w:t xml:space="preserve"> </w:t>
      </w:r>
      <w:r w:rsidR="0081557D" w:rsidRPr="003776BC">
        <w:t>In doing so, Hamas matched Palestinian grievance</w:t>
      </w:r>
      <w:r w:rsidR="0081557D">
        <w:t>s</w:t>
      </w:r>
      <w:r w:rsidR="0081557D" w:rsidRPr="003776BC">
        <w:t xml:space="preserve"> with Islamist politics and objectives</w:t>
      </w:r>
      <w:r w:rsidR="004555DB">
        <w:t xml:space="preserve">.  </w:t>
      </w:r>
      <w:r w:rsidR="0081557D" w:rsidRPr="003776BC">
        <w:t xml:space="preserve">As much as 90% </w:t>
      </w:r>
      <w:r w:rsidR="0081557D" w:rsidRPr="003776BC">
        <w:lastRenderedPageBreak/>
        <w:t xml:space="preserve">of </w:t>
      </w:r>
      <w:r w:rsidR="0081557D">
        <w:t>Hamas’s</w:t>
      </w:r>
      <w:r w:rsidR="0081557D" w:rsidRPr="003776BC">
        <w:t xml:space="preserve"> work </w:t>
      </w:r>
      <w:r w:rsidR="0081557D">
        <w:t xml:space="preserve">was </w:t>
      </w:r>
      <w:r w:rsidR="0081557D" w:rsidRPr="003776BC">
        <w:t xml:space="preserve">in social, welfare, cultural, and educational activities, which </w:t>
      </w:r>
      <w:r w:rsidR="008520B9">
        <w:t>created</w:t>
      </w:r>
      <w:r w:rsidR="0081557D" w:rsidRPr="003776BC">
        <w:t xml:space="preserve"> a clientele base to build its organizational </w:t>
      </w:r>
      <w:r>
        <w:t>brand</w:t>
      </w:r>
      <w:r w:rsidR="0081557D" w:rsidRPr="003776BC">
        <w:t>.</w:t>
      </w:r>
      <w:r w:rsidR="0081557D" w:rsidRPr="003776BC">
        <w:rPr>
          <w:vertAlign w:val="superscript"/>
        </w:rPr>
        <w:footnoteReference w:id="148"/>
      </w:r>
      <w:r w:rsidR="004555DB">
        <w:t xml:space="preserve"> </w:t>
      </w:r>
      <w:r>
        <w:t xml:space="preserve"> </w:t>
      </w:r>
    </w:p>
    <w:p w:rsidR="006B70C3" w:rsidRDefault="00143038" w:rsidP="00143038">
      <w:pPr>
        <w:ind w:firstLine="720"/>
        <w:contextualSpacing/>
      </w:pPr>
      <w:r>
        <w:t xml:space="preserve">In the late 80s, Qutbist influenced groups in Palestine started to consider martyrdom operations.  </w:t>
      </w:r>
      <w:r w:rsidR="0081557D" w:rsidRPr="003776BC">
        <w:t>In 1988, the founder of the Isla</w:t>
      </w:r>
      <w:r w:rsidR="00C12672">
        <w:t xml:space="preserve">mic Jihad, Dr. </w:t>
      </w:r>
      <w:r w:rsidR="0081557D" w:rsidRPr="003776BC">
        <w:t xml:space="preserve">Fathi </w:t>
      </w:r>
      <w:r w:rsidR="009918F1" w:rsidRPr="003776BC">
        <w:t>Shaqiqi</w:t>
      </w:r>
      <w:r w:rsidR="0081557D">
        <w:t>,</w:t>
      </w:r>
      <w:r w:rsidR="0081557D" w:rsidRPr="003776BC">
        <w:t xml:space="preserve"> argued for the Palestinian cooption of </w:t>
      </w:r>
      <w:r w:rsidR="0081557D">
        <w:t>Hezbollah’s martyrdom operations</w:t>
      </w:r>
      <w:r w:rsidR="004555DB">
        <w:t xml:space="preserve">.  </w:t>
      </w:r>
      <w:r w:rsidR="0081557D" w:rsidRPr="003776BC">
        <w:t xml:space="preserve">An ideological potpourri of Sayyid Qutb, Karl Marx, and the Ayatollah Khomeini heavily influenced </w:t>
      </w:r>
      <w:r w:rsidR="009918F1" w:rsidRPr="003776BC">
        <w:t>Shaqiqi</w:t>
      </w:r>
      <w:r w:rsidR="0081557D" w:rsidRPr="003776BC">
        <w:t>.</w:t>
      </w:r>
      <w:r w:rsidR="0081557D" w:rsidRPr="003776BC">
        <w:rPr>
          <w:vertAlign w:val="superscript"/>
        </w:rPr>
        <w:footnoteReference w:id="149"/>
      </w:r>
      <w:r w:rsidR="004555DB">
        <w:t xml:space="preserve"> </w:t>
      </w:r>
      <w:r w:rsidR="0081557D" w:rsidRPr="003776BC">
        <w:t xml:space="preserve">According to </w:t>
      </w:r>
      <w:r w:rsidR="009918F1" w:rsidRPr="003776BC">
        <w:t>Shaqiqi</w:t>
      </w:r>
      <w:r w:rsidR="0081557D" w:rsidRPr="003776BC">
        <w:t>, the suicide bombing (which he called a “Gift from God”) fulfilled numerous Qur’anic requirements for striving in the cause of God—particularly, the commandment not to waver in the face of the enemy.</w:t>
      </w:r>
      <w:r w:rsidR="0081557D" w:rsidRPr="003776BC">
        <w:rPr>
          <w:vertAlign w:val="superscript"/>
        </w:rPr>
        <w:footnoteReference w:id="150"/>
      </w:r>
      <w:r w:rsidR="004555DB">
        <w:t xml:space="preserve"> </w:t>
      </w:r>
      <w:r w:rsidR="00D0732B">
        <w:t xml:space="preserve"> </w:t>
      </w:r>
    </w:p>
    <w:p w:rsidR="0081557D" w:rsidRPr="003776BC" w:rsidRDefault="0081557D" w:rsidP="008520B9">
      <w:pPr>
        <w:ind w:firstLine="720"/>
        <w:contextualSpacing/>
      </w:pPr>
      <w:r w:rsidRPr="003776BC">
        <w:t xml:space="preserve">Despite </w:t>
      </w:r>
      <w:r w:rsidR="00D0732B">
        <w:t>Hamas’</w:t>
      </w:r>
      <w:r w:rsidRPr="003776BC">
        <w:t xml:space="preserve"> Sunni orientation, Hamas turned to and received logistical support and military training from Iran.</w:t>
      </w:r>
      <w:r w:rsidRPr="003776BC">
        <w:rPr>
          <w:vertAlign w:val="superscript"/>
        </w:rPr>
        <w:footnoteReference w:id="151"/>
      </w:r>
      <w:r w:rsidR="004555DB">
        <w:t xml:space="preserve"> </w:t>
      </w:r>
      <w:r w:rsidR="00510817">
        <w:t xml:space="preserve"> </w:t>
      </w:r>
      <w:r w:rsidR="006B70C3">
        <w:t>I</w:t>
      </w:r>
      <w:r w:rsidR="006B70C3" w:rsidRPr="003776BC">
        <w:t>deology influence</w:t>
      </w:r>
      <w:r w:rsidR="006B70C3">
        <w:t>d</w:t>
      </w:r>
      <w:r w:rsidR="006B70C3" w:rsidRPr="003776BC">
        <w:t xml:space="preserve"> perception</w:t>
      </w:r>
      <w:r w:rsidR="006B70C3">
        <w:t>s</w:t>
      </w:r>
      <w:r w:rsidR="006B70C3" w:rsidRPr="003776BC">
        <w:t>, strategy, and tactics, but ideological divide d</w:t>
      </w:r>
      <w:r w:rsidR="006B70C3">
        <w:t>id</w:t>
      </w:r>
      <w:r w:rsidR="006B70C3" w:rsidRPr="003776BC">
        <w:t xml:space="preserve"> not mean a divide in operational assistance or cooperation</w:t>
      </w:r>
      <w:r w:rsidR="006B70C3">
        <w:t xml:space="preserve">.  </w:t>
      </w:r>
      <w:r w:rsidRPr="003776BC">
        <w:t xml:space="preserve">Iran </w:t>
      </w:r>
      <w:r>
        <w:t>also</w:t>
      </w:r>
      <w:r w:rsidR="00510817">
        <w:t xml:space="preserve"> </w:t>
      </w:r>
      <w:r w:rsidRPr="003776BC">
        <w:t>provided much of the PIJ’s operating budget, and the PIJ and Hezbollah conducted joint attacks in south Lebanon.</w:t>
      </w:r>
      <w:r w:rsidRPr="003776BC">
        <w:rPr>
          <w:vertAlign w:val="superscript"/>
        </w:rPr>
        <w:footnoteReference w:id="152"/>
      </w:r>
      <w:r w:rsidR="004555DB">
        <w:t xml:space="preserve"> </w:t>
      </w:r>
      <w:r w:rsidRPr="003776BC">
        <w:t>In the early 1990s, Israeli Prime Minister Yit</w:t>
      </w:r>
      <w:r>
        <w:t xml:space="preserve">zhak Rabin expelled 415 Hamas </w:t>
      </w:r>
      <w:r w:rsidRPr="003776BC">
        <w:t>militants from the West Bank to Leban</w:t>
      </w:r>
      <w:r>
        <w:t>on</w:t>
      </w:r>
      <w:r w:rsidR="004555DB">
        <w:t xml:space="preserve">.  </w:t>
      </w:r>
      <w:r>
        <w:t xml:space="preserve">Hezbollah accommodated </w:t>
      </w:r>
      <w:r w:rsidRPr="003776BC">
        <w:t>Hamas</w:t>
      </w:r>
      <w:r>
        <w:t xml:space="preserve"> </w:t>
      </w:r>
      <w:r w:rsidRPr="003776BC">
        <w:t xml:space="preserve">in 1992 and trained </w:t>
      </w:r>
      <w:r>
        <w:t xml:space="preserve">the </w:t>
      </w:r>
      <w:r w:rsidRPr="003776BC">
        <w:t>Sunnis in suicide terrorism.</w:t>
      </w:r>
      <w:r w:rsidRPr="003776BC">
        <w:rPr>
          <w:vertAlign w:val="superscript"/>
        </w:rPr>
        <w:footnoteReference w:id="153"/>
      </w:r>
      <w:r w:rsidR="006B70C3">
        <w:t xml:space="preserve">  </w:t>
      </w:r>
      <w:r w:rsidRPr="003776BC">
        <w:t xml:space="preserve">Even though Hezbollah never paraded martyrs in Lebanon, Hezbollah impressed upon </w:t>
      </w:r>
      <w:r>
        <w:lastRenderedPageBreak/>
        <w:t xml:space="preserve">the </w:t>
      </w:r>
      <w:r w:rsidRPr="003776BC">
        <w:t xml:space="preserve">Palestinians </w:t>
      </w:r>
      <w:r>
        <w:t xml:space="preserve">the </w:t>
      </w:r>
      <w:r w:rsidRPr="003776BC">
        <w:t xml:space="preserve">need to videotape martyrs and </w:t>
      </w:r>
      <w:r w:rsidR="008520B9">
        <w:t>to</w:t>
      </w:r>
      <w:r w:rsidRPr="003776BC">
        <w:t xml:space="preserve"> exploit</w:t>
      </w:r>
      <w:r w:rsidR="008520B9">
        <w:t xml:space="preserve"> the</w:t>
      </w:r>
      <w:r w:rsidRPr="003776BC">
        <w:t xml:space="preserve"> media </w:t>
      </w:r>
      <w:r w:rsidR="008520B9">
        <w:t>value of the martyr</w:t>
      </w:r>
      <w:r w:rsidRPr="003776BC">
        <w:t>.</w:t>
      </w:r>
      <w:r w:rsidRPr="003776BC">
        <w:rPr>
          <w:vertAlign w:val="superscript"/>
        </w:rPr>
        <w:footnoteReference w:id="154"/>
      </w:r>
      <w:r w:rsidR="004555DB">
        <w:t xml:space="preserve"> </w:t>
      </w:r>
      <w:r w:rsidR="006B70C3">
        <w:t xml:space="preserve"> </w:t>
      </w:r>
    </w:p>
    <w:p w:rsidR="0081557D" w:rsidRPr="003776BC" w:rsidRDefault="0081557D" w:rsidP="00253058">
      <w:pPr>
        <w:ind w:firstLine="720"/>
        <w:contextualSpacing/>
        <w:rPr>
          <w:lang w:bidi="he-IL"/>
        </w:rPr>
      </w:pPr>
      <w:r w:rsidRPr="003776BC">
        <w:t xml:space="preserve">Hamas and the PIJ </w:t>
      </w:r>
      <w:r w:rsidR="00253058">
        <w:t>conducted suicide attacks to</w:t>
      </w:r>
      <w:r w:rsidRPr="003776BC">
        <w:t xml:space="preserve"> derail the Oslo Peace Accords between Israel and the PLO.</w:t>
      </w:r>
      <w:r w:rsidRPr="003776BC">
        <w:rPr>
          <w:vertAlign w:val="superscript"/>
        </w:rPr>
        <w:footnoteReference w:id="155"/>
      </w:r>
      <w:r w:rsidR="004555DB">
        <w:t xml:space="preserve"> </w:t>
      </w:r>
      <w:r w:rsidR="006B70C3">
        <w:t xml:space="preserve"> </w:t>
      </w:r>
      <w:r w:rsidRPr="003776BC">
        <w:t xml:space="preserve">The first suicide bombing </w:t>
      </w:r>
      <w:r>
        <w:t>in the Israeli-Palestinian conflict t</w:t>
      </w:r>
      <w:r w:rsidRPr="003776BC">
        <w:t>ook place in the West Bank in April 1993, at an Israeli restaurant.</w:t>
      </w:r>
      <w:r w:rsidR="004555DB">
        <w:t xml:space="preserve"> </w:t>
      </w:r>
      <w:r w:rsidR="006B70C3">
        <w:t xml:space="preserve"> </w:t>
      </w:r>
      <w:r w:rsidRPr="003776BC">
        <w:t xml:space="preserve">In the </w:t>
      </w:r>
      <w:r>
        <w:t>1990s</w:t>
      </w:r>
      <w:r w:rsidRPr="003776BC">
        <w:t>, Hamas performed 24 suicide bombings</w:t>
      </w:r>
      <w:r>
        <w:t xml:space="preserve">, followed by </w:t>
      </w:r>
      <w:r w:rsidRPr="003776BC">
        <w:t xml:space="preserve">51 suicide attacks </w:t>
      </w:r>
      <w:r>
        <w:t>during</w:t>
      </w:r>
      <w:r w:rsidRPr="003776BC">
        <w:t xml:space="preserve"> the Second Intifada in </w:t>
      </w:r>
      <w:r>
        <w:t xml:space="preserve">the early </w:t>
      </w:r>
      <w:r w:rsidRPr="003776BC">
        <w:t>2000</w:t>
      </w:r>
      <w:r>
        <w:t>s</w:t>
      </w:r>
      <w:r w:rsidRPr="003776BC">
        <w:t>.</w:t>
      </w:r>
      <w:r w:rsidRPr="003776BC">
        <w:rPr>
          <w:vertAlign w:val="superscript"/>
        </w:rPr>
        <w:footnoteReference w:id="156"/>
      </w:r>
      <w:r w:rsidR="004555DB">
        <w:t xml:space="preserve"> </w:t>
      </w:r>
      <w:r w:rsidR="006B70C3">
        <w:t xml:space="preserve"> </w:t>
      </w:r>
      <w:r>
        <w:t>Among all organizations during the Second Intifada</w:t>
      </w:r>
      <w:r w:rsidRPr="003776BC">
        <w:t>, there were 147 suicide attacks in Israel and the occupied territories, with reports of 450 planned attacks.</w:t>
      </w:r>
      <w:r w:rsidRPr="003776BC">
        <w:rPr>
          <w:vertAlign w:val="superscript"/>
        </w:rPr>
        <w:footnoteReference w:id="157"/>
      </w:r>
      <w:r w:rsidR="006B70C3">
        <w:t xml:space="preserve">  </w:t>
      </w:r>
      <w:r w:rsidRPr="003776BC">
        <w:t>For all years, the breakdown of targets in Israel and the Occupied Territories include:</w:t>
      </w:r>
      <w:r w:rsidR="004555DB">
        <w:t xml:space="preserve"> </w:t>
      </w:r>
      <w:r w:rsidRPr="003776BC">
        <w:t xml:space="preserve">Military (21%), Government (1%), Police (3%), Civilian </w:t>
      </w:r>
      <w:r>
        <w:t>(</w:t>
      </w:r>
      <w:r w:rsidRPr="003776BC">
        <w:t>69%), and the remaining unknown (5%).</w:t>
      </w:r>
    </w:p>
    <w:p w:rsidR="0081557D" w:rsidRPr="00443F9A" w:rsidRDefault="0081557D" w:rsidP="00F57EFD">
      <w:pPr>
        <w:pStyle w:val="Heading3"/>
        <w:rPr>
          <w:rStyle w:val="SubtleEmphasis"/>
          <w:bCs w:val="0"/>
          <w:i/>
        </w:rPr>
      </w:pPr>
      <w:bookmarkStart w:id="55" w:name="_Toc450748688"/>
      <w:r w:rsidRPr="00443F9A">
        <w:rPr>
          <w:rStyle w:val="SubtleEmphasis"/>
          <w:i/>
        </w:rPr>
        <w:t>Palestinian Use of Suicide Terrorism</w:t>
      </w:r>
      <w:bookmarkEnd w:id="55"/>
    </w:p>
    <w:p w:rsidR="00241E32" w:rsidRDefault="00241E32" w:rsidP="00253058">
      <w:pPr>
        <w:ind w:firstLine="720"/>
        <w:contextualSpacing/>
      </w:pPr>
      <w:r>
        <w:t>Ham</w:t>
      </w:r>
      <w:r w:rsidR="00253058">
        <w:t>as and the PIJ represent the straddling</w:t>
      </w:r>
      <w:r>
        <w:t xml:space="preserve"> </w:t>
      </w:r>
      <w:r w:rsidR="00253058">
        <w:t xml:space="preserve">over </w:t>
      </w:r>
      <w:r w:rsidR="006B70C3">
        <w:t xml:space="preserve">national </w:t>
      </w:r>
      <w:r>
        <w:t>political objectives and religious influence</w:t>
      </w:r>
      <w:r w:rsidR="004555DB">
        <w:t xml:space="preserve">.  </w:t>
      </w:r>
      <w:r>
        <w:t>In the context of this conflict, the trauma of the Palestinian experience constructed narratives about target acceptability and the religious rewards for martyrdom that groups removed from Palestine would adopt</w:t>
      </w:r>
      <w:r w:rsidR="00DB21A5">
        <w:t xml:space="preserve">.  </w:t>
      </w:r>
      <w:r>
        <w:t>Through the martyrdom narrative, t</w:t>
      </w:r>
      <w:r w:rsidR="0068391E">
        <w:t xml:space="preserve">he Palestinian groups incentivized suicide terrorism </w:t>
      </w:r>
      <w:r>
        <w:t xml:space="preserve">through the </w:t>
      </w:r>
      <w:r w:rsidR="00DB21A5">
        <w:t>emphasis</w:t>
      </w:r>
      <w:r>
        <w:t xml:space="preserve"> of</w:t>
      </w:r>
      <w:r w:rsidR="00AA6554">
        <w:t xml:space="preserve"> individual rewar</w:t>
      </w:r>
      <w:r>
        <w:t>ds for suicide</w:t>
      </w:r>
      <w:r w:rsidR="004555DB">
        <w:t xml:space="preserve">.  </w:t>
      </w:r>
    </w:p>
    <w:p w:rsidR="005C52D3" w:rsidRDefault="00241E32" w:rsidP="00253058">
      <w:pPr>
        <w:ind w:firstLine="720"/>
        <w:contextualSpacing/>
      </w:pPr>
      <w:r>
        <w:t>To the Palestinians, all targets were military</w:t>
      </w:r>
      <w:r w:rsidR="004555DB">
        <w:t xml:space="preserve">.  </w:t>
      </w:r>
      <w:r w:rsidR="0081557D" w:rsidRPr="003776BC">
        <w:t>Since all Israeli civilians</w:t>
      </w:r>
      <w:r w:rsidR="002103E2">
        <w:t xml:space="preserve"> were</w:t>
      </w:r>
      <w:r w:rsidR="0081557D" w:rsidRPr="003776BC">
        <w:t xml:space="preserve"> soldiers, Israeli civilians </w:t>
      </w:r>
      <w:r w:rsidR="002103E2">
        <w:t xml:space="preserve">were </w:t>
      </w:r>
      <w:r w:rsidR="0081557D" w:rsidRPr="003776BC">
        <w:t>military targets</w:t>
      </w:r>
      <w:r w:rsidR="004555DB">
        <w:t xml:space="preserve">.  </w:t>
      </w:r>
      <w:r w:rsidR="002103E2">
        <w:t xml:space="preserve">However, future bombers in Saudi </w:t>
      </w:r>
      <w:r w:rsidR="002103E2">
        <w:lastRenderedPageBreak/>
        <w:t>Arabia, Chechnya, and Libya would make the same one-to-one comparison between military and civilian targets</w:t>
      </w:r>
      <w:r w:rsidR="004555DB">
        <w:t xml:space="preserve">.  </w:t>
      </w:r>
      <w:r w:rsidR="002103E2">
        <w:t xml:space="preserve">The Saudi bomber who would </w:t>
      </w:r>
      <w:r w:rsidR="00D418E4">
        <w:t>enter Iraq to detonate at a Shia</w:t>
      </w:r>
      <w:r w:rsidR="002103E2">
        <w:t xml:space="preserve"> market had observed the Palestinian bomber enter a Sbarro and kill Israeli civilians</w:t>
      </w:r>
      <w:r w:rsidR="004555DB">
        <w:t xml:space="preserve">.  </w:t>
      </w:r>
      <w:r w:rsidR="002103E2">
        <w:t>The artifice of the a</w:t>
      </w:r>
      <w:r w:rsidR="00253058">
        <w:t>ttack</w:t>
      </w:r>
      <w:r w:rsidR="002103E2">
        <w:t xml:space="preserve"> was carried over from one conflict to the next</w:t>
      </w:r>
      <w:r w:rsidR="00253058">
        <w:t xml:space="preserve"> without context for why civilians were justified (or perceived as such) in the former</w:t>
      </w:r>
      <w:r w:rsidR="004555DB">
        <w:t xml:space="preserve">.  </w:t>
      </w:r>
    </w:p>
    <w:p w:rsidR="00DB21A5" w:rsidRDefault="009918F1" w:rsidP="001C601E">
      <w:pPr>
        <w:ind w:firstLine="720"/>
        <w:contextualSpacing/>
      </w:pPr>
      <w:r>
        <w:t xml:space="preserve">This is why it is vital to discuss intergroup hostility and the consequences of the narrative of the in-group and out-group parameters. </w:t>
      </w:r>
      <w:r w:rsidR="002103E2">
        <w:t>For Hezbollah and the Lebanese bombers, the enemies were the foreign military and political forces with boots on the ground—the United States, France, and Israel</w:t>
      </w:r>
      <w:r w:rsidR="004555DB">
        <w:t xml:space="preserve">.  </w:t>
      </w:r>
      <w:r w:rsidR="002103E2">
        <w:t>There is no reason to think Hezbollah viewed the American, French, or even the Israeli people as the enemy worthy of suicide targets</w:t>
      </w:r>
      <w:r w:rsidR="004555DB">
        <w:t xml:space="preserve">.  </w:t>
      </w:r>
      <w:r w:rsidR="002103E2">
        <w:t>The out-group was small</w:t>
      </w:r>
      <w:r w:rsidR="004555DB">
        <w:t xml:space="preserve">.  </w:t>
      </w:r>
      <w:r w:rsidR="001C601E">
        <w:t>For the Tamils, the out-group expanded to include Sri Lankans as a whole, and the LTTE conducted some attac</w:t>
      </w:r>
      <w:r w:rsidR="00F50B5F">
        <w:t xml:space="preserve">ks against Sri Lankan civilians—however </w:t>
      </w:r>
      <w:r w:rsidR="001C601E">
        <w:t>the homeland of Tamil Eelam was not to exist at the expense of a Sri Lankan homeland</w:t>
      </w:r>
      <w:r w:rsidR="004555DB">
        <w:t xml:space="preserve">.  </w:t>
      </w:r>
    </w:p>
    <w:p w:rsidR="002103E2" w:rsidRDefault="002103E2" w:rsidP="00BC5F61">
      <w:pPr>
        <w:ind w:firstLine="720"/>
        <w:contextualSpacing/>
      </w:pPr>
      <w:r>
        <w:t xml:space="preserve">For Hamas and the Palestinian groups, </w:t>
      </w:r>
      <w:r w:rsidR="001C601E">
        <w:t xml:space="preserve">particularly the Islamist groups that described Islam and Palestine as one and opposed the peace process, all </w:t>
      </w:r>
      <w:r w:rsidR="005D26B7">
        <w:t>Israelis</w:t>
      </w:r>
      <w:r w:rsidR="001C601E">
        <w:t xml:space="preserve"> were enemies</w:t>
      </w:r>
      <w:r>
        <w:t>—military and civilian</w:t>
      </w:r>
      <w:r w:rsidR="004555DB">
        <w:t xml:space="preserve">.  </w:t>
      </w:r>
      <w:r>
        <w:t>The out-group was large, at least for the region</w:t>
      </w:r>
      <w:r w:rsidR="004555DB">
        <w:t xml:space="preserve">.  </w:t>
      </w:r>
      <w:r>
        <w:t xml:space="preserve">For the Chechens, </w:t>
      </w:r>
      <w:r w:rsidR="001C601E">
        <w:t>all Russians were the enemy</w:t>
      </w:r>
      <w:r w:rsidR="004555DB">
        <w:t>.</w:t>
      </w:r>
      <w:r w:rsidR="00253058">
        <w:rPr>
          <w:rStyle w:val="FootnoteReference"/>
        </w:rPr>
        <w:footnoteReference w:id="158"/>
      </w:r>
      <w:r w:rsidR="004555DB">
        <w:t xml:space="preserve">  </w:t>
      </w:r>
      <w:r w:rsidR="001C601E">
        <w:t>For Al Qaeda, all Americans (and its allies) were the enemy</w:t>
      </w:r>
      <w:r w:rsidR="004555DB">
        <w:t xml:space="preserve">.  </w:t>
      </w:r>
      <w:r w:rsidR="001C601E">
        <w:t>For ISIS, all who stand in the way of an Islamic State are the enemy—which includes Americans, Iraqis, Syrians, French, Belgians, and even Al Qaeda</w:t>
      </w:r>
      <w:r w:rsidR="004555DB">
        <w:t xml:space="preserve">.  </w:t>
      </w:r>
      <w:r w:rsidR="00BC5F61">
        <w:t xml:space="preserve">The Palestinian groups started to conflate military and civilian targets, and in </w:t>
      </w:r>
      <w:r w:rsidR="00BC5F61">
        <w:lastRenderedPageBreak/>
        <w:t>doing so, created the framework that Al Qaeda and ISIS would use to justify civilian targets.</w:t>
      </w:r>
    </w:p>
    <w:p w:rsidR="0081557D" w:rsidRPr="003776BC" w:rsidRDefault="005878EA" w:rsidP="00253058">
      <w:pPr>
        <w:ind w:firstLine="720"/>
        <w:contextualSpacing/>
      </w:pPr>
      <w:r>
        <w:rPr>
          <w:iCs/>
          <w:lang w:bidi="he-IL"/>
        </w:rPr>
        <w:t>Similar to Sheikh Fadlallah with Hezbollah, the justification of targets for the Palestinian Islamist groups was the result from the messenger, not necessarily the ideological justification in and of itself</w:t>
      </w:r>
      <w:r w:rsidR="004555DB">
        <w:rPr>
          <w:iCs/>
          <w:lang w:bidi="he-IL"/>
        </w:rPr>
        <w:t xml:space="preserve">.  </w:t>
      </w:r>
      <w:r w:rsidR="0081557D" w:rsidRPr="005878EA">
        <w:rPr>
          <w:iCs/>
        </w:rPr>
        <w:t>Hamas</w:t>
      </w:r>
      <w:r w:rsidR="0081557D" w:rsidRPr="003776BC">
        <w:t xml:space="preserve"> and the </w:t>
      </w:r>
      <w:r w:rsidR="00ED1789">
        <w:t>PIJ</w:t>
      </w:r>
      <w:r w:rsidR="0081557D" w:rsidRPr="003776BC">
        <w:t xml:space="preserve"> defended the transition of targets from hard military targets to soft civilian targets in three ways:</w:t>
      </w:r>
    </w:p>
    <w:p w:rsidR="0081557D" w:rsidRPr="003776BC" w:rsidRDefault="0081557D" w:rsidP="0081557D">
      <w:pPr>
        <w:numPr>
          <w:ilvl w:val="0"/>
          <w:numId w:val="11"/>
        </w:numPr>
        <w:spacing w:line="240" w:lineRule="auto"/>
        <w:contextualSpacing/>
      </w:pPr>
      <w:r w:rsidRPr="003776BC">
        <w:t>In a democracy, the electorate is responsible for the decisions made by those in power, and the electorate pays the taxes that support military actions.</w:t>
      </w:r>
    </w:p>
    <w:p w:rsidR="0081557D" w:rsidRPr="003776BC" w:rsidRDefault="0081557D" w:rsidP="0081557D">
      <w:pPr>
        <w:numPr>
          <w:ilvl w:val="0"/>
          <w:numId w:val="11"/>
        </w:numPr>
        <w:spacing w:line="240" w:lineRule="auto"/>
        <w:contextualSpacing/>
      </w:pPr>
      <w:r w:rsidRPr="003776BC">
        <w:t>Mohammed used catapults to hurl rocks over the walls of cities, and these rocks likely killed unarmed civilians.</w:t>
      </w:r>
    </w:p>
    <w:p w:rsidR="0081557D" w:rsidRDefault="0081557D" w:rsidP="001C601E">
      <w:pPr>
        <w:numPr>
          <w:ilvl w:val="0"/>
          <w:numId w:val="11"/>
        </w:numPr>
        <w:spacing w:line="240" w:lineRule="auto"/>
        <w:contextualSpacing/>
      </w:pPr>
      <w:r w:rsidRPr="003776BC">
        <w:t>In the case of Muslims killed in the midst of suicide attacks, those Muslims that live among infidels or work in their interest are apostates worthy of death.</w:t>
      </w:r>
      <w:r w:rsidR="001C601E" w:rsidRPr="003776BC">
        <w:rPr>
          <w:vertAlign w:val="superscript"/>
        </w:rPr>
        <w:footnoteReference w:id="159"/>
      </w:r>
    </w:p>
    <w:p w:rsidR="0081557D" w:rsidRPr="003776BC" w:rsidRDefault="0081557D" w:rsidP="0081557D">
      <w:pPr>
        <w:spacing w:line="240" w:lineRule="auto"/>
        <w:contextualSpacing/>
      </w:pPr>
    </w:p>
    <w:p w:rsidR="0081557D" w:rsidRPr="003776BC" w:rsidRDefault="0081557D" w:rsidP="00551D66">
      <w:pPr>
        <w:contextualSpacing/>
      </w:pPr>
      <w:r w:rsidRPr="003776BC">
        <w:t xml:space="preserve">In March 2002, Hamas conducted a suicide bombing outside the Park Hotel at Netanya, killing over 30 Israeli civilians, one of the deadliest attacks in the </w:t>
      </w:r>
      <w:r>
        <w:t>S</w:t>
      </w:r>
      <w:r w:rsidRPr="003776BC">
        <w:t xml:space="preserve">econd </w:t>
      </w:r>
      <w:r>
        <w:t>I</w:t>
      </w:r>
      <w:r w:rsidRPr="003776BC">
        <w:t>ntifada.</w:t>
      </w:r>
      <w:r w:rsidRPr="003776BC">
        <w:rPr>
          <w:vertAlign w:val="superscript"/>
        </w:rPr>
        <w:footnoteReference w:id="160"/>
      </w:r>
      <w:r w:rsidR="004555DB">
        <w:t xml:space="preserve"> </w:t>
      </w:r>
      <w:r w:rsidR="005C52D3">
        <w:t xml:space="preserve"> </w:t>
      </w:r>
      <w:r w:rsidRPr="003776BC">
        <w:t xml:space="preserve">Although the </w:t>
      </w:r>
      <w:r>
        <w:t>P</w:t>
      </w:r>
      <w:r w:rsidR="005878EA">
        <w:t>alestinian Authority (PA)</w:t>
      </w:r>
      <w:r w:rsidRPr="003776BC">
        <w:t xml:space="preserve"> condemned the attack, one year later, the PA sponsored a soccer tournament using the name of the martyr who conducted the attack, attempting to capitalize on martyrdom operations for its own </w:t>
      </w:r>
      <w:r w:rsidR="00551DC8">
        <w:t>value</w:t>
      </w:r>
      <w:r w:rsidR="004555DB">
        <w:t xml:space="preserve">.  </w:t>
      </w:r>
    </w:p>
    <w:p w:rsidR="0081557D" w:rsidRPr="003776BC" w:rsidRDefault="00ED1789" w:rsidP="00BC5F61">
      <w:pPr>
        <w:ind w:firstLine="720"/>
        <w:contextualSpacing/>
        <w:rPr>
          <w:lang w:bidi="he-IL"/>
        </w:rPr>
      </w:pPr>
      <w:r>
        <w:t>When the Palestinian groups conducted attacks in the mid-1990s, they did so to practice a coherent strategy of harming the Israel-PLO peace process</w:t>
      </w:r>
      <w:r w:rsidR="004555DB">
        <w:t xml:space="preserve">.  </w:t>
      </w:r>
      <w:r>
        <w:t>Ha</w:t>
      </w:r>
      <w:r w:rsidR="00DB21A5">
        <w:t>mas and the PIJ practiced exogenous</w:t>
      </w:r>
      <w:r>
        <w:t xml:space="preserve"> control over suicide terrorism, managing it in strict control over each attack</w:t>
      </w:r>
      <w:r w:rsidR="004555DB">
        <w:t xml:space="preserve">.  </w:t>
      </w:r>
      <w:r>
        <w:t xml:space="preserve">However, </w:t>
      </w:r>
      <w:r w:rsidR="0081557D" w:rsidRPr="003776BC">
        <w:t>Israeli assassination</w:t>
      </w:r>
      <w:r w:rsidR="0081557D">
        <w:t>s</w:t>
      </w:r>
      <w:r w:rsidR="0081557D" w:rsidRPr="003776BC">
        <w:t xml:space="preserve"> of top Palestinian leaders gutted </w:t>
      </w:r>
      <w:r>
        <w:t xml:space="preserve">this </w:t>
      </w:r>
      <w:r w:rsidR="0081557D" w:rsidRPr="003776BC">
        <w:t xml:space="preserve">strategy among </w:t>
      </w:r>
      <w:r w:rsidR="00DB21A5">
        <w:t xml:space="preserve">Hamas’ cells </w:t>
      </w:r>
      <w:r w:rsidR="0081557D" w:rsidRPr="003776BC">
        <w:t xml:space="preserve">in </w:t>
      </w:r>
      <w:r w:rsidR="0081557D">
        <w:t>the Second</w:t>
      </w:r>
      <w:r w:rsidR="0081557D" w:rsidRPr="003776BC">
        <w:t xml:space="preserve"> Intifada</w:t>
      </w:r>
      <w:r w:rsidR="004555DB">
        <w:t xml:space="preserve">.  </w:t>
      </w:r>
      <w:r w:rsidR="0081557D" w:rsidRPr="003776BC">
        <w:t xml:space="preserve">This led to </w:t>
      </w:r>
      <w:r w:rsidR="0081557D">
        <w:t>“</w:t>
      </w:r>
      <w:r w:rsidR="0081557D" w:rsidRPr="003776BC">
        <w:t>organized anarchy,</w:t>
      </w:r>
      <w:r w:rsidR="0081557D">
        <w:t>”</w:t>
      </w:r>
      <w:r w:rsidR="0081557D" w:rsidRPr="003776BC">
        <w:t xml:space="preserve"> a bottom up approach to targets based on availability.</w:t>
      </w:r>
      <w:r w:rsidR="0081557D" w:rsidRPr="003776BC">
        <w:rPr>
          <w:vertAlign w:val="superscript"/>
        </w:rPr>
        <w:footnoteReference w:id="161"/>
      </w:r>
      <w:r w:rsidR="004555DB">
        <w:t xml:space="preserve"> </w:t>
      </w:r>
      <w:r w:rsidR="00DB21A5">
        <w:t xml:space="preserve"> </w:t>
      </w:r>
      <w:r>
        <w:t xml:space="preserve">With an increase in popular support for suicide bombings among Palestinians, the Second Intifada </w:t>
      </w:r>
      <w:r w:rsidR="00F50B5F">
        <w:t>demonstrated</w:t>
      </w:r>
      <w:r>
        <w:t xml:space="preserve"> an </w:t>
      </w:r>
      <w:r>
        <w:lastRenderedPageBreak/>
        <w:t>e</w:t>
      </w:r>
      <w:r w:rsidR="00DB21A5">
        <w:t>ndogamous</w:t>
      </w:r>
      <w:r>
        <w:t xml:space="preserve"> control over the tactic, as the culture and the individuals willing to become bombers pushed Hamas, the PIJ, and even secular-leaning organizations to conduct suicide attacks to </w:t>
      </w:r>
      <w:r w:rsidR="00551D66">
        <w:t>attract</w:t>
      </w:r>
      <w:r>
        <w:t xml:space="preserve"> popular support</w:t>
      </w:r>
      <w:r w:rsidR="004555DB">
        <w:t xml:space="preserve">.  </w:t>
      </w:r>
      <w:r>
        <w:t xml:space="preserve">The </w:t>
      </w:r>
      <w:r w:rsidR="00DB21A5">
        <w:t xml:space="preserve">symbolic attack </w:t>
      </w:r>
      <w:r>
        <w:t xml:space="preserve">became a </w:t>
      </w:r>
      <w:r w:rsidR="00551DC8">
        <w:t>value</w:t>
      </w:r>
      <w:r>
        <w:t xml:space="preserve"> in and of itself, with organizations seeking to become associated with </w:t>
      </w:r>
      <w:r w:rsidR="00DB21A5">
        <w:t>martyrdom</w:t>
      </w:r>
      <w:r w:rsidR="004555DB">
        <w:t xml:space="preserve">.  </w:t>
      </w:r>
      <w:r>
        <w:t xml:space="preserve">The bottom-up strategy </w:t>
      </w:r>
      <w:r w:rsidR="001761E0">
        <w:t>reinforced the</w:t>
      </w:r>
      <w:r>
        <w:t xml:space="preserve"> willingness to attack civilians</w:t>
      </w:r>
      <w:r w:rsidR="004555DB">
        <w:t xml:space="preserve">.  </w:t>
      </w:r>
      <w:r w:rsidR="0081557D" w:rsidRPr="003776BC">
        <w:rPr>
          <w:lang w:bidi="he-IL"/>
        </w:rPr>
        <w:t>A</w:t>
      </w:r>
      <w:r w:rsidR="0081557D">
        <w:rPr>
          <w:lang w:bidi="he-IL"/>
        </w:rPr>
        <w:t>s a Hamas training manual notes,</w:t>
      </w:r>
      <w:r w:rsidR="0081557D" w:rsidRPr="003776BC">
        <w:rPr>
          <w:lang w:bidi="he-IL"/>
        </w:rPr>
        <w:t xml:space="preserve"> </w:t>
      </w:r>
      <w:r w:rsidR="0081557D">
        <w:rPr>
          <w:lang w:bidi="he-IL"/>
        </w:rPr>
        <w:t>“</w:t>
      </w:r>
      <w:r w:rsidR="0081557D" w:rsidRPr="003776BC">
        <w:rPr>
          <w:lang w:bidi="he-IL"/>
        </w:rPr>
        <w:t>it is foolish to hunt the tiger when there are plenty of sheep around.</w:t>
      </w:r>
      <w:r w:rsidR="0081557D">
        <w:rPr>
          <w:lang w:bidi="he-IL"/>
        </w:rPr>
        <w:t>”</w:t>
      </w:r>
      <w:r w:rsidR="0081557D" w:rsidRPr="003776BC">
        <w:rPr>
          <w:vertAlign w:val="superscript"/>
          <w:lang w:bidi="he-IL"/>
        </w:rPr>
        <w:footnoteReference w:id="162"/>
      </w:r>
      <w:r w:rsidR="004555DB">
        <w:rPr>
          <w:lang w:bidi="he-IL"/>
        </w:rPr>
        <w:t xml:space="preserve"> </w:t>
      </w:r>
    </w:p>
    <w:p w:rsidR="0081557D" w:rsidRDefault="0081557D" w:rsidP="00ED1789">
      <w:pPr>
        <w:ind w:firstLine="720"/>
        <w:contextualSpacing/>
        <w:rPr>
          <w:lang w:bidi="he-IL"/>
        </w:rPr>
      </w:pPr>
      <w:r w:rsidRPr="003776BC">
        <w:rPr>
          <w:lang w:bidi="he-IL"/>
        </w:rPr>
        <w:t>Popular support for suicide bombings, both as a concept and for the organizations</w:t>
      </w:r>
      <w:r w:rsidR="00ED1789">
        <w:rPr>
          <w:lang w:bidi="he-IL"/>
        </w:rPr>
        <w:t xml:space="preserve"> practicing suicide terrorism</w:t>
      </w:r>
      <w:r w:rsidRPr="003776BC">
        <w:rPr>
          <w:lang w:bidi="he-IL"/>
        </w:rPr>
        <w:t>, increased between intifadas</w:t>
      </w:r>
      <w:r w:rsidR="004555DB">
        <w:rPr>
          <w:lang w:bidi="he-IL"/>
        </w:rPr>
        <w:t xml:space="preserve">.  </w:t>
      </w:r>
      <w:r w:rsidR="00AA6554" w:rsidRPr="003776BC">
        <w:t>The Hamas organizers reiterated that if the Palestinian people opposed suicide attacks, Hamas would not pursue them.</w:t>
      </w:r>
      <w:r w:rsidR="00AA6554" w:rsidRPr="003776BC">
        <w:rPr>
          <w:vertAlign w:val="superscript"/>
        </w:rPr>
        <w:footnoteReference w:id="163"/>
      </w:r>
      <w:r w:rsidR="00ED1789">
        <w:t xml:space="preserve"> </w:t>
      </w:r>
      <w:r w:rsidR="001761E0">
        <w:t xml:space="preserve"> </w:t>
      </w:r>
      <w:r w:rsidRPr="003776BC">
        <w:rPr>
          <w:lang w:bidi="he-IL"/>
        </w:rPr>
        <w:t>In the first intifada, support for suicide operations did not surpass a third of Palestinians</w:t>
      </w:r>
      <w:r w:rsidR="004555DB">
        <w:rPr>
          <w:lang w:bidi="he-IL"/>
        </w:rPr>
        <w:t xml:space="preserve">.  </w:t>
      </w:r>
      <w:r w:rsidRPr="003776BC">
        <w:rPr>
          <w:lang w:bidi="he-IL"/>
        </w:rPr>
        <w:t>By November 2000, support for operations was up to two-thirds of Palestinians polled, and popular support for Hamas rose to over 70%.</w:t>
      </w:r>
      <w:r w:rsidRPr="003776BC">
        <w:rPr>
          <w:vertAlign w:val="superscript"/>
          <w:lang w:bidi="he-IL"/>
        </w:rPr>
        <w:footnoteReference w:id="164"/>
      </w:r>
      <w:r w:rsidR="004555DB">
        <w:rPr>
          <w:lang w:bidi="he-IL"/>
        </w:rPr>
        <w:t xml:space="preserve"> </w:t>
      </w:r>
      <w:r w:rsidR="001761E0">
        <w:rPr>
          <w:lang w:bidi="he-IL"/>
        </w:rPr>
        <w:t xml:space="preserve"> </w:t>
      </w:r>
    </w:p>
    <w:p w:rsidR="001761E0" w:rsidRDefault="0081557D" w:rsidP="00551D66">
      <w:pPr>
        <w:ind w:firstLine="720"/>
        <w:contextualSpacing/>
        <w:rPr>
          <w:lang w:bidi="he-IL"/>
        </w:rPr>
      </w:pPr>
      <w:r>
        <w:rPr>
          <w:lang w:bidi="he-IL"/>
        </w:rPr>
        <w:t xml:space="preserve">The </w:t>
      </w:r>
      <w:r w:rsidR="00ED1789">
        <w:rPr>
          <w:lang w:bidi="he-IL"/>
        </w:rPr>
        <w:t xml:space="preserve">increased </w:t>
      </w:r>
      <w:r>
        <w:rPr>
          <w:lang w:bidi="he-IL"/>
        </w:rPr>
        <w:t xml:space="preserve">popular support for </w:t>
      </w:r>
      <w:r w:rsidR="00ED1789">
        <w:rPr>
          <w:lang w:bidi="he-IL"/>
        </w:rPr>
        <w:t>suicide attacks</w:t>
      </w:r>
      <w:r>
        <w:rPr>
          <w:lang w:bidi="he-IL"/>
        </w:rPr>
        <w:t xml:space="preserve"> </w:t>
      </w:r>
      <w:r w:rsidR="00ED1789">
        <w:rPr>
          <w:lang w:bidi="he-IL"/>
        </w:rPr>
        <w:t>influenced increased organizational use of the tactic</w:t>
      </w:r>
      <w:r w:rsidR="004555DB">
        <w:rPr>
          <w:lang w:bidi="he-IL"/>
        </w:rPr>
        <w:t xml:space="preserve">.  </w:t>
      </w:r>
      <w:r w:rsidRPr="003776BC">
        <w:rPr>
          <w:lang w:bidi="he-IL"/>
        </w:rPr>
        <w:t xml:space="preserve">In </w:t>
      </w:r>
      <w:r w:rsidRPr="003776BC">
        <w:rPr>
          <w:i/>
          <w:lang w:bidi="he-IL"/>
        </w:rPr>
        <w:t xml:space="preserve">Dying to Kill, </w:t>
      </w:r>
      <w:r w:rsidRPr="003776BC">
        <w:rPr>
          <w:lang w:bidi="he-IL"/>
        </w:rPr>
        <w:t>researcher Mia Bloom investigated the level of popular support Palestinian groups in Gaza and the West Bank for suicide attacks</w:t>
      </w:r>
      <w:r w:rsidR="004555DB">
        <w:rPr>
          <w:lang w:bidi="he-IL"/>
        </w:rPr>
        <w:t xml:space="preserve">.  </w:t>
      </w:r>
      <w:r w:rsidRPr="003776BC">
        <w:rPr>
          <w:lang w:bidi="he-IL"/>
        </w:rPr>
        <w:t xml:space="preserve">She tracked bumps in approval ratings for the different Palestinian groups after conducting—or taking credit </w:t>
      </w:r>
      <w:r>
        <w:rPr>
          <w:lang w:bidi="he-IL"/>
        </w:rPr>
        <w:t>for</w:t>
      </w:r>
      <w:r w:rsidRPr="003776BC">
        <w:rPr>
          <w:lang w:bidi="he-IL"/>
        </w:rPr>
        <w:t>—suicide a</w:t>
      </w:r>
      <w:r>
        <w:rPr>
          <w:lang w:bidi="he-IL"/>
        </w:rPr>
        <w:t>ttacks against Israel targets.</w:t>
      </w:r>
      <w:r w:rsidRPr="003776BC">
        <w:rPr>
          <w:vertAlign w:val="superscript"/>
          <w:lang w:bidi="he-IL"/>
        </w:rPr>
        <w:footnoteReference w:id="165"/>
      </w:r>
      <w:r w:rsidR="004555DB">
        <w:rPr>
          <w:lang w:bidi="he-IL"/>
        </w:rPr>
        <w:t xml:space="preserve"> </w:t>
      </w:r>
      <w:r w:rsidR="001761E0">
        <w:rPr>
          <w:lang w:bidi="he-IL"/>
        </w:rPr>
        <w:t xml:space="preserve"> </w:t>
      </w:r>
      <w:r w:rsidRPr="003776BC">
        <w:rPr>
          <w:lang w:bidi="he-IL"/>
        </w:rPr>
        <w:t xml:space="preserve">Fatah created the suicide bombing </w:t>
      </w:r>
      <w:r w:rsidRPr="00246C04">
        <w:rPr>
          <w:lang w:bidi="he-IL"/>
        </w:rPr>
        <w:t>wing Al Aqsa Martyrs Brigade (AAMB) as a response</w:t>
      </w:r>
      <w:r w:rsidRPr="003776BC">
        <w:rPr>
          <w:lang w:bidi="he-IL"/>
        </w:rPr>
        <w:t xml:space="preserve"> to the popularity of Hamas’ martyrdom atta</w:t>
      </w:r>
      <w:r>
        <w:rPr>
          <w:lang w:bidi="he-IL"/>
        </w:rPr>
        <w:t>cks</w:t>
      </w:r>
      <w:r w:rsidR="004555DB">
        <w:rPr>
          <w:lang w:bidi="he-IL"/>
        </w:rPr>
        <w:t xml:space="preserve">.  </w:t>
      </w:r>
      <w:r>
        <w:rPr>
          <w:lang w:bidi="he-IL"/>
        </w:rPr>
        <w:t>The AAMB’s</w:t>
      </w:r>
      <w:r w:rsidRPr="003776BC">
        <w:rPr>
          <w:lang w:bidi="he-IL"/>
        </w:rPr>
        <w:t xml:space="preserve"> first attack occurred in </w:t>
      </w:r>
      <w:r w:rsidRPr="003776BC">
        <w:rPr>
          <w:lang w:bidi="he-IL"/>
        </w:rPr>
        <w:lastRenderedPageBreak/>
        <w:t>January 17, 2002</w:t>
      </w:r>
      <w:r w:rsidR="004555DB">
        <w:rPr>
          <w:lang w:bidi="he-IL"/>
        </w:rPr>
        <w:t xml:space="preserve">.  </w:t>
      </w:r>
      <w:r w:rsidRPr="003776BC">
        <w:rPr>
          <w:lang w:bidi="he-IL"/>
        </w:rPr>
        <w:t>By mid-2002, the Fatah wing was</w:t>
      </w:r>
      <w:r>
        <w:rPr>
          <w:lang w:bidi="he-IL"/>
        </w:rPr>
        <w:t xml:space="preserve"> </w:t>
      </w:r>
      <w:r w:rsidR="00551D66">
        <w:rPr>
          <w:lang w:bidi="he-IL"/>
        </w:rPr>
        <w:t>conducting</w:t>
      </w:r>
      <w:r w:rsidRPr="003776BC">
        <w:rPr>
          <w:lang w:bidi="he-IL"/>
        </w:rPr>
        <w:t xml:space="preserve"> most of the suicide bombings.</w:t>
      </w:r>
      <w:r w:rsidRPr="003776BC">
        <w:rPr>
          <w:vertAlign w:val="superscript"/>
          <w:lang w:bidi="he-IL"/>
        </w:rPr>
        <w:footnoteReference w:id="166"/>
      </w:r>
      <w:r w:rsidR="004555DB">
        <w:rPr>
          <w:lang w:bidi="he-IL"/>
        </w:rPr>
        <w:t xml:space="preserve"> </w:t>
      </w:r>
      <w:r w:rsidR="001761E0">
        <w:rPr>
          <w:lang w:bidi="he-IL"/>
        </w:rPr>
        <w:t xml:space="preserve"> </w:t>
      </w:r>
    </w:p>
    <w:p w:rsidR="0081557D" w:rsidRPr="003776BC" w:rsidRDefault="001761E0" w:rsidP="00BC5F61">
      <w:pPr>
        <w:ind w:firstLine="720"/>
        <w:contextualSpacing/>
        <w:rPr>
          <w:lang w:bidi="he-IL"/>
        </w:rPr>
      </w:pPr>
      <w:r w:rsidRPr="003776BC">
        <w:rPr>
          <w:lang w:bidi="he-IL"/>
        </w:rPr>
        <w:t xml:space="preserve">In the </w:t>
      </w:r>
      <w:r>
        <w:rPr>
          <w:lang w:bidi="he-IL"/>
        </w:rPr>
        <w:t>F</w:t>
      </w:r>
      <w:r w:rsidRPr="003776BC">
        <w:rPr>
          <w:lang w:bidi="he-IL"/>
        </w:rPr>
        <w:t xml:space="preserve">irst Intifada, Hamas and the PIJ synchronized attacks to respond to </w:t>
      </w:r>
      <w:r>
        <w:rPr>
          <w:lang w:bidi="he-IL"/>
        </w:rPr>
        <w:t>progress in the peace talks between Israel and the PLO</w:t>
      </w:r>
      <w:r w:rsidRPr="003776BC">
        <w:rPr>
          <w:lang w:bidi="he-IL"/>
        </w:rPr>
        <w:t>, but groups rarely claimed public acceptance of responsibility</w:t>
      </w:r>
      <w:r>
        <w:rPr>
          <w:lang w:bidi="he-IL"/>
        </w:rPr>
        <w:t>.  In the Second Intifada, g</w:t>
      </w:r>
      <w:r w:rsidR="0081557D">
        <w:rPr>
          <w:lang w:bidi="he-IL"/>
        </w:rPr>
        <w:t xml:space="preserve">roups </w:t>
      </w:r>
      <w:r w:rsidR="0081557D" w:rsidRPr="003776BC">
        <w:rPr>
          <w:lang w:bidi="he-IL"/>
        </w:rPr>
        <w:t xml:space="preserve">would mutually claim the same attack, demonstrating the change in </w:t>
      </w:r>
      <w:r w:rsidR="00AA6554">
        <w:rPr>
          <w:lang w:bidi="he-IL"/>
        </w:rPr>
        <w:t xml:space="preserve">support for </w:t>
      </w:r>
      <w:r w:rsidR="0081557D" w:rsidRPr="003776BC">
        <w:rPr>
          <w:lang w:bidi="he-IL"/>
        </w:rPr>
        <w:t>suicide bombings.</w:t>
      </w:r>
      <w:r w:rsidR="0081557D" w:rsidRPr="003776BC">
        <w:rPr>
          <w:vertAlign w:val="superscript"/>
          <w:lang w:bidi="he-IL"/>
        </w:rPr>
        <w:footnoteReference w:id="167"/>
      </w:r>
      <w:r w:rsidR="004555DB">
        <w:rPr>
          <w:lang w:bidi="he-IL"/>
        </w:rPr>
        <w:t xml:space="preserve"> </w:t>
      </w:r>
      <w:r>
        <w:rPr>
          <w:lang w:bidi="he-IL"/>
        </w:rPr>
        <w:t xml:space="preserve"> </w:t>
      </w:r>
      <w:r w:rsidR="0081557D" w:rsidRPr="003776BC">
        <w:rPr>
          <w:lang w:bidi="he-IL"/>
        </w:rPr>
        <w:t>Hamas and PIJ issued competing claims for the August 2001 Sbarro bombing, and Hamas and the P</w:t>
      </w:r>
      <w:r w:rsidR="00551D66">
        <w:rPr>
          <w:lang w:bidi="he-IL"/>
        </w:rPr>
        <w:t>opular Front for the Liberation of Palestine (P</w:t>
      </w:r>
      <w:r w:rsidR="0081557D" w:rsidRPr="003776BC">
        <w:rPr>
          <w:lang w:bidi="he-IL"/>
        </w:rPr>
        <w:t>FLP</w:t>
      </w:r>
      <w:r w:rsidR="00551D66">
        <w:rPr>
          <w:lang w:bidi="he-IL"/>
        </w:rPr>
        <w:t>)</w:t>
      </w:r>
      <w:r w:rsidR="0081557D" w:rsidRPr="003776BC">
        <w:rPr>
          <w:lang w:bidi="he-IL"/>
        </w:rPr>
        <w:t xml:space="preserve"> issued competing claims for the May 2002 market attack</w:t>
      </w:r>
      <w:r w:rsidR="004555DB">
        <w:rPr>
          <w:lang w:bidi="he-IL"/>
        </w:rPr>
        <w:t xml:space="preserve">.  </w:t>
      </w:r>
      <w:r w:rsidR="0081557D" w:rsidRPr="003776BC">
        <w:rPr>
          <w:lang w:bidi="he-IL"/>
        </w:rPr>
        <w:t>As many as four different groups would take credit for any given attack</w:t>
      </w:r>
      <w:r w:rsidR="004555DB">
        <w:rPr>
          <w:lang w:bidi="he-IL"/>
        </w:rPr>
        <w:t xml:space="preserve">.  </w:t>
      </w:r>
      <w:r w:rsidR="0081557D" w:rsidRPr="003776BC">
        <w:rPr>
          <w:lang w:bidi="he-IL"/>
        </w:rPr>
        <w:t xml:space="preserve">The Democratic Front for the Liberation of Palestine, the PFLP, and the </w:t>
      </w:r>
      <w:r w:rsidR="0081557D">
        <w:rPr>
          <w:lang w:bidi="he-IL"/>
        </w:rPr>
        <w:t>AAMB</w:t>
      </w:r>
      <w:r w:rsidR="0081557D" w:rsidRPr="003776BC">
        <w:rPr>
          <w:lang w:bidi="he-IL"/>
        </w:rPr>
        <w:t xml:space="preserve"> all co</w:t>
      </w:r>
      <w:r w:rsidR="0081557D">
        <w:rPr>
          <w:lang w:bidi="he-IL"/>
        </w:rPr>
        <w:t>-</w:t>
      </w:r>
      <w:r w:rsidR="0081557D" w:rsidRPr="003776BC">
        <w:rPr>
          <w:lang w:bidi="he-IL"/>
        </w:rPr>
        <w:t xml:space="preserve">opted </w:t>
      </w:r>
      <w:r w:rsidR="0081557D">
        <w:rPr>
          <w:lang w:bidi="he-IL"/>
        </w:rPr>
        <w:t xml:space="preserve">the </w:t>
      </w:r>
      <w:r w:rsidR="0081557D" w:rsidRPr="003776BC">
        <w:rPr>
          <w:lang w:bidi="he-IL"/>
        </w:rPr>
        <w:t>religious language of jihad</w:t>
      </w:r>
      <w:r w:rsidR="0081557D" w:rsidRPr="003776BC">
        <w:rPr>
          <w:i/>
          <w:iCs/>
          <w:lang w:bidi="he-IL"/>
        </w:rPr>
        <w:t xml:space="preserve"> </w:t>
      </w:r>
      <w:r w:rsidR="00BC5F61">
        <w:rPr>
          <w:lang w:bidi="he-IL"/>
        </w:rPr>
        <w:t>from Hamas and the PIJ</w:t>
      </w:r>
      <w:r w:rsidR="0081557D" w:rsidRPr="003776BC">
        <w:rPr>
          <w:lang w:bidi="he-IL"/>
        </w:rPr>
        <w:t>.</w:t>
      </w:r>
      <w:r w:rsidR="004555DB">
        <w:rPr>
          <w:lang w:bidi="he-IL"/>
        </w:rPr>
        <w:t xml:space="preserve"> </w:t>
      </w:r>
      <w:r>
        <w:rPr>
          <w:lang w:bidi="he-IL"/>
        </w:rPr>
        <w:t xml:space="preserve"> </w:t>
      </w:r>
      <w:r w:rsidR="0081557D" w:rsidRPr="003776BC">
        <w:rPr>
          <w:lang w:bidi="he-IL"/>
        </w:rPr>
        <w:t xml:space="preserve">The PFLP resurrected some measure of popularity after adopting suicide </w:t>
      </w:r>
      <w:r>
        <w:rPr>
          <w:lang w:bidi="he-IL"/>
        </w:rPr>
        <w:t>terrorism</w:t>
      </w:r>
      <w:r w:rsidR="0081557D" w:rsidRPr="003776BC">
        <w:rPr>
          <w:lang w:bidi="he-IL"/>
        </w:rPr>
        <w:t>, leading to higher support in 2001 than in 2000 after conducting a handful of attacks</w:t>
      </w:r>
      <w:r w:rsidR="004555DB">
        <w:rPr>
          <w:lang w:bidi="he-IL"/>
        </w:rPr>
        <w:t xml:space="preserve">.  </w:t>
      </w:r>
      <w:r w:rsidR="0081557D" w:rsidRPr="003776BC">
        <w:rPr>
          <w:lang w:bidi="he-IL"/>
        </w:rPr>
        <w:t>Groups would publish pos</w:t>
      </w:r>
      <w:r w:rsidR="0081557D">
        <w:rPr>
          <w:lang w:bidi="he-IL"/>
        </w:rPr>
        <w:t>t</w:t>
      </w:r>
      <w:r w:rsidR="0081557D" w:rsidRPr="003776BC">
        <w:rPr>
          <w:lang w:bidi="he-IL"/>
        </w:rPr>
        <w:t>ers of martyrs, marketing the same martyr as their own</w:t>
      </w:r>
      <w:r w:rsidR="004555DB">
        <w:rPr>
          <w:lang w:bidi="he-IL"/>
        </w:rPr>
        <w:t xml:space="preserve">.  </w:t>
      </w:r>
    </w:p>
    <w:p w:rsidR="0081557D" w:rsidRPr="003776BC" w:rsidRDefault="001761E0" w:rsidP="00BC5F61">
      <w:pPr>
        <w:ind w:firstLine="720"/>
        <w:contextualSpacing/>
        <w:rPr>
          <w:lang w:bidi="he-IL"/>
        </w:rPr>
      </w:pPr>
      <w:r>
        <w:rPr>
          <w:lang w:bidi="he-IL"/>
        </w:rPr>
        <w:t>In the Second Intifada,</w:t>
      </w:r>
      <w:r w:rsidR="005C52D3">
        <w:rPr>
          <w:lang w:bidi="he-IL"/>
        </w:rPr>
        <w:t xml:space="preserve"> </w:t>
      </w:r>
      <w:r w:rsidR="0081557D" w:rsidRPr="003776BC">
        <w:rPr>
          <w:lang w:bidi="he-IL"/>
        </w:rPr>
        <w:t>Palestinian networks</w:t>
      </w:r>
      <w:r w:rsidR="0081557D">
        <w:rPr>
          <w:lang w:bidi="he-IL"/>
        </w:rPr>
        <w:t xml:space="preserve"> </w:t>
      </w:r>
      <w:r w:rsidR="0081557D" w:rsidRPr="003776BC">
        <w:rPr>
          <w:lang w:bidi="he-IL"/>
        </w:rPr>
        <w:t xml:space="preserve">operated in horizontal networks </w:t>
      </w:r>
      <w:r>
        <w:rPr>
          <w:lang w:bidi="he-IL"/>
        </w:rPr>
        <w:t xml:space="preserve">that responded to popular support </w:t>
      </w:r>
      <w:r w:rsidR="0081557D" w:rsidRPr="003776BC">
        <w:rPr>
          <w:lang w:bidi="he-IL"/>
        </w:rPr>
        <w:t>rather than hierarchical structures receiving top-down orders.</w:t>
      </w:r>
      <w:r w:rsidR="0081557D" w:rsidRPr="003776BC">
        <w:rPr>
          <w:vertAlign w:val="superscript"/>
          <w:lang w:bidi="he-IL"/>
        </w:rPr>
        <w:footnoteReference w:id="168"/>
      </w:r>
      <w:r w:rsidR="004555DB">
        <w:rPr>
          <w:lang w:bidi="he-IL"/>
        </w:rPr>
        <w:t xml:space="preserve"> </w:t>
      </w:r>
      <w:r>
        <w:rPr>
          <w:lang w:bidi="he-IL"/>
        </w:rPr>
        <w:t xml:space="preserve"> </w:t>
      </w:r>
      <w:r w:rsidR="0081557D" w:rsidRPr="003776BC">
        <w:rPr>
          <w:lang w:bidi="he-IL"/>
        </w:rPr>
        <w:t>There was closeness and cohesion in the networks, and leaders of cells did not hold senior positions</w:t>
      </w:r>
      <w:r w:rsidR="004555DB">
        <w:rPr>
          <w:lang w:bidi="he-IL"/>
        </w:rPr>
        <w:t xml:space="preserve">.  </w:t>
      </w:r>
      <w:r w:rsidR="0081557D" w:rsidRPr="003776BC">
        <w:rPr>
          <w:lang w:bidi="he-IL"/>
        </w:rPr>
        <w:t>The Palestinian networks competed against each other, as cells would respond to other organizations’ and even other cells’ attacks.</w:t>
      </w:r>
      <w:r w:rsidR="004555DB">
        <w:rPr>
          <w:lang w:bidi="he-IL"/>
        </w:rPr>
        <w:t xml:space="preserve"> </w:t>
      </w:r>
      <w:r>
        <w:rPr>
          <w:lang w:bidi="he-IL"/>
        </w:rPr>
        <w:t xml:space="preserve"> </w:t>
      </w:r>
      <w:r w:rsidR="0081557D" w:rsidRPr="003776BC">
        <w:rPr>
          <w:lang w:bidi="he-IL"/>
        </w:rPr>
        <w:t xml:space="preserve">A horizontal network implies </w:t>
      </w:r>
      <w:r>
        <w:rPr>
          <w:lang w:bidi="he-IL"/>
        </w:rPr>
        <w:t xml:space="preserve">target selection based on </w:t>
      </w:r>
      <w:r w:rsidR="0081557D" w:rsidRPr="003776BC">
        <w:rPr>
          <w:lang w:bidi="he-IL"/>
        </w:rPr>
        <w:t>opportunity and prejudice</w:t>
      </w:r>
      <w:r w:rsidR="00551D66">
        <w:rPr>
          <w:lang w:bidi="he-IL"/>
        </w:rPr>
        <w:t xml:space="preserve"> toward the out-group</w:t>
      </w:r>
      <w:r w:rsidR="0081557D" w:rsidRPr="003776BC">
        <w:rPr>
          <w:lang w:bidi="he-IL"/>
        </w:rPr>
        <w:t>, with little attention paid to long term strategic benefits</w:t>
      </w:r>
      <w:r w:rsidR="004555DB">
        <w:rPr>
          <w:lang w:bidi="he-IL"/>
        </w:rPr>
        <w:t xml:space="preserve">.  </w:t>
      </w:r>
      <w:r w:rsidR="0081557D">
        <w:rPr>
          <w:lang w:bidi="he-IL"/>
        </w:rPr>
        <w:t>The bottom up-approach</w:t>
      </w:r>
      <w:r w:rsidR="0081557D" w:rsidRPr="003776BC">
        <w:rPr>
          <w:lang w:bidi="he-IL"/>
        </w:rPr>
        <w:t xml:space="preserve"> </w:t>
      </w:r>
      <w:r w:rsidR="0081557D">
        <w:rPr>
          <w:lang w:bidi="he-IL"/>
        </w:rPr>
        <w:lastRenderedPageBreak/>
        <w:t>is</w:t>
      </w:r>
      <w:r w:rsidR="0081557D" w:rsidRPr="003776BC">
        <w:rPr>
          <w:lang w:bidi="he-IL"/>
        </w:rPr>
        <w:t xml:space="preserve"> one factor that explains the sizable increase in civilian targets</w:t>
      </w:r>
      <w:r w:rsidR="004555DB">
        <w:rPr>
          <w:lang w:bidi="he-IL"/>
        </w:rPr>
        <w:t xml:space="preserve">.  </w:t>
      </w:r>
      <w:r w:rsidR="0081557D" w:rsidRPr="003776BC">
        <w:rPr>
          <w:lang w:bidi="he-IL"/>
        </w:rPr>
        <w:t>The tactic is pushed up, instead of managed, as in the LTTE and, to a certain extent, Lebanese campaigns</w:t>
      </w:r>
      <w:r w:rsidR="004555DB">
        <w:rPr>
          <w:lang w:bidi="he-IL"/>
        </w:rPr>
        <w:t xml:space="preserve">.  </w:t>
      </w:r>
      <w:r w:rsidR="0081557D" w:rsidRPr="003776BC">
        <w:rPr>
          <w:lang w:bidi="he-IL"/>
        </w:rPr>
        <w:t>In August 2003, Hamas condemned a suicide attack that disrupted the peace process</w:t>
      </w:r>
      <w:r w:rsidR="004555DB">
        <w:rPr>
          <w:lang w:bidi="he-IL"/>
        </w:rPr>
        <w:t xml:space="preserve">.  </w:t>
      </w:r>
      <w:r w:rsidR="0081557D" w:rsidRPr="003776BC">
        <w:rPr>
          <w:lang w:bidi="he-IL"/>
        </w:rPr>
        <w:t>The al-Qassam Brigades, the martyrdom operation wing of Hamas, nonetheless released the martyrdom video of the bomber and took credit for the attack.</w:t>
      </w:r>
      <w:r w:rsidR="0081557D" w:rsidRPr="003776BC">
        <w:rPr>
          <w:rStyle w:val="FootnoteReference"/>
          <w:lang w:bidi="he-IL"/>
        </w:rPr>
        <w:footnoteReference w:id="169"/>
      </w:r>
      <w:r w:rsidR="004555DB">
        <w:rPr>
          <w:lang w:bidi="he-IL"/>
        </w:rPr>
        <w:t xml:space="preserve"> </w:t>
      </w:r>
      <w:r>
        <w:rPr>
          <w:lang w:bidi="he-IL"/>
        </w:rPr>
        <w:t xml:space="preserve"> </w:t>
      </w:r>
      <w:r w:rsidR="0081557D" w:rsidRPr="003776BC">
        <w:rPr>
          <w:lang w:bidi="he-IL"/>
        </w:rPr>
        <w:t xml:space="preserve">Hamas may have been </w:t>
      </w:r>
      <w:r w:rsidR="0081557D">
        <w:rPr>
          <w:lang w:bidi="he-IL"/>
        </w:rPr>
        <w:t>disingenuous in denying the attack,</w:t>
      </w:r>
      <w:r w:rsidR="0081557D" w:rsidRPr="003776BC">
        <w:rPr>
          <w:lang w:bidi="he-IL"/>
        </w:rPr>
        <w:t xml:space="preserve"> or it could be that </w:t>
      </w:r>
      <w:r w:rsidR="00BC5F61">
        <w:rPr>
          <w:lang w:bidi="he-IL"/>
        </w:rPr>
        <w:t xml:space="preserve">Hamas </w:t>
      </w:r>
      <w:r w:rsidR="0081557D" w:rsidRPr="003776BC">
        <w:rPr>
          <w:lang w:bidi="he-IL"/>
        </w:rPr>
        <w:t>did not have structural control over the martyrdom operations.</w:t>
      </w:r>
      <w:r w:rsidR="005C52D3">
        <w:rPr>
          <w:lang w:bidi="he-IL"/>
        </w:rPr>
        <w:t xml:space="preserve">  </w:t>
      </w:r>
    </w:p>
    <w:p w:rsidR="0081557D" w:rsidRPr="00BB0CB3" w:rsidRDefault="0081557D" w:rsidP="00F57EFD">
      <w:pPr>
        <w:pStyle w:val="Heading3"/>
      </w:pPr>
      <w:bookmarkStart w:id="56" w:name="_Toc450748689"/>
      <w:r w:rsidRPr="00BB0CB3">
        <w:rPr>
          <w:rStyle w:val="SubtleEmphasis"/>
          <w:i/>
        </w:rPr>
        <w:t>Cognitive Terrain of Palestinian Bombers</w:t>
      </w:r>
      <w:bookmarkEnd w:id="56"/>
    </w:p>
    <w:p w:rsidR="0081557D" w:rsidRPr="003776BC" w:rsidRDefault="00964856" w:rsidP="00CE59D8">
      <w:pPr>
        <w:ind w:firstLine="720"/>
        <w:contextualSpacing/>
      </w:pPr>
      <w:r>
        <w:rPr>
          <w:lang w:bidi="he-IL"/>
        </w:rPr>
        <w:t>The</w:t>
      </w:r>
      <w:r w:rsidR="0081557D" w:rsidRPr="003776BC">
        <w:rPr>
          <w:lang w:bidi="he-IL"/>
        </w:rPr>
        <w:t xml:space="preserve"> background of Palestinian bombers </w:t>
      </w:r>
      <w:r>
        <w:rPr>
          <w:lang w:bidi="he-IL"/>
        </w:rPr>
        <w:t>suggests</w:t>
      </w:r>
      <w:r w:rsidR="0081557D" w:rsidRPr="003776BC">
        <w:rPr>
          <w:lang w:bidi="he-IL"/>
        </w:rPr>
        <w:t xml:space="preserve"> that these martyrs were not uneducated or poor</w:t>
      </w:r>
      <w:r w:rsidR="0081557D" w:rsidRPr="003776BC">
        <w:t>.</w:t>
      </w:r>
      <w:r w:rsidR="0081557D" w:rsidRPr="003776BC">
        <w:rPr>
          <w:vertAlign w:val="superscript"/>
        </w:rPr>
        <w:footnoteReference w:id="170"/>
      </w:r>
      <w:r w:rsidR="004555DB">
        <w:t xml:space="preserve"> </w:t>
      </w:r>
      <w:r w:rsidR="001761E0">
        <w:t xml:space="preserve"> </w:t>
      </w:r>
      <w:r w:rsidR="0081557D" w:rsidRPr="003776BC">
        <w:t>In fact, most ha</w:t>
      </w:r>
      <w:r w:rsidR="00CE59D8">
        <w:t xml:space="preserve">d </w:t>
      </w:r>
      <w:r w:rsidR="0081557D" w:rsidRPr="003776BC">
        <w:t>comparatively high levels of education and income relative to the overall Palestinian population.</w:t>
      </w:r>
      <w:r w:rsidR="0081557D" w:rsidRPr="003776BC">
        <w:rPr>
          <w:vertAlign w:val="superscript"/>
        </w:rPr>
        <w:footnoteReference w:id="171"/>
      </w:r>
      <w:r w:rsidR="00BC5F61">
        <w:t xml:space="preserve">  </w:t>
      </w:r>
      <w:r w:rsidR="0081557D" w:rsidRPr="003776BC">
        <w:t xml:space="preserve">Although these factors may not mean that the Palestinian bombers </w:t>
      </w:r>
      <w:r w:rsidR="00CE59D8">
        <w:t xml:space="preserve">were </w:t>
      </w:r>
      <w:r w:rsidR="0081557D" w:rsidRPr="003776BC">
        <w:t xml:space="preserve">content with </w:t>
      </w:r>
      <w:r w:rsidR="001761E0">
        <w:t xml:space="preserve">themselves and </w:t>
      </w:r>
      <w:r w:rsidR="0081557D" w:rsidRPr="003776BC">
        <w:t>the world, it is difficult to build an argument that</w:t>
      </w:r>
      <w:r w:rsidR="0081557D">
        <w:t xml:space="preserve"> personal de</w:t>
      </w:r>
      <w:r w:rsidR="001761E0">
        <w:t>privation</w:t>
      </w:r>
      <w:r w:rsidR="0081557D">
        <w:t xml:space="preserve"> motivates</w:t>
      </w:r>
      <w:r w:rsidR="0081557D" w:rsidRPr="003776BC">
        <w:t xml:space="preserve"> Palestinian bombers </w:t>
      </w:r>
      <w:r w:rsidR="0081557D" w:rsidRPr="005D26B7">
        <w:rPr>
          <w:i/>
        </w:rPr>
        <w:t>en masse</w:t>
      </w:r>
      <w:r w:rsidR="0081557D" w:rsidRPr="003776BC">
        <w:t>.</w:t>
      </w:r>
      <w:r w:rsidR="0081557D" w:rsidRPr="003776BC">
        <w:rPr>
          <w:rStyle w:val="FootnoteReference"/>
        </w:rPr>
        <w:footnoteReference w:id="172"/>
      </w:r>
      <w:r w:rsidR="004555DB">
        <w:t xml:space="preserve"> </w:t>
      </w:r>
    </w:p>
    <w:p w:rsidR="0081557D" w:rsidRPr="003776BC" w:rsidRDefault="0081557D" w:rsidP="00BC5F61">
      <w:pPr>
        <w:ind w:firstLine="720"/>
        <w:contextualSpacing/>
      </w:pPr>
      <w:r w:rsidRPr="003776BC">
        <w:t>Hamas only recruited bombers who understood the religious context of the martyrdom operation; many recruits had large sections of the Qur’an memorized.</w:t>
      </w:r>
      <w:r w:rsidRPr="003776BC">
        <w:rPr>
          <w:vertAlign w:val="superscript"/>
        </w:rPr>
        <w:footnoteReference w:id="173"/>
      </w:r>
      <w:r w:rsidR="004555DB">
        <w:t xml:space="preserve"> </w:t>
      </w:r>
      <w:r>
        <w:t>Recruits</w:t>
      </w:r>
      <w:r w:rsidRPr="003776BC">
        <w:t xml:space="preserve"> had to read six specific chapters of the Qur’an:</w:t>
      </w:r>
      <w:r w:rsidR="004555DB">
        <w:t xml:space="preserve"> </w:t>
      </w:r>
      <w:r w:rsidRPr="003776BC">
        <w:t xml:space="preserve">Baqara, Al Imran, Anfal, Tawba, Rahman, and Asr, which focus on jihad, the rewards of martyrdom, and the </w:t>
      </w:r>
      <w:r w:rsidRPr="003776BC">
        <w:lastRenderedPageBreak/>
        <w:t>need for faith.</w:t>
      </w:r>
      <w:r w:rsidRPr="003776BC">
        <w:rPr>
          <w:vertAlign w:val="superscript"/>
        </w:rPr>
        <w:footnoteReference w:id="174"/>
      </w:r>
      <w:r w:rsidR="004555DB">
        <w:t xml:space="preserve"> </w:t>
      </w:r>
      <w:r w:rsidR="001761E0">
        <w:t xml:space="preserve"> </w:t>
      </w:r>
      <w:r w:rsidRPr="003776BC">
        <w:t xml:space="preserve">The future bomber </w:t>
      </w:r>
      <w:r w:rsidR="001761E0">
        <w:t>would fast for extended periods, spend</w:t>
      </w:r>
      <w:r w:rsidRPr="003776BC">
        <w:t xml:space="preserve"> hour</w:t>
      </w:r>
      <w:r w:rsidR="001761E0">
        <w:t>s praying each evening, and ask</w:t>
      </w:r>
      <w:r w:rsidRPr="003776BC">
        <w:t xml:space="preserve"> for forgiveness of all sins.</w:t>
      </w:r>
      <w:r w:rsidRPr="003776BC">
        <w:rPr>
          <w:vertAlign w:val="superscript"/>
        </w:rPr>
        <w:footnoteReference w:id="175"/>
      </w:r>
      <w:r w:rsidRPr="003776BC">
        <w:t xml:space="preserve"> </w:t>
      </w:r>
      <w:r w:rsidR="001761E0">
        <w:t xml:space="preserve"> </w:t>
      </w:r>
      <w:r w:rsidRPr="003776BC">
        <w:t xml:space="preserve">Whereas </w:t>
      </w:r>
      <w:r w:rsidR="00CE59D8">
        <w:t xml:space="preserve">Sheikh Ahmed </w:t>
      </w:r>
      <w:r w:rsidRPr="003776BC">
        <w:t>Yas</w:t>
      </w:r>
      <w:r w:rsidR="00964856">
        <w:t>sin never praised the personal rewards of</w:t>
      </w:r>
      <w:r w:rsidRPr="003776BC">
        <w:t xml:space="preserve"> martyrdom, Yassin justified su</w:t>
      </w:r>
      <w:r w:rsidR="00BC5F61">
        <w:t>icide attacks with Surah 2:190-1</w:t>
      </w:r>
      <w:r>
        <w:t>:</w:t>
      </w:r>
      <w:r w:rsidRPr="003776BC">
        <w:t xml:space="preserve"> “Fight in the way of Allah against those who fight against you…slay them wherever you find them and drive them out of the place when they drove you out, for persecution is worse than slaughter.”</w:t>
      </w:r>
      <w:r w:rsidRPr="003776BC">
        <w:rPr>
          <w:vertAlign w:val="superscript"/>
        </w:rPr>
        <w:footnoteReference w:id="176"/>
      </w:r>
      <w:r w:rsidR="004555DB">
        <w:t xml:space="preserve"> </w:t>
      </w:r>
    </w:p>
    <w:p w:rsidR="0081557D" w:rsidRPr="003776BC" w:rsidRDefault="0081557D" w:rsidP="00964856">
      <w:pPr>
        <w:ind w:firstLine="720"/>
        <w:contextualSpacing/>
      </w:pPr>
      <w:r w:rsidRPr="003776BC">
        <w:t>Ham</w:t>
      </w:r>
      <w:r>
        <w:t xml:space="preserve">as’ training involved instilling </w:t>
      </w:r>
      <w:r w:rsidRPr="003776BC">
        <w:t>the religious importance to remove fear, visiting the cemetery, and videotap</w:t>
      </w:r>
      <w:r>
        <w:t>ing the</w:t>
      </w:r>
      <w:r w:rsidR="00964856">
        <w:t xml:space="preserve"> will, which made</w:t>
      </w:r>
      <w:r w:rsidRPr="003776BC">
        <w:t xml:space="preserve"> it difficult for recruits to back out.</w:t>
      </w:r>
      <w:r w:rsidRPr="003776BC">
        <w:rPr>
          <w:vertAlign w:val="superscript"/>
        </w:rPr>
        <w:footnoteReference w:id="177"/>
      </w:r>
      <w:r w:rsidR="004555DB">
        <w:t xml:space="preserve"> </w:t>
      </w:r>
      <w:r w:rsidR="001761E0">
        <w:t xml:space="preserve"> </w:t>
      </w:r>
      <w:r w:rsidRPr="003776BC">
        <w:t xml:space="preserve">The </w:t>
      </w:r>
      <w:r w:rsidR="001761E0">
        <w:t>typical video testament involved</w:t>
      </w:r>
      <w:r w:rsidRPr="003776BC">
        <w:t xml:space="preserve"> the martyr reciting the Qur’an, posing with weapons, praising jihad, and asking others to follow</w:t>
      </w:r>
      <w:r w:rsidR="004555DB">
        <w:t xml:space="preserve">.  </w:t>
      </w:r>
      <w:r w:rsidR="001761E0">
        <w:t>The bomber watched his</w:t>
      </w:r>
      <w:r w:rsidRPr="003776BC">
        <w:t xml:space="preserve"> video repeatedly in order to help confront the fear of death and internalize it</w:t>
      </w:r>
      <w:r>
        <w:t xml:space="preserve"> or</w:t>
      </w:r>
      <w:r w:rsidRPr="003776BC">
        <w:t xml:space="preserve">, </w:t>
      </w:r>
      <w:r w:rsidR="001761E0">
        <w:t>as one trainer described</w:t>
      </w:r>
      <w:r>
        <w:t xml:space="preserve">, </w:t>
      </w:r>
      <w:r w:rsidRPr="003776BC">
        <w:t>“greet death like an old frie</w:t>
      </w:r>
      <w:r>
        <w:t>nd</w:t>
      </w:r>
      <w:r w:rsidRPr="003776BC">
        <w:t>.</w:t>
      </w:r>
      <w:r>
        <w:t>”</w:t>
      </w:r>
      <w:r w:rsidRPr="003776BC">
        <w:rPr>
          <w:vertAlign w:val="superscript"/>
        </w:rPr>
        <w:footnoteReference w:id="178"/>
      </w:r>
      <w:r w:rsidR="004555DB">
        <w:t xml:space="preserve"> </w:t>
      </w:r>
    </w:p>
    <w:p w:rsidR="0081557D" w:rsidRPr="003776BC" w:rsidRDefault="00163CEA" w:rsidP="00964856">
      <w:pPr>
        <w:ind w:firstLine="720"/>
        <w:contextualSpacing/>
      </w:pPr>
      <w:r>
        <w:t>Nasra Hassan</w:t>
      </w:r>
      <w:r w:rsidR="0081557D" w:rsidRPr="003776BC">
        <w:t xml:space="preserve"> interviewed over 250 Palestinian suicide bombing trainers and failed suicide bombers to understand the mindset of these attackers</w:t>
      </w:r>
      <w:r w:rsidR="004555DB">
        <w:t xml:space="preserve">.  </w:t>
      </w:r>
      <w:r w:rsidR="0081557D" w:rsidRPr="003776BC">
        <w:t xml:space="preserve">Many quotes from Hamas operatives are reprinted below, because their words represent what other Sunni martyrs in following campaigns will say </w:t>
      </w:r>
      <w:r w:rsidR="001761E0">
        <w:t>and what inspires them, and the quotes</w:t>
      </w:r>
      <w:r w:rsidR="0081557D" w:rsidRPr="003776BC">
        <w:t xml:space="preserve"> s</w:t>
      </w:r>
      <w:r w:rsidR="0081557D">
        <w:t>tate</w:t>
      </w:r>
      <w:r w:rsidR="0081557D" w:rsidRPr="003776BC">
        <w:t xml:space="preserve"> their beliefs better than a </w:t>
      </w:r>
      <w:r w:rsidR="003244AE" w:rsidRPr="003776BC">
        <w:t>s</w:t>
      </w:r>
      <w:r w:rsidR="003244AE" w:rsidRPr="009D0132">
        <w:t>ummat</w:t>
      </w:r>
      <w:r w:rsidR="003244AE" w:rsidRPr="003776BC">
        <w:t>ion</w:t>
      </w:r>
      <w:r w:rsidR="0081557D" w:rsidRPr="003776BC">
        <w:t xml:space="preserve"> would</w:t>
      </w:r>
      <w:r w:rsidR="004555DB">
        <w:t xml:space="preserve">.  </w:t>
      </w:r>
      <w:r w:rsidR="0081557D" w:rsidRPr="003776BC">
        <w:t>The Hamas preparation for the bomber emphasized the internationalization of Heaven:</w:t>
      </w:r>
    </w:p>
    <w:p w:rsidR="0081557D" w:rsidRDefault="0081557D" w:rsidP="0081557D">
      <w:pPr>
        <w:spacing w:line="240" w:lineRule="auto"/>
        <w:ind w:left="720"/>
        <w:contextualSpacing/>
      </w:pPr>
      <w:r w:rsidRPr="003776BC">
        <w:t>We focus his attention on Paradise, on being in the presence of Allah, on meeting the Prophet Muhammad, on interceding for his loved ones so that they, too, can be saved from the agonies of Hell, on the houris</w:t>
      </w:r>
      <w:r>
        <w:t xml:space="preserve"> (the black-eyed virgins </w:t>
      </w:r>
      <w:r>
        <w:lastRenderedPageBreak/>
        <w:t>awarded to the martyr upon entering Heaven)</w:t>
      </w:r>
      <w:r w:rsidRPr="003776BC">
        <w:t>, and on fighting the Israeli occupation and removing it from the Islamic trust that is Palestine…It is very, very near—right in front of our eyes</w:t>
      </w:r>
      <w:r w:rsidR="004555DB">
        <w:t xml:space="preserve">.  </w:t>
      </w:r>
      <w:r w:rsidRPr="003776BC">
        <w:t>It lies beneath the thumb</w:t>
      </w:r>
      <w:r w:rsidR="004555DB">
        <w:t xml:space="preserve">.  </w:t>
      </w:r>
      <w:r w:rsidRPr="003776BC">
        <w:t>On the other side of the detonator.</w:t>
      </w:r>
      <w:r w:rsidR="001761E0" w:rsidRPr="003776BC">
        <w:rPr>
          <w:vertAlign w:val="superscript"/>
        </w:rPr>
        <w:footnoteReference w:id="179"/>
      </w:r>
    </w:p>
    <w:p w:rsidR="0081557D" w:rsidRPr="003776BC" w:rsidRDefault="0081557D" w:rsidP="0081557D">
      <w:pPr>
        <w:spacing w:line="240" w:lineRule="auto"/>
        <w:ind w:left="720"/>
        <w:contextualSpacing/>
      </w:pPr>
    </w:p>
    <w:p w:rsidR="0081557D" w:rsidRPr="003776BC" w:rsidRDefault="0081557D" w:rsidP="00623EDB">
      <w:pPr>
        <w:contextualSpacing/>
        <w:rPr>
          <w:vertAlign w:val="superscript"/>
        </w:rPr>
      </w:pPr>
      <w:r w:rsidRPr="003776BC">
        <w:t>Hamas</w:t>
      </w:r>
      <w:r>
        <w:t>’s leadership</w:t>
      </w:r>
      <w:r w:rsidRPr="003776BC">
        <w:t xml:space="preserve"> downplayed </w:t>
      </w:r>
      <w:r w:rsidR="005D6DE9">
        <w:t xml:space="preserve">the specifics of the </w:t>
      </w:r>
      <w:r w:rsidRPr="003776BC">
        <w:t xml:space="preserve">martyrs’ </w:t>
      </w:r>
      <w:r w:rsidR="005D6DE9">
        <w:t xml:space="preserve">heavenly </w:t>
      </w:r>
      <w:r w:rsidRPr="003776BC">
        <w:t>rewards</w:t>
      </w:r>
      <w:r w:rsidR="005D6DE9">
        <w:t xml:space="preserve">, as the discourse on the </w:t>
      </w:r>
      <w:r w:rsidR="005D6DE9">
        <w:rPr>
          <w:i/>
          <w:iCs/>
        </w:rPr>
        <w:t xml:space="preserve">houris </w:t>
      </w:r>
      <w:r w:rsidR="005D6DE9">
        <w:t>would become overtly sexual</w:t>
      </w:r>
      <w:r w:rsidR="004555DB">
        <w:t xml:space="preserve">.  </w:t>
      </w:r>
      <w:r>
        <w:t>O</w:t>
      </w:r>
      <w:r w:rsidRPr="003776BC">
        <w:t>rganizationally, however, its operative</w:t>
      </w:r>
      <w:r>
        <w:t xml:space="preserve">s treated the martyrdom videos </w:t>
      </w:r>
      <w:r w:rsidRPr="003776BC">
        <w:t xml:space="preserve">less </w:t>
      </w:r>
      <w:r>
        <w:t xml:space="preserve">as </w:t>
      </w:r>
      <w:r w:rsidRPr="003776BC">
        <w:t>a funeral and more a wedding c</w:t>
      </w:r>
      <w:r w:rsidR="00964856">
        <w:t>elebration of the martyr to many beautiful women upon death</w:t>
      </w:r>
      <w:r w:rsidRPr="003776BC">
        <w:t>.</w:t>
      </w:r>
      <w:r w:rsidRPr="003776BC">
        <w:rPr>
          <w:vertAlign w:val="superscript"/>
        </w:rPr>
        <w:footnoteReference w:id="180"/>
      </w:r>
      <w:r w:rsidR="004555DB">
        <w:t xml:space="preserve"> </w:t>
      </w:r>
      <w:r w:rsidR="001761E0">
        <w:t xml:space="preserve"> </w:t>
      </w:r>
      <w:r w:rsidRPr="003776BC">
        <w:t xml:space="preserve">In addition </w:t>
      </w:r>
      <w:r>
        <w:t xml:space="preserve">to </w:t>
      </w:r>
      <w:r w:rsidRPr="003776BC">
        <w:t>the houris, the benefits of martyrdom included forgiveness of sins, the right to intervene on behalf of seventy relatives for entrance into Heaven, protection against the pain of death, and even the chance to play golf with Mohammed.</w:t>
      </w:r>
      <w:r w:rsidRPr="003776BC">
        <w:rPr>
          <w:vertAlign w:val="superscript"/>
        </w:rPr>
        <w:footnoteReference w:id="181"/>
      </w:r>
      <w:r w:rsidR="004555DB">
        <w:t xml:space="preserve"> </w:t>
      </w:r>
      <w:r w:rsidR="001761E0">
        <w:t xml:space="preserve"> </w:t>
      </w:r>
      <w:r w:rsidR="00163CEA">
        <w:t>Hassan</w:t>
      </w:r>
      <w:r>
        <w:t xml:space="preserve"> describes her interview with a Hamas imam, who ex</w:t>
      </w:r>
      <w:r w:rsidRPr="003776BC">
        <w:t>plained that the martyr’s first drop of blood washes away his sins instantly:</w:t>
      </w:r>
      <w:r w:rsidRPr="003776BC">
        <w:rPr>
          <w:vertAlign w:val="superscript"/>
        </w:rPr>
        <w:t xml:space="preserve"> </w:t>
      </w:r>
    </w:p>
    <w:p w:rsidR="0081557D" w:rsidRDefault="0081557D" w:rsidP="0081557D">
      <w:pPr>
        <w:spacing w:line="240" w:lineRule="auto"/>
        <w:ind w:left="720"/>
        <w:contextualSpacing/>
      </w:pPr>
      <w:r w:rsidRPr="003776BC">
        <w:t>On the Day of Judgment, he will face no reckoning</w:t>
      </w:r>
      <w:r w:rsidR="004555DB">
        <w:t xml:space="preserve">.  </w:t>
      </w:r>
      <w:r w:rsidRPr="003776BC">
        <w:t>On the Day of Resurrection, he can intercede for seventy of his nearest and dearest to enter Heaven; and he will have at his disposal seventy-two houris, the beautiful virgins of Paradise</w:t>
      </w:r>
      <w:r w:rsidR="004555DB">
        <w:t xml:space="preserve">.  </w:t>
      </w:r>
      <w:r w:rsidRPr="003776BC">
        <w:t>The Imam took pains to explain that the promised bliss is not sensual.</w:t>
      </w:r>
    </w:p>
    <w:p w:rsidR="0081557D" w:rsidRPr="002B35FC" w:rsidRDefault="0081557D" w:rsidP="0081557D">
      <w:pPr>
        <w:spacing w:line="240" w:lineRule="auto"/>
        <w:ind w:left="720"/>
        <w:contextualSpacing/>
      </w:pPr>
    </w:p>
    <w:p w:rsidR="0081557D" w:rsidRPr="003776BC" w:rsidRDefault="0081557D" w:rsidP="0081557D">
      <w:pPr>
        <w:contextualSpacing/>
      </w:pPr>
      <w:r w:rsidRPr="003776BC">
        <w:t>One of failed bombers described the sacred aspect of the plan:</w:t>
      </w:r>
    </w:p>
    <w:p w:rsidR="0081557D" w:rsidRDefault="0081557D" w:rsidP="0081557D">
      <w:pPr>
        <w:spacing w:line="240" w:lineRule="auto"/>
        <w:ind w:left="720"/>
        <w:contextualSpacing/>
      </w:pPr>
      <w:r w:rsidRPr="003776BC">
        <w:t>Our planner asked, ‘What if the operation fails?’</w:t>
      </w:r>
      <w:r w:rsidR="004555DB">
        <w:t xml:space="preserve"> </w:t>
      </w:r>
      <w:r w:rsidRPr="003776BC">
        <w:t>We told him, ‘In any case, we get to meet the Prophet and his companions, Inshallah.’</w:t>
      </w:r>
      <w:r w:rsidR="004555DB">
        <w:t xml:space="preserve"> </w:t>
      </w:r>
      <w:r w:rsidRPr="003776BC">
        <w:t>We were floating, swimming, in the feeling that we were about to enter eternity</w:t>
      </w:r>
      <w:r w:rsidR="004555DB">
        <w:t xml:space="preserve">.  </w:t>
      </w:r>
      <w:r w:rsidRPr="003776BC">
        <w:t>We had no doubts</w:t>
      </w:r>
      <w:r w:rsidR="004555DB">
        <w:t xml:space="preserve">.  </w:t>
      </w:r>
      <w:r w:rsidRPr="003776BC">
        <w:t>We made an oath on the Qur’an, in the presence of Allah—a pledge not to waver</w:t>
      </w:r>
      <w:r w:rsidR="004555DB">
        <w:t xml:space="preserve">.  </w:t>
      </w:r>
      <w:r w:rsidRPr="003776BC">
        <w:t>This jihad pledge is called bayt al ridwan, after the garden in Paradise that is reserved for the prophets and the martyrs…All martyrdom operations, if done for Allah’s sake, hurt less than a gnat’s bite!</w:t>
      </w:r>
    </w:p>
    <w:p w:rsidR="0081557D" w:rsidRPr="003776BC" w:rsidRDefault="0081557D" w:rsidP="0081557D">
      <w:pPr>
        <w:spacing w:line="240" w:lineRule="auto"/>
        <w:ind w:left="720"/>
        <w:contextualSpacing/>
      </w:pPr>
    </w:p>
    <w:p w:rsidR="0081557D" w:rsidRPr="003776BC" w:rsidRDefault="00136ACC" w:rsidP="005D6DE9">
      <w:pPr>
        <w:contextualSpacing/>
      </w:pPr>
      <w:r>
        <w:lastRenderedPageBreak/>
        <w:t>Hassan</w:t>
      </w:r>
      <w:r w:rsidR="0081557D" w:rsidRPr="003776BC">
        <w:t xml:space="preserve">’s interviewees did not express </w:t>
      </w:r>
      <w:r w:rsidR="005D6DE9">
        <w:t>the profile of suicidal persons</w:t>
      </w:r>
      <w:r w:rsidR="004555DB">
        <w:t xml:space="preserve">.  </w:t>
      </w:r>
      <w:r w:rsidR="0081557D" w:rsidRPr="003776BC">
        <w:t xml:space="preserve">They were educated, middle class or above, two were sons of millionaires, and all </w:t>
      </w:r>
      <w:r w:rsidR="0081557D">
        <w:t>deeply religious</w:t>
      </w:r>
      <w:r>
        <w:t>.  Hassan’s summation describes this fusion between nationalism and religion</w:t>
      </w:r>
      <w:r w:rsidR="0081557D">
        <w:t>:</w:t>
      </w:r>
      <w:r w:rsidR="004555DB">
        <w:t xml:space="preserve"> </w:t>
      </w:r>
    </w:p>
    <w:p w:rsidR="0081557D" w:rsidRDefault="0081557D" w:rsidP="0081557D">
      <w:pPr>
        <w:spacing w:line="240" w:lineRule="auto"/>
        <w:ind w:left="720"/>
        <w:contextualSpacing/>
      </w:pPr>
      <w:r w:rsidRPr="003776BC">
        <w:t>I was told that in order to be accepted for a suicide mission the volunteers had to be convinced of the religious legitimacy of the acts they were contemplating, as sanctioned by the divinely revealed religion of Islam</w:t>
      </w:r>
      <w:r w:rsidR="004555DB">
        <w:t xml:space="preserve">.  </w:t>
      </w:r>
      <w:r w:rsidRPr="003776BC">
        <w:t>Many of these young men had memorized large sections of the Qur’an and were well versed in the finer points of Islamic law and practice</w:t>
      </w:r>
      <w:r w:rsidR="004555DB">
        <w:t xml:space="preserve">.  </w:t>
      </w:r>
      <w:r w:rsidRPr="003776BC">
        <w:t>But their knowledge of Christianity was rooted in the medieval Crusades, and they regarded Judaism and Zionism as synonymous</w:t>
      </w:r>
      <w:r w:rsidR="004555DB">
        <w:t xml:space="preserve">.  </w:t>
      </w:r>
      <w:r w:rsidRPr="003776BC">
        <w:t>When they spoke, they all tended to use the same phrases: "The West is afraid of Islam." "Allah has promised us ultimate success." "It is in the Qur’an." "Islamic Palestine will be liberated." And they all exhibited an unequivocal rage toward Israel</w:t>
      </w:r>
      <w:r w:rsidR="004555DB">
        <w:t xml:space="preserve">.  </w:t>
      </w:r>
      <w:r w:rsidRPr="003776BC">
        <w:t>Over and over, I heard them say, "The Israelis humiliate us</w:t>
      </w:r>
      <w:r w:rsidR="004555DB">
        <w:t xml:space="preserve">.  </w:t>
      </w:r>
      <w:r w:rsidRPr="003776BC">
        <w:t>They occupy our land, and deny our history."</w:t>
      </w:r>
      <w:r w:rsidR="004555DB">
        <w:t xml:space="preserve"> </w:t>
      </w:r>
    </w:p>
    <w:p w:rsidR="0081557D" w:rsidRPr="003776BC" w:rsidRDefault="0081557D" w:rsidP="0081557D">
      <w:pPr>
        <w:spacing w:line="240" w:lineRule="auto"/>
        <w:ind w:left="720"/>
        <w:contextualSpacing/>
      </w:pPr>
    </w:p>
    <w:p w:rsidR="0081557D" w:rsidRPr="003776BC" w:rsidRDefault="0081557D" w:rsidP="00623EDB">
      <w:pPr>
        <w:ind w:firstLine="720"/>
        <w:contextualSpacing/>
      </w:pPr>
      <w:r w:rsidRPr="003776BC">
        <w:t xml:space="preserve">The Palestinian groups mastered the “cult of martyrdom” and </w:t>
      </w:r>
      <w:r w:rsidR="00136ACC">
        <w:t xml:space="preserve">the </w:t>
      </w:r>
      <w:r w:rsidRPr="003776BC">
        <w:t>ritual celebration of martyrs.</w:t>
      </w:r>
      <w:r w:rsidRPr="003776BC">
        <w:rPr>
          <w:vertAlign w:val="superscript"/>
        </w:rPr>
        <w:footnoteReference w:id="182"/>
      </w:r>
      <w:r w:rsidR="004555DB">
        <w:t xml:space="preserve"> </w:t>
      </w:r>
      <w:r w:rsidR="00136ACC">
        <w:t xml:space="preserve"> </w:t>
      </w:r>
      <w:r w:rsidR="00964856">
        <w:t>The West Bank and Gaza</w:t>
      </w:r>
      <w:r w:rsidRPr="003776BC">
        <w:t xml:space="preserve"> would have “Martyrs of the Month</w:t>
      </w:r>
      <w:r w:rsidR="00964856">
        <w:t>,</w:t>
      </w:r>
      <w:r w:rsidRPr="003776BC">
        <w:t>” celebrating bombers like centerfolds or sports heroes.</w:t>
      </w:r>
      <w:r w:rsidRPr="003776BC">
        <w:rPr>
          <w:vertAlign w:val="superscript"/>
        </w:rPr>
        <w:footnoteReference w:id="183"/>
      </w:r>
      <w:r w:rsidR="00623EDB">
        <w:t xml:space="preserve">  </w:t>
      </w:r>
      <w:r w:rsidRPr="003776BC">
        <w:t>In Jenin, the walls of hospital waiting rooms were covered with posters and pictures celebrating the Palestinian “martyrs.”</w:t>
      </w:r>
      <w:r w:rsidR="004555DB">
        <w:t xml:space="preserve"> </w:t>
      </w:r>
      <w:r w:rsidR="00136ACC">
        <w:t xml:space="preserve"> </w:t>
      </w:r>
      <w:r w:rsidRPr="003776BC">
        <w:t>In Palestinian camps, teenagers trade</w:t>
      </w:r>
      <w:r w:rsidR="00136ACC">
        <w:t>d</w:t>
      </w:r>
      <w:r w:rsidRPr="003776BC">
        <w:t xml:space="preserve"> “martyr” cards</w:t>
      </w:r>
      <w:r w:rsidR="00964856">
        <w:t xml:space="preserve"> like baseball</w:t>
      </w:r>
      <w:r w:rsidRPr="003776BC">
        <w:t xml:space="preserve"> cards</w:t>
      </w:r>
      <w:r w:rsidR="004555DB">
        <w:t xml:space="preserve">.  </w:t>
      </w:r>
      <w:r w:rsidR="00623EDB">
        <w:t xml:space="preserve">Martyrs were heroes and thus role models.  </w:t>
      </w:r>
      <w:r w:rsidRPr="003776BC">
        <w:t xml:space="preserve">With the </w:t>
      </w:r>
      <w:r>
        <w:t>I</w:t>
      </w:r>
      <w:r w:rsidRPr="003776BC">
        <w:t>nternet,</w:t>
      </w:r>
      <w:r w:rsidR="005D6DE9">
        <w:t xml:space="preserve"> the cult of martyrdom and the individual rewards associated with murder-suicide</w:t>
      </w:r>
      <w:r w:rsidR="00136ACC">
        <w:t xml:space="preserve"> would</w:t>
      </w:r>
      <w:r w:rsidRPr="003776BC">
        <w:t xml:space="preserve"> spread from Palestine, into Saudi Arabia, Syria, and Libya</w:t>
      </w:r>
      <w:r w:rsidR="004555DB">
        <w:t xml:space="preserve">.  </w:t>
      </w:r>
      <w:r>
        <w:t>Operation Iraqi Freedom</w:t>
      </w:r>
      <w:r w:rsidR="00136ACC">
        <w:t xml:space="preserve"> wou</w:t>
      </w:r>
      <w:r w:rsidRPr="003776BC">
        <w:t>l</w:t>
      </w:r>
      <w:r w:rsidR="00136ACC">
        <w:t>d</w:t>
      </w:r>
      <w:r w:rsidRPr="003776BC">
        <w:t xml:space="preserve"> give these self-selected </w:t>
      </w:r>
      <w:r w:rsidR="005D6DE9">
        <w:t>mesmerized by the narrative the chance to emulate martyrdom</w:t>
      </w:r>
      <w:r w:rsidRPr="003776BC">
        <w:t>.</w:t>
      </w:r>
    </w:p>
    <w:p w:rsidR="0081557D" w:rsidRPr="00D96D02" w:rsidRDefault="0081557D" w:rsidP="0081557D">
      <w:pPr>
        <w:pStyle w:val="Heading2"/>
        <w:rPr>
          <w:bCs w:val="0"/>
          <w:i/>
          <w:iCs w:val="0"/>
          <w:szCs w:val="24"/>
        </w:rPr>
      </w:pPr>
      <w:bookmarkStart w:id="57" w:name="_Toc450748690"/>
      <w:r w:rsidRPr="003776BC">
        <w:rPr>
          <w:rStyle w:val="SubtleEmphasis"/>
          <w:szCs w:val="24"/>
        </w:rPr>
        <w:t>The Role of the Chechen Conflict in Driving Suicide Terrorism</w:t>
      </w:r>
      <w:bookmarkEnd w:id="57"/>
    </w:p>
    <w:p w:rsidR="0081557D" w:rsidRPr="003776BC" w:rsidRDefault="00623EDB" w:rsidP="00964856">
      <w:pPr>
        <w:ind w:firstLine="720"/>
        <w:contextualSpacing/>
      </w:pPr>
      <w:r>
        <w:t>There</w:t>
      </w:r>
      <w:r w:rsidR="0081557D" w:rsidRPr="003776BC">
        <w:t xml:space="preserve"> are two interrelated trends in the Chechen conflict that help explain</w:t>
      </w:r>
      <w:r>
        <w:t xml:space="preserve"> the transition to the Era of Fitna</w:t>
      </w:r>
      <w:r w:rsidR="004555DB">
        <w:t xml:space="preserve">.  </w:t>
      </w:r>
      <w:r w:rsidR="0081557D" w:rsidRPr="003776BC">
        <w:t xml:space="preserve">The first is the cooption of a nationalist rebellion with strong transnational Islamist overtones, which included the importing of tactics </w:t>
      </w:r>
      <w:r w:rsidR="0081557D" w:rsidRPr="003776BC">
        <w:lastRenderedPageBreak/>
        <w:t>dissonant with the local folk Islam</w:t>
      </w:r>
      <w:r w:rsidR="004555DB">
        <w:t xml:space="preserve">.  </w:t>
      </w:r>
      <w:r w:rsidR="0081557D" w:rsidRPr="003776BC">
        <w:t xml:space="preserve">The second is the influence of online media dissemination of mujahideen battling the infidel, which would change the face of the </w:t>
      </w:r>
      <w:r w:rsidR="0081557D" w:rsidRPr="009918F1">
        <w:rPr>
          <w:i/>
          <w:iCs/>
        </w:rPr>
        <w:t>mujahid</w:t>
      </w:r>
      <w:r w:rsidR="0081557D" w:rsidRPr="003776BC">
        <w:t xml:space="preserve"> from the cloister of Middle East conflict, expanding t</w:t>
      </w:r>
      <w:r w:rsidR="00136ACC">
        <w:t xml:space="preserve">he possibility of martyrdom-infused </w:t>
      </w:r>
      <w:r w:rsidR="0081557D" w:rsidRPr="003776BC">
        <w:t>jihad with Muslims from any region.</w:t>
      </w:r>
    </w:p>
    <w:p w:rsidR="0081557D" w:rsidRPr="003776BC" w:rsidRDefault="0081557D" w:rsidP="00964856">
      <w:pPr>
        <w:ind w:firstLine="720"/>
        <w:contextualSpacing/>
      </w:pPr>
      <w:r>
        <w:t>Sufi</w:t>
      </w:r>
      <w:r w:rsidRPr="003776BC">
        <w:t xml:space="preserve"> Chechens initiated the first Chechen War for Independence</w:t>
      </w:r>
      <w:r w:rsidR="004555DB">
        <w:t xml:space="preserve">.  </w:t>
      </w:r>
      <w:r w:rsidRPr="003776BC">
        <w:t>Traditionally, moderation and modernization characterized Chechen Sufism, and Chechnya was more democratic and socially liberal compared to other Islamic regions at the time.</w:t>
      </w:r>
      <w:r w:rsidRPr="003776BC">
        <w:rPr>
          <w:vertAlign w:val="superscript"/>
        </w:rPr>
        <w:footnoteReference w:id="184"/>
      </w:r>
      <w:r w:rsidR="004555DB">
        <w:t xml:space="preserve"> </w:t>
      </w:r>
      <w:r w:rsidRPr="003776BC">
        <w:t xml:space="preserve">President </w:t>
      </w:r>
      <w:r w:rsidR="00136ACC" w:rsidRPr="00136ACC">
        <w:t>Dzhokhar</w:t>
      </w:r>
      <w:r w:rsidR="00136ACC">
        <w:t xml:space="preserve"> </w:t>
      </w:r>
      <w:r w:rsidRPr="003776BC">
        <w:t>Dudayev, despite declaring jihad against Russia in 1992, explicitly declared the Chechen Republic to be an institutionally secular state, and in fact warned against Islamic Fundamentalism taking hold of Chechnya.</w:t>
      </w:r>
      <w:r w:rsidRPr="003776BC">
        <w:rPr>
          <w:vertAlign w:val="superscript"/>
        </w:rPr>
        <w:footnoteReference w:id="185"/>
      </w:r>
      <w:r w:rsidR="00964856">
        <w:t xml:space="preserve">  </w:t>
      </w:r>
      <w:r w:rsidRPr="003776BC">
        <w:t>Only five percent of the Chechens s</w:t>
      </w:r>
      <w:r w:rsidR="00136ACC">
        <w:t xml:space="preserve">ubscribed to the militant Islamist </w:t>
      </w:r>
      <w:r w:rsidRPr="003776BC">
        <w:t>ideology imported by the foreign fighters</w:t>
      </w:r>
      <w:r w:rsidR="004555DB">
        <w:t>.</w:t>
      </w:r>
      <w:r w:rsidRPr="003776BC">
        <w:rPr>
          <w:vertAlign w:val="superscript"/>
        </w:rPr>
        <w:footnoteReference w:id="186"/>
      </w:r>
      <w:r w:rsidR="004555DB">
        <w:t xml:space="preserve"> </w:t>
      </w:r>
      <w:r w:rsidR="00964856">
        <w:t xml:space="preserve"> </w:t>
      </w:r>
      <w:r w:rsidRPr="003776BC">
        <w:t>During the first Chechen War, despite the examples of Hezbollah</w:t>
      </w:r>
      <w:r>
        <w:t xml:space="preserve"> </w:t>
      </w:r>
      <w:r w:rsidRPr="003776BC">
        <w:t xml:space="preserve">and the </w:t>
      </w:r>
      <w:r>
        <w:t>LTTE</w:t>
      </w:r>
      <w:r w:rsidRPr="003776BC">
        <w:t>, the Sufi Chechens never used suicide bombings against Russia’s incursion.</w:t>
      </w:r>
    </w:p>
    <w:p w:rsidR="0081557D" w:rsidRPr="003776BC" w:rsidRDefault="0081557D" w:rsidP="00623EDB">
      <w:pPr>
        <w:ind w:firstLine="720"/>
        <w:contextualSpacing/>
      </w:pPr>
      <w:r w:rsidRPr="003776BC">
        <w:t>Between the first Chechen War and the second, Chechnya received a steady flow of jihadist fighters fro</w:t>
      </w:r>
      <w:r>
        <w:t xml:space="preserve">m Afghanistan, Pakistan, Bosnia, and </w:t>
      </w:r>
      <w:r w:rsidRPr="003776BC">
        <w:t>the Middle East, who co</w:t>
      </w:r>
      <w:r>
        <w:t>-</w:t>
      </w:r>
      <w:r w:rsidRPr="003776BC">
        <w:t>opted the nationalist cause for th</w:t>
      </w:r>
      <w:r w:rsidR="00964856">
        <w:t>eir own objective</w:t>
      </w:r>
      <w:r>
        <w:t xml:space="preserve"> of building emirates to</w:t>
      </w:r>
      <w:r w:rsidRPr="003776BC">
        <w:t xml:space="preserve"> support </w:t>
      </w:r>
      <w:r w:rsidR="00136ACC">
        <w:t>the neo-</w:t>
      </w:r>
      <w:r w:rsidRPr="003776BC">
        <w:t>Cal</w:t>
      </w:r>
      <w:r>
        <w:t>iphate</w:t>
      </w:r>
      <w:r w:rsidR="004555DB">
        <w:t xml:space="preserve">.  </w:t>
      </w:r>
      <w:r w:rsidRPr="003776BC">
        <w:t xml:space="preserve">In 1990s, </w:t>
      </w:r>
      <w:r>
        <w:t xml:space="preserve">the </w:t>
      </w:r>
      <w:r w:rsidRPr="003776BC">
        <w:t>Northern Alliance in Afghanistan, then funded by the Russians, blocked the advance of the Taliban</w:t>
      </w:r>
      <w:r w:rsidR="004555DB">
        <w:t xml:space="preserve">.  </w:t>
      </w:r>
      <w:r w:rsidRPr="003776BC">
        <w:t>To weaken the coalition of warlords from the North, al-Qaeda decided</w:t>
      </w:r>
      <w:r>
        <w:t xml:space="preserve"> to force the Russians to waste blood and treasure </w:t>
      </w:r>
      <w:r w:rsidRPr="003776BC">
        <w:t>in Chechnya.</w:t>
      </w:r>
      <w:r w:rsidRPr="003776BC">
        <w:rPr>
          <w:vertAlign w:val="superscript"/>
        </w:rPr>
        <w:footnoteReference w:id="187"/>
      </w:r>
      <w:r w:rsidR="004555DB">
        <w:t xml:space="preserve"> </w:t>
      </w:r>
      <w:r w:rsidR="00136ACC">
        <w:t xml:space="preserve"> </w:t>
      </w:r>
      <w:r w:rsidRPr="003776BC">
        <w:t xml:space="preserve">In 1994, Islamist elements in Afghanistan and Pakistan began nurturing </w:t>
      </w:r>
      <w:r w:rsidR="00136ACC">
        <w:lastRenderedPageBreak/>
        <w:t xml:space="preserve">and training </w:t>
      </w:r>
      <w:r w:rsidRPr="003776BC">
        <w:t>Shamil Basayev, a Cheche</w:t>
      </w:r>
      <w:r w:rsidR="00136ACC">
        <w:t>n born fighter</w:t>
      </w:r>
      <w:r w:rsidRPr="003776BC">
        <w:t>.</w:t>
      </w:r>
      <w:r w:rsidR="00163CEA">
        <w:t xml:space="preserve">  </w:t>
      </w:r>
      <w:r w:rsidRPr="003776BC">
        <w:t>Basayev and the Saudi Ibn al-Khattab established al-Qaeda training camps in Chechnya, creating enough trainees to mount an invasion of neighbori</w:t>
      </w:r>
      <w:r w:rsidR="00623EDB">
        <w:t xml:space="preserve">ng Russian republic of Dagestan that </w:t>
      </w:r>
      <w:r w:rsidRPr="003776BC">
        <w:t>led to the Second Chechen War in 1999.</w:t>
      </w:r>
      <w:r w:rsidRPr="003776BC">
        <w:rPr>
          <w:vertAlign w:val="superscript"/>
        </w:rPr>
        <w:footnoteReference w:id="188"/>
      </w:r>
      <w:r w:rsidR="004555DB">
        <w:t xml:space="preserve"> </w:t>
      </w:r>
      <w:r w:rsidR="00136ACC">
        <w:t xml:space="preserve"> </w:t>
      </w:r>
      <w:r w:rsidRPr="003776BC">
        <w:t xml:space="preserve">Within a year, </w:t>
      </w:r>
      <w:r>
        <w:t xml:space="preserve">Vladimir </w:t>
      </w:r>
      <w:r w:rsidRPr="003776BC">
        <w:t>Putin’s Moscow had reestablished control over most of the region</w:t>
      </w:r>
      <w:r w:rsidR="004555DB">
        <w:t xml:space="preserve">.  </w:t>
      </w:r>
      <w:r w:rsidRPr="003776BC">
        <w:t xml:space="preserve">Besayev’s group started its suicide bombing campaign in 2000, mostly to strike fear </w:t>
      </w:r>
      <w:r w:rsidR="00964856">
        <w:t xml:space="preserve">among Russians </w:t>
      </w:r>
      <w:r w:rsidRPr="003776BC">
        <w:t>rather than to achieve clear military victory.</w:t>
      </w:r>
      <w:r w:rsidRPr="003776BC">
        <w:rPr>
          <w:vertAlign w:val="superscript"/>
        </w:rPr>
        <w:footnoteReference w:id="189"/>
      </w:r>
      <w:r w:rsidR="00964856">
        <w:t xml:space="preserve">  </w:t>
      </w:r>
      <w:r w:rsidRPr="003776BC">
        <w:t>Between 2000 and 2003, 48% of Chechen suicide attacks targeted the Russian military, and only 12% targeted civilians</w:t>
      </w:r>
      <w:r w:rsidR="004555DB">
        <w:t xml:space="preserve">.  </w:t>
      </w:r>
      <w:r w:rsidRPr="003776BC">
        <w:t>However, no Chechen suicide attack has occurred against a Russian military target since 2003, and overall, the Chechen groups and its nearby Dagestan allies are responsible for the following Russian target breakdown:</w:t>
      </w:r>
      <w:r w:rsidR="004555DB">
        <w:t xml:space="preserve"> </w:t>
      </w:r>
      <w:r w:rsidRPr="003776BC">
        <w:t>Military (16%), Government (18%), Police (34%), and Civilian (28%).</w:t>
      </w:r>
    </w:p>
    <w:p w:rsidR="0081557D" w:rsidRPr="003776BC" w:rsidRDefault="0081557D" w:rsidP="00623EDB">
      <w:pPr>
        <w:ind w:firstLine="720"/>
        <w:contextualSpacing/>
      </w:pPr>
      <w:r w:rsidRPr="003776BC">
        <w:t>Chechen guerilla leaders utilized various media platforms to disseminate the Chechen cause</w:t>
      </w:r>
      <w:r w:rsidR="00964856">
        <w:t>, and in doing so, changed the face of jihad</w:t>
      </w:r>
      <w:r w:rsidR="004555DB">
        <w:t xml:space="preserve">.  </w:t>
      </w:r>
      <w:r w:rsidRPr="003776BC">
        <w:t>K</w:t>
      </w:r>
      <w:r w:rsidR="00136ACC">
        <w:t>hattab released dozens of tapes in</w:t>
      </w:r>
      <w:r w:rsidRPr="003776BC">
        <w:t xml:space="preserve"> a series called “Russian Hell,” </w:t>
      </w:r>
      <w:r w:rsidR="00136ACC">
        <w:t xml:space="preserve">which framed </w:t>
      </w:r>
      <w:r w:rsidR="00623EDB">
        <w:t xml:space="preserve">the Chechen fight as part of </w:t>
      </w:r>
      <w:r w:rsidRPr="003776BC">
        <w:t>global jihad</w:t>
      </w:r>
      <w:r w:rsidR="004555DB">
        <w:t xml:space="preserve">.  </w:t>
      </w:r>
      <w:r w:rsidRPr="003776BC">
        <w:t>The tapes depicted ambushes and assaults on Russian forces, and became a recruiting tool distributed throughout a network of mosques</w:t>
      </w:r>
      <w:r>
        <w:t xml:space="preserve"> as far as Indonesia</w:t>
      </w:r>
      <w:r w:rsidRPr="003776BC">
        <w:t>.</w:t>
      </w:r>
      <w:r w:rsidRPr="003776BC">
        <w:rPr>
          <w:vertAlign w:val="superscript"/>
        </w:rPr>
        <w:footnoteReference w:id="190"/>
      </w:r>
      <w:r w:rsidR="004555DB">
        <w:t xml:space="preserve"> </w:t>
      </w:r>
      <w:r w:rsidR="00136ACC">
        <w:t xml:space="preserve"> </w:t>
      </w:r>
      <w:r w:rsidRPr="003776BC">
        <w:t xml:space="preserve">Such </w:t>
      </w:r>
      <w:r w:rsidR="00623EDB">
        <w:t>propaganda</w:t>
      </w:r>
      <w:r w:rsidRPr="003776BC">
        <w:t>, some of which is easily acc</w:t>
      </w:r>
      <w:r w:rsidR="00136ACC">
        <w:t>essible online</w:t>
      </w:r>
      <w:r w:rsidRPr="003776BC">
        <w:t>, marketed jihad to</w:t>
      </w:r>
      <w:r w:rsidR="00A36A35">
        <w:t xml:space="preserve"> Muslims removed from the Arab in-group,</w:t>
      </w:r>
      <w:r w:rsidRPr="003776BC">
        <w:t xml:space="preserve"> essentially putting a Caucasian face (even though Khattab was Saudi) </w:t>
      </w:r>
      <w:r>
        <w:t>to global jihad</w:t>
      </w:r>
      <w:r w:rsidR="004555DB">
        <w:t xml:space="preserve">.  </w:t>
      </w:r>
      <w:r w:rsidR="00136ACC">
        <w:t xml:space="preserve">The consequence was that any Muslim of any background could enjoy martyrdom and </w:t>
      </w:r>
      <w:r w:rsidR="00052B34">
        <w:t>bring about</w:t>
      </w:r>
      <w:r w:rsidRPr="003776BC">
        <w:t xml:space="preserve"> a new Islamic state</w:t>
      </w:r>
      <w:r w:rsidR="004555DB">
        <w:t xml:space="preserve">.  </w:t>
      </w:r>
    </w:p>
    <w:p w:rsidR="0081557D" w:rsidRPr="003776BC" w:rsidRDefault="0081557D" w:rsidP="0081557D">
      <w:pPr>
        <w:pStyle w:val="Heading2"/>
        <w:contextualSpacing/>
        <w:rPr>
          <w:bCs w:val="0"/>
          <w:i/>
          <w:iCs w:val="0"/>
          <w:szCs w:val="24"/>
        </w:rPr>
      </w:pPr>
      <w:bookmarkStart w:id="58" w:name="_Toc450748691"/>
      <w:r w:rsidRPr="003776BC">
        <w:rPr>
          <w:bCs w:val="0"/>
          <w:i/>
          <w:szCs w:val="24"/>
        </w:rPr>
        <w:lastRenderedPageBreak/>
        <w:t>Al Qaeda</w:t>
      </w:r>
      <w:bookmarkEnd w:id="58"/>
    </w:p>
    <w:p w:rsidR="0081557D" w:rsidRPr="005F5C1A" w:rsidRDefault="0081557D" w:rsidP="00F57EFD">
      <w:pPr>
        <w:pStyle w:val="Heading3"/>
        <w:rPr>
          <w:rStyle w:val="SubtleEmphasis"/>
          <w:bCs w:val="0"/>
          <w:i/>
        </w:rPr>
      </w:pPr>
      <w:bookmarkStart w:id="59" w:name="_Toc450748692"/>
      <w:r w:rsidRPr="005F5C1A">
        <w:rPr>
          <w:rStyle w:val="SubtleEmphasis"/>
          <w:i/>
        </w:rPr>
        <w:t>Al Qaeda Development of Suicide Terrorism</w:t>
      </w:r>
      <w:bookmarkEnd w:id="59"/>
    </w:p>
    <w:p w:rsidR="00136ACC" w:rsidRDefault="0081557D" w:rsidP="00637C1F">
      <w:pPr>
        <w:ind w:firstLine="720"/>
        <w:contextualSpacing/>
      </w:pPr>
      <w:r>
        <w:t>Globalization caters to Qutbism</w:t>
      </w:r>
      <w:r w:rsidR="004555DB">
        <w:t xml:space="preserve">.  </w:t>
      </w:r>
      <w:r w:rsidRPr="003776BC">
        <w:t>Any ideology that transcends boundaries</w:t>
      </w:r>
      <w:r w:rsidR="00964856">
        <w:t xml:space="preserve"> and </w:t>
      </w:r>
      <w:r w:rsidRPr="003776BC">
        <w:t>creates a global in-group against any local out-group can flourish</w:t>
      </w:r>
      <w:r w:rsidR="004555DB">
        <w:t xml:space="preserve">.  </w:t>
      </w:r>
      <w:r w:rsidRPr="003776BC">
        <w:t xml:space="preserve">The flat world makes the spread of ideas </w:t>
      </w:r>
      <w:r w:rsidR="007A6F4C">
        <w:t xml:space="preserve">and imagery </w:t>
      </w:r>
      <w:r w:rsidR="00964856">
        <w:t xml:space="preserve">instant.  </w:t>
      </w:r>
      <w:r w:rsidR="007A6F4C">
        <w:t>Muslim</w:t>
      </w:r>
      <w:r w:rsidR="00964856">
        <w:t>s</w:t>
      </w:r>
      <w:r w:rsidR="007A6F4C">
        <w:t xml:space="preserve"> cognitively identify with </w:t>
      </w:r>
      <w:r w:rsidR="00637C1F">
        <w:t xml:space="preserve">fellow </w:t>
      </w:r>
      <w:r w:rsidR="007A6F4C">
        <w:t>Muslims suffering</w:t>
      </w:r>
      <w:r w:rsidRPr="003776BC">
        <w:t xml:space="preserve"> at the hands of </w:t>
      </w:r>
      <w:r w:rsidR="00637C1F">
        <w:t xml:space="preserve">oppressed </w:t>
      </w:r>
      <w:r w:rsidRPr="003776BC">
        <w:t xml:space="preserve">infidels </w:t>
      </w:r>
      <w:r w:rsidR="00136ACC">
        <w:t>thousands of miles away</w:t>
      </w:r>
      <w:r w:rsidR="00964856">
        <w:t xml:space="preserve">, which is </w:t>
      </w:r>
      <w:r w:rsidRPr="003776BC">
        <w:t>emotionally traumatizing.</w:t>
      </w:r>
      <w:r w:rsidRPr="003776BC">
        <w:rPr>
          <w:vertAlign w:val="superscript"/>
        </w:rPr>
        <w:footnoteReference w:id="191"/>
      </w:r>
      <w:r w:rsidR="004555DB">
        <w:t xml:space="preserve"> </w:t>
      </w:r>
      <w:r w:rsidR="00136ACC">
        <w:t xml:space="preserve"> </w:t>
      </w:r>
    </w:p>
    <w:p w:rsidR="0081557D" w:rsidRPr="003776BC" w:rsidRDefault="0081557D" w:rsidP="00637C1F">
      <w:pPr>
        <w:ind w:firstLine="720"/>
        <w:contextualSpacing/>
      </w:pPr>
      <w:r>
        <w:t xml:space="preserve">With the Soviet invasion of Afghanistan, Bin Laden found the opportunity to </w:t>
      </w:r>
      <w:r w:rsidR="00676F75">
        <w:t>use the incursion as a means to unify</w:t>
      </w:r>
      <w:r>
        <w:t xml:space="preserve"> Muslims to combat the</w:t>
      </w:r>
      <w:r w:rsidR="00637C1F">
        <w:t xml:space="preserve"> </w:t>
      </w:r>
      <w:r w:rsidR="009C3DDD">
        <w:t>Jahiliyya</w:t>
      </w:r>
      <w:r>
        <w:t xml:space="preserve"> regimes in the Arab world</w:t>
      </w:r>
      <w:r w:rsidR="004555DB">
        <w:t xml:space="preserve">.  </w:t>
      </w:r>
      <w:r w:rsidRPr="003776BC">
        <w:t>Bin Laden and other Arab leaders joined the fight late against the Soviets in Afg</w:t>
      </w:r>
      <w:r>
        <w:t>hanistan</w:t>
      </w:r>
      <w:r w:rsidR="004555DB">
        <w:t xml:space="preserve">.  </w:t>
      </w:r>
      <w:r>
        <w:t xml:space="preserve">On April 17, 1987, </w:t>
      </w:r>
      <w:r w:rsidRPr="003776BC">
        <w:t xml:space="preserve">Bin Laden led </w:t>
      </w:r>
      <w:r>
        <w:t xml:space="preserve">his first </w:t>
      </w:r>
      <w:r w:rsidRPr="003776BC">
        <w:t>attack on an Afghan Government post; the Arab mujahideen lacked p</w:t>
      </w:r>
      <w:r>
        <w:t>reparation and retreated in</w:t>
      </w:r>
      <w:r w:rsidRPr="003776BC">
        <w:t xml:space="preserve"> humiliation by one machine gunner.</w:t>
      </w:r>
      <w:r w:rsidRPr="003776BC">
        <w:rPr>
          <w:vertAlign w:val="superscript"/>
        </w:rPr>
        <w:footnoteReference w:id="192"/>
      </w:r>
      <w:r w:rsidR="004555DB">
        <w:t xml:space="preserve"> </w:t>
      </w:r>
      <w:r w:rsidR="00136ACC">
        <w:t xml:space="preserve"> </w:t>
      </w:r>
      <w:r w:rsidRPr="003776BC">
        <w:t>Nonetheless, this new in-group acted like they were decisive conquerors, riding the back of the Afghan mujahideen who truly engaged the Soviets</w:t>
      </w:r>
      <w:r w:rsidR="004555DB">
        <w:t xml:space="preserve">.  </w:t>
      </w:r>
      <w:r w:rsidRPr="003776BC">
        <w:t xml:space="preserve">In 1988, Bin Laden formed </w:t>
      </w:r>
      <w:r w:rsidRPr="00136ACC">
        <w:rPr>
          <w:i/>
        </w:rPr>
        <w:t>Al Qaeda al-Jihad</w:t>
      </w:r>
      <w:r w:rsidRPr="003776BC">
        <w:t>, “The Base of the Jihad.”</w:t>
      </w:r>
      <w:r w:rsidR="004555DB">
        <w:t xml:space="preserve"> </w:t>
      </w:r>
      <w:r w:rsidR="00676F75">
        <w:t>Al Qaeda</w:t>
      </w:r>
      <w:r w:rsidRPr="003776BC">
        <w:t xml:space="preserve"> </w:t>
      </w:r>
      <w:r>
        <w:t>bridged</w:t>
      </w:r>
      <w:r w:rsidRPr="003776BC">
        <w:t xml:space="preserve"> disparate local jihadist groups</w:t>
      </w:r>
      <w:r>
        <w:t xml:space="preserve">—such as Ayman Zawahiri’s Egyptian militant group—into </w:t>
      </w:r>
      <w:r w:rsidRPr="003776BC">
        <w:t>one globalized effort to strike at the sponsors of regional tyrants in the Arab World</w:t>
      </w:r>
      <w:r w:rsidR="004555DB">
        <w:t>.</w:t>
      </w:r>
      <w:r w:rsidR="00162507">
        <w:t xml:space="preserve">  The US would be the prime target, so that the US would stop supporting Egypt, Saudi Arabia, Israel, Turkey, and the international system in the Middle East.</w:t>
      </w:r>
      <w:r w:rsidR="004555DB">
        <w:t xml:space="preserve">  </w:t>
      </w:r>
    </w:p>
    <w:p w:rsidR="0081557D" w:rsidRPr="003776BC" w:rsidRDefault="0081557D" w:rsidP="00637C1F">
      <w:pPr>
        <w:ind w:firstLine="720"/>
        <w:contextualSpacing/>
      </w:pPr>
      <w:r>
        <w:t xml:space="preserve">The Palestinian Abdullah Azzam was one </w:t>
      </w:r>
      <w:r w:rsidRPr="003776BC">
        <w:t>of Bin Laden’s professors and early co-leade</w:t>
      </w:r>
      <w:r>
        <w:t>rs</w:t>
      </w:r>
      <w:r w:rsidR="004555DB">
        <w:t xml:space="preserve">.  </w:t>
      </w:r>
      <w:r w:rsidRPr="003776BC">
        <w:t xml:space="preserve">Azzam, who recruited many Arab mujahideen to Afghanistan to fight the Soviets, argued that the mujahideen must </w:t>
      </w:r>
      <w:r w:rsidR="00162507">
        <w:t>fall in love</w:t>
      </w:r>
      <w:r w:rsidRPr="003776BC">
        <w:t xml:space="preserve"> with death</w:t>
      </w:r>
      <w:r w:rsidR="00162507">
        <w:t xml:space="preserve"> and</w:t>
      </w:r>
      <w:r>
        <w:t xml:space="preserve"> become infatuated </w:t>
      </w:r>
      <w:r w:rsidRPr="003776BC">
        <w:lastRenderedPageBreak/>
        <w:t>with martyrdom.</w:t>
      </w:r>
      <w:r w:rsidRPr="003776BC">
        <w:rPr>
          <w:vertAlign w:val="superscript"/>
        </w:rPr>
        <w:footnoteReference w:id="193"/>
      </w:r>
      <w:r w:rsidR="00162507">
        <w:t xml:space="preserve">  </w:t>
      </w:r>
      <w:r w:rsidRPr="003776BC">
        <w:t xml:space="preserve">Azzam’s book </w:t>
      </w:r>
      <w:r w:rsidRPr="003776BC">
        <w:rPr>
          <w:i/>
        </w:rPr>
        <w:t>Lovers of the Paradise Maidens tell</w:t>
      </w:r>
      <w:r w:rsidRPr="003776BC">
        <w:t xml:space="preserve"> stories of mujahideen killed while fighting for God and </w:t>
      </w:r>
      <w:r w:rsidRPr="003776BC">
        <w:rPr>
          <w:i/>
        </w:rPr>
        <w:t>Virtues of Martyrdom in the Path of Allah</w:t>
      </w:r>
      <w:r w:rsidRPr="003776BC">
        <w:t xml:space="preserve"> describes the rewards of the martyr, including the infamous seventy-two member </w:t>
      </w:r>
      <w:r w:rsidRPr="003776BC">
        <w:rPr>
          <w:i/>
        </w:rPr>
        <w:t xml:space="preserve">houris </w:t>
      </w:r>
      <w:r w:rsidRPr="003776BC">
        <w:t xml:space="preserve">and </w:t>
      </w:r>
      <w:r>
        <w:t>the power to</w:t>
      </w:r>
      <w:r w:rsidR="00162507">
        <w:t xml:space="preserve"> intercede for seventy</w:t>
      </w:r>
      <w:r w:rsidRPr="003776BC">
        <w:t xml:space="preserve"> members of </w:t>
      </w:r>
      <w:r w:rsidR="00637C1F">
        <w:t xml:space="preserve">the martyr’s </w:t>
      </w:r>
      <w:r w:rsidRPr="003776BC">
        <w:t>family.</w:t>
      </w:r>
      <w:r w:rsidRPr="003776BC">
        <w:rPr>
          <w:vertAlign w:val="superscript"/>
        </w:rPr>
        <w:footnoteReference w:id="194"/>
      </w:r>
      <w:r w:rsidR="004555DB">
        <w:t xml:space="preserve"> </w:t>
      </w:r>
      <w:r w:rsidR="00162507">
        <w:t xml:space="preserve"> </w:t>
      </w:r>
      <w:r w:rsidR="00E01DC5">
        <w:t>Th</w:t>
      </w:r>
      <w:r w:rsidRPr="003776BC">
        <w:t xml:space="preserve">ese descriptions incentivized martyrdom, and </w:t>
      </w:r>
      <w:r w:rsidR="00E01DC5">
        <w:t>they become</w:t>
      </w:r>
      <w:r w:rsidRPr="003776BC">
        <w:t xml:space="preserve"> a common strain </w:t>
      </w:r>
      <w:r>
        <w:t>in</w:t>
      </w:r>
      <w:r w:rsidRPr="003776BC">
        <w:t xml:space="preserve"> any conflict involving radicalized Sunnis</w:t>
      </w:r>
      <w:r w:rsidR="004555DB">
        <w:t xml:space="preserve">.  </w:t>
      </w:r>
      <w:r w:rsidR="005D26B7">
        <w:t>Azzam</w:t>
      </w:r>
      <w:r w:rsidR="005D26B7" w:rsidRPr="003776BC">
        <w:t xml:space="preserve"> </w:t>
      </w:r>
      <w:r w:rsidR="005D26B7">
        <w:t xml:space="preserve">prioritized liberating Jerusalem and opposed discussion of </w:t>
      </w:r>
      <w:r w:rsidR="005D26B7">
        <w:rPr>
          <w:i/>
        </w:rPr>
        <w:t>t</w:t>
      </w:r>
      <w:r w:rsidR="005D26B7" w:rsidRPr="007A6F4C">
        <w:rPr>
          <w:i/>
          <w:iCs/>
        </w:rPr>
        <w:t>akfir</w:t>
      </w:r>
      <w:r w:rsidR="005D26B7">
        <w:t>, which is calling fellow Sunnis unbelievers because they do not adhere to Salafist theological assumptions</w:t>
      </w:r>
      <w:r w:rsidR="005D26B7" w:rsidRPr="003776BC">
        <w:t>.</w:t>
      </w:r>
      <w:r w:rsidR="005D26B7">
        <w:rPr>
          <w:rStyle w:val="FootnoteReference"/>
        </w:rPr>
        <w:footnoteReference w:id="195"/>
      </w:r>
      <w:r w:rsidR="00637C1F">
        <w:t xml:space="preserve">  </w:t>
      </w:r>
      <w:r w:rsidRPr="003776BC">
        <w:t xml:space="preserve">Zawahiri on the other hand </w:t>
      </w:r>
      <w:r>
        <w:t xml:space="preserve">endorsed takfir and prioritized revolution in </w:t>
      </w:r>
      <w:r w:rsidR="00052B34">
        <w:t xml:space="preserve">American-sponsored </w:t>
      </w:r>
      <w:r>
        <w:t>Arab countries, which required confronting the US</w:t>
      </w:r>
      <w:r w:rsidRPr="003776BC">
        <w:t>.</w:t>
      </w:r>
      <w:r w:rsidRPr="003776BC">
        <w:rPr>
          <w:vertAlign w:val="superscript"/>
        </w:rPr>
        <w:footnoteReference w:id="196"/>
      </w:r>
      <w:r w:rsidR="004555DB">
        <w:t xml:space="preserve"> </w:t>
      </w:r>
      <w:r w:rsidR="00162507">
        <w:t xml:space="preserve"> </w:t>
      </w:r>
      <w:r w:rsidRPr="003776BC">
        <w:t>Azzam was killed in Pakistan in 1989, possibly with Bin Laden’s knowledge</w:t>
      </w:r>
      <w:r w:rsidR="004555DB">
        <w:t xml:space="preserve">.  </w:t>
      </w:r>
      <w:r>
        <w:t>The</w:t>
      </w:r>
      <w:r w:rsidRPr="003776BC">
        <w:t xml:space="preserve"> death of Azzam assured that Bin Laden’s main influencer would be Zawahiri, who was the Al Qaeda advocate of martyrdom operations.</w:t>
      </w:r>
    </w:p>
    <w:p w:rsidR="0081557D" w:rsidRPr="003776BC" w:rsidRDefault="0081557D" w:rsidP="0081557D">
      <w:r w:rsidRPr="003776BC">
        <w:tab/>
        <w:t>The Sunni background of Al Qaeda meant little to Bin Laden when it came to learning from successful Shia militants</w:t>
      </w:r>
      <w:r w:rsidR="004555DB">
        <w:t xml:space="preserve">.  </w:t>
      </w:r>
      <w:r w:rsidRPr="003776BC">
        <w:t xml:space="preserve">Bin Laden considered Hezbollah experts and sent his people to learn from them—particularly </w:t>
      </w:r>
      <w:r>
        <w:t xml:space="preserve">about </w:t>
      </w:r>
      <w:r w:rsidRPr="003776BC">
        <w:t>the bombing of the US barracks</w:t>
      </w:r>
      <w:r w:rsidR="004555DB">
        <w:t xml:space="preserve">.  </w:t>
      </w:r>
      <w:r w:rsidRPr="003776BC">
        <w:t>Bin Laden’s operatives went</w:t>
      </w:r>
      <w:r w:rsidR="00162507">
        <w:t xml:space="preserve"> to Beirut</w:t>
      </w:r>
      <w:r w:rsidRPr="003776BC">
        <w:t>, took careful notes, and returned with the operational concepts and knowledge necessary for the 1998 embassy bombings.</w:t>
      </w:r>
      <w:r w:rsidRPr="003776BC">
        <w:rPr>
          <w:vertAlign w:val="superscript"/>
        </w:rPr>
        <w:footnoteReference w:id="197"/>
      </w:r>
      <w:r w:rsidR="004555DB">
        <w:t xml:space="preserve"> </w:t>
      </w:r>
      <w:r w:rsidRPr="003776BC">
        <w:t xml:space="preserve">During the guilty plea of Ali Muhammad for the US Embassy bombings, Muhammad </w:t>
      </w:r>
      <w:r w:rsidRPr="003776BC">
        <w:lastRenderedPageBreak/>
        <w:t xml:space="preserve">confessed to setting up meetings </w:t>
      </w:r>
      <w:r>
        <w:t xml:space="preserve">in the early 1990s </w:t>
      </w:r>
      <w:r w:rsidRPr="003776BC">
        <w:t>between Bin Laden and Imad Mugniyeh, the operational planner behind the Beirut barracks bombing.</w:t>
      </w:r>
      <w:r w:rsidRPr="003776BC">
        <w:rPr>
          <w:vertAlign w:val="superscript"/>
        </w:rPr>
        <w:footnoteReference w:id="198"/>
      </w:r>
      <w:r w:rsidR="004555DB">
        <w:t xml:space="preserve"> </w:t>
      </w:r>
    </w:p>
    <w:p w:rsidR="0081557D" w:rsidRPr="003776BC" w:rsidRDefault="0081557D" w:rsidP="00E01DC5">
      <w:pPr>
        <w:ind w:firstLine="720"/>
        <w:contextualSpacing/>
      </w:pPr>
      <w:r w:rsidRPr="003776BC">
        <w:t xml:space="preserve">In 1998, </w:t>
      </w:r>
      <w:r w:rsidR="00E01DC5">
        <w:t>UBL</w:t>
      </w:r>
      <w:r w:rsidRPr="003776BC">
        <w:t xml:space="preserve"> issued the fatwa that declared that all Muslims have </w:t>
      </w:r>
      <w:r w:rsidR="00162507">
        <w:t xml:space="preserve">the </w:t>
      </w:r>
      <w:r w:rsidRPr="003776BC">
        <w:t xml:space="preserve">duty to kill Americans, </w:t>
      </w:r>
      <w:r>
        <w:t xml:space="preserve">to </w:t>
      </w:r>
      <w:r w:rsidRPr="003776BC">
        <w:t xml:space="preserve">liberate Jerusalem, and </w:t>
      </w:r>
      <w:r>
        <w:t xml:space="preserve">to </w:t>
      </w:r>
      <w:r w:rsidRPr="003776BC">
        <w:t>remove foreign forces from Holy Land.</w:t>
      </w:r>
      <w:r w:rsidRPr="003776BC">
        <w:rPr>
          <w:vertAlign w:val="superscript"/>
        </w:rPr>
        <w:footnoteReference w:id="199"/>
      </w:r>
      <w:r w:rsidR="004555DB">
        <w:t xml:space="preserve"> </w:t>
      </w:r>
      <w:r w:rsidR="00162507">
        <w:t xml:space="preserve"> </w:t>
      </w:r>
      <w:r w:rsidRPr="003776BC">
        <w:t xml:space="preserve">In an ABC </w:t>
      </w:r>
      <w:r>
        <w:t>interview that year, Bin Laden argued,</w:t>
      </w:r>
      <w:r w:rsidRPr="003776BC">
        <w:t xml:space="preserve"> “We do not differentiate between those dressed in military uniforms and civilians</w:t>
      </w:r>
      <w:r w:rsidR="004555DB">
        <w:t xml:space="preserve">.  </w:t>
      </w:r>
      <w:r w:rsidRPr="003776BC">
        <w:t>They are all targets.”</w:t>
      </w:r>
      <w:r w:rsidRPr="003776BC">
        <w:rPr>
          <w:vertAlign w:val="superscript"/>
        </w:rPr>
        <w:footnoteReference w:id="200"/>
      </w:r>
      <w:r w:rsidR="00E01DC5">
        <w:t xml:space="preserve">  </w:t>
      </w:r>
      <w:r>
        <w:t>To justify civilian targets, Bin Laden</w:t>
      </w:r>
      <w:r w:rsidRPr="003776BC">
        <w:t xml:space="preserve"> quoted Surah</w:t>
      </w:r>
      <w:r>
        <w:t xml:space="preserve"> 9:5:</w:t>
      </w:r>
      <w:r w:rsidRPr="003776BC">
        <w:t xml:space="preserve"> “</w:t>
      </w:r>
      <w:r>
        <w:t>[F]</w:t>
      </w:r>
      <w:proofErr w:type="spellStart"/>
      <w:r w:rsidRPr="003776BC">
        <w:t>ight</w:t>
      </w:r>
      <w:proofErr w:type="spellEnd"/>
      <w:r w:rsidRPr="003776BC">
        <w:t xml:space="preserve"> and slay the pagans wherever ye find them, seize them, beleaguer them, and lie in wait for t</w:t>
      </w:r>
      <w:r>
        <w:t>hem</w:t>
      </w:r>
      <w:r w:rsidRPr="003776BC">
        <w:t>.”</w:t>
      </w:r>
      <w:r w:rsidRPr="003776BC">
        <w:rPr>
          <w:vertAlign w:val="superscript"/>
        </w:rPr>
        <w:footnoteReference w:id="201"/>
      </w:r>
    </w:p>
    <w:p w:rsidR="0081557D" w:rsidRPr="003776BC" w:rsidRDefault="0081557D" w:rsidP="0081557D">
      <w:pPr>
        <w:ind w:firstLine="720"/>
        <w:contextualSpacing/>
      </w:pPr>
      <w:r w:rsidRPr="003776BC">
        <w:t xml:space="preserve">Although Al Qaeda never had any working relationship with </w:t>
      </w:r>
      <w:r>
        <w:t>the Palestinian groups,</w:t>
      </w:r>
      <w:r w:rsidRPr="003776BC">
        <w:t xml:space="preserve"> </w:t>
      </w:r>
      <w:r>
        <w:t>it</w:t>
      </w:r>
      <w:r w:rsidR="00162507">
        <w:t xml:space="preserve"> extracted</w:t>
      </w:r>
      <w:r w:rsidRPr="003776BC">
        <w:t xml:space="preserve"> the ju</w:t>
      </w:r>
      <w:r>
        <w:t>stification</w:t>
      </w:r>
      <w:r w:rsidRPr="003776BC">
        <w:t xml:space="preserve"> and cosmic martyrdom associated with Pales</w:t>
      </w:r>
      <w:r>
        <w:t>tinian suicide attacks</w:t>
      </w:r>
      <w:r w:rsidRPr="003776BC">
        <w:t xml:space="preserve"> out of the Middle East</w:t>
      </w:r>
      <w:r w:rsidR="004555DB">
        <w:t xml:space="preserve">.  </w:t>
      </w:r>
      <w:r>
        <w:t>The martyrdom operation became the symbol to advance</w:t>
      </w:r>
      <w:r w:rsidRPr="003776BC">
        <w:t xml:space="preserve"> the goals of the </w:t>
      </w:r>
      <w:r>
        <w:t>Qutbis</w:t>
      </w:r>
      <w:r w:rsidRPr="003776BC">
        <w:t>t movement, and any Western symbol—or Westerner—became a legitimate target</w:t>
      </w:r>
      <w:r w:rsidR="004555DB">
        <w:t xml:space="preserve">.  </w:t>
      </w:r>
      <w:r>
        <w:t>In doing so, Al Qaeda expanded permissible targets in war.</w:t>
      </w:r>
      <w:r w:rsidRPr="003776BC">
        <w:rPr>
          <w:vertAlign w:val="superscript"/>
        </w:rPr>
        <w:footnoteReference w:id="202"/>
      </w:r>
      <w:r w:rsidR="00162507">
        <w:t xml:space="preserve">  </w:t>
      </w:r>
      <w:r>
        <w:t xml:space="preserve">With the help of globalization, Al </w:t>
      </w:r>
      <w:r w:rsidR="00162507">
        <w:t>Qaeda incentivized self-starting franchises and cells</w:t>
      </w:r>
      <w:r>
        <w:t xml:space="preserve"> to attack these targets, insisting that</w:t>
      </w:r>
      <w:r w:rsidR="00637C1F">
        <w:t xml:space="preserve"> the</w:t>
      </w:r>
      <w:r>
        <w:t xml:space="preserve"> </w:t>
      </w:r>
      <w:r w:rsidR="00E01DC5">
        <w:t>Salafi generation’s Islamic conquest of</w:t>
      </w:r>
      <w:r>
        <w:t xml:space="preserve"> </w:t>
      </w:r>
      <w:r w:rsidR="009C3DDD">
        <w:t>Jahiliyya</w:t>
      </w:r>
      <w:r>
        <w:t xml:space="preserve"> should never have stopped</w:t>
      </w:r>
      <w:r w:rsidR="004555DB">
        <w:t xml:space="preserve">.  </w:t>
      </w:r>
      <w:r w:rsidRPr="003776BC">
        <w:t xml:space="preserve">No other group has invested the time, effort, and money to exploit </w:t>
      </w:r>
      <w:r>
        <w:t>suicide terrorism as Al Qaeda</w:t>
      </w:r>
      <w:r w:rsidRPr="003776BC">
        <w:t>.</w:t>
      </w:r>
      <w:r w:rsidRPr="003776BC">
        <w:rPr>
          <w:vertAlign w:val="superscript"/>
        </w:rPr>
        <w:footnoteReference w:id="203"/>
      </w:r>
      <w:r w:rsidR="004555DB">
        <w:rPr>
          <w:vertAlign w:val="superscript"/>
        </w:rPr>
        <w:t xml:space="preserve"> </w:t>
      </w:r>
    </w:p>
    <w:p w:rsidR="0081557D" w:rsidRPr="003776BC" w:rsidRDefault="0081557D" w:rsidP="00ED1789">
      <w:pPr>
        <w:ind w:firstLine="720"/>
        <w:contextualSpacing/>
        <w:rPr>
          <w:lang w:bidi="he-IL"/>
        </w:rPr>
      </w:pPr>
      <w:r w:rsidRPr="003776BC">
        <w:rPr>
          <w:lang w:bidi="he-IL"/>
        </w:rPr>
        <w:lastRenderedPageBreak/>
        <w:t>Bin Laden transformed regional conflicts between Arabs and Muslims living under ugly regimes in the Middle East into global conflicts with the US and its allies.</w:t>
      </w:r>
      <w:r w:rsidRPr="003776BC">
        <w:rPr>
          <w:vertAlign w:val="superscript"/>
          <w:lang w:bidi="he-IL"/>
        </w:rPr>
        <w:footnoteReference w:id="204"/>
      </w:r>
      <w:r w:rsidR="004555DB">
        <w:rPr>
          <w:lang w:bidi="he-IL"/>
        </w:rPr>
        <w:t xml:space="preserve"> </w:t>
      </w:r>
      <w:r>
        <w:t xml:space="preserve">The </w:t>
      </w:r>
      <w:r w:rsidR="00162507">
        <w:t xml:space="preserve">strategic objective of the </w:t>
      </w:r>
      <w:r>
        <w:t>September 11</w:t>
      </w:r>
      <w:r w:rsidRPr="00AE01A5">
        <w:rPr>
          <w:vertAlign w:val="superscript"/>
        </w:rPr>
        <w:t>th</w:t>
      </w:r>
      <w:r>
        <w:t xml:space="preserve"> attacks w</w:t>
      </w:r>
      <w:r w:rsidRPr="003776BC">
        <w:t xml:space="preserve">as to provoke </w:t>
      </w:r>
      <w:r w:rsidRPr="003776BC">
        <w:rPr>
          <w:lang w:bidi="he-IL"/>
        </w:rPr>
        <w:t xml:space="preserve">a disproportionate US military </w:t>
      </w:r>
      <w:r w:rsidR="00162507">
        <w:rPr>
          <w:lang w:bidi="he-IL"/>
        </w:rPr>
        <w:t xml:space="preserve">response that would have the second order </w:t>
      </w:r>
      <w:r>
        <w:rPr>
          <w:lang w:bidi="he-IL"/>
        </w:rPr>
        <w:t>effect of waking up the “</w:t>
      </w:r>
      <w:r w:rsidRPr="003776BC">
        <w:rPr>
          <w:lang w:bidi="he-IL"/>
        </w:rPr>
        <w:t>slumbering nation of Islam</w:t>
      </w:r>
      <w:r>
        <w:rPr>
          <w:lang w:bidi="he-IL"/>
        </w:rPr>
        <w:t xml:space="preserve">,” rallying it to confront </w:t>
      </w:r>
      <w:r w:rsidRPr="003776BC">
        <w:rPr>
          <w:lang w:bidi="he-IL"/>
        </w:rPr>
        <w:t>the West.</w:t>
      </w:r>
      <w:r w:rsidRPr="003776BC">
        <w:rPr>
          <w:vertAlign w:val="superscript"/>
          <w:lang w:bidi="he-IL"/>
        </w:rPr>
        <w:footnoteReference w:id="205"/>
      </w:r>
      <w:r w:rsidR="004555DB">
        <w:rPr>
          <w:lang w:bidi="he-IL"/>
        </w:rPr>
        <w:t xml:space="preserve"> </w:t>
      </w:r>
      <w:r w:rsidR="00162507">
        <w:rPr>
          <w:lang w:bidi="he-IL"/>
        </w:rPr>
        <w:t xml:space="preserve"> </w:t>
      </w:r>
      <w:r w:rsidRPr="003776BC">
        <w:rPr>
          <w:lang w:bidi="he-IL"/>
        </w:rPr>
        <w:t>Al Qaeda planned to erode US military power by spreading its military and intelligence forces while</w:t>
      </w:r>
      <w:r>
        <w:rPr>
          <w:lang w:bidi="he-IL"/>
        </w:rPr>
        <w:t xml:space="preserve"> making the US hemorrhage money</w:t>
      </w:r>
      <w:r w:rsidR="004555DB">
        <w:rPr>
          <w:lang w:bidi="he-IL"/>
        </w:rPr>
        <w:t xml:space="preserve">.  </w:t>
      </w:r>
      <w:r>
        <w:rPr>
          <w:lang w:bidi="he-IL"/>
        </w:rPr>
        <w:t xml:space="preserve">As </w:t>
      </w:r>
      <w:r w:rsidR="003244AE">
        <w:rPr>
          <w:lang w:bidi="he-IL"/>
        </w:rPr>
        <w:t>s</w:t>
      </w:r>
      <w:r w:rsidR="003244AE" w:rsidRPr="009D0132">
        <w:rPr>
          <w:lang w:bidi="he-IL"/>
        </w:rPr>
        <w:t>ummar</w:t>
      </w:r>
      <w:r w:rsidR="003244AE">
        <w:rPr>
          <w:lang w:bidi="he-IL"/>
        </w:rPr>
        <w:t>ized</w:t>
      </w:r>
      <w:r>
        <w:rPr>
          <w:lang w:bidi="he-IL"/>
        </w:rPr>
        <w:t xml:space="preserve"> by</w:t>
      </w:r>
      <w:r w:rsidRPr="003776BC">
        <w:rPr>
          <w:lang w:bidi="he-IL"/>
        </w:rPr>
        <w:t xml:space="preserve"> Bin Laden, “each of Al-Qaida’s dollars defeated one million American dollars, thanks to Allah’s grace.”</w:t>
      </w:r>
      <w:r w:rsidRPr="003776BC">
        <w:rPr>
          <w:vertAlign w:val="superscript"/>
          <w:lang w:bidi="he-IL"/>
        </w:rPr>
        <w:footnoteReference w:id="206"/>
      </w:r>
      <w:r w:rsidR="00637C1F">
        <w:rPr>
          <w:lang w:bidi="he-IL"/>
        </w:rPr>
        <w:t xml:space="preserve">  </w:t>
      </w:r>
      <w:r w:rsidRPr="003776BC">
        <w:rPr>
          <w:lang w:bidi="he-IL"/>
        </w:rPr>
        <w:t>As Al-Zawahiri argues, jihadists must be patient—this is a generational game—as empires do not fall in a moment but in decades.</w:t>
      </w:r>
      <w:r w:rsidRPr="003776BC">
        <w:rPr>
          <w:vertAlign w:val="superscript"/>
          <w:lang w:bidi="he-IL"/>
        </w:rPr>
        <w:footnoteReference w:id="207"/>
      </w:r>
      <w:r w:rsidR="004555DB">
        <w:rPr>
          <w:lang w:bidi="he-IL"/>
        </w:rPr>
        <w:t xml:space="preserve"> </w:t>
      </w:r>
    </w:p>
    <w:p w:rsidR="0081557D" w:rsidRPr="005F5C1A" w:rsidRDefault="0081557D" w:rsidP="00F57EFD">
      <w:pPr>
        <w:pStyle w:val="Heading3"/>
      </w:pPr>
      <w:bookmarkStart w:id="60" w:name="_Toc450748693"/>
      <w:r w:rsidRPr="005F5C1A">
        <w:rPr>
          <w:rStyle w:val="SubtleEmphasis"/>
          <w:i/>
        </w:rPr>
        <w:t>Cognitive Terrain of Al Qaeda Bombers</w:t>
      </w:r>
      <w:bookmarkEnd w:id="60"/>
    </w:p>
    <w:p w:rsidR="0081557D" w:rsidRPr="003776BC" w:rsidRDefault="0081557D" w:rsidP="00E01DC5">
      <w:pPr>
        <w:ind w:firstLine="720"/>
        <w:contextualSpacing/>
        <w:rPr>
          <w:lang w:bidi="he-IL"/>
        </w:rPr>
      </w:pPr>
      <w:r>
        <w:rPr>
          <w:lang w:bidi="he-IL"/>
        </w:rPr>
        <w:t xml:space="preserve">In 1997, </w:t>
      </w:r>
      <w:r w:rsidRPr="003776BC">
        <w:rPr>
          <w:lang w:bidi="he-IL"/>
        </w:rPr>
        <w:t xml:space="preserve">Islamic </w:t>
      </w:r>
      <w:r w:rsidRPr="00AE01A5">
        <w:rPr>
          <w:lang w:bidi="he-IL"/>
        </w:rPr>
        <w:t xml:space="preserve">philosopher Abu </w:t>
      </w:r>
      <w:r w:rsidRPr="00AE01A5">
        <w:rPr>
          <w:bCs/>
          <w:lang w:bidi="he-IL"/>
        </w:rPr>
        <w:t>Ruqaiyah</w:t>
      </w:r>
      <w:r>
        <w:rPr>
          <w:lang w:bidi="he-IL"/>
        </w:rPr>
        <w:t xml:space="preserve"> </w:t>
      </w:r>
      <w:r w:rsidRPr="003776BC">
        <w:rPr>
          <w:lang w:bidi="he-IL"/>
        </w:rPr>
        <w:t>published “The Islamic Legitimacy in Martyrdom Operations.”</w:t>
      </w:r>
      <w:r w:rsidR="004555DB">
        <w:rPr>
          <w:lang w:bidi="he-IL"/>
        </w:rPr>
        <w:t xml:space="preserve"> </w:t>
      </w:r>
      <w:r w:rsidR="00E01DC5">
        <w:rPr>
          <w:lang w:bidi="he-IL"/>
        </w:rPr>
        <w:t xml:space="preserve">He defines </w:t>
      </w:r>
      <w:r w:rsidRPr="003776BC">
        <w:rPr>
          <w:lang w:bidi="he-IL"/>
        </w:rPr>
        <w:t xml:space="preserve">martyrdom operations as </w:t>
      </w:r>
      <w:r w:rsidR="00E01DC5">
        <w:rPr>
          <w:lang w:bidi="he-IL"/>
        </w:rPr>
        <w:t xml:space="preserve">attacks </w:t>
      </w:r>
      <w:r w:rsidRPr="003776BC">
        <w:rPr>
          <w:lang w:bidi="he-IL"/>
        </w:rPr>
        <w:t>“performed by one or more people, against enemies far outstripping them in numbers and equipment, with prior knowledge that the operations will almost inevitably lead to death.”</w:t>
      </w:r>
      <w:r w:rsidRPr="003776BC">
        <w:rPr>
          <w:vertAlign w:val="superscript"/>
          <w:lang w:bidi="he-IL"/>
        </w:rPr>
        <w:footnoteReference w:id="208"/>
      </w:r>
      <w:r w:rsidR="004555DB">
        <w:rPr>
          <w:lang w:bidi="he-IL"/>
        </w:rPr>
        <w:t xml:space="preserve"> </w:t>
      </w:r>
      <w:r w:rsidR="00162507">
        <w:rPr>
          <w:lang w:bidi="he-IL"/>
        </w:rPr>
        <w:t xml:space="preserve"> Ruqaiyah cites </w:t>
      </w:r>
      <w:r>
        <w:rPr>
          <w:lang w:bidi="he-IL"/>
        </w:rPr>
        <w:t xml:space="preserve">controversial </w:t>
      </w:r>
      <w:r w:rsidRPr="003776BC">
        <w:rPr>
          <w:lang w:bidi="he-IL"/>
        </w:rPr>
        <w:t>Sura</w:t>
      </w:r>
      <w:r>
        <w:rPr>
          <w:lang w:bidi="he-IL"/>
        </w:rPr>
        <w:t>h</w:t>
      </w:r>
      <w:r w:rsidRPr="003776BC">
        <w:rPr>
          <w:lang w:bidi="he-IL"/>
        </w:rPr>
        <w:t>s</w:t>
      </w:r>
      <w:r>
        <w:rPr>
          <w:lang w:bidi="he-IL"/>
        </w:rPr>
        <w:t xml:space="preserve"> of the Qur’an at face value</w:t>
      </w:r>
      <w:r w:rsidR="00E01DC5">
        <w:rPr>
          <w:lang w:bidi="he-IL"/>
        </w:rPr>
        <w:t xml:space="preserve"> (such as Surah 9:5)</w:t>
      </w:r>
      <w:r>
        <w:rPr>
          <w:lang w:bidi="he-IL"/>
        </w:rPr>
        <w:t>,</w:t>
      </w:r>
      <w:r w:rsidRPr="003776BC">
        <w:rPr>
          <w:lang w:bidi="he-IL"/>
        </w:rPr>
        <w:t xml:space="preserve"> and concludes, “Evidences from the Qur’an and the Sunna</w:t>
      </w:r>
      <w:r>
        <w:rPr>
          <w:lang w:bidi="he-IL"/>
        </w:rPr>
        <w:t xml:space="preserve"> (Muslim law)</w:t>
      </w:r>
      <w:r w:rsidRPr="003776BC">
        <w:rPr>
          <w:lang w:bidi="he-IL"/>
        </w:rPr>
        <w:t>….clearly demonstrated the ‘Islamic bombing assault’ or the ‘martyrdom attack’ is Islamically legitimate as far as it is within the framework of Islam.”</w:t>
      </w:r>
      <w:r w:rsidR="004555DB">
        <w:rPr>
          <w:lang w:bidi="he-IL"/>
        </w:rPr>
        <w:t xml:space="preserve"> </w:t>
      </w:r>
      <w:r w:rsidR="00162507">
        <w:rPr>
          <w:lang w:bidi="he-IL"/>
        </w:rPr>
        <w:t xml:space="preserve"> </w:t>
      </w:r>
      <w:r w:rsidRPr="003776BC">
        <w:rPr>
          <w:lang w:bidi="he-IL"/>
        </w:rPr>
        <w:t xml:space="preserve">In fact, suicide bomber </w:t>
      </w:r>
      <w:r w:rsidRPr="003776BC">
        <w:rPr>
          <w:lang w:bidi="he-IL"/>
        </w:rPr>
        <w:lastRenderedPageBreak/>
        <w:t xml:space="preserve">martyrs are superior to martyrs </w:t>
      </w:r>
      <w:r w:rsidR="00162507">
        <w:rPr>
          <w:lang w:bidi="he-IL"/>
        </w:rPr>
        <w:t xml:space="preserve">killed by other means.  </w:t>
      </w:r>
      <w:r w:rsidRPr="003776BC">
        <w:rPr>
          <w:lang w:bidi="he-IL"/>
        </w:rPr>
        <w:t xml:space="preserve">The extent of </w:t>
      </w:r>
      <w:r>
        <w:rPr>
          <w:lang w:bidi="he-IL"/>
        </w:rPr>
        <w:t>Ruqaiya</w:t>
      </w:r>
      <w:r w:rsidRPr="003776BC">
        <w:rPr>
          <w:lang w:bidi="he-IL"/>
        </w:rPr>
        <w:t xml:space="preserve">h’s influence is </w:t>
      </w:r>
      <w:r>
        <w:rPr>
          <w:lang w:bidi="he-IL"/>
        </w:rPr>
        <w:t>unknown</w:t>
      </w:r>
      <w:r w:rsidR="00162507">
        <w:rPr>
          <w:lang w:bidi="he-IL"/>
        </w:rPr>
        <w:t>; h</w:t>
      </w:r>
      <w:r w:rsidRPr="003776BC">
        <w:rPr>
          <w:lang w:bidi="he-IL"/>
        </w:rPr>
        <w:t>owever</w:t>
      </w:r>
      <w:r>
        <w:rPr>
          <w:lang w:bidi="he-IL"/>
        </w:rPr>
        <w:t>,</w:t>
      </w:r>
      <w:r w:rsidRPr="003776BC">
        <w:rPr>
          <w:lang w:bidi="he-IL"/>
        </w:rPr>
        <w:t xml:space="preserve"> </w:t>
      </w:r>
      <w:r>
        <w:rPr>
          <w:lang w:bidi="he-IL"/>
        </w:rPr>
        <w:t xml:space="preserve">Al Qaeda and ISIS have echoed his arguments to justify </w:t>
      </w:r>
      <w:r w:rsidR="00E01DC5">
        <w:rPr>
          <w:lang w:bidi="he-IL"/>
        </w:rPr>
        <w:t>martyrdom operations against civilian targets.</w:t>
      </w:r>
      <w:r w:rsidR="004555DB">
        <w:rPr>
          <w:lang w:bidi="he-IL"/>
        </w:rPr>
        <w:t xml:space="preserve">  </w:t>
      </w:r>
    </w:p>
    <w:p w:rsidR="0081557D" w:rsidRPr="003776BC" w:rsidRDefault="0081557D" w:rsidP="004F58E8">
      <w:pPr>
        <w:ind w:firstLine="720"/>
        <w:contextualSpacing/>
      </w:pPr>
      <w:r w:rsidRPr="003776BC">
        <w:t>Jihadist manuals confiscated in Iraq and Afghanistan and dissemina</w:t>
      </w:r>
      <w:r w:rsidR="00162507">
        <w:t>ted online translate</w:t>
      </w:r>
      <w:r w:rsidRPr="003776BC">
        <w:t xml:space="preserve"> Islamic military history into modern operational systems</w:t>
      </w:r>
      <w:r w:rsidR="004555DB">
        <w:t xml:space="preserve">.  </w:t>
      </w:r>
      <w:r w:rsidRPr="003776BC">
        <w:t xml:space="preserve">For example, the </w:t>
      </w:r>
      <w:r w:rsidRPr="003776BC">
        <w:rPr>
          <w:i/>
        </w:rPr>
        <w:t xml:space="preserve">Muaskar al-Battar </w:t>
      </w:r>
      <w:r w:rsidRPr="003776BC">
        <w:t xml:space="preserve">manual itself refers to </w:t>
      </w:r>
      <w:r w:rsidRPr="003776BC">
        <w:rPr>
          <w:i/>
        </w:rPr>
        <w:t xml:space="preserve">al-Battar, </w:t>
      </w:r>
      <w:r w:rsidRPr="003776BC">
        <w:t>a sword carried by the Prophet M</w:t>
      </w:r>
      <w:r>
        <w:t>uhammad</w:t>
      </w:r>
      <w:r w:rsidR="004555DB">
        <w:t xml:space="preserve">.  </w:t>
      </w:r>
      <w:r>
        <w:t xml:space="preserve">The manual provides </w:t>
      </w:r>
      <w:r w:rsidRPr="003776BC">
        <w:t xml:space="preserve">lessons learned from the fights in Iraq and Afghanistan, practical guerilla warfare advice, </w:t>
      </w:r>
      <w:r>
        <w:t xml:space="preserve">and </w:t>
      </w:r>
      <w:r w:rsidRPr="003776BC">
        <w:t>spiritual guidance</w:t>
      </w:r>
      <w:r w:rsidR="004555DB">
        <w:t xml:space="preserve">.  </w:t>
      </w:r>
      <w:r>
        <w:t>It also</w:t>
      </w:r>
      <w:r w:rsidRPr="003776BC">
        <w:t xml:space="preserve"> </w:t>
      </w:r>
      <w:r>
        <w:t xml:space="preserve">cites Sayyid Qutb, </w:t>
      </w:r>
      <w:r w:rsidRPr="003776BC">
        <w:t xml:space="preserve">reiterates Qur’an verses </w:t>
      </w:r>
      <w:r>
        <w:t>on the battles of Mohammad</w:t>
      </w:r>
      <w:r w:rsidRPr="003776BC">
        <w:t xml:space="preserve">, describes how to take apart and reassemble a machine gun, recommends </w:t>
      </w:r>
      <w:r>
        <w:t xml:space="preserve">a CrossFit daily workout for </w:t>
      </w:r>
      <w:r w:rsidRPr="003776BC">
        <w:t>physical fitness, and presents poems praising the heavenly reward of the martyr.</w:t>
      </w:r>
      <w:r w:rsidRPr="003776BC">
        <w:rPr>
          <w:vertAlign w:val="superscript"/>
        </w:rPr>
        <w:footnoteReference w:id="209"/>
      </w:r>
      <w:r w:rsidR="004555DB">
        <w:t xml:space="preserve"> </w:t>
      </w:r>
      <w:r w:rsidR="00162507">
        <w:t xml:space="preserve"> </w:t>
      </w:r>
      <w:r w:rsidRPr="003776BC">
        <w:t>The 180</w:t>
      </w:r>
      <w:r>
        <w:t>-</w:t>
      </w:r>
      <w:r w:rsidRPr="003776BC">
        <w:t xml:space="preserve">page Al Qaeda manual, </w:t>
      </w:r>
      <w:r w:rsidRPr="003776BC">
        <w:rPr>
          <w:i/>
        </w:rPr>
        <w:t xml:space="preserve">Military Studies in the Jihad against Tyrants, </w:t>
      </w:r>
      <w:r w:rsidRPr="003776BC">
        <w:t xml:space="preserve">reiterates </w:t>
      </w:r>
      <w:r w:rsidR="00E01DC5">
        <w:t xml:space="preserve">war-centric </w:t>
      </w:r>
      <w:r w:rsidR="009C455F">
        <w:t>Surahs</w:t>
      </w:r>
      <w:r w:rsidR="004F58E8">
        <w:t xml:space="preserve"> </w:t>
      </w:r>
      <w:r w:rsidRPr="003776BC">
        <w:t>from the Qur’an and makes reference to battles led by Muhammad</w:t>
      </w:r>
      <w:r>
        <w:t>, presenting them as scripts</w:t>
      </w:r>
      <w:r w:rsidRPr="003776BC">
        <w:t xml:space="preserve"> for how the mujahideen should fight.</w:t>
      </w:r>
      <w:r w:rsidRPr="003776BC">
        <w:rPr>
          <w:vertAlign w:val="superscript"/>
        </w:rPr>
        <w:footnoteReference w:id="210"/>
      </w:r>
      <w:r w:rsidR="001A2795">
        <w:t xml:space="preserve">  Qutbists routinely cite the same </w:t>
      </w:r>
      <w:r w:rsidR="009C455F">
        <w:t>Surahs</w:t>
      </w:r>
      <w:r w:rsidR="001A2795">
        <w:t xml:space="preserve"> in these manuals to justify martyrdom operations, namely the command to strike terror in the enemy and to not turn from the enemy.</w:t>
      </w:r>
      <w:r w:rsidR="00163CEA">
        <w:rPr>
          <w:rStyle w:val="FootnoteReference"/>
        </w:rPr>
        <w:footnoteReference w:id="211"/>
      </w:r>
      <w:r w:rsidR="001A2795">
        <w:t xml:space="preserve"> </w:t>
      </w:r>
    </w:p>
    <w:p w:rsidR="0081557D" w:rsidRPr="003776BC" w:rsidRDefault="0081557D" w:rsidP="00E01DC5">
      <w:pPr>
        <w:ind w:firstLine="720"/>
        <w:contextualSpacing/>
      </w:pPr>
      <w:r w:rsidRPr="003776BC">
        <w:t>In order to attract supporters, Qutbists must create and sustain intense individual motivation for sacrifice.</w:t>
      </w:r>
      <w:r w:rsidRPr="003776BC">
        <w:rPr>
          <w:vertAlign w:val="superscript"/>
        </w:rPr>
        <w:footnoteReference w:id="212"/>
      </w:r>
      <w:r w:rsidR="004555DB">
        <w:t xml:space="preserve"> </w:t>
      </w:r>
      <w:r w:rsidR="000173EB">
        <w:t xml:space="preserve"> </w:t>
      </w:r>
      <w:r>
        <w:t xml:space="preserve">To this end, Al Qaeda </w:t>
      </w:r>
      <w:r w:rsidRPr="003776BC">
        <w:t xml:space="preserve">must </w:t>
      </w:r>
      <w:r>
        <w:t>frame</w:t>
      </w:r>
      <w:r w:rsidRPr="003776BC">
        <w:t xml:space="preserve"> the enemy a moral </w:t>
      </w:r>
      <w:r w:rsidRPr="003776BC">
        <w:lastRenderedPageBreak/>
        <w:t>monster to justify the most powerful sacrifice one can make</w:t>
      </w:r>
      <w:r w:rsidR="004555DB">
        <w:t xml:space="preserve">.  </w:t>
      </w:r>
      <w:r w:rsidRPr="003776BC">
        <w:t>In Bin Laden’s November 22, 2002 “Letter to America,” Bin Laden presents a laundry list of evils the US has committed, covering every possible political angle one can conceive</w:t>
      </w:r>
      <w:r w:rsidR="004555DB">
        <w:t xml:space="preserve">.  </w:t>
      </w:r>
      <w:r>
        <w:t>This</w:t>
      </w:r>
      <w:r w:rsidR="004555DB">
        <w:t xml:space="preserve"> </w:t>
      </w:r>
      <w:r w:rsidRPr="003776BC">
        <w:t>include</w:t>
      </w:r>
      <w:r>
        <w:t>s</w:t>
      </w:r>
      <w:r w:rsidR="004555DB">
        <w:t xml:space="preserve"> </w:t>
      </w:r>
      <w:r w:rsidRPr="003776BC">
        <w:t xml:space="preserve">the occupation of Palestine, American intrusions in Somalia, tacit support for Russia against Chechnya and India against Kashmir, the denial of Sharia law, the theft of oil wealth, the bases in Saudi Arabia, the sanctions against Iraq that led to starvation, the denial of God in politics, the usage of usury (even though forbidden by all religions), the propagation of alcohol, President </w:t>
      </w:r>
      <w:r w:rsidR="00252060">
        <w:t xml:space="preserve">Bill </w:t>
      </w:r>
      <w:r w:rsidRPr="003776BC">
        <w:t>Clinton’s sexual indiscretions, polluting the earth, refusal to sign the Kyoto Accords, and finally, dropping nuclear bombs on Japan</w:t>
      </w:r>
      <w:r w:rsidR="004555DB">
        <w:t>.</w:t>
      </w:r>
      <w:r w:rsidRPr="003776BC">
        <w:rPr>
          <w:vertAlign w:val="superscript"/>
        </w:rPr>
        <w:footnoteReference w:id="213"/>
      </w:r>
      <w:r w:rsidR="00E01DC5">
        <w:t xml:space="preserve">  B</w:t>
      </w:r>
      <w:r w:rsidR="000173EB">
        <w:t>in Laden places</w:t>
      </w:r>
      <w:r w:rsidRPr="003776BC">
        <w:t xml:space="preserve"> essentially every possible negative characteristic at the United States’</w:t>
      </w:r>
      <w:r w:rsidR="000173EB">
        <w:t xml:space="preserve"> feet, and offers</w:t>
      </w:r>
      <w:r w:rsidRPr="003776BC">
        <w:t xml:space="preserve"> Islam as the solution</w:t>
      </w:r>
      <w:r w:rsidR="004555DB">
        <w:t xml:space="preserve">.  </w:t>
      </w:r>
      <w:r w:rsidR="005D26B7" w:rsidRPr="003776BC">
        <w:t xml:space="preserve">To prospective recruits, positioning </w:t>
      </w:r>
      <w:r w:rsidR="005D26B7">
        <w:t xml:space="preserve">the enemy in such terms </w:t>
      </w:r>
      <w:r w:rsidR="005D26B7" w:rsidRPr="003776BC">
        <w:t>guarantees that one’s death will be noble and rewarded by a just God standing in judgment of such a cosmic criminal</w:t>
      </w:r>
      <w:r w:rsidR="005D26B7">
        <w:t xml:space="preserve">.  </w:t>
      </w:r>
      <w:r w:rsidRPr="003776BC">
        <w:t>The alternative is Islam, which Bin Laden</w:t>
      </w:r>
      <w:r>
        <w:t>’s describes in the same letter</w:t>
      </w:r>
      <w:r w:rsidRPr="003776BC">
        <w:t>:</w:t>
      </w:r>
    </w:p>
    <w:p w:rsidR="0081557D" w:rsidRDefault="0081557D" w:rsidP="004F58E8">
      <w:pPr>
        <w:spacing w:line="240" w:lineRule="auto"/>
        <w:ind w:left="720"/>
        <w:contextualSpacing/>
      </w:pPr>
      <w:r w:rsidRPr="003776BC">
        <w:t>It is the religion of the tawhid of Allah, sincerity, the best of manners, righteousness, mercy, honor, purity, and piety</w:t>
      </w:r>
      <w:r w:rsidR="004555DB">
        <w:t xml:space="preserve">.  </w:t>
      </w:r>
      <w:r w:rsidRPr="003776BC">
        <w:t>It is the religion of showing kindness to others, establishing justice between them, granting them their rights, and defending the oppressed and the persecuted…It is the religion of jihad in the way of Allah, so that Allah’s Word and religion reign supreme</w:t>
      </w:r>
      <w:r w:rsidR="004555DB">
        <w:t xml:space="preserve">.  </w:t>
      </w:r>
      <w:r w:rsidRPr="003776BC">
        <w:t>And it is the religion of tawhid and agreement in obedience to Allah, and total equality between all people, without regard to their color, sex, or language…</w:t>
      </w:r>
    </w:p>
    <w:p w:rsidR="0081557D" w:rsidRPr="003776BC" w:rsidRDefault="0081557D" w:rsidP="0081557D">
      <w:pPr>
        <w:spacing w:line="240" w:lineRule="auto"/>
        <w:ind w:left="720"/>
        <w:contextualSpacing/>
      </w:pPr>
    </w:p>
    <w:p w:rsidR="0081557D" w:rsidRPr="003776BC" w:rsidRDefault="005D26B7" w:rsidP="0081557D">
      <w:pPr>
        <w:contextualSpacing/>
      </w:pPr>
      <w:r>
        <w:t xml:space="preserve">To Al-Zawahiri, the </w:t>
      </w:r>
      <w:r w:rsidR="0081557D" w:rsidRPr="003776BC">
        <w:t>best tactic to fight for justice</w:t>
      </w:r>
      <w:r>
        <w:t xml:space="preserve"> was m</w:t>
      </w:r>
      <w:r w:rsidR="0081557D" w:rsidRPr="003776BC">
        <w:t>artyrdom operations:</w:t>
      </w:r>
      <w:r w:rsidR="0081557D" w:rsidRPr="003776BC">
        <w:rPr>
          <w:vertAlign w:val="superscript"/>
        </w:rPr>
        <w:footnoteReference w:id="214"/>
      </w:r>
      <w:r w:rsidR="0081557D" w:rsidRPr="003776BC">
        <w:t xml:space="preserve"> </w:t>
      </w:r>
    </w:p>
    <w:p w:rsidR="0081557D" w:rsidRDefault="0081557D" w:rsidP="0081557D">
      <w:pPr>
        <w:spacing w:line="240" w:lineRule="auto"/>
        <w:ind w:left="720"/>
        <w:contextualSpacing/>
      </w:pPr>
      <w:r w:rsidRPr="003776BC">
        <w:t>The need to concentrate on the method of martyrdom operations as the most successful way of inflicting damage against the opponent and the least costly to the Mujahideen in terms of casualties.</w:t>
      </w:r>
    </w:p>
    <w:p w:rsidR="0081557D" w:rsidRDefault="0081557D" w:rsidP="0081557D">
      <w:pPr>
        <w:spacing w:line="240" w:lineRule="auto"/>
        <w:ind w:left="720"/>
        <w:contextualSpacing/>
      </w:pPr>
    </w:p>
    <w:p w:rsidR="0081557D" w:rsidRPr="003776BC" w:rsidRDefault="0081557D" w:rsidP="0081557D">
      <w:pPr>
        <w:contextualSpacing/>
      </w:pPr>
      <w:r>
        <w:t>Al Qaeda’s franchise in Iraq will make the most of this logic and rationale.</w:t>
      </w:r>
    </w:p>
    <w:p w:rsidR="0081557D" w:rsidRPr="003776BC" w:rsidRDefault="0081557D" w:rsidP="0081557D">
      <w:pPr>
        <w:pStyle w:val="Heading2"/>
        <w:contextualSpacing/>
        <w:rPr>
          <w:bCs w:val="0"/>
          <w:i/>
          <w:iCs w:val="0"/>
          <w:szCs w:val="24"/>
        </w:rPr>
      </w:pPr>
      <w:bookmarkStart w:id="61" w:name="_Toc450748694"/>
      <w:r w:rsidRPr="003776BC">
        <w:rPr>
          <w:bCs w:val="0"/>
          <w:i/>
          <w:szCs w:val="24"/>
        </w:rPr>
        <w:lastRenderedPageBreak/>
        <w:t>ISIS</w:t>
      </w:r>
      <w:bookmarkEnd w:id="61"/>
    </w:p>
    <w:p w:rsidR="0081557D" w:rsidRPr="005F5C1A" w:rsidRDefault="0081557D" w:rsidP="00F57EFD">
      <w:pPr>
        <w:pStyle w:val="Heading3"/>
        <w:rPr>
          <w:rStyle w:val="SubtleEmphasis"/>
          <w:bCs w:val="0"/>
          <w:i/>
        </w:rPr>
      </w:pPr>
      <w:bookmarkStart w:id="62" w:name="_Toc450748695"/>
      <w:r w:rsidRPr="005F5C1A">
        <w:rPr>
          <w:rStyle w:val="SubtleEmphasis"/>
          <w:i/>
        </w:rPr>
        <w:t>ISIS Use of Suicide Terrorism, Trends in Targets</w:t>
      </w:r>
      <w:bookmarkEnd w:id="62"/>
    </w:p>
    <w:p w:rsidR="00E01DC5" w:rsidRDefault="0081557D" w:rsidP="004F58E8">
      <w:pPr>
        <w:ind w:firstLine="720"/>
      </w:pPr>
      <w:r>
        <w:t xml:space="preserve">ISIS </w:t>
      </w:r>
      <w:r w:rsidRPr="003776BC">
        <w:t>exploited suicide terrorism to its most atrocious conclusions</w:t>
      </w:r>
      <w:r w:rsidR="004555DB">
        <w:t xml:space="preserve">.  </w:t>
      </w:r>
      <w:r w:rsidRPr="003776BC">
        <w:t>Unlike the previous campaigns, IS</w:t>
      </w:r>
      <w:r>
        <w:t xml:space="preserve">IS </w:t>
      </w:r>
      <w:r w:rsidRPr="003776BC">
        <w:t xml:space="preserve">enthusiastically attacked </w:t>
      </w:r>
      <w:r w:rsidR="004F58E8">
        <w:t>civilians</w:t>
      </w:r>
      <w:r w:rsidRPr="003776BC">
        <w:t>, which represented a plurality of targets in most years</w:t>
      </w:r>
      <w:r w:rsidR="004555DB">
        <w:t xml:space="preserve">.  </w:t>
      </w:r>
      <w:r>
        <w:t>Although ISIS was not the only organization conducting attacks, b</w:t>
      </w:r>
      <w:r w:rsidRPr="003776BC">
        <w:t xml:space="preserve">y 2006, the Department of Defense believed </w:t>
      </w:r>
      <w:r>
        <w:t>ISIS</w:t>
      </w:r>
      <w:r w:rsidRPr="003776BC">
        <w:t xml:space="preserve"> was responsible for 90% of the suicide attacks in Iraq.</w:t>
      </w:r>
      <w:r w:rsidRPr="003776BC">
        <w:rPr>
          <w:vertAlign w:val="superscript"/>
        </w:rPr>
        <w:footnoteReference w:id="215"/>
      </w:r>
      <w:r w:rsidR="004555DB">
        <w:t xml:space="preserve"> </w:t>
      </w:r>
      <w:r w:rsidR="000173EB">
        <w:t xml:space="preserve"> </w:t>
      </w:r>
      <w:r w:rsidR="000173EB" w:rsidRPr="003776BC">
        <w:t>The majority of suicide attacks began taking place more than a year and a half after the fall of the regime.</w:t>
      </w:r>
      <w:r w:rsidR="000173EB" w:rsidRPr="003776BC">
        <w:rPr>
          <w:vertAlign w:val="superscript"/>
        </w:rPr>
        <w:footnoteReference w:id="216"/>
      </w:r>
      <w:r w:rsidR="000173EB">
        <w:t xml:space="preserve">  </w:t>
      </w:r>
      <w:r>
        <w:t>Table 4 presents the trend in targets</w:t>
      </w:r>
      <w:r w:rsidR="000173EB">
        <w:t xml:space="preserve"> in Iraq</w:t>
      </w:r>
      <w:r>
        <w:t>, particularly from 2005 through 2012, when civilians composed almost half of all attacks</w:t>
      </w:r>
      <w:r w:rsidR="004555DB">
        <w:t xml:space="preserve">.  </w:t>
      </w:r>
      <w:r>
        <w:t>In 2013, ISIS suicide attacks resurged with open confrontation against Iraqi military and police forces</w:t>
      </w:r>
      <w:r w:rsidR="004555DB">
        <w:t xml:space="preserve">.  </w:t>
      </w:r>
    </w:p>
    <w:p w:rsidR="004F58E8" w:rsidRPr="00E01DC5" w:rsidRDefault="004F58E8" w:rsidP="004F58E8">
      <w:pPr>
        <w:pStyle w:val="Caption"/>
        <w:keepNext/>
        <w:jc w:val="center"/>
        <w:rPr>
          <w:sz w:val="20"/>
          <w:szCs w:val="20"/>
        </w:rPr>
      </w:pPr>
      <w:bookmarkStart w:id="63" w:name="_Toc448696239"/>
      <w:bookmarkStart w:id="64" w:name="_Toc450569732"/>
      <w:r w:rsidRPr="00E01DC5">
        <w:rPr>
          <w:sz w:val="20"/>
          <w:szCs w:val="20"/>
        </w:rPr>
        <w:t xml:space="preserve">Table </w:t>
      </w:r>
      <w:r w:rsidR="0015339F" w:rsidRPr="00E01DC5">
        <w:rPr>
          <w:sz w:val="20"/>
          <w:szCs w:val="20"/>
        </w:rPr>
        <w:fldChar w:fldCharType="begin"/>
      </w:r>
      <w:r w:rsidRPr="00E01DC5">
        <w:rPr>
          <w:sz w:val="20"/>
          <w:szCs w:val="20"/>
        </w:rPr>
        <w:instrText xml:space="preserve"> SEQ Table \* ARABIC </w:instrText>
      </w:r>
      <w:r w:rsidR="0015339F" w:rsidRPr="00E01DC5">
        <w:rPr>
          <w:sz w:val="20"/>
          <w:szCs w:val="20"/>
        </w:rPr>
        <w:fldChar w:fldCharType="separate"/>
      </w:r>
      <w:r w:rsidRPr="00E01DC5">
        <w:rPr>
          <w:noProof/>
          <w:sz w:val="20"/>
          <w:szCs w:val="20"/>
        </w:rPr>
        <w:t>4</w:t>
      </w:r>
      <w:r w:rsidR="0015339F" w:rsidRPr="00E01DC5">
        <w:rPr>
          <w:noProof/>
          <w:sz w:val="20"/>
          <w:szCs w:val="20"/>
        </w:rPr>
        <w:fldChar w:fldCharType="end"/>
      </w:r>
      <w:r w:rsidRPr="00E01DC5">
        <w:rPr>
          <w:sz w:val="20"/>
          <w:szCs w:val="20"/>
        </w:rPr>
        <w:t xml:space="preserve"> - Iraq Suicide Attacks, by Target (START)</w:t>
      </w:r>
      <w:bookmarkEnd w:id="63"/>
      <w:bookmarkEnd w:id="64"/>
    </w:p>
    <w:tbl>
      <w:tblPr>
        <w:tblW w:w="0" w:type="auto"/>
        <w:jc w:val="center"/>
        <w:tblInd w:w="-859" w:type="dxa"/>
        <w:tblLook w:val="04A0" w:firstRow="1" w:lastRow="0" w:firstColumn="1" w:lastColumn="0" w:noHBand="0" w:noVBand="1"/>
      </w:tblPr>
      <w:tblGrid>
        <w:gridCol w:w="2605"/>
        <w:gridCol w:w="639"/>
        <w:gridCol w:w="872"/>
        <w:gridCol w:w="1216"/>
        <w:gridCol w:w="716"/>
        <w:gridCol w:w="861"/>
        <w:gridCol w:w="916"/>
      </w:tblGrid>
      <w:tr w:rsidR="004F58E8" w:rsidRPr="00E01DC5" w:rsidTr="00C71A29">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4F58E8" w:rsidRPr="00E01DC5" w:rsidRDefault="004F58E8" w:rsidP="00F573CC">
            <w:pPr>
              <w:spacing w:line="240" w:lineRule="auto"/>
              <w:jc w:val="center"/>
              <w:rPr>
                <w:color w:val="FFFFFF"/>
                <w:sz w:val="20"/>
                <w:szCs w:val="20"/>
              </w:rPr>
            </w:pPr>
            <w:r w:rsidRPr="00E01DC5">
              <w:rPr>
                <w:color w:val="FFFFFF"/>
                <w:sz w:val="20"/>
                <w:szCs w:val="20"/>
              </w:rPr>
              <w:t>Iraq</w:t>
            </w:r>
          </w:p>
        </w:tc>
        <w:tc>
          <w:tcPr>
            <w:tcW w:w="0" w:type="auto"/>
            <w:tcBorders>
              <w:top w:val="single" w:sz="4" w:space="0" w:color="auto"/>
              <w:left w:val="nil"/>
              <w:bottom w:val="single" w:sz="4" w:space="0" w:color="auto"/>
              <w:right w:val="single" w:sz="4" w:space="0" w:color="auto"/>
            </w:tcBorders>
            <w:shd w:val="clear" w:color="000000" w:fill="000000"/>
            <w:noWrap/>
            <w:vAlign w:val="bottom"/>
            <w:hideMark/>
          </w:tcPr>
          <w:p w:rsidR="004F58E8" w:rsidRPr="00E01DC5" w:rsidRDefault="004F58E8" w:rsidP="00F573CC">
            <w:pPr>
              <w:spacing w:line="240" w:lineRule="auto"/>
              <w:jc w:val="center"/>
              <w:rPr>
                <w:color w:val="FFFFFF"/>
                <w:sz w:val="20"/>
                <w:szCs w:val="20"/>
              </w:rPr>
            </w:pPr>
            <w:r w:rsidRPr="00E01DC5">
              <w:rPr>
                <w:color w:val="FFFFFF"/>
                <w:sz w:val="20"/>
                <w:szCs w:val="20"/>
              </w:rPr>
              <w:t>Total</w:t>
            </w:r>
          </w:p>
        </w:tc>
        <w:tc>
          <w:tcPr>
            <w:tcW w:w="0" w:type="auto"/>
            <w:tcBorders>
              <w:top w:val="single" w:sz="4" w:space="0" w:color="auto"/>
              <w:left w:val="nil"/>
              <w:bottom w:val="single" w:sz="4" w:space="0" w:color="auto"/>
              <w:right w:val="single" w:sz="4" w:space="0" w:color="auto"/>
            </w:tcBorders>
            <w:shd w:val="clear" w:color="000000" w:fill="000000"/>
            <w:noWrap/>
            <w:vAlign w:val="bottom"/>
            <w:hideMark/>
          </w:tcPr>
          <w:p w:rsidR="004F58E8" w:rsidRPr="00E01DC5" w:rsidRDefault="004F58E8" w:rsidP="00F573CC">
            <w:pPr>
              <w:spacing w:line="240" w:lineRule="auto"/>
              <w:jc w:val="center"/>
              <w:rPr>
                <w:color w:val="FFFFFF"/>
                <w:sz w:val="20"/>
                <w:szCs w:val="20"/>
              </w:rPr>
            </w:pPr>
            <w:r w:rsidRPr="00E01DC5">
              <w:rPr>
                <w:color w:val="FFFFFF"/>
                <w:sz w:val="20"/>
                <w:szCs w:val="20"/>
              </w:rPr>
              <w:t>Military</w:t>
            </w:r>
          </w:p>
        </w:tc>
        <w:tc>
          <w:tcPr>
            <w:tcW w:w="0" w:type="auto"/>
            <w:tcBorders>
              <w:top w:val="single" w:sz="4" w:space="0" w:color="auto"/>
              <w:left w:val="nil"/>
              <w:bottom w:val="single" w:sz="4" w:space="0" w:color="auto"/>
              <w:right w:val="single" w:sz="4" w:space="0" w:color="auto"/>
            </w:tcBorders>
            <w:shd w:val="clear" w:color="000000" w:fill="000000"/>
            <w:noWrap/>
            <w:vAlign w:val="bottom"/>
            <w:hideMark/>
          </w:tcPr>
          <w:p w:rsidR="004F58E8" w:rsidRPr="00E01DC5" w:rsidRDefault="004F58E8" w:rsidP="00F573CC">
            <w:pPr>
              <w:spacing w:line="240" w:lineRule="auto"/>
              <w:jc w:val="center"/>
              <w:rPr>
                <w:color w:val="FFFFFF"/>
                <w:sz w:val="20"/>
                <w:szCs w:val="20"/>
              </w:rPr>
            </w:pPr>
            <w:r w:rsidRPr="00E01DC5">
              <w:rPr>
                <w:color w:val="FFFFFF"/>
                <w:sz w:val="20"/>
                <w:szCs w:val="20"/>
              </w:rPr>
              <w:t>Government</w:t>
            </w:r>
          </w:p>
        </w:tc>
        <w:tc>
          <w:tcPr>
            <w:tcW w:w="0" w:type="auto"/>
            <w:tcBorders>
              <w:top w:val="single" w:sz="4" w:space="0" w:color="auto"/>
              <w:left w:val="nil"/>
              <w:bottom w:val="single" w:sz="4" w:space="0" w:color="auto"/>
              <w:right w:val="single" w:sz="4" w:space="0" w:color="auto"/>
            </w:tcBorders>
            <w:shd w:val="clear" w:color="000000" w:fill="000000"/>
            <w:noWrap/>
            <w:vAlign w:val="bottom"/>
            <w:hideMark/>
          </w:tcPr>
          <w:p w:rsidR="004F58E8" w:rsidRPr="00E01DC5" w:rsidRDefault="004F58E8" w:rsidP="00F573CC">
            <w:pPr>
              <w:spacing w:line="240" w:lineRule="auto"/>
              <w:jc w:val="center"/>
              <w:rPr>
                <w:color w:val="FFFFFF"/>
                <w:sz w:val="20"/>
                <w:szCs w:val="20"/>
              </w:rPr>
            </w:pPr>
            <w:r w:rsidRPr="00E01DC5">
              <w:rPr>
                <w:color w:val="FFFFFF"/>
                <w:sz w:val="20"/>
                <w:szCs w:val="20"/>
              </w:rPr>
              <w:t>Police</w:t>
            </w:r>
          </w:p>
        </w:tc>
        <w:tc>
          <w:tcPr>
            <w:tcW w:w="0" w:type="auto"/>
            <w:tcBorders>
              <w:top w:val="single" w:sz="4" w:space="0" w:color="auto"/>
              <w:left w:val="nil"/>
              <w:bottom w:val="single" w:sz="4" w:space="0" w:color="auto"/>
              <w:right w:val="single" w:sz="4" w:space="0" w:color="auto"/>
            </w:tcBorders>
            <w:shd w:val="clear" w:color="000000" w:fill="000000"/>
            <w:noWrap/>
            <w:vAlign w:val="bottom"/>
            <w:hideMark/>
          </w:tcPr>
          <w:p w:rsidR="004F58E8" w:rsidRPr="00E01DC5" w:rsidRDefault="004F58E8" w:rsidP="00F573CC">
            <w:pPr>
              <w:spacing w:line="240" w:lineRule="auto"/>
              <w:jc w:val="center"/>
              <w:rPr>
                <w:color w:val="FFFFFF"/>
                <w:sz w:val="20"/>
                <w:szCs w:val="20"/>
              </w:rPr>
            </w:pPr>
            <w:r w:rsidRPr="00E01DC5">
              <w:rPr>
                <w:color w:val="FFFFFF"/>
                <w:sz w:val="20"/>
                <w:szCs w:val="20"/>
              </w:rPr>
              <w:t>Civilian</w:t>
            </w:r>
          </w:p>
        </w:tc>
        <w:tc>
          <w:tcPr>
            <w:tcW w:w="0" w:type="auto"/>
            <w:tcBorders>
              <w:top w:val="single" w:sz="4" w:space="0" w:color="auto"/>
              <w:left w:val="nil"/>
              <w:bottom w:val="single" w:sz="4" w:space="0" w:color="auto"/>
              <w:right w:val="single" w:sz="4" w:space="0" w:color="auto"/>
            </w:tcBorders>
            <w:shd w:val="clear" w:color="000000" w:fill="000000"/>
            <w:noWrap/>
            <w:vAlign w:val="bottom"/>
            <w:hideMark/>
          </w:tcPr>
          <w:p w:rsidR="004F58E8" w:rsidRPr="00E01DC5" w:rsidRDefault="004F58E8" w:rsidP="00F573CC">
            <w:pPr>
              <w:spacing w:line="240" w:lineRule="auto"/>
              <w:jc w:val="center"/>
              <w:rPr>
                <w:color w:val="FFFFFF"/>
                <w:sz w:val="20"/>
                <w:szCs w:val="20"/>
              </w:rPr>
            </w:pPr>
            <w:r w:rsidRPr="00E01DC5">
              <w:rPr>
                <w:color w:val="FFFFFF"/>
                <w:sz w:val="20"/>
                <w:szCs w:val="20"/>
              </w:rPr>
              <w:t>Informal</w:t>
            </w:r>
          </w:p>
        </w:tc>
      </w:tr>
      <w:tr w:rsidR="004F58E8" w:rsidRPr="00E01DC5" w:rsidTr="00C71A29">
        <w:trPr>
          <w:trHeight w:val="300"/>
          <w:jc w:val="center"/>
        </w:trPr>
        <w:tc>
          <w:tcPr>
            <w:tcW w:w="0" w:type="auto"/>
            <w:tcBorders>
              <w:top w:val="nil"/>
              <w:left w:val="single" w:sz="4" w:space="0" w:color="auto"/>
              <w:bottom w:val="single" w:sz="4" w:space="0" w:color="auto"/>
              <w:right w:val="single" w:sz="4" w:space="0" w:color="auto"/>
            </w:tcBorders>
            <w:shd w:val="clear" w:color="000000" w:fill="000000"/>
            <w:noWrap/>
            <w:vAlign w:val="bottom"/>
            <w:hideMark/>
          </w:tcPr>
          <w:p w:rsidR="004F58E8" w:rsidRPr="00E01DC5" w:rsidRDefault="004F58E8" w:rsidP="00F573CC">
            <w:pPr>
              <w:spacing w:line="240" w:lineRule="auto"/>
              <w:jc w:val="center"/>
              <w:rPr>
                <w:color w:val="FFFFFF"/>
                <w:sz w:val="20"/>
                <w:szCs w:val="20"/>
              </w:rPr>
            </w:pPr>
            <w:r w:rsidRPr="00E01DC5">
              <w:rPr>
                <w:color w:val="FFFFFF"/>
                <w:sz w:val="20"/>
                <w:szCs w:val="20"/>
              </w:rPr>
              <w:t>OIF (2003-2004)</w:t>
            </w:r>
          </w:p>
        </w:tc>
        <w:tc>
          <w:tcPr>
            <w:tcW w:w="0" w:type="auto"/>
            <w:tcBorders>
              <w:top w:val="nil"/>
              <w:left w:val="nil"/>
              <w:bottom w:val="single" w:sz="4" w:space="0" w:color="auto"/>
              <w:right w:val="single" w:sz="4" w:space="0" w:color="auto"/>
            </w:tcBorders>
            <w:shd w:val="clear" w:color="auto" w:fill="auto"/>
            <w:noWrap/>
            <w:vAlign w:val="bottom"/>
            <w:hideMark/>
          </w:tcPr>
          <w:p w:rsidR="004F58E8" w:rsidRPr="00E01DC5" w:rsidRDefault="004F58E8" w:rsidP="00F573CC">
            <w:pPr>
              <w:spacing w:line="240" w:lineRule="auto"/>
              <w:jc w:val="center"/>
              <w:rPr>
                <w:color w:val="000000"/>
                <w:sz w:val="20"/>
                <w:szCs w:val="20"/>
              </w:rPr>
            </w:pPr>
            <w:r w:rsidRPr="00E01DC5">
              <w:rPr>
                <w:color w:val="000000"/>
                <w:sz w:val="20"/>
                <w:szCs w:val="20"/>
              </w:rPr>
              <w:t>86</w:t>
            </w:r>
          </w:p>
        </w:tc>
        <w:tc>
          <w:tcPr>
            <w:tcW w:w="0" w:type="auto"/>
            <w:tcBorders>
              <w:top w:val="nil"/>
              <w:left w:val="nil"/>
              <w:bottom w:val="single" w:sz="4" w:space="0" w:color="auto"/>
              <w:right w:val="single" w:sz="4" w:space="0" w:color="auto"/>
            </w:tcBorders>
            <w:shd w:val="clear" w:color="auto" w:fill="auto"/>
            <w:noWrap/>
            <w:vAlign w:val="bottom"/>
            <w:hideMark/>
          </w:tcPr>
          <w:p w:rsidR="004F58E8" w:rsidRPr="00E01DC5" w:rsidRDefault="004F58E8" w:rsidP="00F573CC">
            <w:pPr>
              <w:spacing w:line="240" w:lineRule="auto"/>
              <w:jc w:val="center"/>
              <w:rPr>
                <w:color w:val="000000"/>
                <w:sz w:val="20"/>
                <w:szCs w:val="20"/>
              </w:rPr>
            </w:pPr>
            <w:r w:rsidRPr="00E01DC5">
              <w:rPr>
                <w:color w:val="000000"/>
                <w:sz w:val="20"/>
                <w:szCs w:val="20"/>
              </w:rPr>
              <w:t>22%</w:t>
            </w:r>
          </w:p>
        </w:tc>
        <w:tc>
          <w:tcPr>
            <w:tcW w:w="0" w:type="auto"/>
            <w:tcBorders>
              <w:top w:val="nil"/>
              <w:left w:val="nil"/>
              <w:bottom w:val="single" w:sz="4" w:space="0" w:color="auto"/>
              <w:right w:val="single" w:sz="4" w:space="0" w:color="auto"/>
            </w:tcBorders>
            <w:shd w:val="clear" w:color="auto" w:fill="auto"/>
            <w:noWrap/>
            <w:vAlign w:val="bottom"/>
            <w:hideMark/>
          </w:tcPr>
          <w:p w:rsidR="004F58E8" w:rsidRPr="00E01DC5" w:rsidRDefault="004F58E8" w:rsidP="00F573CC">
            <w:pPr>
              <w:spacing w:line="240" w:lineRule="auto"/>
              <w:jc w:val="center"/>
              <w:rPr>
                <w:color w:val="000000"/>
                <w:sz w:val="20"/>
                <w:szCs w:val="20"/>
              </w:rPr>
            </w:pPr>
            <w:r w:rsidRPr="00E01DC5">
              <w:rPr>
                <w:color w:val="000000"/>
                <w:sz w:val="20"/>
                <w:szCs w:val="20"/>
              </w:rPr>
              <w:t>26%</w:t>
            </w:r>
          </w:p>
        </w:tc>
        <w:tc>
          <w:tcPr>
            <w:tcW w:w="0" w:type="auto"/>
            <w:tcBorders>
              <w:top w:val="nil"/>
              <w:left w:val="nil"/>
              <w:bottom w:val="single" w:sz="4" w:space="0" w:color="auto"/>
              <w:right w:val="single" w:sz="4" w:space="0" w:color="auto"/>
            </w:tcBorders>
            <w:shd w:val="clear" w:color="auto" w:fill="auto"/>
            <w:noWrap/>
            <w:vAlign w:val="bottom"/>
            <w:hideMark/>
          </w:tcPr>
          <w:p w:rsidR="004F58E8" w:rsidRPr="00E01DC5" w:rsidRDefault="004F58E8" w:rsidP="00F573CC">
            <w:pPr>
              <w:spacing w:line="240" w:lineRule="auto"/>
              <w:jc w:val="center"/>
              <w:rPr>
                <w:color w:val="000000"/>
                <w:sz w:val="20"/>
                <w:szCs w:val="20"/>
              </w:rPr>
            </w:pPr>
            <w:r w:rsidRPr="00E01DC5">
              <w:rPr>
                <w:color w:val="000000"/>
                <w:sz w:val="20"/>
                <w:szCs w:val="20"/>
              </w:rPr>
              <w:t>29%</w:t>
            </w:r>
          </w:p>
        </w:tc>
        <w:tc>
          <w:tcPr>
            <w:tcW w:w="0" w:type="auto"/>
            <w:tcBorders>
              <w:top w:val="nil"/>
              <w:left w:val="nil"/>
              <w:bottom w:val="single" w:sz="4" w:space="0" w:color="auto"/>
              <w:right w:val="single" w:sz="4" w:space="0" w:color="auto"/>
            </w:tcBorders>
            <w:shd w:val="clear" w:color="auto" w:fill="auto"/>
            <w:noWrap/>
            <w:vAlign w:val="bottom"/>
            <w:hideMark/>
          </w:tcPr>
          <w:p w:rsidR="004F58E8" w:rsidRPr="00E01DC5" w:rsidRDefault="004F58E8" w:rsidP="00F573CC">
            <w:pPr>
              <w:spacing w:line="240" w:lineRule="auto"/>
              <w:jc w:val="center"/>
              <w:rPr>
                <w:color w:val="000000"/>
                <w:sz w:val="20"/>
                <w:szCs w:val="20"/>
              </w:rPr>
            </w:pPr>
            <w:r w:rsidRPr="00E01DC5">
              <w:rPr>
                <w:color w:val="000000"/>
                <w:sz w:val="20"/>
                <w:szCs w:val="20"/>
              </w:rPr>
              <w:t>22%</w:t>
            </w:r>
          </w:p>
        </w:tc>
        <w:tc>
          <w:tcPr>
            <w:tcW w:w="0" w:type="auto"/>
            <w:tcBorders>
              <w:top w:val="nil"/>
              <w:left w:val="nil"/>
              <w:bottom w:val="single" w:sz="4" w:space="0" w:color="auto"/>
              <w:right w:val="single" w:sz="4" w:space="0" w:color="auto"/>
            </w:tcBorders>
            <w:shd w:val="clear" w:color="auto" w:fill="auto"/>
            <w:noWrap/>
            <w:vAlign w:val="bottom"/>
            <w:hideMark/>
          </w:tcPr>
          <w:p w:rsidR="004F58E8" w:rsidRPr="00E01DC5" w:rsidRDefault="004F58E8" w:rsidP="00F573CC">
            <w:pPr>
              <w:spacing w:line="240" w:lineRule="auto"/>
              <w:jc w:val="center"/>
              <w:rPr>
                <w:color w:val="000000"/>
                <w:sz w:val="20"/>
                <w:szCs w:val="20"/>
              </w:rPr>
            </w:pPr>
            <w:r w:rsidRPr="00E01DC5">
              <w:rPr>
                <w:color w:val="000000"/>
                <w:sz w:val="20"/>
                <w:szCs w:val="20"/>
              </w:rPr>
              <w:t>1%</w:t>
            </w:r>
          </w:p>
        </w:tc>
      </w:tr>
      <w:tr w:rsidR="004F58E8" w:rsidRPr="00E01DC5" w:rsidTr="00C71A29">
        <w:trPr>
          <w:trHeight w:val="300"/>
          <w:jc w:val="center"/>
        </w:trPr>
        <w:tc>
          <w:tcPr>
            <w:tcW w:w="0" w:type="auto"/>
            <w:tcBorders>
              <w:top w:val="nil"/>
              <w:left w:val="single" w:sz="4" w:space="0" w:color="auto"/>
              <w:bottom w:val="single" w:sz="4" w:space="0" w:color="auto"/>
              <w:right w:val="single" w:sz="4" w:space="0" w:color="auto"/>
            </w:tcBorders>
            <w:shd w:val="clear" w:color="000000" w:fill="000000"/>
            <w:noWrap/>
            <w:vAlign w:val="bottom"/>
            <w:hideMark/>
          </w:tcPr>
          <w:p w:rsidR="004F58E8" w:rsidRPr="00E01DC5" w:rsidRDefault="004F58E8" w:rsidP="00F573CC">
            <w:pPr>
              <w:spacing w:line="240" w:lineRule="auto"/>
              <w:jc w:val="center"/>
              <w:rPr>
                <w:color w:val="FFFFFF"/>
                <w:sz w:val="20"/>
                <w:szCs w:val="20"/>
              </w:rPr>
            </w:pPr>
            <w:r w:rsidRPr="00E01DC5">
              <w:rPr>
                <w:color w:val="FFFFFF"/>
                <w:sz w:val="20"/>
                <w:szCs w:val="20"/>
              </w:rPr>
              <w:t>Fitna (2005-2012)</w:t>
            </w:r>
          </w:p>
        </w:tc>
        <w:tc>
          <w:tcPr>
            <w:tcW w:w="0" w:type="auto"/>
            <w:tcBorders>
              <w:top w:val="nil"/>
              <w:left w:val="nil"/>
              <w:bottom w:val="single" w:sz="4" w:space="0" w:color="auto"/>
              <w:right w:val="single" w:sz="4" w:space="0" w:color="auto"/>
            </w:tcBorders>
            <w:shd w:val="clear" w:color="auto" w:fill="auto"/>
            <w:noWrap/>
            <w:vAlign w:val="bottom"/>
            <w:hideMark/>
          </w:tcPr>
          <w:p w:rsidR="004F58E8" w:rsidRPr="00E01DC5" w:rsidRDefault="004F58E8" w:rsidP="00F573CC">
            <w:pPr>
              <w:spacing w:line="240" w:lineRule="auto"/>
              <w:jc w:val="center"/>
              <w:rPr>
                <w:color w:val="000000"/>
                <w:sz w:val="20"/>
                <w:szCs w:val="20"/>
              </w:rPr>
            </w:pPr>
            <w:r w:rsidRPr="00E01DC5">
              <w:rPr>
                <w:color w:val="000000"/>
                <w:sz w:val="20"/>
                <w:szCs w:val="20"/>
              </w:rPr>
              <w:t>775</w:t>
            </w:r>
          </w:p>
        </w:tc>
        <w:tc>
          <w:tcPr>
            <w:tcW w:w="0" w:type="auto"/>
            <w:tcBorders>
              <w:top w:val="nil"/>
              <w:left w:val="nil"/>
              <w:bottom w:val="single" w:sz="4" w:space="0" w:color="auto"/>
              <w:right w:val="single" w:sz="4" w:space="0" w:color="auto"/>
            </w:tcBorders>
            <w:shd w:val="clear" w:color="auto" w:fill="auto"/>
            <w:noWrap/>
            <w:vAlign w:val="bottom"/>
            <w:hideMark/>
          </w:tcPr>
          <w:p w:rsidR="004F58E8" w:rsidRPr="00E01DC5" w:rsidRDefault="004F58E8" w:rsidP="00F573CC">
            <w:pPr>
              <w:spacing w:line="240" w:lineRule="auto"/>
              <w:jc w:val="center"/>
              <w:rPr>
                <w:color w:val="000000"/>
                <w:sz w:val="20"/>
                <w:szCs w:val="20"/>
              </w:rPr>
            </w:pPr>
            <w:r w:rsidRPr="00E01DC5">
              <w:rPr>
                <w:color w:val="000000"/>
                <w:sz w:val="20"/>
                <w:szCs w:val="20"/>
              </w:rPr>
              <w:t>12%</w:t>
            </w:r>
          </w:p>
        </w:tc>
        <w:tc>
          <w:tcPr>
            <w:tcW w:w="0" w:type="auto"/>
            <w:tcBorders>
              <w:top w:val="nil"/>
              <w:left w:val="nil"/>
              <w:bottom w:val="single" w:sz="4" w:space="0" w:color="auto"/>
              <w:right w:val="single" w:sz="4" w:space="0" w:color="auto"/>
            </w:tcBorders>
            <w:shd w:val="clear" w:color="auto" w:fill="auto"/>
            <w:noWrap/>
            <w:vAlign w:val="bottom"/>
            <w:hideMark/>
          </w:tcPr>
          <w:p w:rsidR="004F58E8" w:rsidRPr="00E01DC5" w:rsidRDefault="004F58E8" w:rsidP="00F573CC">
            <w:pPr>
              <w:spacing w:line="240" w:lineRule="auto"/>
              <w:jc w:val="center"/>
              <w:rPr>
                <w:color w:val="000000"/>
                <w:sz w:val="20"/>
                <w:szCs w:val="20"/>
              </w:rPr>
            </w:pPr>
            <w:r w:rsidRPr="00E01DC5">
              <w:rPr>
                <w:color w:val="000000"/>
                <w:sz w:val="20"/>
                <w:szCs w:val="20"/>
              </w:rPr>
              <w:t>12%</w:t>
            </w:r>
          </w:p>
        </w:tc>
        <w:tc>
          <w:tcPr>
            <w:tcW w:w="0" w:type="auto"/>
            <w:tcBorders>
              <w:top w:val="nil"/>
              <w:left w:val="nil"/>
              <w:bottom w:val="single" w:sz="4" w:space="0" w:color="auto"/>
              <w:right w:val="single" w:sz="4" w:space="0" w:color="auto"/>
            </w:tcBorders>
            <w:shd w:val="clear" w:color="auto" w:fill="auto"/>
            <w:noWrap/>
            <w:vAlign w:val="bottom"/>
            <w:hideMark/>
          </w:tcPr>
          <w:p w:rsidR="004F58E8" w:rsidRPr="00E01DC5" w:rsidRDefault="004F58E8" w:rsidP="00F573CC">
            <w:pPr>
              <w:spacing w:line="240" w:lineRule="auto"/>
              <w:jc w:val="center"/>
              <w:rPr>
                <w:color w:val="000000"/>
                <w:sz w:val="20"/>
                <w:szCs w:val="20"/>
              </w:rPr>
            </w:pPr>
            <w:r w:rsidRPr="00E01DC5">
              <w:rPr>
                <w:color w:val="000000"/>
                <w:sz w:val="20"/>
                <w:szCs w:val="20"/>
              </w:rPr>
              <w:t>27%</w:t>
            </w:r>
          </w:p>
        </w:tc>
        <w:tc>
          <w:tcPr>
            <w:tcW w:w="0" w:type="auto"/>
            <w:tcBorders>
              <w:top w:val="nil"/>
              <w:left w:val="nil"/>
              <w:bottom w:val="single" w:sz="4" w:space="0" w:color="auto"/>
              <w:right w:val="single" w:sz="4" w:space="0" w:color="auto"/>
            </w:tcBorders>
            <w:shd w:val="clear" w:color="auto" w:fill="auto"/>
            <w:noWrap/>
            <w:vAlign w:val="bottom"/>
            <w:hideMark/>
          </w:tcPr>
          <w:p w:rsidR="004F58E8" w:rsidRPr="00E01DC5" w:rsidRDefault="004F58E8" w:rsidP="00F573CC">
            <w:pPr>
              <w:spacing w:line="240" w:lineRule="auto"/>
              <w:jc w:val="center"/>
              <w:rPr>
                <w:color w:val="000000"/>
                <w:sz w:val="20"/>
                <w:szCs w:val="20"/>
              </w:rPr>
            </w:pPr>
            <w:r w:rsidRPr="00E01DC5">
              <w:rPr>
                <w:color w:val="000000"/>
                <w:sz w:val="20"/>
                <w:szCs w:val="20"/>
              </w:rPr>
              <w:t>44%</w:t>
            </w:r>
          </w:p>
        </w:tc>
        <w:tc>
          <w:tcPr>
            <w:tcW w:w="0" w:type="auto"/>
            <w:tcBorders>
              <w:top w:val="nil"/>
              <w:left w:val="nil"/>
              <w:bottom w:val="single" w:sz="4" w:space="0" w:color="auto"/>
              <w:right w:val="single" w:sz="4" w:space="0" w:color="auto"/>
            </w:tcBorders>
            <w:shd w:val="clear" w:color="auto" w:fill="auto"/>
            <w:noWrap/>
            <w:vAlign w:val="bottom"/>
            <w:hideMark/>
          </w:tcPr>
          <w:p w:rsidR="004F58E8" w:rsidRPr="00E01DC5" w:rsidRDefault="004F58E8" w:rsidP="00F573CC">
            <w:pPr>
              <w:spacing w:line="240" w:lineRule="auto"/>
              <w:jc w:val="center"/>
              <w:rPr>
                <w:color w:val="000000"/>
                <w:sz w:val="20"/>
                <w:szCs w:val="20"/>
              </w:rPr>
            </w:pPr>
            <w:r w:rsidRPr="00E01DC5">
              <w:rPr>
                <w:color w:val="000000"/>
                <w:sz w:val="20"/>
                <w:szCs w:val="20"/>
              </w:rPr>
              <w:t>4%</w:t>
            </w:r>
          </w:p>
        </w:tc>
      </w:tr>
      <w:tr w:rsidR="004F58E8" w:rsidRPr="00E01DC5" w:rsidTr="00C71A29">
        <w:trPr>
          <w:trHeight w:val="300"/>
          <w:jc w:val="center"/>
        </w:trPr>
        <w:tc>
          <w:tcPr>
            <w:tcW w:w="0" w:type="auto"/>
            <w:tcBorders>
              <w:top w:val="nil"/>
              <w:left w:val="single" w:sz="4" w:space="0" w:color="auto"/>
              <w:bottom w:val="single" w:sz="4" w:space="0" w:color="auto"/>
              <w:right w:val="single" w:sz="4" w:space="0" w:color="auto"/>
            </w:tcBorders>
            <w:shd w:val="clear" w:color="000000" w:fill="000000"/>
            <w:noWrap/>
            <w:vAlign w:val="bottom"/>
            <w:hideMark/>
          </w:tcPr>
          <w:p w:rsidR="004F58E8" w:rsidRPr="00E01DC5" w:rsidRDefault="004F58E8" w:rsidP="00F573CC">
            <w:pPr>
              <w:spacing w:line="240" w:lineRule="auto"/>
              <w:jc w:val="center"/>
              <w:rPr>
                <w:color w:val="FFFFFF"/>
                <w:sz w:val="20"/>
                <w:szCs w:val="20"/>
              </w:rPr>
            </w:pPr>
            <w:r w:rsidRPr="00E01DC5">
              <w:rPr>
                <w:color w:val="FFFFFF"/>
                <w:sz w:val="20"/>
                <w:szCs w:val="20"/>
              </w:rPr>
              <w:t>ISIS Resurgence (2013-2014)</w:t>
            </w:r>
          </w:p>
        </w:tc>
        <w:tc>
          <w:tcPr>
            <w:tcW w:w="0" w:type="auto"/>
            <w:tcBorders>
              <w:top w:val="nil"/>
              <w:left w:val="nil"/>
              <w:bottom w:val="single" w:sz="4" w:space="0" w:color="auto"/>
              <w:right w:val="single" w:sz="4" w:space="0" w:color="auto"/>
            </w:tcBorders>
            <w:shd w:val="clear" w:color="auto" w:fill="auto"/>
            <w:noWrap/>
            <w:vAlign w:val="bottom"/>
            <w:hideMark/>
          </w:tcPr>
          <w:p w:rsidR="004F58E8" w:rsidRPr="00E01DC5" w:rsidRDefault="004F58E8" w:rsidP="00F573CC">
            <w:pPr>
              <w:spacing w:line="240" w:lineRule="auto"/>
              <w:jc w:val="center"/>
              <w:rPr>
                <w:color w:val="000000"/>
                <w:sz w:val="20"/>
                <w:szCs w:val="20"/>
              </w:rPr>
            </w:pPr>
            <w:r w:rsidRPr="00E01DC5">
              <w:rPr>
                <w:color w:val="000000"/>
                <w:sz w:val="20"/>
                <w:szCs w:val="20"/>
              </w:rPr>
              <w:t>579</w:t>
            </w:r>
          </w:p>
        </w:tc>
        <w:tc>
          <w:tcPr>
            <w:tcW w:w="0" w:type="auto"/>
            <w:tcBorders>
              <w:top w:val="nil"/>
              <w:left w:val="nil"/>
              <w:bottom w:val="single" w:sz="4" w:space="0" w:color="auto"/>
              <w:right w:val="single" w:sz="4" w:space="0" w:color="auto"/>
            </w:tcBorders>
            <w:shd w:val="clear" w:color="auto" w:fill="auto"/>
            <w:noWrap/>
            <w:vAlign w:val="bottom"/>
            <w:hideMark/>
          </w:tcPr>
          <w:p w:rsidR="004F58E8" w:rsidRPr="00E01DC5" w:rsidRDefault="004F58E8" w:rsidP="00F573CC">
            <w:pPr>
              <w:spacing w:line="240" w:lineRule="auto"/>
              <w:jc w:val="center"/>
              <w:rPr>
                <w:color w:val="000000"/>
                <w:sz w:val="20"/>
                <w:szCs w:val="20"/>
              </w:rPr>
            </w:pPr>
            <w:r w:rsidRPr="00E01DC5">
              <w:rPr>
                <w:color w:val="000000"/>
                <w:sz w:val="20"/>
                <w:szCs w:val="20"/>
              </w:rPr>
              <w:t>32%</w:t>
            </w:r>
          </w:p>
        </w:tc>
        <w:tc>
          <w:tcPr>
            <w:tcW w:w="0" w:type="auto"/>
            <w:tcBorders>
              <w:top w:val="nil"/>
              <w:left w:val="nil"/>
              <w:bottom w:val="single" w:sz="4" w:space="0" w:color="auto"/>
              <w:right w:val="single" w:sz="4" w:space="0" w:color="auto"/>
            </w:tcBorders>
            <w:shd w:val="clear" w:color="auto" w:fill="auto"/>
            <w:noWrap/>
            <w:vAlign w:val="bottom"/>
            <w:hideMark/>
          </w:tcPr>
          <w:p w:rsidR="004F58E8" w:rsidRPr="00E01DC5" w:rsidRDefault="004F58E8" w:rsidP="00F573CC">
            <w:pPr>
              <w:spacing w:line="240" w:lineRule="auto"/>
              <w:jc w:val="center"/>
              <w:rPr>
                <w:color w:val="000000"/>
                <w:sz w:val="20"/>
                <w:szCs w:val="20"/>
              </w:rPr>
            </w:pPr>
            <w:r w:rsidRPr="00E01DC5">
              <w:rPr>
                <w:color w:val="000000"/>
                <w:sz w:val="20"/>
                <w:szCs w:val="20"/>
              </w:rPr>
              <w:t>8%</w:t>
            </w:r>
          </w:p>
        </w:tc>
        <w:tc>
          <w:tcPr>
            <w:tcW w:w="0" w:type="auto"/>
            <w:tcBorders>
              <w:top w:val="nil"/>
              <w:left w:val="nil"/>
              <w:bottom w:val="single" w:sz="4" w:space="0" w:color="auto"/>
              <w:right w:val="single" w:sz="4" w:space="0" w:color="auto"/>
            </w:tcBorders>
            <w:shd w:val="clear" w:color="auto" w:fill="auto"/>
            <w:noWrap/>
            <w:vAlign w:val="bottom"/>
            <w:hideMark/>
          </w:tcPr>
          <w:p w:rsidR="004F58E8" w:rsidRPr="00E01DC5" w:rsidRDefault="004F58E8" w:rsidP="00F573CC">
            <w:pPr>
              <w:spacing w:line="240" w:lineRule="auto"/>
              <w:jc w:val="center"/>
              <w:rPr>
                <w:color w:val="000000"/>
                <w:sz w:val="20"/>
                <w:szCs w:val="20"/>
              </w:rPr>
            </w:pPr>
            <w:r w:rsidRPr="00E01DC5">
              <w:rPr>
                <w:color w:val="000000"/>
                <w:sz w:val="20"/>
                <w:szCs w:val="20"/>
              </w:rPr>
              <w:t>30%</w:t>
            </w:r>
          </w:p>
        </w:tc>
        <w:tc>
          <w:tcPr>
            <w:tcW w:w="0" w:type="auto"/>
            <w:tcBorders>
              <w:top w:val="nil"/>
              <w:left w:val="nil"/>
              <w:bottom w:val="single" w:sz="4" w:space="0" w:color="auto"/>
              <w:right w:val="single" w:sz="4" w:space="0" w:color="auto"/>
            </w:tcBorders>
            <w:shd w:val="clear" w:color="auto" w:fill="auto"/>
            <w:noWrap/>
            <w:vAlign w:val="bottom"/>
            <w:hideMark/>
          </w:tcPr>
          <w:p w:rsidR="004F58E8" w:rsidRPr="00E01DC5" w:rsidRDefault="004F58E8" w:rsidP="00F573CC">
            <w:pPr>
              <w:spacing w:line="240" w:lineRule="auto"/>
              <w:jc w:val="center"/>
              <w:rPr>
                <w:color w:val="000000"/>
                <w:sz w:val="20"/>
                <w:szCs w:val="20"/>
              </w:rPr>
            </w:pPr>
            <w:r w:rsidRPr="00E01DC5">
              <w:rPr>
                <w:color w:val="000000"/>
                <w:sz w:val="20"/>
                <w:szCs w:val="20"/>
              </w:rPr>
              <w:t>23%</w:t>
            </w:r>
          </w:p>
        </w:tc>
        <w:tc>
          <w:tcPr>
            <w:tcW w:w="0" w:type="auto"/>
            <w:tcBorders>
              <w:top w:val="nil"/>
              <w:left w:val="nil"/>
              <w:bottom w:val="single" w:sz="4" w:space="0" w:color="auto"/>
              <w:right w:val="single" w:sz="4" w:space="0" w:color="auto"/>
            </w:tcBorders>
            <w:shd w:val="clear" w:color="auto" w:fill="auto"/>
            <w:noWrap/>
            <w:vAlign w:val="bottom"/>
            <w:hideMark/>
          </w:tcPr>
          <w:p w:rsidR="004F58E8" w:rsidRPr="00E01DC5" w:rsidRDefault="004F58E8" w:rsidP="00F573CC">
            <w:pPr>
              <w:spacing w:line="240" w:lineRule="auto"/>
              <w:jc w:val="center"/>
              <w:rPr>
                <w:color w:val="000000"/>
                <w:sz w:val="20"/>
                <w:szCs w:val="20"/>
              </w:rPr>
            </w:pPr>
            <w:r w:rsidRPr="00E01DC5">
              <w:rPr>
                <w:color w:val="000000"/>
                <w:sz w:val="20"/>
                <w:szCs w:val="20"/>
              </w:rPr>
              <w:t>5%</w:t>
            </w:r>
          </w:p>
        </w:tc>
      </w:tr>
      <w:tr w:rsidR="004F58E8" w:rsidRPr="00E01DC5" w:rsidTr="00C71A29">
        <w:trPr>
          <w:trHeight w:val="300"/>
          <w:jc w:val="center"/>
        </w:trPr>
        <w:tc>
          <w:tcPr>
            <w:tcW w:w="0" w:type="auto"/>
            <w:tcBorders>
              <w:top w:val="nil"/>
              <w:left w:val="single" w:sz="4" w:space="0" w:color="auto"/>
              <w:bottom w:val="single" w:sz="4" w:space="0" w:color="auto"/>
              <w:right w:val="single" w:sz="4" w:space="0" w:color="auto"/>
            </w:tcBorders>
            <w:shd w:val="clear" w:color="000000" w:fill="000000"/>
            <w:noWrap/>
            <w:vAlign w:val="bottom"/>
            <w:hideMark/>
          </w:tcPr>
          <w:p w:rsidR="004F58E8" w:rsidRPr="00E01DC5" w:rsidRDefault="004F58E8" w:rsidP="00F573CC">
            <w:pPr>
              <w:spacing w:line="240" w:lineRule="auto"/>
              <w:jc w:val="center"/>
              <w:rPr>
                <w:color w:val="FFFFFF"/>
                <w:sz w:val="20"/>
                <w:szCs w:val="20"/>
              </w:rPr>
            </w:pPr>
            <w:r w:rsidRPr="00E01DC5">
              <w:rPr>
                <w:color w:val="FFFFFF"/>
                <w:sz w:val="20"/>
                <w:szCs w:val="20"/>
              </w:rPr>
              <w:t>For All Years</w:t>
            </w:r>
          </w:p>
        </w:tc>
        <w:tc>
          <w:tcPr>
            <w:tcW w:w="0" w:type="auto"/>
            <w:tcBorders>
              <w:top w:val="nil"/>
              <w:left w:val="nil"/>
              <w:bottom w:val="single" w:sz="4" w:space="0" w:color="auto"/>
              <w:right w:val="single" w:sz="4" w:space="0" w:color="auto"/>
            </w:tcBorders>
            <w:shd w:val="clear" w:color="auto" w:fill="auto"/>
            <w:noWrap/>
            <w:vAlign w:val="bottom"/>
            <w:hideMark/>
          </w:tcPr>
          <w:p w:rsidR="004F58E8" w:rsidRPr="00E01DC5" w:rsidRDefault="004F58E8" w:rsidP="00F573CC">
            <w:pPr>
              <w:spacing w:line="240" w:lineRule="auto"/>
              <w:jc w:val="center"/>
              <w:rPr>
                <w:color w:val="000000"/>
                <w:sz w:val="20"/>
                <w:szCs w:val="20"/>
              </w:rPr>
            </w:pPr>
            <w:r w:rsidRPr="00E01DC5">
              <w:rPr>
                <w:color w:val="000000"/>
                <w:sz w:val="20"/>
                <w:szCs w:val="20"/>
              </w:rPr>
              <w:t>1440</w:t>
            </w:r>
          </w:p>
        </w:tc>
        <w:tc>
          <w:tcPr>
            <w:tcW w:w="0" w:type="auto"/>
            <w:tcBorders>
              <w:top w:val="nil"/>
              <w:left w:val="nil"/>
              <w:bottom w:val="single" w:sz="4" w:space="0" w:color="auto"/>
              <w:right w:val="single" w:sz="4" w:space="0" w:color="auto"/>
            </w:tcBorders>
            <w:shd w:val="clear" w:color="auto" w:fill="auto"/>
            <w:noWrap/>
            <w:vAlign w:val="bottom"/>
            <w:hideMark/>
          </w:tcPr>
          <w:p w:rsidR="004F58E8" w:rsidRPr="00E01DC5" w:rsidRDefault="004F58E8" w:rsidP="00F573CC">
            <w:pPr>
              <w:spacing w:line="240" w:lineRule="auto"/>
              <w:jc w:val="center"/>
              <w:rPr>
                <w:color w:val="000000"/>
                <w:sz w:val="20"/>
                <w:szCs w:val="20"/>
              </w:rPr>
            </w:pPr>
            <w:r w:rsidRPr="00E01DC5">
              <w:rPr>
                <w:color w:val="000000"/>
                <w:sz w:val="20"/>
                <w:szCs w:val="20"/>
              </w:rPr>
              <w:t>21%</w:t>
            </w:r>
          </w:p>
        </w:tc>
        <w:tc>
          <w:tcPr>
            <w:tcW w:w="0" w:type="auto"/>
            <w:tcBorders>
              <w:top w:val="nil"/>
              <w:left w:val="nil"/>
              <w:bottom w:val="single" w:sz="4" w:space="0" w:color="auto"/>
              <w:right w:val="single" w:sz="4" w:space="0" w:color="auto"/>
            </w:tcBorders>
            <w:shd w:val="clear" w:color="auto" w:fill="auto"/>
            <w:noWrap/>
            <w:vAlign w:val="bottom"/>
            <w:hideMark/>
          </w:tcPr>
          <w:p w:rsidR="004F58E8" w:rsidRPr="00E01DC5" w:rsidRDefault="004F58E8" w:rsidP="00F573CC">
            <w:pPr>
              <w:spacing w:line="240" w:lineRule="auto"/>
              <w:jc w:val="center"/>
              <w:rPr>
                <w:color w:val="000000"/>
                <w:sz w:val="20"/>
                <w:szCs w:val="20"/>
              </w:rPr>
            </w:pPr>
            <w:r w:rsidRPr="00E01DC5">
              <w:rPr>
                <w:color w:val="000000"/>
                <w:sz w:val="20"/>
                <w:szCs w:val="20"/>
              </w:rPr>
              <w:t>12%</w:t>
            </w:r>
          </w:p>
        </w:tc>
        <w:tc>
          <w:tcPr>
            <w:tcW w:w="0" w:type="auto"/>
            <w:tcBorders>
              <w:top w:val="nil"/>
              <w:left w:val="nil"/>
              <w:bottom w:val="single" w:sz="4" w:space="0" w:color="auto"/>
              <w:right w:val="single" w:sz="4" w:space="0" w:color="auto"/>
            </w:tcBorders>
            <w:shd w:val="clear" w:color="auto" w:fill="auto"/>
            <w:noWrap/>
            <w:vAlign w:val="bottom"/>
            <w:hideMark/>
          </w:tcPr>
          <w:p w:rsidR="004F58E8" w:rsidRPr="00E01DC5" w:rsidRDefault="004F58E8" w:rsidP="00F573CC">
            <w:pPr>
              <w:spacing w:line="240" w:lineRule="auto"/>
              <w:jc w:val="center"/>
              <w:rPr>
                <w:color w:val="000000"/>
                <w:sz w:val="20"/>
                <w:szCs w:val="20"/>
              </w:rPr>
            </w:pPr>
            <w:r w:rsidRPr="00E01DC5">
              <w:rPr>
                <w:color w:val="000000"/>
                <w:sz w:val="20"/>
                <w:szCs w:val="20"/>
              </w:rPr>
              <w:t>28%</w:t>
            </w:r>
          </w:p>
        </w:tc>
        <w:tc>
          <w:tcPr>
            <w:tcW w:w="0" w:type="auto"/>
            <w:tcBorders>
              <w:top w:val="nil"/>
              <w:left w:val="nil"/>
              <w:bottom w:val="single" w:sz="4" w:space="0" w:color="auto"/>
              <w:right w:val="single" w:sz="4" w:space="0" w:color="auto"/>
            </w:tcBorders>
            <w:shd w:val="clear" w:color="auto" w:fill="auto"/>
            <w:noWrap/>
            <w:vAlign w:val="bottom"/>
            <w:hideMark/>
          </w:tcPr>
          <w:p w:rsidR="004F58E8" w:rsidRPr="00E01DC5" w:rsidRDefault="004F58E8" w:rsidP="00F573CC">
            <w:pPr>
              <w:spacing w:line="240" w:lineRule="auto"/>
              <w:jc w:val="center"/>
              <w:rPr>
                <w:color w:val="000000"/>
                <w:sz w:val="20"/>
                <w:szCs w:val="20"/>
              </w:rPr>
            </w:pPr>
            <w:r w:rsidRPr="00E01DC5">
              <w:rPr>
                <w:color w:val="000000"/>
                <w:sz w:val="20"/>
                <w:szCs w:val="20"/>
              </w:rPr>
              <w:t>34%</w:t>
            </w:r>
          </w:p>
        </w:tc>
        <w:tc>
          <w:tcPr>
            <w:tcW w:w="0" w:type="auto"/>
            <w:tcBorders>
              <w:top w:val="nil"/>
              <w:left w:val="nil"/>
              <w:bottom w:val="single" w:sz="4" w:space="0" w:color="auto"/>
              <w:right w:val="single" w:sz="4" w:space="0" w:color="auto"/>
            </w:tcBorders>
            <w:shd w:val="clear" w:color="auto" w:fill="auto"/>
            <w:noWrap/>
            <w:vAlign w:val="bottom"/>
            <w:hideMark/>
          </w:tcPr>
          <w:p w:rsidR="004F58E8" w:rsidRPr="00E01DC5" w:rsidRDefault="004F58E8" w:rsidP="00F573CC">
            <w:pPr>
              <w:spacing w:line="240" w:lineRule="auto"/>
              <w:jc w:val="center"/>
              <w:rPr>
                <w:color w:val="000000"/>
                <w:sz w:val="20"/>
                <w:szCs w:val="20"/>
              </w:rPr>
            </w:pPr>
            <w:r w:rsidRPr="00E01DC5">
              <w:rPr>
                <w:color w:val="000000"/>
                <w:sz w:val="20"/>
                <w:szCs w:val="20"/>
              </w:rPr>
              <w:t>4%</w:t>
            </w:r>
          </w:p>
        </w:tc>
      </w:tr>
    </w:tbl>
    <w:p w:rsidR="00951760" w:rsidRDefault="00951760" w:rsidP="004F58E8">
      <w:pPr>
        <w:ind w:firstLine="720"/>
      </w:pPr>
    </w:p>
    <w:p w:rsidR="00E01DC5" w:rsidRDefault="0081557D" w:rsidP="004F58E8">
      <w:pPr>
        <w:ind w:firstLine="720"/>
      </w:pPr>
      <w:r w:rsidRPr="003776BC">
        <w:t xml:space="preserve">ISIS violated even some of its own </w:t>
      </w:r>
      <w:r>
        <w:t xml:space="preserve">broad </w:t>
      </w:r>
      <w:r w:rsidR="009C455F">
        <w:t xml:space="preserve">Islamic </w:t>
      </w:r>
      <w:r>
        <w:t xml:space="preserve">in-group norms, </w:t>
      </w:r>
      <w:r w:rsidR="004F58E8">
        <w:t>using</w:t>
      </w:r>
      <w:r>
        <w:t xml:space="preserve"> martyrdom operations against </w:t>
      </w:r>
      <w:r w:rsidRPr="003776BC">
        <w:t>Shias and Sunni collaborators</w:t>
      </w:r>
      <w:r w:rsidR="004555DB">
        <w:t xml:space="preserve">.  </w:t>
      </w:r>
      <w:r>
        <w:t xml:space="preserve">In </w:t>
      </w:r>
      <w:r>
        <w:rPr>
          <w:i/>
        </w:rPr>
        <w:t xml:space="preserve">Suicide Bombers in Iraq </w:t>
      </w:r>
      <w:r>
        <w:t>(2007), Mohammad Hafez documents that in the first few months of OIF,</w:t>
      </w:r>
      <w:r w:rsidRPr="003776BC">
        <w:t xml:space="preserve"> 1</w:t>
      </w:r>
      <w:r w:rsidR="005D26B7">
        <w:t>00% of suicide attacks targeted</w:t>
      </w:r>
      <w:r>
        <w:t xml:space="preserve"> </w:t>
      </w:r>
      <w:r w:rsidR="005D26B7">
        <w:t xml:space="preserve">the American-led </w:t>
      </w:r>
      <w:r>
        <w:t>coalition forces</w:t>
      </w:r>
      <w:r w:rsidR="004555DB">
        <w:t xml:space="preserve">.  </w:t>
      </w:r>
      <w:r>
        <w:t>But b</w:t>
      </w:r>
      <w:r w:rsidRPr="003776BC">
        <w:t>y 2006, less than 1</w:t>
      </w:r>
      <w:r>
        <w:t>0</w:t>
      </w:r>
      <w:r w:rsidRPr="003776BC">
        <w:t xml:space="preserve">% targeted coalition forces, 50% targeted Iraqi security forces, and almost 40% targeted </w:t>
      </w:r>
      <w:r w:rsidRPr="003776BC">
        <w:lastRenderedPageBreak/>
        <w:t xml:space="preserve">primarily </w:t>
      </w:r>
      <w:r w:rsidR="00D418E4">
        <w:t>Shia</w:t>
      </w:r>
      <w:r w:rsidRPr="003776BC">
        <w:t xml:space="preserve"> civilian targets.</w:t>
      </w:r>
      <w:r w:rsidRPr="003776BC">
        <w:rPr>
          <w:vertAlign w:val="superscript"/>
        </w:rPr>
        <w:footnoteReference w:id="217"/>
      </w:r>
      <w:r w:rsidR="004555DB">
        <w:t xml:space="preserve"> </w:t>
      </w:r>
      <w:r w:rsidR="000173EB">
        <w:t xml:space="preserve"> </w:t>
      </w:r>
      <w:r>
        <w:t xml:space="preserve">These suicide attacks </w:t>
      </w:r>
      <w:r w:rsidR="000173EB">
        <w:t xml:space="preserve">would </w:t>
      </w:r>
      <w:r>
        <w:t>kill more ci</w:t>
      </w:r>
      <w:r w:rsidR="000173EB">
        <w:t>vilians than coalition soldiers</w:t>
      </w:r>
      <w:r>
        <w:t xml:space="preserve"> by a great margin, </w:t>
      </w:r>
      <w:r w:rsidRPr="003776BC">
        <w:t xml:space="preserve">and children </w:t>
      </w:r>
      <w:r w:rsidR="000173EB">
        <w:t>we</w:t>
      </w:r>
      <w:r>
        <w:t>r</w:t>
      </w:r>
      <w:r w:rsidRPr="003776BC">
        <w:t>e more likely to die than adults.</w:t>
      </w:r>
      <w:r w:rsidRPr="003776BC">
        <w:rPr>
          <w:vertAlign w:val="superscript"/>
        </w:rPr>
        <w:footnoteReference w:id="218"/>
      </w:r>
      <w:r w:rsidR="004555DB">
        <w:t xml:space="preserve"> </w:t>
      </w:r>
      <w:r w:rsidR="000173EB">
        <w:t xml:space="preserve"> </w:t>
      </w:r>
      <w:r w:rsidRPr="003776BC">
        <w:t xml:space="preserve">ISIS </w:t>
      </w:r>
      <w:r w:rsidR="004F58E8">
        <w:t xml:space="preserve">conducted </w:t>
      </w:r>
      <w:r w:rsidRPr="003776BC">
        <w:t xml:space="preserve">suicide attacks against everyone </w:t>
      </w:r>
      <w:r w:rsidRPr="003776BC">
        <w:rPr>
          <w:i/>
        </w:rPr>
        <w:t xml:space="preserve">except </w:t>
      </w:r>
      <w:r w:rsidRPr="003776BC">
        <w:t xml:space="preserve">the foreign occupiers, and relied on </w:t>
      </w:r>
      <w:r w:rsidRPr="003776BC">
        <w:rPr>
          <w:i/>
          <w:iCs/>
        </w:rPr>
        <w:t>non-suicide attacks</w:t>
      </w:r>
      <w:r>
        <w:rPr>
          <w:i/>
          <w:iCs/>
        </w:rPr>
        <w:t>—</w:t>
      </w:r>
      <w:r>
        <w:rPr>
          <w:iCs/>
        </w:rPr>
        <w:t xml:space="preserve">IEDs, sniper attacks—against </w:t>
      </w:r>
      <w:r w:rsidRPr="003776BC">
        <w:t>coalition forces.</w:t>
      </w:r>
      <w:r w:rsidRPr="003776BC">
        <w:rPr>
          <w:vertAlign w:val="superscript"/>
        </w:rPr>
        <w:footnoteReference w:id="219"/>
      </w:r>
      <w:r w:rsidR="004555DB">
        <w:t xml:space="preserve"> </w:t>
      </w:r>
    </w:p>
    <w:p w:rsidR="0081557D" w:rsidRPr="003776BC" w:rsidRDefault="0081557D" w:rsidP="004F58E8">
      <w:pPr>
        <w:ind w:firstLine="720"/>
      </w:pPr>
      <w:r w:rsidRPr="003776BC">
        <w:t>Bin Laden insisted on a concilia</w:t>
      </w:r>
      <w:r w:rsidR="000173EB">
        <w:t>tory approach to handling Shia</w:t>
      </w:r>
      <w:r w:rsidRPr="003776BC">
        <w:t xml:space="preserve"> and Sunni</w:t>
      </w:r>
      <w:r w:rsidR="000173EB">
        <w:t xml:space="preserve"> conflict, yet ISIS made Shias</w:t>
      </w:r>
      <w:r w:rsidRPr="003776BC">
        <w:t xml:space="preserve"> the </w:t>
      </w:r>
      <w:r w:rsidR="000173EB">
        <w:t xml:space="preserve">prime </w:t>
      </w:r>
      <w:r w:rsidRPr="003776BC">
        <w:t>target in suicide operations</w:t>
      </w:r>
      <w:r w:rsidR="004555DB">
        <w:t xml:space="preserve">.  </w:t>
      </w:r>
      <w:r w:rsidR="007A6F4C">
        <w:t>Ideology influenced ISIS’ end-state objectives (a pure Islamic state) and the hatred of Shias and non-Salafist</w:t>
      </w:r>
      <w:r w:rsidR="000173EB">
        <w:t xml:space="preserve"> Sunnis, but </w:t>
      </w:r>
      <w:r w:rsidR="007A6F4C">
        <w:t xml:space="preserve">there were pragmatic </w:t>
      </w:r>
      <w:r w:rsidR="000173EB">
        <w:t xml:space="preserve">political </w:t>
      </w:r>
      <w:r w:rsidR="007A6F4C">
        <w:t xml:space="preserve">reasons </w:t>
      </w:r>
      <w:r w:rsidR="00E01DC5">
        <w:t>for inciting civil war</w:t>
      </w:r>
      <w:r w:rsidR="004555DB">
        <w:t xml:space="preserve">.  </w:t>
      </w:r>
      <w:r>
        <w:t xml:space="preserve">Abu Musab </w:t>
      </w:r>
      <w:r w:rsidRPr="003776BC">
        <w:t xml:space="preserve">Zarqawi’s </w:t>
      </w:r>
      <w:r w:rsidR="007A6F4C">
        <w:t>intended</w:t>
      </w:r>
      <w:r>
        <w:t xml:space="preserve"> to force a </w:t>
      </w:r>
      <w:r w:rsidRPr="003776BC">
        <w:t>civil war between Sunnis and Shia</w:t>
      </w:r>
      <w:r w:rsidR="007A6F4C">
        <w:t>s, with suicide terrorism a valuable tactic to enflame Shia hatred.</w:t>
      </w:r>
      <w:r w:rsidRPr="003776BC">
        <w:rPr>
          <w:vertAlign w:val="superscript"/>
        </w:rPr>
        <w:footnoteReference w:id="220"/>
      </w:r>
      <w:r w:rsidR="004555DB">
        <w:t xml:space="preserve"> </w:t>
      </w:r>
      <w:r w:rsidR="000173EB">
        <w:t xml:space="preserve"> </w:t>
      </w:r>
      <w:r w:rsidRPr="003776BC">
        <w:t>If Al Qaeda can attack the US in order to force the US</w:t>
      </w:r>
      <w:r w:rsidR="004F58E8">
        <w:t xml:space="preserve"> to invade countries in</w:t>
      </w:r>
      <w:r w:rsidRPr="003776BC">
        <w:t xml:space="preserve"> the Middle East, which would induce Muslims to side with Al Qaeda, then Al Qaeda in Iraq can attack Shias in order to force Shia reprisals against Sunnis, which would unite Sunnis on the side of Al Qaeda in Iraq</w:t>
      </w:r>
      <w:r w:rsidR="004555DB">
        <w:t xml:space="preserve">.  </w:t>
      </w:r>
    </w:p>
    <w:p w:rsidR="0081557D" w:rsidRDefault="0081557D" w:rsidP="004F58E8">
      <w:pPr>
        <w:ind w:firstLine="720"/>
      </w:pPr>
      <w:r w:rsidRPr="003776BC">
        <w:t xml:space="preserve">Hafez described this as a </w:t>
      </w:r>
      <w:r w:rsidRPr="005D022B">
        <w:rPr>
          <w:i/>
        </w:rPr>
        <w:t xml:space="preserve">system disruption </w:t>
      </w:r>
      <w:r w:rsidRPr="003776BC">
        <w:t xml:space="preserve">strategy, </w:t>
      </w:r>
      <w:r>
        <w:t xml:space="preserve">using martyrdom operations </w:t>
      </w:r>
      <w:r w:rsidRPr="003776BC">
        <w:t>against</w:t>
      </w:r>
      <w:r>
        <w:t xml:space="preserve"> Iraqi</w:t>
      </w:r>
      <w:r w:rsidRPr="003776BC">
        <w:t xml:space="preserve"> civilians to destabilize the government and spark sectarian warfare.</w:t>
      </w:r>
      <w:r w:rsidRPr="003776BC">
        <w:rPr>
          <w:vertAlign w:val="superscript"/>
        </w:rPr>
        <w:footnoteReference w:id="221"/>
      </w:r>
      <w:r w:rsidR="004555DB">
        <w:t xml:space="preserve"> </w:t>
      </w:r>
      <w:r w:rsidR="000173EB">
        <w:t xml:space="preserve"> Suicide attacks would </w:t>
      </w:r>
      <w:r w:rsidRPr="003776BC">
        <w:t xml:space="preserve">cast the </w:t>
      </w:r>
      <w:r w:rsidR="000173EB">
        <w:t xml:space="preserve">Iraqi </w:t>
      </w:r>
      <w:r w:rsidRPr="003776BC">
        <w:t>government as incompetent, incapable or unwilling to provide security.</w:t>
      </w:r>
      <w:r w:rsidRPr="003776BC">
        <w:rPr>
          <w:vertAlign w:val="superscript"/>
        </w:rPr>
        <w:footnoteReference w:id="222"/>
      </w:r>
      <w:r w:rsidR="000173EB">
        <w:t xml:space="preserve">  </w:t>
      </w:r>
      <w:r>
        <w:t>Denying the new government the ch</w:t>
      </w:r>
      <w:r w:rsidR="000173EB">
        <w:t>ance to stabilize itself created</w:t>
      </w:r>
      <w:r>
        <w:t xml:space="preserve"> the </w:t>
      </w:r>
      <w:r w:rsidR="00E01DC5">
        <w:t>terrain</w:t>
      </w:r>
      <w:r w:rsidR="004F58E8">
        <w:t xml:space="preserve"> for Al Qaeda in Iraq to establish</w:t>
      </w:r>
      <w:r>
        <w:t xml:space="preserve"> the Islamic State</w:t>
      </w:r>
      <w:r w:rsidR="004555DB">
        <w:t xml:space="preserve">.  </w:t>
      </w:r>
      <w:r w:rsidR="000173EB">
        <w:t xml:space="preserve">Either the </w:t>
      </w:r>
      <w:r w:rsidR="000173EB">
        <w:lastRenderedPageBreak/>
        <w:t>US would</w:t>
      </w:r>
      <w:r w:rsidRPr="003776BC">
        <w:t xml:space="preserve"> stay </w:t>
      </w:r>
      <w:r w:rsidR="000173EB">
        <w:t xml:space="preserve">in Iraq </w:t>
      </w:r>
      <w:r w:rsidRPr="003776BC">
        <w:t>and</w:t>
      </w:r>
      <w:r w:rsidR="000173EB">
        <w:t xml:space="preserve"> continue to bleed, or Iran would</w:t>
      </w:r>
      <w:r w:rsidRPr="003776BC">
        <w:t xml:space="preserve"> play a stronger hand in Iraq to protect Shias, either of which would </w:t>
      </w:r>
      <w:r>
        <w:t xml:space="preserve">further </w:t>
      </w:r>
      <w:r w:rsidRPr="003776BC">
        <w:t>alienate Sunnis</w:t>
      </w:r>
      <w:r w:rsidR="004555DB">
        <w:t xml:space="preserve">.  </w:t>
      </w:r>
      <w:r w:rsidRPr="003776BC">
        <w:t xml:space="preserve">This </w:t>
      </w:r>
      <w:r w:rsidR="000173EB">
        <w:t xml:space="preserve">civilian </w:t>
      </w:r>
      <w:r w:rsidRPr="003776BC">
        <w:t>target</w:t>
      </w:r>
      <w:r>
        <w:t xml:space="preserve">ing </w:t>
      </w:r>
      <w:r w:rsidRPr="003776BC">
        <w:t>outli</w:t>
      </w:r>
      <w:r>
        <w:t>ved Zarqawi’s death in 2006 and continued until open confrontation with Iraqi forces began in 2013</w:t>
      </w:r>
      <w:r w:rsidRPr="003776BC">
        <w:t>.</w:t>
      </w:r>
      <w:r w:rsidRPr="003776BC">
        <w:rPr>
          <w:vertAlign w:val="superscript"/>
        </w:rPr>
        <w:footnoteReference w:id="223"/>
      </w:r>
      <w:r w:rsidR="00113E9C">
        <w:t xml:space="preserve">  </w:t>
      </w:r>
      <w:r w:rsidRPr="003776BC">
        <w:t xml:space="preserve">Sunnis that aid the new Iraqi government </w:t>
      </w:r>
      <w:r>
        <w:t>were</w:t>
      </w:r>
      <w:r w:rsidRPr="003776BC">
        <w:t xml:space="preserve"> also targets, </w:t>
      </w:r>
      <w:r>
        <w:t>even competing Sunni insurgent groups</w:t>
      </w:r>
      <w:r w:rsidRPr="003776BC">
        <w:t>.</w:t>
      </w:r>
      <w:r w:rsidRPr="003776BC">
        <w:rPr>
          <w:vertAlign w:val="superscript"/>
        </w:rPr>
        <w:footnoteReference w:id="224"/>
      </w:r>
      <w:r w:rsidR="00113E9C">
        <w:t xml:space="preserve">  </w:t>
      </w:r>
      <w:r w:rsidR="004F58E8">
        <w:t xml:space="preserve">In 2007, when the </w:t>
      </w:r>
      <w:r w:rsidRPr="003776BC">
        <w:t xml:space="preserve">Islamic Army </w:t>
      </w:r>
      <w:r>
        <w:t xml:space="preserve">(IA) </w:t>
      </w:r>
      <w:r w:rsidR="004F58E8">
        <w:t>refused to submit</w:t>
      </w:r>
      <w:r w:rsidRPr="003776BC">
        <w:t xml:space="preserve"> to the Islamic State, </w:t>
      </w:r>
      <w:r>
        <w:t>ISIS</w:t>
      </w:r>
      <w:r w:rsidRPr="003776BC">
        <w:t xml:space="preserve"> attacked the IA, killing 30 members.</w:t>
      </w:r>
      <w:r w:rsidRPr="003776BC">
        <w:rPr>
          <w:vertAlign w:val="superscript"/>
        </w:rPr>
        <w:footnoteReference w:id="225"/>
      </w:r>
      <w:r w:rsidR="004555DB">
        <w:t xml:space="preserve"> </w:t>
      </w:r>
    </w:p>
    <w:p w:rsidR="0081557D" w:rsidRDefault="0081557D" w:rsidP="00951760">
      <w:pPr>
        <w:ind w:firstLine="720"/>
      </w:pPr>
      <w:r>
        <w:t>Prominent civilian attacks include t</w:t>
      </w:r>
      <w:r w:rsidRPr="003776BC">
        <w:t xml:space="preserve">he February 22, 2006, </w:t>
      </w:r>
      <w:r w:rsidR="000173EB">
        <w:t xml:space="preserve">suicide </w:t>
      </w:r>
      <w:r w:rsidRPr="003776BC">
        <w:t xml:space="preserve">bombing of </w:t>
      </w:r>
      <w:r w:rsidR="000173EB">
        <w:t>the</w:t>
      </w:r>
      <w:r>
        <w:t xml:space="preserve"> </w:t>
      </w:r>
      <w:r w:rsidR="000173EB">
        <w:t>Shia</w:t>
      </w:r>
      <w:r w:rsidRPr="003776BC">
        <w:t xml:space="preserve"> “Golden Mosque,” which destroyed </w:t>
      </w:r>
      <w:r>
        <w:t>the golden dome and</w:t>
      </w:r>
      <w:r w:rsidRPr="003776BC">
        <w:t xml:space="preserve"> touched off </w:t>
      </w:r>
      <w:r w:rsidR="000173EB">
        <w:t>widespread Shia</w:t>
      </w:r>
      <w:r w:rsidRPr="003776BC">
        <w:t xml:space="preserve"> reprisals against Sunnis nationwide</w:t>
      </w:r>
      <w:r>
        <w:t>.</w:t>
      </w:r>
      <w:r w:rsidRPr="003776BC">
        <w:rPr>
          <w:vertAlign w:val="superscript"/>
        </w:rPr>
        <w:footnoteReference w:id="226"/>
      </w:r>
      <w:r w:rsidR="000173EB">
        <w:t xml:space="preserve">  </w:t>
      </w:r>
      <w:r>
        <w:t>In early 2006, a suicide bomber detonated himself</w:t>
      </w:r>
      <w:r w:rsidR="00510817">
        <w:t xml:space="preserve"> </w:t>
      </w:r>
      <w:r w:rsidR="000173EB">
        <w:t>at the Shia</w:t>
      </w:r>
      <w:r>
        <w:t xml:space="preserve"> shrine of Imam Hussein, killing 63</w:t>
      </w:r>
      <w:r w:rsidRPr="003776BC">
        <w:t>.</w:t>
      </w:r>
      <w:r w:rsidRPr="003776BC">
        <w:rPr>
          <w:vertAlign w:val="superscript"/>
        </w:rPr>
        <w:footnoteReference w:id="227"/>
      </w:r>
      <w:r w:rsidR="004555DB">
        <w:t xml:space="preserve"> </w:t>
      </w:r>
      <w:r w:rsidR="000173EB">
        <w:t xml:space="preserve"> </w:t>
      </w:r>
      <w:r>
        <w:t>Near the same time, a suicide bomber kill</w:t>
      </w:r>
      <w:r w:rsidR="004F58E8">
        <w:t>ed 56 police recruits in Ramadi.</w:t>
      </w:r>
      <w:r w:rsidR="000173EB">
        <w:t xml:space="preserve">  </w:t>
      </w:r>
      <w:r>
        <w:t xml:space="preserve">In </w:t>
      </w:r>
      <w:r w:rsidR="000173EB">
        <w:t xml:space="preserve">early </w:t>
      </w:r>
      <w:r>
        <w:t xml:space="preserve">2007, a suicide bomber attacked a predominantly </w:t>
      </w:r>
      <w:r w:rsidR="00D418E4">
        <w:t>Shia</w:t>
      </w:r>
      <w:r>
        <w:t xml:space="preserve"> market and killed over 100.</w:t>
      </w:r>
      <w:r w:rsidRPr="003776BC">
        <w:rPr>
          <w:vertAlign w:val="superscript"/>
        </w:rPr>
        <w:footnoteReference w:id="228"/>
      </w:r>
      <w:r w:rsidR="004555DB">
        <w:t xml:space="preserve"> </w:t>
      </w:r>
      <w:r w:rsidR="000173EB">
        <w:t xml:space="preserve"> I</w:t>
      </w:r>
      <w:r>
        <w:t>n September 2007, a s</w:t>
      </w:r>
      <w:r w:rsidRPr="003776BC">
        <w:t>uicide bomber struck a Sunni tribal leader’s</w:t>
      </w:r>
      <w:r>
        <w:t xml:space="preserve"> house near the Syrian border</w:t>
      </w:r>
      <w:r w:rsidRPr="003776BC">
        <w:t>.</w:t>
      </w:r>
      <w:r w:rsidRPr="003776BC">
        <w:rPr>
          <w:vertAlign w:val="superscript"/>
        </w:rPr>
        <w:footnoteReference w:id="229"/>
      </w:r>
    </w:p>
    <w:p w:rsidR="0081557D" w:rsidRDefault="0081557D" w:rsidP="004F58E8">
      <w:pPr>
        <w:ind w:firstLine="720"/>
      </w:pPr>
      <w:r w:rsidRPr="003776BC">
        <w:t>Adjustments made by coalition forces to counter suicide attacks contributed to the reduction of suicide bombs against military personnel, but countermeasures do not explain why Islamic groups transitioned to soft targets instead of abandon</w:t>
      </w:r>
      <w:r>
        <w:t>ing the tactic</w:t>
      </w:r>
      <w:r w:rsidR="00113E9C">
        <w:t xml:space="preserve"> </w:t>
      </w:r>
      <w:r w:rsidR="00113E9C">
        <w:lastRenderedPageBreak/>
        <w:t>altogether</w:t>
      </w:r>
      <w:r w:rsidR="004555DB">
        <w:t xml:space="preserve">.  </w:t>
      </w:r>
      <w:r>
        <w:t xml:space="preserve">For example, </w:t>
      </w:r>
      <w:r w:rsidR="000173EB">
        <w:t xml:space="preserve">during this same time </w:t>
      </w:r>
      <w:r>
        <w:t xml:space="preserve">in </w:t>
      </w:r>
      <w:r w:rsidRPr="003776BC">
        <w:t xml:space="preserve">Afghanistan, the Taliban primarily </w:t>
      </w:r>
      <w:r w:rsidR="004F58E8">
        <w:t xml:space="preserve">used suicide attacks against </w:t>
      </w:r>
      <w:r w:rsidRPr="003776BC">
        <w:t xml:space="preserve">coalition forces </w:t>
      </w:r>
      <w:r w:rsidR="004F58E8">
        <w:t>and rarely civilians</w:t>
      </w:r>
      <w:r w:rsidRPr="003776BC">
        <w:t>, despite the fact that they were fairly unsuccessful in causing any significant damage to coalition forces</w:t>
      </w:r>
      <w:r w:rsidR="000173EB">
        <w:t>.</w:t>
      </w:r>
      <w:r w:rsidRPr="003776BC">
        <w:rPr>
          <w:vertAlign w:val="superscript"/>
        </w:rPr>
        <w:footnoteReference w:id="230"/>
      </w:r>
      <w:r w:rsidR="004555DB">
        <w:t xml:space="preserve"> </w:t>
      </w:r>
    </w:p>
    <w:p w:rsidR="00F573CC" w:rsidRDefault="00F66F76" w:rsidP="00951760">
      <w:pPr>
        <w:ind w:firstLine="720"/>
      </w:pPr>
      <w:r>
        <w:rPr>
          <w:i/>
          <w:iCs/>
        </w:rPr>
        <w:t xml:space="preserve">Suicide Bombers in Iraq </w:t>
      </w:r>
      <w:r w:rsidR="00F573CC">
        <w:t>provides three key observations</w:t>
      </w:r>
      <w:r w:rsidR="0081557D">
        <w:t>, the final critical in understanding the role of the cognitive terrain in explaining suicide terrorism:</w:t>
      </w:r>
      <w:r w:rsidR="004555DB">
        <w:t xml:space="preserve"> </w:t>
      </w:r>
      <w:r w:rsidR="0081557D">
        <w:t xml:space="preserve">the suicide bombers in Iraq target Iraqis and not the occupiers, the group pursuing this </w:t>
      </w:r>
      <w:r w:rsidR="000173EB">
        <w:t xml:space="preserve">strategy </w:t>
      </w:r>
      <w:r w:rsidR="0081557D">
        <w:t xml:space="preserve">is Salafist in ideology, and finally, that the suicide bombers </w:t>
      </w:r>
      <w:r w:rsidR="0081557D" w:rsidRPr="00F66F76">
        <w:rPr>
          <w:iCs/>
        </w:rPr>
        <w:t>themselves are not Iraqis.</w:t>
      </w:r>
      <w:r w:rsidR="0081557D" w:rsidRPr="00F66F76">
        <w:rPr>
          <w:iCs/>
          <w:vertAlign w:val="superscript"/>
        </w:rPr>
        <w:footnoteReference w:id="231"/>
      </w:r>
      <w:r w:rsidR="000173EB">
        <w:rPr>
          <w:iCs/>
        </w:rPr>
        <w:t xml:space="preserve">  </w:t>
      </w:r>
      <w:r w:rsidR="0081557D" w:rsidRPr="003776BC">
        <w:t xml:space="preserve">Only 10 percent </w:t>
      </w:r>
      <w:r w:rsidR="005A6B05">
        <w:t>of the suicide bombers in Iraq we</w:t>
      </w:r>
      <w:r w:rsidR="0081557D" w:rsidRPr="003776BC">
        <w:t>re</w:t>
      </w:r>
      <w:r w:rsidR="0081557D">
        <w:t xml:space="preserve"> native</w:t>
      </w:r>
      <w:r w:rsidR="0081557D" w:rsidRPr="003776BC">
        <w:t xml:space="preserve"> Iraqis.</w:t>
      </w:r>
      <w:r w:rsidR="0081557D" w:rsidRPr="003776BC">
        <w:rPr>
          <w:vertAlign w:val="superscript"/>
        </w:rPr>
        <w:footnoteReference w:id="232"/>
      </w:r>
      <w:r w:rsidR="000173EB">
        <w:t xml:space="preserve">  </w:t>
      </w:r>
      <w:r w:rsidR="0081557D" w:rsidRPr="003776BC">
        <w:t>The majority of suicide bombers in Iraq were foreigners, many of them wealthy Saudis and Kuwaitis that were smuggled into Iraq via Syria.</w:t>
      </w:r>
      <w:r w:rsidR="0081557D" w:rsidRPr="003776BC">
        <w:rPr>
          <w:vertAlign w:val="superscript"/>
        </w:rPr>
        <w:footnoteReference w:id="233"/>
      </w:r>
      <w:r w:rsidR="00113E9C">
        <w:t xml:space="preserve">  </w:t>
      </w:r>
      <w:r w:rsidR="005A6B05">
        <w:t>Most of the foreign bombers ca</w:t>
      </w:r>
      <w:r w:rsidR="0081557D" w:rsidRPr="003776BC">
        <w:t>me from edu</w:t>
      </w:r>
      <w:r w:rsidR="00F573CC">
        <w:t>cated, middle class families, attracted to</w:t>
      </w:r>
      <w:r w:rsidR="0081557D" w:rsidRPr="003776BC">
        <w:t xml:space="preserve"> the recruiters’ </w:t>
      </w:r>
      <w:r w:rsidR="00F573CC">
        <w:t xml:space="preserve">intellectual and theological </w:t>
      </w:r>
      <w:r w:rsidR="0081557D" w:rsidRPr="003776BC">
        <w:t>appeal.</w:t>
      </w:r>
      <w:r w:rsidR="0081557D" w:rsidRPr="003776BC">
        <w:rPr>
          <w:vertAlign w:val="superscript"/>
        </w:rPr>
        <w:footnoteReference w:id="234"/>
      </w:r>
      <w:r w:rsidR="005A6B05">
        <w:t xml:space="preserve">  </w:t>
      </w:r>
      <w:r w:rsidR="00F573CC">
        <w:t xml:space="preserve">ISIS was not fighting the occupier—it </w:t>
      </w:r>
      <w:r w:rsidR="00F573CC">
        <w:rPr>
          <w:i/>
        </w:rPr>
        <w:t>wa</w:t>
      </w:r>
      <w:r w:rsidR="00F573CC" w:rsidRPr="00995269">
        <w:rPr>
          <w:i/>
        </w:rPr>
        <w:t>s</w:t>
      </w:r>
      <w:r w:rsidR="00F573CC">
        <w:t xml:space="preserve"> the occupier.  </w:t>
      </w:r>
    </w:p>
    <w:p w:rsidR="0081557D" w:rsidRPr="003776BC" w:rsidRDefault="0081557D" w:rsidP="00CA666C">
      <w:pPr>
        <w:ind w:firstLine="720"/>
      </w:pPr>
      <w:r w:rsidRPr="003776BC">
        <w:t xml:space="preserve">In Saudi Arabia and Syria, a network of </w:t>
      </w:r>
      <w:r>
        <w:t>Qutbist</w:t>
      </w:r>
      <w:r w:rsidRPr="003776BC">
        <w:t xml:space="preserve"> imams recruit</w:t>
      </w:r>
      <w:r>
        <w:t>ed</w:t>
      </w:r>
      <w:r w:rsidRPr="003776BC">
        <w:t xml:space="preserve"> volunteers</w:t>
      </w:r>
      <w:r>
        <w:t>,</w:t>
      </w:r>
      <w:r w:rsidRPr="003776BC">
        <w:t xml:space="preserve"> and forgers created new identities for the wannabe martyrs’ jo</w:t>
      </w:r>
      <w:r w:rsidR="005A6B05">
        <w:t>urney across Syrian-</w:t>
      </w:r>
      <w:r w:rsidRPr="003776BC">
        <w:t>Iraq</w:t>
      </w:r>
      <w:r w:rsidR="005A6B05">
        <w:t>i border</w:t>
      </w:r>
      <w:r w:rsidRPr="003776BC">
        <w:t>.</w:t>
      </w:r>
      <w:r w:rsidRPr="003776BC">
        <w:rPr>
          <w:vertAlign w:val="superscript"/>
        </w:rPr>
        <w:footnoteReference w:id="235"/>
      </w:r>
      <w:r w:rsidR="00113E9C">
        <w:t xml:space="preserve">  </w:t>
      </w:r>
      <w:r w:rsidRPr="003776BC">
        <w:t xml:space="preserve">In the summer of 2003, safe houses along the Syrian-Iraq border were </w:t>
      </w:r>
      <w:r w:rsidRPr="003776BC">
        <w:lastRenderedPageBreak/>
        <w:t>established, as well as passages through dunes to smuggle fighters.</w:t>
      </w:r>
      <w:r w:rsidRPr="003776BC">
        <w:rPr>
          <w:vertAlign w:val="superscript"/>
        </w:rPr>
        <w:footnoteReference w:id="236"/>
      </w:r>
      <w:r w:rsidR="004555DB">
        <w:t xml:space="preserve"> </w:t>
      </w:r>
      <w:r w:rsidR="005A6B05">
        <w:t xml:space="preserve"> </w:t>
      </w:r>
      <w:r w:rsidRPr="003776BC">
        <w:t>One of the most prominent smuggling cells was at Sinjar, near the Iraq-Syria border</w:t>
      </w:r>
      <w:r w:rsidR="004555DB">
        <w:t xml:space="preserve">.  </w:t>
      </w:r>
      <w:r w:rsidRPr="003776BC">
        <w:t xml:space="preserve">American forces captured and closed </w:t>
      </w:r>
      <w:r>
        <w:t xml:space="preserve">this </w:t>
      </w:r>
      <w:r w:rsidRPr="003776BC">
        <w:t>entry point in 2007, and in doing so, confiscated a series of documents that demonstrated the nature of these foreign fighters entering Iraq</w:t>
      </w:r>
      <w:r w:rsidR="004555DB">
        <w:t xml:space="preserve">.  </w:t>
      </w:r>
      <w:r w:rsidRPr="003776BC">
        <w:t xml:space="preserve">The Sinjar cell was responsible for up to 90% of all foreign fighters </w:t>
      </w:r>
      <w:r w:rsidR="00F573CC">
        <w:t xml:space="preserve">entering </w:t>
      </w:r>
      <w:r w:rsidRPr="003776BC">
        <w:t>Iraq.</w:t>
      </w:r>
      <w:r w:rsidRPr="003776BC">
        <w:rPr>
          <w:vertAlign w:val="superscript"/>
        </w:rPr>
        <w:footnoteReference w:id="237"/>
      </w:r>
      <w:r w:rsidR="004555DB">
        <w:t xml:space="preserve"> </w:t>
      </w:r>
      <w:r w:rsidR="005A6B05">
        <w:t xml:space="preserve"> </w:t>
      </w:r>
      <w:r w:rsidRPr="003776BC">
        <w:t>These “Sinjar records” documented which countries the foreign fighters came from a</w:t>
      </w:r>
      <w:r>
        <w:t>nd for what reasons</w:t>
      </w:r>
      <w:r w:rsidR="004555DB">
        <w:t xml:space="preserve">.  </w:t>
      </w:r>
      <w:r>
        <w:t>T</w:t>
      </w:r>
      <w:r w:rsidRPr="003776BC">
        <w:t xml:space="preserve">he records included surveys </w:t>
      </w:r>
      <w:r>
        <w:t xml:space="preserve">for the </w:t>
      </w:r>
      <w:r w:rsidRPr="003776BC">
        <w:t>incoming fighters on their jihadist aspirations,</w:t>
      </w:r>
      <w:r>
        <w:t xml:space="preserve"> and</w:t>
      </w:r>
      <w:r w:rsidRPr="003776BC">
        <w:t xml:space="preserve"> even questions on the quality of the smugglers.</w:t>
      </w:r>
      <w:r w:rsidR="004555DB">
        <w:t xml:space="preserve"> </w:t>
      </w:r>
    </w:p>
    <w:p w:rsidR="0081557D" w:rsidRPr="003776BC" w:rsidRDefault="0081557D" w:rsidP="00CA666C">
      <w:pPr>
        <w:ind w:firstLine="720"/>
        <w:contextualSpacing/>
      </w:pPr>
      <w:r w:rsidRPr="003776BC">
        <w:t xml:space="preserve">The records contained biographical sketches of over 700 foreign fighters that listed hometowns and other details </w:t>
      </w:r>
      <w:r w:rsidR="005A6B05">
        <w:t xml:space="preserve">of fighters </w:t>
      </w:r>
      <w:r w:rsidR="00113E9C">
        <w:t xml:space="preserve">smuggled </w:t>
      </w:r>
      <w:r w:rsidR="005A6B05">
        <w:t>in</w:t>
      </w:r>
      <w:r w:rsidR="00113E9C">
        <w:t>to Iraq</w:t>
      </w:r>
      <w:r w:rsidR="005A6B05">
        <w:t xml:space="preserve"> </w:t>
      </w:r>
      <w:r w:rsidRPr="003776BC">
        <w:t>since August 2006.</w:t>
      </w:r>
      <w:r w:rsidR="004555DB">
        <w:t xml:space="preserve"> </w:t>
      </w:r>
      <w:r w:rsidR="005A6B05">
        <w:t xml:space="preserve"> </w:t>
      </w:r>
      <w:r w:rsidRPr="003776BC">
        <w:t>In the records, 41% of fighters came from Saudi Arabia, 19% from Libya, 8% from Syria, 8% from Yemen, 7% from Algeria, 6% from Morocco, and 2% from Jordan.</w:t>
      </w:r>
      <w:r w:rsidRPr="003776BC">
        <w:rPr>
          <w:vertAlign w:val="superscript"/>
        </w:rPr>
        <w:footnoteReference w:id="238"/>
      </w:r>
      <w:r w:rsidR="004555DB">
        <w:t xml:space="preserve"> </w:t>
      </w:r>
      <w:r w:rsidR="005A6B05">
        <w:t xml:space="preserve"> </w:t>
      </w:r>
      <w:r w:rsidRPr="003776BC">
        <w:t xml:space="preserve">The median age </w:t>
      </w:r>
      <w:r>
        <w:t xml:space="preserve">was </w:t>
      </w:r>
      <w:r w:rsidRPr="003776BC">
        <w:t>22-23, 43% were students, and universit</w:t>
      </w:r>
      <w:r w:rsidR="000A2F8A">
        <w:t>ies were a critical recruiting ground</w:t>
      </w:r>
      <w:r w:rsidR="004555DB">
        <w:t xml:space="preserve">.  </w:t>
      </w:r>
      <w:r w:rsidRPr="003776BC">
        <w:t>On the requested role in the fighting the enemy, 56% wanted to be suicide bombers</w:t>
      </w:r>
      <w:r>
        <w:t>.</w:t>
      </w:r>
      <w:r w:rsidR="004555DB">
        <w:t xml:space="preserve"> </w:t>
      </w:r>
      <w:r w:rsidR="005A6B05">
        <w:t xml:space="preserve"> </w:t>
      </w:r>
      <w:r w:rsidRPr="003776BC">
        <w:t>By nationality, 50% of Saudis came to be bombers, but 85% of Libyans, 92% of Moroccans, and 66% of Syrians signed up to be a bomber</w:t>
      </w:r>
      <w:r w:rsidR="004555DB">
        <w:t xml:space="preserve">.  </w:t>
      </w:r>
      <w:r w:rsidRPr="003776BC">
        <w:t>Many of these Saudi bombers were married, well educa</w:t>
      </w:r>
      <w:r w:rsidR="005A6B05">
        <w:t>ted, and in their late 20s</w:t>
      </w:r>
      <w:r w:rsidRPr="003776BC">
        <w:t>.</w:t>
      </w:r>
      <w:r w:rsidRPr="003776BC">
        <w:rPr>
          <w:vertAlign w:val="superscript"/>
        </w:rPr>
        <w:footnoteReference w:id="239"/>
      </w:r>
      <w:r w:rsidR="004555DB">
        <w:t xml:space="preserve"> </w:t>
      </w:r>
      <w:r w:rsidR="005A6B05">
        <w:t xml:space="preserve"> </w:t>
      </w:r>
      <w:r>
        <w:t xml:space="preserve">In </w:t>
      </w:r>
      <w:r w:rsidRPr="003776BC">
        <w:t>2005</w:t>
      </w:r>
      <w:r>
        <w:t>, Reuven Paz conducted a</w:t>
      </w:r>
      <w:r w:rsidRPr="003776BC">
        <w:t xml:space="preserve"> study of the social origin of the Saudis killed in Iraq</w:t>
      </w:r>
      <w:r>
        <w:t xml:space="preserve">, and he concluded </w:t>
      </w:r>
      <w:r w:rsidRPr="003776BC">
        <w:t>that the Saudis entering Iraq came fr</w:t>
      </w:r>
      <w:r w:rsidR="00113E9C">
        <w:t xml:space="preserve">om respected tribes and families, </w:t>
      </w:r>
      <w:r w:rsidRPr="003776BC">
        <w:t xml:space="preserve">and had never </w:t>
      </w:r>
      <w:r w:rsidRPr="003776BC">
        <w:lastRenderedPageBreak/>
        <w:t>participated in attacks prior to entering Iraq.</w:t>
      </w:r>
      <w:r w:rsidRPr="003776BC">
        <w:rPr>
          <w:vertAlign w:val="superscript"/>
        </w:rPr>
        <w:footnoteReference w:id="240"/>
      </w:r>
      <w:r w:rsidR="005A6B05">
        <w:t xml:space="preserve">  </w:t>
      </w:r>
      <w:r w:rsidRPr="003776BC">
        <w:t xml:space="preserve">After the closure of the Sinjar cell, the flow of foreign militants entering Iraq to fight for </w:t>
      </w:r>
      <w:r>
        <w:t>ISIS</w:t>
      </w:r>
      <w:r w:rsidRPr="003776BC">
        <w:t xml:space="preserve"> fell by half.</w:t>
      </w:r>
      <w:r w:rsidRPr="003776BC">
        <w:rPr>
          <w:vertAlign w:val="superscript"/>
        </w:rPr>
        <w:footnoteReference w:id="241"/>
      </w:r>
      <w:r w:rsidR="004555DB">
        <w:t xml:space="preserve"> </w:t>
      </w:r>
    </w:p>
    <w:p w:rsidR="0081557D" w:rsidRPr="006C5A07" w:rsidRDefault="0081557D" w:rsidP="00F57EFD">
      <w:pPr>
        <w:pStyle w:val="Heading3"/>
        <w:rPr>
          <w:rStyle w:val="SubtleEmphasis"/>
          <w:bCs w:val="0"/>
          <w:i/>
        </w:rPr>
      </w:pPr>
      <w:bookmarkStart w:id="65" w:name="_Toc450748696"/>
      <w:r>
        <w:rPr>
          <w:rStyle w:val="SubtleEmphasis"/>
          <w:i/>
        </w:rPr>
        <w:t>Cognitive Terrain of ISIS</w:t>
      </w:r>
      <w:bookmarkEnd w:id="65"/>
    </w:p>
    <w:p w:rsidR="0081557D" w:rsidRDefault="0081557D" w:rsidP="00311810">
      <w:pPr>
        <w:ind w:firstLine="720"/>
        <w:contextualSpacing/>
        <w:rPr>
          <w:lang w:bidi="he-IL"/>
        </w:rPr>
      </w:pPr>
      <w:r>
        <w:rPr>
          <w:lang w:bidi="he-IL"/>
        </w:rPr>
        <w:t>I</w:t>
      </w:r>
      <w:r w:rsidRPr="003776BC">
        <w:rPr>
          <w:lang w:bidi="he-IL"/>
        </w:rPr>
        <w:t xml:space="preserve">n December 2004, </w:t>
      </w:r>
      <w:r w:rsidR="00241E32">
        <w:rPr>
          <w:lang w:bidi="he-IL"/>
        </w:rPr>
        <w:t xml:space="preserve">Usama Bin Laden </w:t>
      </w:r>
      <w:r w:rsidRPr="003776BC">
        <w:rPr>
          <w:lang w:bidi="he-IL"/>
        </w:rPr>
        <w:t>identified conflict in Iraq as a “golden opportunity” for jihadists to engage and defeat the United States.</w:t>
      </w:r>
      <w:r w:rsidRPr="003776BC">
        <w:rPr>
          <w:vertAlign w:val="superscript"/>
          <w:lang w:bidi="he-IL"/>
        </w:rPr>
        <w:footnoteReference w:id="242"/>
      </w:r>
      <w:r w:rsidR="00311810">
        <w:rPr>
          <w:lang w:bidi="he-IL"/>
        </w:rPr>
        <w:t xml:space="preserve">  </w:t>
      </w:r>
      <w:r>
        <w:rPr>
          <w:lang w:bidi="he-IL"/>
        </w:rPr>
        <w:t xml:space="preserve">Thus, </w:t>
      </w:r>
      <w:r w:rsidR="00311810">
        <w:rPr>
          <w:lang w:bidi="he-IL"/>
        </w:rPr>
        <w:t xml:space="preserve">Al Qaeda </w:t>
      </w:r>
      <w:r>
        <w:rPr>
          <w:lang w:bidi="he-IL"/>
        </w:rPr>
        <w:t>needed someone with the network and passion to take the fight to the coalition</w:t>
      </w:r>
      <w:r w:rsidR="004555DB">
        <w:rPr>
          <w:lang w:bidi="he-IL"/>
        </w:rPr>
        <w:t xml:space="preserve">.  </w:t>
      </w:r>
      <w:r>
        <w:rPr>
          <w:lang w:bidi="he-IL"/>
        </w:rPr>
        <w:t xml:space="preserve">They turned to the Jordanian </w:t>
      </w:r>
      <w:r w:rsidRPr="003776BC">
        <w:rPr>
          <w:lang w:bidi="he-IL"/>
        </w:rPr>
        <w:t>Abu Musab Al-Zarqawi</w:t>
      </w:r>
      <w:r>
        <w:rPr>
          <w:lang w:bidi="he-IL"/>
        </w:rPr>
        <w:t xml:space="preserve">, who embraced a toxic mixture of militant Salafism—his mother enrolled him in the Salafist </w:t>
      </w:r>
      <w:r w:rsidRPr="003776BC">
        <w:rPr>
          <w:lang w:bidi="he-IL"/>
        </w:rPr>
        <w:t>Al-Husayn Ben Ali Mosque in Amman</w:t>
      </w:r>
      <w:r>
        <w:rPr>
          <w:lang w:bidi="he-IL"/>
        </w:rPr>
        <w:t>—and brutal criminality, deal-making, and networking—</w:t>
      </w:r>
      <w:r w:rsidR="005A6B05">
        <w:rPr>
          <w:lang w:bidi="he-IL"/>
        </w:rPr>
        <w:t xml:space="preserve">learned </w:t>
      </w:r>
      <w:r>
        <w:rPr>
          <w:lang w:bidi="he-IL"/>
        </w:rPr>
        <w:t>after he spent time in a Jordanian prison</w:t>
      </w:r>
      <w:r w:rsidRPr="003776BC">
        <w:rPr>
          <w:lang w:bidi="he-IL"/>
        </w:rPr>
        <w:t>.</w:t>
      </w:r>
      <w:r w:rsidRPr="003776BC">
        <w:rPr>
          <w:vertAlign w:val="superscript"/>
          <w:lang w:bidi="he-IL"/>
        </w:rPr>
        <w:footnoteReference w:id="243"/>
      </w:r>
      <w:r w:rsidR="00311810">
        <w:rPr>
          <w:lang w:bidi="he-IL"/>
        </w:rPr>
        <w:t xml:space="preserve">  </w:t>
      </w:r>
      <w:r>
        <w:rPr>
          <w:lang w:bidi="he-IL"/>
        </w:rPr>
        <w:t xml:space="preserve">Despite Zarqawi’s brutality and fixation on the Sunni-Shia divide, his ‘rolodex of terrorism’ earned in prison provided </w:t>
      </w:r>
      <w:r w:rsidRPr="003776BC">
        <w:rPr>
          <w:lang w:bidi="he-IL"/>
        </w:rPr>
        <w:t xml:space="preserve">a practical asset to Bin </w:t>
      </w:r>
      <w:r w:rsidRPr="009C4EFF">
        <w:rPr>
          <w:lang w:bidi="he-IL"/>
        </w:rPr>
        <w:t>Laden</w:t>
      </w:r>
      <w:r>
        <w:rPr>
          <w:lang w:bidi="he-IL"/>
        </w:rPr>
        <w:t>’s operations against the US in Iraq</w:t>
      </w:r>
      <w:r w:rsidRPr="003776BC">
        <w:rPr>
          <w:lang w:bidi="he-IL"/>
        </w:rPr>
        <w:t>.</w:t>
      </w:r>
      <w:r w:rsidR="00311810">
        <w:rPr>
          <w:lang w:bidi="he-IL"/>
        </w:rPr>
        <w:t xml:space="preserve">  </w:t>
      </w:r>
      <w:r>
        <w:rPr>
          <w:lang w:bidi="he-IL"/>
        </w:rPr>
        <w:t xml:space="preserve">The </w:t>
      </w:r>
      <w:r w:rsidRPr="003776BC">
        <w:rPr>
          <w:lang w:bidi="he-IL"/>
        </w:rPr>
        <w:t xml:space="preserve">value of the </w:t>
      </w:r>
      <w:r>
        <w:rPr>
          <w:lang w:bidi="he-IL"/>
        </w:rPr>
        <w:t xml:space="preserve">contacts with </w:t>
      </w:r>
      <w:r w:rsidR="00311810">
        <w:rPr>
          <w:lang w:bidi="he-IL"/>
        </w:rPr>
        <w:t xml:space="preserve">smugglers and </w:t>
      </w:r>
      <w:r w:rsidRPr="003776BC">
        <w:rPr>
          <w:lang w:bidi="he-IL"/>
        </w:rPr>
        <w:t>black market operatives are worth more than perfect philosophical union</w:t>
      </w:r>
      <w:r w:rsidR="004555DB">
        <w:rPr>
          <w:lang w:bidi="he-IL"/>
        </w:rPr>
        <w:t xml:space="preserve">.  </w:t>
      </w:r>
      <w:r w:rsidRPr="003776BC">
        <w:rPr>
          <w:lang w:bidi="he-IL"/>
        </w:rPr>
        <w:t>Bin Laden and Zawahiri though Zarqawi was too extreme</w:t>
      </w:r>
      <w:r w:rsidR="004555DB">
        <w:rPr>
          <w:lang w:bidi="he-IL"/>
        </w:rPr>
        <w:t xml:space="preserve">.  </w:t>
      </w:r>
      <w:r>
        <w:rPr>
          <w:lang w:bidi="he-IL"/>
        </w:rPr>
        <w:t>H</w:t>
      </w:r>
      <w:r w:rsidRPr="003776BC">
        <w:rPr>
          <w:lang w:bidi="he-IL"/>
        </w:rPr>
        <w:t xml:space="preserve">owever, Al Qaeda </w:t>
      </w:r>
      <w:r w:rsidR="00311810">
        <w:rPr>
          <w:lang w:bidi="he-IL"/>
        </w:rPr>
        <w:t>gave</w:t>
      </w:r>
      <w:r w:rsidRPr="003776BC">
        <w:rPr>
          <w:lang w:bidi="he-IL"/>
        </w:rPr>
        <w:t xml:space="preserve"> Zarqawi their ble</w:t>
      </w:r>
      <w:r w:rsidR="005A6B05">
        <w:rPr>
          <w:lang w:bidi="he-IL"/>
        </w:rPr>
        <w:t>ssing as well as some assistanc</w:t>
      </w:r>
      <w:r w:rsidR="00FA04A6">
        <w:rPr>
          <w:lang w:bidi="he-IL"/>
        </w:rPr>
        <w:t>e—200,000 US dollars</w:t>
      </w:r>
      <w:r>
        <w:rPr>
          <w:lang w:bidi="he-IL"/>
        </w:rPr>
        <w:t xml:space="preserve">, a small sum compared to their capability—to </w:t>
      </w:r>
      <w:r w:rsidRPr="003776BC">
        <w:rPr>
          <w:lang w:bidi="he-IL"/>
        </w:rPr>
        <w:t>create a front against coalition forces.</w:t>
      </w:r>
      <w:r w:rsidR="004555DB">
        <w:rPr>
          <w:lang w:bidi="he-IL"/>
        </w:rPr>
        <w:t xml:space="preserve"> </w:t>
      </w:r>
    </w:p>
    <w:p w:rsidR="00CA666C" w:rsidRDefault="0081557D" w:rsidP="00CA666C">
      <w:pPr>
        <w:ind w:firstLine="720"/>
        <w:contextualSpacing/>
        <w:rPr>
          <w:lang w:bidi="he-IL"/>
        </w:rPr>
      </w:pPr>
      <w:r w:rsidRPr="003776BC">
        <w:rPr>
          <w:lang w:bidi="he-IL"/>
        </w:rPr>
        <w:t xml:space="preserve">Al Qaeda aimed to win the hearts and minds of Sunnis before </w:t>
      </w:r>
      <w:r>
        <w:rPr>
          <w:lang w:bidi="he-IL"/>
        </w:rPr>
        <w:t>laying the groundwork for an Islamic State</w:t>
      </w:r>
      <w:r w:rsidRPr="003776BC">
        <w:rPr>
          <w:lang w:bidi="he-IL"/>
        </w:rPr>
        <w:t>.</w:t>
      </w:r>
      <w:r w:rsidRPr="003776BC">
        <w:rPr>
          <w:vertAlign w:val="superscript"/>
          <w:lang w:bidi="he-IL"/>
        </w:rPr>
        <w:footnoteReference w:id="244"/>
      </w:r>
      <w:r w:rsidR="004555DB">
        <w:rPr>
          <w:lang w:bidi="he-IL"/>
        </w:rPr>
        <w:t xml:space="preserve"> </w:t>
      </w:r>
      <w:r w:rsidR="00FA04A6">
        <w:rPr>
          <w:lang w:bidi="he-IL"/>
        </w:rPr>
        <w:t xml:space="preserve"> </w:t>
      </w:r>
      <w:r>
        <w:rPr>
          <w:lang w:bidi="he-IL"/>
        </w:rPr>
        <w:t>Zarqawi, however, cared little for Muslim popular opinion</w:t>
      </w:r>
      <w:r w:rsidR="004555DB">
        <w:rPr>
          <w:lang w:bidi="he-IL"/>
        </w:rPr>
        <w:t xml:space="preserve">.  </w:t>
      </w:r>
      <w:r w:rsidRPr="003776BC">
        <w:rPr>
          <w:lang w:bidi="he-IL"/>
        </w:rPr>
        <w:t xml:space="preserve">In 2005, ISIS </w:t>
      </w:r>
      <w:r>
        <w:rPr>
          <w:lang w:bidi="he-IL"/>
        </w:rPr>
        <w:t>published</w:t>
      </w:r>
      <w:r w:rsidRPr="003776BC">
        <w:rPr>
          <w:lang w:bidi="he-IL"/>
        </w:rPr>
        <w:t xml:space="preserve"> a “Why do we fight” document, which outlined the four reasons for Al Qaeda in Iraq:</w:t>
      </w:r>
      <w:r>
        <w:rPr>
          <w:lang w:bidi="he-IL"/>
        </w:rPr>
        <w:t xml:space="preserve"> restore the Caliphate and Sharia, reject the rule of </w:t>
      </w:r>
      <w:r>
        <w:rPr>
          <w:lang w:bidi="he-IL"/>
        </w:rPr>
        <w:lastRenderedPageBreak/>
        <w:t>Shia, oppose democracy, and prepare for judgment day.</w:t>
      </w:r>
      <w:r w:rsidRPr="003776BC">
        <w:rPr>
          <w:vertAlign w:val="superscript"/>
          <w:lang w:bidi="he-IL"/>
        </w:rPr>
        <w:footnoteReference w:id="245"/>
      </w:r>
      <w:r w:rsidR="00311810">
        <w:rPr>
          <w:lang w:bidi="he-IL"/>
        </w:rPr>
        <w:t xml:space="preserve">  </w:t>
      </w:r>
      <w:r w:rsidRPr="003776BC">
        <w:rPr>
          <w:lang w:bidi="he-IL"/>
        </w:rPr>
        <w:t xml:space="preserve">Even after Zarqawi was killed in June 2006, </w:t>
      </w:r>
      <w:r w:rsidR="009C3DDD">
        <w:rPr>
          <w:lang w:bidi="he-IL"/>
        </w:rPr>
        <w:t>Al Qaeda</w:t>
      </w:r>
      <w:r w:rsidRPr="003776BC">
        <w:rPr>
          <w:lang w:bidi="he-IL"/>
        </w:rPr>
        <w:t xml:space="preserve"> in Iraq declared an emirate without Al Qaeda’s consent in October 2006.</w:t>
      </w:r>
      <w:r w:rsidRPr="003776BC">
        <w:rPr>
          <w:vertAlign w:val="superscript"/>
          <w:lang w:bidi="he-IL"/>
        </w:rPr>
        <w:footnoteReference w:id="246"/>
      </w:r>
      <w:r w:rsidR="004555DB">
        <w:rPr>
          <w:lang w:bidi="he-IL"/>
        </w:rPr>
        <w:t xml:space="preserve"> </w:t>
      </w:r>
      <w:r w:rsidR="00FA04A6">
        <w:rPr>
          <w:lang w:bidi="he-IL"/>
        </w:rPr>
        <w:t xml:space="preserve"> </w:t>
      </w:r>
      <w:r>
        <w:rPr>
          <w:lang w:bidi="he-IL"/>
        </w:rPr>
        <w:t>D</w:t>
      </w:r>
      <w:r w:rsidRPr="003776BC">
        <w:rPr>
          <w:lang w:bidi="he-IL"/>
        </w:rPr>
        <w:t>espite private misgivings, Al-Qaeda presented a united front in public and endorsed the establishment of the Islamic State in 2006.</w:t>
      </w:r>
      <w:r w:rsidR="004555DB">
        <w:rPr>
          <w:lang w:bidi="he-IL"/>
        </w:rPr>
        <w:t xml:space="preserve"> </w:t>
      </w:r>
      <w:r w:rsidR="00FA04A6">
        <w:rPr>
          <w:lang w:bidi="he-IL"/>
        </w:rPr>
        <w:t xml:space="preserve"> </w:t>
      </w:r>
    </w:p>
    <w:p w:rsidR="0081557D" w:rsidRDefault="00FA04A6" w:rsidP="00CA666C">
      <w:pPr>
        <w:ind w:firstLine="720"/>
        <w:contextualSpacing/>
        <w:rPr>
          <w:lang w:bidi="he-IL"/>
        </w:rPr>
      </w:pPr>
      <w:r>
        <w:rPr>
          <w:lang w:bidi="he-IL"/>
        </w:rPr>
        <w:t xml:space="preserve">ISIS’ </w:t>
      </w:r>
      <w:r w:rsidR="0081557D" w:rsidRPr="003776BC">
        <w:rPr>
          <w:lang w:bidi="he-IL"/>
        </w:rPr>
        <w:t xml:space="preserve">dragging of the Al Qaeda </w:t>
      </w:r>
      <w:r>
        <w:rPr>
          <w:lang w:bidi="he-IL"/>
        </w:rPr>
        <w:t>brand</w:t>
      </w:r>
      <w:r w:rsidR="0081557D" w:rsidRPr="003776BC">
        <w:rPr>
          <w:lang w:bidi="he-IL"/>
        </w:rPr>
        <w:t xml:space="preserve"> through the mud via intra-Muslim warfare fr</w:t>
      </w:r>
      <w:r w:rsidR="0081557D">
        <w:rPr>
          <w:lang w:bidi="he-IL"/>
        </w:rPr>
        <w:t>ustra</w:t>
      </w:r>
      <w:r w:rsidR="000A2F8A">
        <w:rPr>
          <w:lang w:bidi="he-IL"/>
        </w:rPr>
        <w:t>ted Al-Qaeda’s inner circle.  E</w:t>
      </w:r>
      <w:r w:rsidR="0081557D" w:rsidRPr="003776BC">
        <w:rPr>
          <w:lang w:bidi="he-IL"/>
        </w:rPr>
        <w:t>very IS</w:t>
      </w:r>
      <w:r w:rsidR="00311810">
        <w:rPr>
          <w:lang w:bidi="he-IL"/>
        </w:rPr>
        <w:t>IS</w:t>
      </w:r>
      <w:r w:rsidR="0081557D" w:rsidRPr="003776BC">
        <w:rPr>
          <w:lang w:bidi="he-IL"/>
        </w:rPr>
        <w:t xml:space="preserve"> excess stigmatize</w:t>
      </w:r>
      <w:r w:rsidR="0081557D">
        <w:rPr>
          <w:lang w:bidi="he-IL"/>
        </w:rPr>
        <w:t>d</w:t>
      </w:r>
      <w:r w:rsidR="0081557D" w:rsidRPr="003776BC">
        <w:rPr>
          <w:lang w:bidi="he-IL"/>
        </w:rPr>
        <w:t xml:space="preserve"> Al Qaeda, yet </w:t>
      </w:r>
      <w:r w:rsidR="0081557D">
        <w:rPr>
          <w:lang w:bidi="he-IL"/>
        </w:rPr>
        <w:t>the latter</w:t>
      </w:r>
      <w:r w:rsidR="0081557D" w:rsidRPr="003776BC">
        <w:rPr>
          <w:lang w:bidi="he-IL"/>
        </w:rPr>
        <w:t xml:space="preserve"> could not denounce the group it endorsed.</w:t>
      </w:r>
      <w:r>
        <w:rPr>
          <w:lang w:bidi="he-IL"/>
        </w:rPr>
        <w:t xml:space="preserve">  Whereas Al Qaeda’s end goal was the same as ISIS—an Islamic State in the Middle East—Al Qaeda abhorred the promptness of ISIS’ intransigent franchise in Iraq.  </w:t>
      </w:r>
      <w:r w:rsidRPr="003776BC">
        <w:rPr>
          <w:lang w:bidi="he-IL"/>
        </w:rPr>
        <w:t xml:space="preserve">Al Qaeda heard about al-Baghdadi’s appointment as emir of the Islamic State in 2010 </w:t>
      </w:r>
      <w:r>
        <w:rPr>
          <w:lang w:bidi="he-IL"/>
        </w:rPr>
        <w:t>through the media</w:t>
      </w:r>
      <w:r w:rsidRPr="003776BC">
        <w:rPr>
          <w:lang w:bidi="he-IL"/>
        </w:rPr>
        <w:t>.</w:t>
      </w:r>
      <w:r>
        <w:rPr>
          <w:lang w:bidi="he-IL"/>
        </w:rPr>
        <w:t xml:space="preserve">  </w:t>
      </w:r>
      <w:r w:rsidRPr="003776BC">
        <w:rPr>
          <w:lang w:bidi="he-IL"/>
        </w:rPr>
        <w:t>Zawahiri declined Baghdadi</w:t>
      </w:r>
      <w:r>
        <w:rPr>
          <w:lang w:bidi="he-IL"/>
        </w:rPr>
        <w:t xml:space="preserve">’s offer to make </w:t>
      </w:r>
      <w:r w:rsidRPr="003776BC">
        <w:rPr>
          <w:lang w:bidi="he-IL"/>
        </w:rPr>
        <w:t>an explicit public pledge to Zawahiri after Bin Laden was killed</w:t>
      </w:r>
      <w:r w:rsidR="00311810">
        <w:rPr>
          <w:lang w:bidi="he-IL"/>
        </w:rPr>
        <w:t>, setting the stage for the divorce</w:t>
      </w:r>
      <w:r w:rsidRPr="003776BC">
        <w:rPr>
          <w:lang w:bidi="he-IL"/>
        </w:rPr>
        <w:t>.</w:t>
      </w:r>
      <w:r>
        <w:rPr>
          <w:lang w:bidi="he-IL"/>
        </w:rPr>
        <w:t xml:space="preserve">  </w:t>
      </w:r>
    </w:p>
    <w:p w:rsidR="0081557D" w:rsidRDefault="00FA04A6" w:rsidP="00EF1D08">
      <w:pPr>
        <w:ind w:firstLine="720"/>
        <w:contextualSpacing/>
        <w:rPr>
          <w:lang w:bidi="he-IL"/>
        </w:rPr>
      </w:pPr>
      <w:r>
        <w:rPr>
          <w:lang w:bidi="he-IL"/>
        </w:rPr>
        <w:t>IS</w:t>
      </w:r>
      <w:r w:rsidR="0081557D">
        <w:rPr>
          <w:lang w:bidi="he-IL"/>
        </w:rPr>
        <w:t xml:space="preserve">IS under Zarqawi, his successor </w:t>
      </w:r>
      <w:r w:rsidR="00311810">
        <w:rPr>
          <w:lang w:bidi="he-IL"/>
        </w:rPr>
        <w:t xml:space="preserve">Abu Ayyub </w:t>
      </w:r>
      <w:r w:rsidR="0081557D">
        <w:rPr>
          <w:lang w:bidi="he-IL"/>
        </w:rPr>
        <w:t>al-Masri, and the so-called Caliph Abu Bakr al-Baghdadi introduced two</w:t>
      </w:r>
      <w:r>
        <w:rPr>
          <w:lang w:bidi="he-IL"/>
        </w:rPr>
        <w:t xml:space="preserve"> sacred</w:t>
      </w:r>
      <w:r w:rsidR="0081557D">
        <w:rPr>
          <w:lang w:bidi="he-IL"/>
        </w:rPr>
        <w:t xml:space="preserve"> </w:t>
      </w:r>
      <w:r w:rsidR="00551DC8">
        <w:rPr>
          <w:lang w:bidi="he-IL"/>
        </w:rPr>
        <w:t>value</w:t>
      </w:r>
      <w:r w:rsidR="0081557D">
        <w:rPr>
          <w:lang w:bidi="he-IL"/>
        </w:rPr>
        <w:t>s to reignite the product life cycle of “the cult of martyrd</w:t>
      </w:r>
      <w:r>
        <w:rPr>
          <w:lang w:bidi="he-IL"/>
        </w:rPr>
        <w:t>om” in the cognitive terrain of</w:t>
      </w:r>
      <w:r w:rsidR="0081557D">
        <w:rPr>
          <w:lang w:bidi="he-IL"/>
        </w:rPr>
        <w:t xml:space="preserve"> Qutbists</w:t>
      </w:r>
      <w:r w:rsidR="004555DB">
        <w:rPr>
          <w:lang w:bidi="he-IL"/>
        </w:rPr>
        <w:t xml:space="preserve">.  </w:t>
      </w:r>
      <w:r w:rsidR="0081557D">
        <w:rPr>
          <w:lang w:bidi="he-IL"/>
        </w:rPr>
        <w:t xml:space="preserve">These two </w:t>
      </w:r>
      <w:r w:rsidR="00551DC8">
        <w:rPr>
          <w:lang w:bidi="he-IL"/>
        </w:rPr>
        <w:t>value</w:t>
      </w:r>
      <w:r w:rsidR="0081557D">
        <w:rPr>
          <w:lang w:bidi="he-IL"/>
        </w:rPr>
        <w:t xml:space="preserve">s are the </w:t>
      </w:r>
      <w:r w:rsidR="0081557D">
        <w:rPr>
          <w:i/>
          <w:lang w:bidi="he-IL"/>
        </w:rPr>
        <w:t xml:space="preserve">Caliphate </w:t>
      </w:r>
      <w:r w:rsidR="0081557D">
        <w:rPr>
          <w:lang w:bidi="he-IL"/>
        </w:rPr>
        <w:t xml:space="preserve">and </w:t>
      </w:r>
      <w:r w:rsidR="0081557D">
        <w:rPr>
          <w:i/>
          <w:lang w:bidi="he-IL"/>
        </w:rPr>
        <w:t>the End Times</w:t>
      </w:r>
      <w:r>
        <w:rPr>
          <w:i/>
          <w:lang w:bidi="he-IL"/>
        </w:rPr>
        <w:t xml:space="preserve">. </w:t>
      </w:r>
      <w:r w:rsidR="007F393D" w:rsidRPr="003776BC">
        <w:rPr>
          <w:lang w:bidi="he-IL"/>
        </w:rPr>
        <w:t>One Australian ISIS supporter Anjem Choudary describes the importance of the Caliphate:</w:t>
      </w:r>
      <w:r w:rsidR="007F393D">
        <w:rPr>
          <w:lang w:bidi="he-IL"/>
        </w:rPr>
        <w:t xml:space="preserve"> </w:t>
      </w:r>
      <w:r w:rsidR="007F393D" w:rsidRPr="003776BC">
        <w:rPr>
          <w:lang w:bidi="he-IL"/>
        </w:rPr>
        <w:t>“[Before the Caliphate], maybe 85 percent of the Sharia was absent from our lives…These laws</w:t>
      </w:r>
      <w:r w:rsidR="007F393D">
        <w:rPr>
          <w:lang w:bidi="he-IL"/>
        </w:rPr>
        <w:t xml:space="preserve"> are in abeyance until we have </w:t>
      </w:r>
      <w:r w:rsidR="007F393D" w:rsidRPr="00C35E6F">
        <w:rPr>
          <w:i/>
          <w:lang w:bidi="he-IL"/>
        </w:rPr>
        <w:t>Khilafa</w:t>
      </w:r>
      <w:r w:rsidR="007F393D">
        <w:rPr>
          <w:lang w:bidi="he-IL"/>
        </w:rPr>
        <w:t xml:space="preserve"> (C</w:t>
      </w:r>
      <w:r w:rsidR="007F393D" w:rsidRPr="003776BC">
        <w:rPr>
          <w:lang w:bidi="he-IL"/>
        </w:rPr>
        <w:t>aliphate) and now we have one.”</w:t>
      </w:r>
      <w:r w:rsidR="007F393D" w:rsidRPr="003776BC">
        <w:rPr>
          <w:vertAlign w:val="superscript"/>
          <w:lang w:bidi="he-IL"/>
        </w:rPr>
        <w:footnoteReference w:id="247"/>
      </w:r>
      <w:r>
        <w:rPr>
          <w:lang w:bidi="he-IL"/>
        </w:rPr>
        <w:t xml:space="preserve">  </w:t>
      </w:r>
      <w:r w:rsidR="0081557D" w:rsidRPr="003776BC">
        <w:rPr>
          <w:lang w:bidi="he-IL"/>
        </w:rPr>
        <w:t xml:space="preserve">Theoretically, all Muslims must immigrate to new Caliphate, something which ISIS </w:t>
      </w:r>
      <w:r w:rsidR="0081557D">
        <w:rPr>
          <w:lang w:bidi="he-IL"/>
        </w:rPr>
        <w:t>carefully</w:t>
      </w:r>
      <w:r w:rsidR="0081557D" w:rsidRPr="003776BC">
        <w:rPr>
          <w:lang w:bidi="he-IL"/>
        </w:rPr>
        <w:t xml:space="preserve"> market</w:t>
      </w:r>
      <w:r w:rsidR="0081557D">
        <w:rPr>
          <w:lang w:bidi="he-IL"/>
        </w:rPr>
        <w:t>s</w:t>
      </w:r>
      <w:r w:rsidR="0081557D" w:rsidRPr="003776BC">
        <w:rPr>
          <w:lang w:bidi="he-IL"/>
        </w:rPr>
        <w:t>.</w:t>
      </w:r>
      <w:r w:rsidR="004555DB">
        <w:rPr>
          <w:lang w:bidi="he-IL"/>
        </w:rPr>
        <w:t xml:space="preserve"> </w:t>
      </w:r>
      <w:r>
        <w:rPr>
          <w:lang w:bidi="he-IL"/>
        </w:rPr>
        <w:t xml:space="preserve"> </w:t>
      </w:r>
      <w:r w:rsidR="0081557D" w:rsidRPr="003776BC">
        <w:rPr>
          <w:lang w:bidi="he-IL"/>
        </w:rPr>
        <w:t>In one of its advertisements, ISIS p</w:t>
      </w:r>
      <w:r w:rsidR="00CA666C">
        <w:rPr>
          <w:lang w:bidi="he-IL"/>
        </w:rPr>
        <w:t>laced</w:t>
      </w:r>
      <w:r w:rsidR="0081557D" w:rsidRPr="003776BC">
        <w:rPr>
          <w:lang w:bidi="he-IL"/>
        </w:rPr>
        <w:t xml:space="preserve"> the phrase of the </w:t>
      </w:r>
      <w:r>
        <w:rPr>
          <w:lang w:bidi="he-IL"/>
        </w:rPr>
        <w:t xml:space="preserve">traditional </w:t>
      </w:r>
      <w:r w:rsidR="0081557D" w:rsidRPr="003776BC">
        <w:rPr>
          <w:lang w:bidi="he-IL"/>
        </w:rPr>
        <w:t>witness</w:t>
      </w:r>
      <w:r>
        <w:rPr>
          <w:lang w:bidi="he-IL"/>
        </w:rPr>
        <w:t xml:space="preserve"> of the faith</w:t>
      </w:r>
      <w:r w:rsidR="0081557D" w:rsidRPr="003776BC">
        <w:rPr>
          <w:lang w:bidi="he-IL"/>
        </w:rPr>
        <w:t>,</w:t>
      </w:r>
      <w:r>
        <w:rPr>
          <w:lang w:bidi="he-IL"/>
        </w:rPr>
        <w:t xml:space="preserve"> “</w:t>
      </w:r>
      <w:r w:rsidR="0081557D" w:rsidRPr="003776BC">
        <w:rPr>
          <w:lang w:bidi="he-IL"/>
        </w:rPr>
        <w:t>No god but God</w:t>
      </w:r>
      <w:r w:rsidR="004555DB">
        <w:rPr>
          <w:lang w:bidi="he-IL"/>
        </w:rPr>
        <w:t xml:space="preserve">.  </w:t>
      </w:r>
      <w:r w:rsidR="0081557D" w:rsidRPr="003776BC">
        <w:rPr>
          <w:lang w:bidi="he-IL"/>
        </w:rPr>
        <w:t xml:space="preserve">Muhammad is the messenger of God,” next to, “The Islamic State: A Caliphate in </w:t>
      </w:r>
      <w:r w:rsidR="0081557D" w:rsidRPr="003776BC">
        <w:rPr>
          <w:lang w:bidi="he-IL"/>
        </w:rPr>
        <w:lastRenderedPageBreak/>
        <w:t>Accordance with the Prophetic Method.”</w:t>
      </w:r>
      <w:r w:rsidR="0081557D" w:rsidRPr="003776BC">
        <w:rPr>
          <w:vertAlign w:val="superscript"/>
          <w:lang w:bidi="he-IL"/>
        </w:rPr>
        <w:footnoteReference w:id="248"/>
      </w:r>
      <w:r>
        <w:rPr>
          <w:lang w:bidi="he-IL"/>
        </w:rPr>
        <w:t xml:space="preserve">  </w:t>
      </w:r>
      <w:r w:rsidR="0081557D" w:rsidRPr="003776BC">
        <w:rPr>
          <w:lang w:bidi="he-IL"/>
        </w:rPr>
        <w:t>Additional messaging includes, “Rush O Muslims to your state</w:t>
      </w:r>
      <w:r w:rsidR="004555DB">
        <w:rPr>
          <w:lang w:bidi="he-IL"/>
        </w:rPr>
        <w:t xml:space="preserve">.  </w:t>
      </w:r>
      <w:r w:rsidR="0081557D" w:rsidRPr="003776BC">
        <w:rPr>
          <w:lang w:bidi="he-IL"/>
        </w:rPr>
        <w:t>Yes, it is your state</w:t>
      </w:r>
      <w:r w:rsidR="004555DB">
        <w:rPr>
          <w:lang w:bidi="he-IL"/>
        </w:rPr>
        <w:t xml:space="preserve">.  </w:t>
      </w:r>
      <w:r w:rsidR="0081557D" w:rsidRPr="003776BC">
        <w:rPr>
          <w:lang w:bidi="he-IL"/>
        </w:rPr>
        <w:t>Rush, because Syria is not for the Syrians, and Iraq is not for the Iraqis.”</w:t>
      </w:r>
      <w:r w:rsidR="0081557D" w:rsidRPr="003776BC">
        <w:rPr>
          <w:vertAlign w:val="superscript"/>
          <w:lang w:bidi="he-IL"/>
        </w:rPr>
        <w:footnoteReference w:id="249"/>
      </w:r>
      <w:r w:rsidR="004555DB">
        <w:rPr>
          <w:lang w:bidi="he-IL"/>
        </w:rPr>
        <w:t xml:space="preserve"> </w:t>
      </w:r>
    </w:p>
    <w:p w:rsidR="00F66F76" w:rsidRDefault="00F66F76" w:rsidP="00EF1D08">
      <w:pPr>
        <w:ind w:firstLine="720"/>
        <w:contextualSpacing/>
        <w:rPr>
          <w:lang w:bidi="he-IL"/>
        </w:rPr>
      </w:pPr>
      <w:r>
        <w:rPr>
          <w:lang w:bidi="he-IL"/>
        </w:rPr>
        <w:t>The belief in and celebration of the End T</w:t>
      </w:r>
      <w:r w:rsidR="00EF1D08">
        <w:rPr>
          <w:lang w:bidi="he-IL"/>
        </w:rPr>
        <w:t>imes reinforced the martyrdom narrative</w:t>
      </w:r>
      <w:r>
        <w:rPr>
          <w:lang w:bidi="he-IL"/>
        </w:rPr>
        <w:t xml:space="preserve"> that incentivized suicide terrorism</w:t>
      </w:r>
      <w:r w:rsidR="004555DB">
        <w:rPr>
          <w:lang w:bidi="he-IL"/>
        </w:rPr>
        <w:t xml:space="preserve">.  </w:t>
      </w:r>
      <w:r>
        <w:rPr>
          <w:lang w:bidi="he-IL"/>
        </w:rPr>
        <w:t>If the End is near, then planning for a future is irrelevant</w:t>
      </w:r>
      <w:r w:rsidR="004555DB">
        <w:rPr>
          <w:lang w:bidi="he-IL"/>
        </w:rPr>
        <w:t xml:space="preserve">.  </w:t>
      </w:r>
      <w:r w:rsidR="00FA04A6">
        <w:rPr>
          <w:lang w:bidi="he-IL"/>
        </w:rPr>
        <w:t xml:space="preserve">Judgment Day is near, so the believer will </w:t>
      </w:r>
      <w:r>
        <w:rPr>
          <w:lang w:bidi="he-IL"/>
        </w:rPr>
        <w:t>give an accounting befor</w:t>
      </w:r>
      <w:r w:rsidR="007A6F4C">
        <w:rPr>
          <w:lang w:bidi="he-IL"/>
        </w:rPr>
        <w:t>e God</w:t>
      </w:r>
      <w:r w:rsidR="00FA04A6">
        <w:rPr>
          <w:lang w:bidi="he-IL"/>
        </w:rPr>
        <w:t xml:space="preserve"> </w:t>
      </w:r>
      <w:r w:rsidR="001723DD">
        <w:rPr>
          <w:lang w:bidi="he-IL"/>
        </w:rPr>
        <w:t>soon</w:t>
      </w:r>
      <w:r w:rsidR="004555DB">
        <w:rPr>
          <w:lang w:bidi="he-IL"/>
        </w:rPr>
        <w:t xml:space="preserve">. </w:t>
      </w:r>
      <w:r w:rsidR="007A6F4C">
        <w:rPr>
          <w:lang w:bidi="he-IL"/>
        </w:rPr>
        <w:t xml:space="preserve">In 2012, thanks to all the regional chaos, </w:t>
      </w:r>
      <w:r w:rsidR="007A6F4C" w:rsidRPr="003776BC">
        <w:rPr>
          <w:lang w:bidi="he-IL"/>
        </w:rPr>
        <w:t xml:space="preserve">half of all Muslims in the Middle East, North Africa, and South Asia </w:t>
      </w:r>
      <w:r w:rsidR="00CA666C">
        <w:rPr>
          <w:lang w:bidi="he-IL"/>
        </w:rPr>
        <w:t xml:space="preserve">believed the end was near and </w:t>
      </w:r>
      <w:r w:rsidR="007A6F4C" w:rsidRPr="003776BC">
        <w:rPr>
          <w:lang w:bidi="he-IL"/>
        </w:rPr>
        <w:t xml:space="preserve">expected the </w:t>
      </w:r>
      <w:r w:rsidR="007A6F4C" w:rsidRPr="001723DD">
        <w:rPr>
          <w:i/>
          <w:iCs/>
          <w:lang w:bidi="he-IL"/>
        </w:rPr>
        <w:t xml:space="preserve">Mahdi </w:t>
      </w:r>
      <w:r w:rsidR="00FA04A6">
        <w:rPr>
          <w:lang w:bidi="he-IL"/>
        </w:rPr>
        <w:t xml:space="preserve">(the prophesied redeemer of Islam) </w:t>
      </w:r>
      <w:r w:rsidR="007A6F4C" w:rsidRPr="003776BC">
        <w:rPr>
          <w:lang w:bidi="he-IL"/>
        </w:rPr>
        <w:t>to arrive.</w:t>
      </w:r>
      <w:r w:rsidR="007A6F4C" w:rsidRPr="003776BC">
        <w:rPr>
          <w:vertAlign w:val="superscript"/>
          <w:lang w:bidi="he-IL"/>
        </w:rPr>
        <w:footnoteReference w:id="250"/>
      </w:r>
      <w:r w:rsidR="00CA666C">
        <w:rPr>
          <w:lang w:bidi="he-IL"/>
        </w:rPr>
        <w:t xml:space="preserve">  </w:t>
      </w:r>
      <w:r w:rsidR="007A6F4C">
        <w:rPr>
          <w:lang w:bidi="he-IL"/>
        </w:rPr>
        <w:t xml:space="preserve">If there is a good reason </w:t>
      </w:r>
      <w:r w:rsidR="00CA666C">
        <w:rPr>
          <w:lang w:bidi="he-IL"/>
        </w:rPr>
        <w:t xml:space="preserve">to assume the </w:t>
      </w:r>
      <w:r w:rsidR="007A6F4C">
        <w:rPr>
          <w:lang w:bidi="he-IL"/>
        </w:rPr>
        <w:t>End Times are near, it merely pushes martyrdom as a possible decision</w:t>
      </w:r>
      <w:r w:rsidR="004555DB">
        <w:rPr>
          <w:lang w:bidi="he-IL"/>
        </w:rPr>
        <w:t xml:space="preserve">.  </w:t>
      </w:r>
    </w:p>
    <w:p w:rsidR="0081557D" w:rsidRPr="003776BC" w:rsidRDefault="0081557D" w:rsidP="00EF1D08">
      <w:pPr>
        <w:ind w:firstLine="720"/>
        <w:contextualSpacing/>
        <w:rPr>
          <w:lang w:bidi="he-IL"/>
        </w:rPr>
      </w:pPr>
      <w:r w:rsidRPr="003776BC">
        <w:rPr>
          <w:lang w:bidi="he-IL"/>
        </w:rPr>
        <w:t xml:space="preserve">ISIS is different from every other jihadist movement in that </w:t>
      </w:r>
      <w:r w:rsidR="00EF1D08">
        <w:rPr>
          <w:lang w:bidi="he-IL"/>
        </w:rPr>
        <w:t>apocalypticism</w:t>
      </w:r>
      <w:r w:rsidR="00FA04A6">
        <w:rPr>
          <w:lang w:bidi="he-IL"/>
        </w:rPr>
        <w:t xml:space="preserve"> influences the decision making of the organization</w:t>
      </w:r>
      <w:r w:rsidR="004555DB">
        <w:rPr>
          <w:lang w:bidi="he-IL"/>
        </w:rPr>
        <w:t>.</w:t>
      </w:r>
      <w:r w:rsidR="00FA04A6">
        <w:rPr>
          <w:lang w:bidi="he-IL"/>
        </w:rPr>
        <w:t xml:space="preserve">  For</w:t>
      </w:r>
      <w:r w:rsidRPr="003776BC">
        <w:rPr>
          <w:lang w:bidi="he-IL"/>
        </w:rPr>
        <w:t xml:space="preserve"> highly devout Muslims, the apocalypse is a good thing to be welcomed, as it means God (through his Prophet Jesus) will eradicate all injustice on earth.</w:t>
      </w:r>
      <w:r w:rsidRPr="003776BC">
        <w:rPr>
          <w:vertAlign w:val="superscript"/>
          <w:lang w:bidi="he-IL"/>
        </w:rPr>
        <w:footnoteReference w:id="251"/>
      </w:r>
      <w:r w:rsidR="004555DB">
        <w:rPr>
          <w:lang w:bidi="he-IL"/>
        </w:rPr>
        <w:t xml:space="preserve"> </w:t>
      </w:r>
      <w:r w:rsidR="00FA04A6">
        <w:rPr>
          <w:lang w:bidi="he-IL"/>
        </w:rPr>
        <w:t xml:space="preserve"> </w:t>
      </w:r>
      <w:r w:rsidRPr="003776BC">
        <w:rPr>
          <w:lang w:bidi="he-IL"/>
        </w:rPr>
        <w:t xml:space="preserve">Zarqawi would stir apocalyptic expectations, citing </w:t>
      </w:r>
      <w:r>
        <w:rPr>
          <w:lang w:bidi="he-IL"/>
        </w:rPr>
        <w:t xml:space="preserve">ISIS’s behavior </w:t>
      </w:r>
      <w:r w:rsidR="00F66F76">
        <w:rPr>
          <w:lang w:bidi="he-IL"/>
        </w:rPr>
        <w:t xml:space="preserve">as acting </w:t>
      </w:r>
      <w:r>
        <w:rPr>
          <w:lang w:bidi="he-IL"/>
        </w:rPr>
        <w:t xml:space="preserve">in line with </w:t>
      </w:r>
      <w:r w:rsidR="00F66F76">
        <w:rPr>
          <w:lang w:bidi="he-IL"/>
        </w:rPr>
        <w:t>prophetic fulfillment</w:t>
      </w:r>
      <w:r w:rsidRPr="003776BC">
        <w:rPr>
          <w:lang w:bidi="he-IL"/>
        </w:rPr>
        <w:t>.</w:t>
      </w:r>
      <w:r w:rsidRPr="003776BC">
        <w:rPr>
          <w:vertAlign w:val="superscript"/>
          <w:lang w:bidi="he-IL"/>
        </w:rPr>
        <w:footnoteReference w:id="252"/>
      </w:r>
      <w:r w:rsidR="004555DB">
        <w:rPr>
          <w:lang w:bidi="he-IL"/>
        </w:rPr>
        <w:t xml:space="preserve"> </w:t>
      </w:r>
      <w:r w:rsidR="00FA04A6">
        <w:rPr>
          <w:lang w:bidi="he-IL"/>
        </w:rPr>
        <w:t xml:space="preserve"> </w:t>
      </w:r>
      <w:r w:rsidRPr="003776BC">
        <w:rPr>
          <w:lang w:bidi="he-IL"/>
        </w:rPr>
        <w:t>According to the ISIS’ chief judge, Zarqawi’s replacement al-Masri announced the Islamic State in 2006 because he believed the Mahdi Muslim savior would come within the year</w:t>
      </w:r>
      <w:r w:rsidR="00CA666C">
        <w:rPr>
          <w:lang w:bidi="he-IL"/>
        </w:rPr>
        <w:t>.  F</w:t>
      </w:r>
      <w:r w:rsidRPr="003776BC">
        <w:rPr>
          <w:lang w:bidi="he-IL"/>
        </w:rPr>
        <w:t>or that to happen, the Caliphate had to be in place.</w:t>
      </w:r>
      <w:r w:rsidR="00311810">
        <w:rPr>
          <w:lang w:bidi="he-IL"/>
        </w:rPr>
        <w:t xml:space="preserve">  </w:t>
      </w:r>
      <w:r w:rsidRPr="003776BC">
        <w:rPr>
          <w:lang w:bidi="he-IL"/>
        </w:rPr>
        <w:t xml:space="preserve">At the end of the Cold War period, </w:t>
      </w:r>
      <w:r w:rsidR="00161146">
        <w:rPr>
          <w:lang w:bidi="he-IL"/>
        </w:rPr>
        <w:t xml:space="preserve">apocalypticism </w:t>
      </w:r>
      <w:r w:rsidRPr="003776BC">
        <w:rPr>
          <w:lang w:bidi="he-IL"/>
        </w:rPr>
        <w:t>was unpopular among modern Sunnis, associated with Shia obsession</w:t>
      </w:r>
      <w:r w:rsidR="001723DD">
        <w:rPr>
          <w:lang w:bidi="he-IL"/>
        </w:rPr>
        <w:t xml:space="preserve"> </w:t>
      </w:r>
      <w:r w:rsidRPr="003776BC">
        <w:rPr>
          <w:lang w:bidi="he-IL"/>
        </w:rPr>
        <w:t>with the Mahdi</w:t>
      </w:r>
      <w:r w:rsidR="004555DB">
        <w:rPr>
          <w:lang w:bidi="he-IL"/>
        </w:rPr>
        <w:t xml:space="preserve">.  </w:t>
      </w:r>
      <w:r w:rsidR="00F66F76">
        <w:rPr>
          <w:lang w:bidi="he-IL"/>
        </w:rPr>
        <w:t>Al Qaeda view</w:t>
      </w:r>
      <w:r w:rsidR="001723DD">
        <w:rPr>
          <w:lang w:bidi="he-IL"/>
        </w:rPr>
        <w:t>s</w:t>
      </w:r>
      <w:r w:rsidR="00F66F76">
        <w:rPr>
          <w:lang w:bidi="he-IL"/>
        </w:rPr>
        <w:t xml:space="preserve"> ISIS’ apocalypticism with disdain</w:t>
      </w:r>
      <w:r w:rsidR="004555DB">
        <w:rPr>
          <w:lang w:bidi="he-IL"/>
        </w:rPr>
        <w:t xml:space="preserve">.  </w:t>
      </w:r>
    </w:p>
    <w:p w:rsidR="0081557D" w:rsidRPr="003776BC" w:rsidRDefault="0081557D" w:rsidP="00CA666C">
      <w:pPr>
        <w:ind w:firstLine="720"/>
        <w:contextualSpacing/>
        <w:rPr>
          <w:lang w:bidi="he-IL"/>
        </w:rPr>
      </w:pPr>
      <w:r w:rsidRPr="003776BC">
        <w:rPr>
          <w:lang w:bidi="he-IL"/>
        </w:rPr>
        <w:lastRenderedPageBreak/>
        <w:t>In this eschatology, Roman armies (roughly translated</w:t>
      </w:r>
      <w:r>
        <w:rPr>
          <w:lang w:bidi="he-IL"/>
        </w:rPr>
        <w:t>, depending on convenience,</w:t>
      </w:r>
      <w:r w:rsidRPr="003776BC">
        <w:rPr>
          <w:lang w:bidi="he-IL"/>
        </w:rPr>
        <w:t xml:space="preserve"> as the European Union, the </w:t>
      </w:r>
      <w:r>
        <w:rPr>
          <w:lang w:bidi="he-IL"/>
        </w:rPr>
        <w:t>US</w:t>
      </w:r>
      <w:r w:rsidRPr="003776BC">
        <w:rPr>
          <w:lang w:bidi="he-IL"/>
        </w:rPr>
        <w:t>, or the</w:t>
      </w:r>
      <w:r>
        <w:rPr>
          <w:lang w:bidi="he-IL"/>
        </w:rPr>
        <w:t xml:space="preserve"> UN</w:t>
      </w:r>
      <w:r w:rsidRPr="003776BC">
        <w:rPr>
          <w:lang w:bidi="he-IL"/>
        </w:rPr>
        <w:t>) will invade the fields of Dabiq near Aleppo</w:t>
      </w:r>
      <w:r w:rsidR="004555DB">
        <w:rPr>
          <w:lang w:bidi="he-IL"/>
        </w:rPr>
        <w:t xml:space="preserve">.  </w:t>
      </w:r>
      <w:r w:rsidRPr="003776BC">
        <w:rPr>
          <w:lang w:bidi="he-IL"/>
        </w:rPr>
        <w:t>Dabiq will be where the Islamic armies turn the tide and defeat the invaders.</w:t>
      </w:r>
      <w:r w:rsidRPr="003776BC">
        <w:rPr>
          <w:vertAlign w:val="superscript"/>
          <w:lang w:bidi="he-IL"/>
        </w:rPr>
        <w:footnoteReference w:id="253"/>
      </w:r>
      <w:r w:rsidR="008369E3">
        <w:rPr>
          <w:lang w:bidi="he-IL"/>
        </w:rPr>
        <w:t xml:space="preserve">  </w:t>
      </w:r>
      <w:r w:rsidRPr="003776BC">
        <w:rPr>
          <w:lang w:bidi="he-IL"/>
        </w:rPr>
        <w:t>Syria is mentioned in Islamic prophecies as site of final battles of the apocalypse, thus its continuing violence</w:t>
      </w:r>
      <w:r w:rsidR="008369E3">
        <w:rPr>
          <w:lang w:bidi="he-IL"/>
        </w:rPr>
        <w:t xml:space="preserve"> merely strengthens the belief</w:t>
      </w:r>
      <w:r w:rsidRPr="003776BC">
        <w:rPr>
          <w:lang w:bidi="he-IL"/>
        </w:rPr>
        <w:t xml:space="preserve"> that these prophecies are coming real.</w:t>
      </w:r>
      <w:r w:rsidRPr="003776BC">
        <w:rPr>
          <w:vertAlign w:val="superscript"/>
          <w:lang w:bidi="he-IL"/>
        </w:rPr>
        <w:footnoteReference w:id="254"/>
      </w:r>
      <w:r w:rsidR="001723DD">
        <w:rPr>
          <w:lang w:bidi="he-IL"/>
        </w:rPr>
        <w:t xml:space="preserve">  </w:t>
      </w:r>
      <w:r w:rsidRPr="003776BC">
        <w:rPr>
          <w:lang w:bidi="he-IL"/>
        </w:rPr>
        <w:t xml:space="preserve">Turkey’s entrance into the Middle East </w:t>
      </w:r>
      <w:r w:rsidR="00CA666C">
        <w:rPr>
          <w:lang w:bidi="he-IL"/>
        </w:rPr>
        <w:t xml:space="preserve">increased </w:t>
      </w:r>
      <w:r w:rsidRPr="003776BC">
        <w:rPr>
          <w:lang w:bidi="he-IL"/>
        </w:rPr>
        <w:t xml:space="preserve">commentary on the end times on social media, with </w:t>
      </w:r>
      <w:r w:rsidR="008369E3">
        <w:rPr>
          <w:lang w:bidi="he-IL"/>
        </w:rPr>
        <w:t>c</w:t>
      </w:r>
      <w:r w:rsidRPr="003776BC">
        <w:rPr>
          <w:lang w:bidi="he-IL"/>
        </w:rPr>
        <w:t xml:space="preserve">omments </w:t>
      </w:r>
      <w:r w:rsidR="008369E3">
        <w:rPr>
          <w:lang w:bidi="he-IL"/>
        </w:rPr>
        <w:t xml:space="preserve">from ISIS supporters </w:t>
      </w:r>
      <w:r w:rsidRPr="003776BC">
        <w:rPr>
          <w:lang w:bidi="he-IL"/>
        </w:rPr>
        <w:t>such as, “Turkey’s entry into the war will permit the foreign invasion of northern Syria, meaning from the plain of Dabiq</w:t>
      </w:r>
      <w:r w:rsidR="004555DB">
        <w:rPr>
          <w:lang w:bidi="he-IL"/>
        </w:rPr>
        <w:t xml:space="preserve">.  </w:t>
      </w:r>
      <w:r w:rsidRPr="003776BC">
        <w:rPr>
          <w:lang w:bidi="he-IL"/>
        </w:rPr>
        <w:t>The battles [of the End Times] have grown near</w:t>
      </w:r>
      <w:r w:rsidR="00CA666C">
        <w:rPr>
          <w:lang w:bidi="he-IL"/>
        </w:rPr>
        <w:t>!</w:t>
      </w:r>
      <w:r w:rsidRPr="003776BC">
        <w:rPr>
          <w:lang w:bidi="he-IL"/>
        </w:rPr>
        <w:t>”</w:t>
      </w:r>
      <w:r w:rsidR="004555DB">
        <w:rPr>
          <w:lang w:bidi="he-IL"/>
        </w:rPr>
        <w:t xml:space="preserve"> </w:t>
      </w:r>
      <w:r w:rsidRPr="003776BC">
        <w:rPr>
          <w:lang w:bidi="he-IL"/>
        </w:rPr>
        <w:t>In 2013, ISIS sacrificed significant forces these fields, despite</w:t>
      </w:r>
      <w:r>
        <w:rPr>
          <w:lang w:bidi="he-IL"/>
        </w:rPr>
        <w:t xml:space="preserve"> these fields lacking any strategic value aside from symbolic value and the fulfillment of beliefs.</w:t>
      </w:r>
      <w:r w:rsidR="004555DB">
        <w:rPr>
          <w:lang w:bidi="he-IL"/>
        </w:rPr>
        <w:t xml:space="preserve"> </w:t>
      </w:r>
    </w:p>
    <w:p w:rsidR="008369E3" w:rsidRDefault="0081557D" w:rsidP="00CA666C">
      <w:pPr>
        <w:ind w:firstLine="720"/>
        <w:contextualSpacing/>
      </w:pPr>
      <w:r>
        <w:t xml:space="preserve">ISIS relied on its </w:t>
      </w:r>
      <w:r w:rsidR="00CA666C">
        <w:t xml:space="preserve">Palestinian </w:t>
      </w:r>
      <w:r>
        <w:t xml:space="preserve">martyrdom narrative to </w:t>
      </w:r>
      <w:r w:rsidR="00CA666C">
        <w:t>soften the fear of suicide</w:t>
      </w:r>
      <w:r w:rsidR="004555DB">
        <w:t xml:space="preserve">.  </w:t>
      </w:r>
      <w:r>
        <w:t>T</w:t>
      </w:r>
      <w:r w:rsidRPr="003776BC">
        <w:t xml:space="preserve">he removal of Saddam Hussein provided the opportunity </w:t>
      </w:r>
      <w:r>
        <w:t xml:space="preserve">for Qutbist spectators of the Palestinian conflict </w:t>
      </w:r>
      <w:r w:rsidRPr="003776BC">
        <w:t>to explore</w:t>
      </w:r>
      <w:r>
        <w:t xml:space="preserve"> its possibilities</w:t>
      </w:r>
      <w:r w:rsidR="004555DB">
        <w:t xml:space="preserve">.  </w:t>
      </w:r>
      <w:r w:rsidRPr="003776BC">
        <w:t xml:space="preserve">ISIS </w:t>
      </w:r>
      <w:r>
        <w:t>campaign manager</w:t>
      </w:r>
      <w:r w:rsidRPr="003776BC">
        <w:t>s describe their foreign suicide bombers as overly impatient martyrs, pining for the rewards of jihad immediately.</w:t>
      </w:r>
      <w:r w:rsidRPr="003776BC">
        <w:rPr>
          <w:vertAlign w:val="superscript"/>
        </w:rPr>
        <w:footnoteReference w:id="255"/>
      </w:r>
      <w:r w:rsidR="008369E3">
        <w:t xml:space="preserve">  </w:t>
      </w:r>
      <w:r w:rsidRPr="003776BC">
        <w:t>Sheik Adnan Khamese Jamiel, leader of the Albu Alwan tribe in Ramadi, described the recruitment pitch, “The bad imams tell the young people to go to Iraq and fight the American Army, because if you kill them or they kill you, you will go to paradise.</w:t>
      </w:r>
      <w:r>
        <w:t>”</w:t>
      </w:r>
      <w:r w:rsidRPr="003776BC">
        <w:rPr>
          <w:vertAlign w:val="superscript"/>
        </w:rPr>
        <w:footnoteReference w:id="256"/>
      </w:r>
      <w:r w:rsidR="004555DB">
        <w:t xml:space="preserve"> </w:t>
      </w:r>
      <w:r w:rsidR="008369E3">
        <w:t xml:space="preserve"> </w:t>
      </w:r>
      <w:r>
        <w:t>P</w:t>
      </w:r>
      <w:r w:rsidRPr="003776BC">
        <w:t xml:space="preserve">reachers </w:t>
      </w:r>
      <w:r>
        <w:t xml:space="preserve">in </w:t>
      </w:r>
      <w:r w:rsidR="008369E3">
        <w:t>Saudi Arabia created videos</w:t>
      </w:r>
      <w:r w:rsidRPr="003776BC">
        <w:t xml:space="preserve">, “Where are those striving to defend their religion? Where are the lovers of virgins in paradise? Where are the seekers </w:t>
      </w:r>
      <w:r w:rsidRPr="003776BC">
        <w:lastRenderedPageBreak/>
        <w:t>of the Garden of Eden?”</w:t>
      </w:r>
      <w:r w:rsidRPr="003776BC">
        <w:rPr>
          <w:vertAlign w:val="superscript"/>
        </w:rPr>
        <w:footnoteReference w:id="257"/>
      </w:r>
      <w:r w:rsidR="004555DB">
        <w:t xml:space="preserve"> </w:t>
      </w:r>
      <w:r w:rsidR="008369E3">
        <w:t xml:space="preserve"> </w:t>
      </w:r>
      <w:r w:rsidR="001723DD">
        <w:t>Zarqawi released videos of the “marriage ceremonies”</w:t>
      </w:r>
      <w:r w:rsidRPr="003776BC">
        <w:t xml:space="preserve"> </w:t>
      </w:r>
      <w:r>
        <w:t>of past martyrs,</w:t>
      </w:r>
      <w:r w:rsidRPr="003776BC">
        <w:t xml:space="preserve"> </w:t>
      </w:r>
      <w:r>
        <w:t xml:space="preserve">with the videos reiterating how </w:t>
      </w:r>
      <w:r w:rsidRPr="003776BC">
        <w:t xml:space="preserve">each attacker </w:t>
      </w:r>
      <w:r>
        <w:t xml:space="preserve">is </w:t>
      </w:r>
      <w:r w:rsidRPr="003776BC">
        <w:t>promised his own black eyed houris.</w:t>
      </w:r>
      <w:r w:rsidRPr="003776BC">
        <w:rPr>
          <w:vertAlign w:val="superscript"/>
        </w:rPr>
        <w:footnoteReference w:id="258"/>
      </w:r>
      <w:r w:rsidR="004555DB">
        <w:t xml:space="preserve"> </w:t>
      </w:r>
      <w:r w:rsidR="008369E3">
        <w:t xml:space="preserve"> </w:t>
      </w:r>
      <w:r w:rsidRPr="003776BC">
        <w:t>Time magazine interviewed one of the bomb makers, who described the martyrs</w:t>
      </w:r>
      <w:r w:rsidR="00CA666C">
        <w:t>:</w:t>
      </w:r>
      <w:r w:rsidRPr="003776BC">
        <w:t xml:space="preserve"> </w:t>
      </w:r>
      <w:r w:rsidR="00CA666C">
        <w:t xml:space="preserve"> </w:t>
      </w:r>
      <w:r w:rsidRPr="003776BC">
        <w:t>“In their last days, these men are usually thinking of God and paradise…Sometimes they like to hear about the rewards that are awaiting them.”</w:t>
      </w:r>
      <w:r w:rsidRPr="003776BC">
        <w:rPr>
          <w:vertAlign w:val="superscript"/>
        </w:rPr>
        <w:footnoteReference w:id="259"/>
      </w:r>
    </w:p>
    <w:p w:rsidR="0081557D" w:rsidRPr="003776BC" w:rsidRDefault="0081557D" w:rsidP="00EF1D08">
      <w:pPr>
        <w:ind w:firstLine="720"/>
      </w:pPr>
      <w:r>
        <w:t xml:space="preserve">One bomb-maker </w:t>
      </w:r>
      <w:r w:rsidR="00CA666C">
        <w:t xml:space="preserve">named </w:t>
      </w:r>
      <w:r>
        <w:t>Ahmed, who had a degree in chemistry, recruited his own brother to be a bomber</w:t>
      </w:r>
      <w:r w:rsidR="004555DB">
        <w:t xml:space="preserve">.  </w:t>
      </w:r>
      <w:r>
        <w:t>He</w:t>
      </w:r>
      <w:r w:rsidRPr="003776BC">
        <w:t xml:space="preserve"> described his brother before he set off on his attack</w:t>
      </w:r>
      <w:r>
        <w:t>:</w:t>
      </w:r>
      <w:r w:rsidRPr="003776BC">
        <w:t xml:space="preserve"> “He had a smile on his face…He knew he was crossing to a better place where he woul</w:t>
      </w:r>
      <w:r>
        <w:t>d meet his maker as a martyr.”</w:t>
      </w:r>
      <w:r w:rsidRPr="003776BC">
        <w:rPr>
          <w:vertAlign w:val="superscript"/>
        </w:rPr>
        <w:footnoteReference w:id="260"/>
      </w:r>
      <w:r w:rsidR="004555DB">
        <w:t xml:space="preserve"> </w:t>
      </w:r>
      <w:r w:rsidR="008369E3">
        <w:t xml:space="preserve"> </w:t>
      </w:r>
      <w:r w:rsidR="00CA666C" w:rsidRPr="003776BC">
        <w:t>One Saudi bomber was about to be married, yet he would talk of how “he wished to drink a sip from the sustenance of paradise while a virgin beauty wiped his mouth.”</w:t>
      </w:r>
      <w:r w:rsidR="00CA666C" w:rsidRPr="003776BC">
        <w:rPr>
          <w:vertAlign w:val="superscript"/>
        </w:rPr>
        <w:footnoteReference w:id="261"/>
      </w:r>
      <w:r w:rsidR="00CA666C">
        <w:t xml:space="preserve">  </w:t>
      </w:r>
      <w:r w:rsidRPr="003776BC">
        <w:t xml:space="preserve">One Syrian, who was engaged to a college educated woman, refused to </w:t>
      </w:r>
      <w:r w:rsidR="003244AE" w:rsidRPr="003776BC">
        <w:t>cons</w:t>
      </w:r>
      <w:r w:rsidR="003244AE" w:rsidRPr="009D0132">
        <w:t>ummat</w:t>
      </w:r>
      <w:r w:rsidR="003244AE" w:rsidRPr="003776BC">
        <w:t>e</w:t>
      </w:r>
      <w:r w:rsidRPr="003776BC">
        <w:t xml:space="preserve"> the marriage</w:t>
      </w:r>
      <w:r w:rsidR="00EF0524">
        <w:t>.  He</w:t>
      </w:r>
      <w:r w:rsidR="001723DD">
        <w:t xml:space="preserve"> </w:t>
      </w:r>
      <w:r w:rsidR="00CA666C">
        <w:t xml:space="preserve">said </w:t>
      </w:r>
      <w:r w:rsidR="00EF0524">
        <w:t xml:space="preserve">of his wife, </w:t>
      </w:r>
      <w:r w:rsidRPr="003776BC">
        <w:t>“She begged me to let her come along so that we could carry out a joint mission, she told me that would be the best honeymoon, in heaven together.”</w:t>
      </w:r>
      <w:r w:rsidR="00EF0524" w:rsidRPr="003776BC">
        <w:rPr>
          <w:vertAlign w:val="superscript"/>
        </w:rPr>
        <w:footnoteReference w:id="262"/>
      </w:r>
      <w:r w:rsidR="00FB048D">
        <w:t xml:space="preserve">  </w:t>
      </w:r>
      <w:r w:rsidRPr="003776BC">
        <w:t>He had no Islamic inclinations pri</w:t>
      </w:r>
      <w:r>
        <w:t>or to the Iraq war, but viewed</w:t>
      </w:r>
      <w:r w:rsidRPr="003776BC">
        <w:t xml:space="preserve"> every Iraqi woman as his mother or sister, and every boy his brother</w:t>
      </w:r>
      <w:r w:rsidR="004555DB">
        <w:t xml:space="preserve">.  </w:t>
      </w:r>
      <w:r w:rsidRPr="003776BC">
        <w:t>Redeeming lost honor in Abu Ghraib inspired some bombers as well</w:t>
      </w:r>
      <w:r w:rsidR="004555DB">
        <w:t xml:space="preserve">.  </w:t>
      </w:r>
      <w:r w:rsidRPr="003776BC">
        <w:t xml:space="preserve">One </w:t>
      </w:r>
      <w:r w:rsidR="00EF1D08">
        <w:lastRenderedPageBreak/>
        <w:t>S</w:t>
      </w:r>
      <w:r w:rsidRPr="003776BC">
        <w:t xml:space="preserve">audi bomber claimed that when </w:t>
      </w:r>
      <w:r>
        <w:t xml:space="preserve">he </w:t>
      </w:r>
      <w:r w:rsidRPr="003776BC">
        <w:t xml:space="preserve">gets to heaven, he planned to marry a woman named Fatimah who </w:t>
      </w:r>
      <w:r w:rsidR="00CA666C">
        <w:t>US forces</w:t>
      </w:r>
      <w:r w:rsidRPr="003776BC">
        <w:t xml:space="preserve"> allegedly abused in Abu Ghraib.</w:t>
      </w:r>
      <w:r w:rsidRPr="003776BC">
        <w:rPr>
          <w:vertAlign w:val="superscript"/>
        </w:rPr>
        <w:footnoteReference w:id="263"/>
      </w:r>
      <w:r w:rsidR="004555DB">
        <w:t xml:space="preserve"> </w:t>
      </w:r>
      <w:r w:rsidR="008369E3">
        <w:t xml:space="preserve"> </w:t>
      </w:r>
    </w:p>
    <w:p w:rsidR="007962A6" w:rsidRDefault="00161146" w:rsidP="007962A6">
      <w:pPr>
        <w:tabs>
          <w:tab w:val="left" w:pos="4320"/>
        </w:tabs>
        <w:ind w:firstLine="720"/>
        <w:jc w:val="center"/>
      </w:pPr>
      <w:r>
        <w:t xml:space="preserve">In interviews with the media, Iraqi suicide bombers </w:t>
      </w:r>
      <w:r w:rsidR="001723DD">
        <w:t>described the internalization of the Qutbist ideology</w:t>
      </w:r>
      <w:r w:rsidR="004555DB">
        <w:t xml:space="preserve">.  </w:t>
      </w:r>
      <w:r w:rsidR="0081557D" w:rsidRPr="003776BC">
        <w:t>In 2005, Bobby Ghosh of Time interviewed</w:t>
      </w:r>
      <w:r w:rsidR="0081557D">
        <w:t xml:space="preserve"> Marwan, an Iraqi martyrdom recruit</w:t>
      </w:r>
      <w:r w:rsidR="004555DB">
        <w:t xml:space="preserve">.  </w:t>
      </w:r>
      <w:r>
        <w:t>Although b</w:t>
      </w:r>
      <w:r w:rsidR="008369E3">
        <w:t>rief, Marwan’s responses crossed</w:t>
      </w:r>
      <w:r>
        <w:t xml:space="preserve"> off a checklist</w:t>
      </w:r>
      <w:r w:rsidR="00EF0524">
        <w:t xml:space="preserve"> Qutbist factors, including the role of a strident in-group and out-group divide, group narcissism, and the heavenly rewards</w:t>
      </w:r>
      <w:r>
        <w:t xml:space="preserve"> of suicide terrorism</w:t>
      </w:r>
      <w:r w:rsidR="004555DB">
        <w:t xml:space="preserve">.  </w:t>
      </w:r>
      <w:r w:rsidR="001723DD">
        <w:t xml:space="preserve">He expressed </w:t>
      </w:r>
      <w:r>
        <w:t>eagerness for the rewards of martyrdom</w:t>
      </w:r>
      <w:r w:rsidR="00EF0524">
        <w:t xml:space="preserve">.  </w:t>
      </w:r>
      <w:r w:rsidR="0081557D" w:rsidRPr="003776BC">
        <w:t>“I can’t wait…I am ready to die now,” Marwan stated.</w:t>
      </w:r>
      <w:r w:rsidR="0081557D" w:rsidRPr="003776BC">
        <w:rPr>
          <w:vertAlign w:val="superscript"/>
        </w:rPr>
        <w:footnoteReference w:id="264"/>
      </w:r>
      <w:r w:rsidR="004555DB">
        <w:t xml:space="preserve"> </w:t>
      </w:r>
      <w:r w:rsidR="008369E3">
        <w:t xml:space="preserve"> </w:t>
      </w:r>
      <w:r w:rsidR="0081557D" w:rsidRPr="003776BC">
        <w:t xml:space="preserve">He </w:t>
      </w:r>
      <w:r w:rsidR="008369E3">
        <w:t>yearned</w:t>
      </w:r>
      <w:r w:rsidR="0081557D" w:rsidRPr="003776BC">
        <w:t xml:space="preserve"> for a global Islamic state, with “no alcohol, no music and no Western influence</w:t>
      </w:r>
      <w:r w:rsidR="008369E3">
        <w:t>.</w:t>
      </w:r>
      <w:r w:rsidR="0081557D" w:rsidRPr="003776BC">
        <w:t>”</w:t>
      </w:r>
      <w:r w:rsidR="004555DB">
        <w:t xml:space="preserve"> </w:t>
      </w:r>
      <w:r w:rsidR="0081557D" w:rsidRPr="003776BC">
        <w:t xml:space="preserve">Marwan described the wisdom of his ISIS leaders </w:t>
      </w:r>
      <w:r>
        <w:t>and superiority of their perspective</w:t>
      </w:r>
      <w:r w:rsidR="0081557D" w:rsidRPr="003776BC">
        <w:t>, “jihadists are more religious people…you ask them anything—anything—and they can instantly quote a relevant section from the Qur’an.”</w:t>
      </w:r>
      <w:r w:rsidR="004555DB">
        <w:t xml:space="preserve"> </w:t>
      </w:r>
      <w:r w:rsidR="008369E3">
        <w:t>He said</w:t>
      </w:r>
      <w:r w:rsidR="0081557D" w:rsidRPr="003776BC">
        <w:t xml:space="preserve"> that the “Qur’an says it is a duty to bring terror to the enemy, so being a terrorist makes me a good Muslim.”</w:t>
      </w:r>
      <w:r w:rsidR="008369E3">
        <w:t xml:space="preserve">  </w:t>
      </w:r>
      <w:r w:rsidR="0081557D">
        <w:t xml:space="preserve">If he kills any innocent people in the attack, he </w:t>
      </w:r>
      <w:r w:rsidR="0081557D" w:rsidRPr="003776BC">
        <w:t>believes</w:t>
      </w:r>
      <w:r w:rsidR="0081557D">
        <w:t xml:space="preserve"> God will ask them to forgive him</w:t>
      </w:r>
      <w:r w:rsidR="004555DB">
        <w:t xml:space="preserve">.  </w:t>
      </w:r>
      <w:r w:rsidR="009E1C44">
        <w:t>He describes how he thinks God will view him</w:t>
      </w:r>
      <w:r w:rsidR="0081557D" w:rsidRPr="003776BC">
        <w:t>, “The only person who matters is Allah—and the only question he will ask me is ‘How many infidels did you kill?’”</w:t>
      </w:r>
      <w:r w:rsidR="004555DB">
        <w:t xml:space="preserve"> </w:t>
      </w:r>
      <w:bookmarkStart w:id="66" w:name="_Toc310579469"/>
      <w:bookmarkEnd w:id="52"/>
    </w:p>
    <w:p w:rsidR="007962A6" w:rsidRDefault="007962A6">
      <w:pPr>
        <w:spacing w:line="240" w:lineRule="auto"/>
      </w:pPr>
      <w:r>
        <w:br w:type="page"/>
      </w:r>
    </w:p>
    <w:p w:rsidR="00474418" w:rsidRPr="00DD0216" w:rsidRDefault="00474418" w:rsidP="00DD0216">
      <w:pPr>
        <w:pStyle w:val="Heading1"/>
      </w:pPr>
      <w:bookmarkStart w:id="67" w:name="_Toc450748697"/>
      <w:r w:rsidRPr="00DD0216">
        <w:lastRenderedPageBreak/>
        <w:t>Chapter 5: Conclusion</w:t>
      </w:r>
      <w:bookmarkEnd w:id="67"/>
    </w:p>
    <w:p w:rsidR="00474418" w:rsidRPr="00067C8D" w:rsidRDefault="00474418" w:rsidP="00474418">
      <w:pPr>
        <w:pStyle w:val="Heading2"/>
        <w:rPr>
          <w:rStyle w:val="SubtleEmphasis"/>
        </w:rPr>
      </w:pPr>
      <w:bookmarkStart w:id="68" w:name="_Toc450748698"/>
      <w:r w:rsidRPr="00067C8D">
        <w:rPr>
          <w:rStyle w:val="SubtleEmphasis"/>
        </w:rPr>
        <w:t>Shadows in the Cognitive Terrain</w:t>
      </w:r>
      <w:r>
        <w:rPr>
          <w:rStyle w:val="SubtleEmphasis"/>
        </w:rPr>
        <w:t>:  Competition Over Sacred Values</w:t>
      </w:r>
      <w:bookmarkEnd w:id="68"/>
    </w:p>
    <w:p w:rsidR="00474418" w:rsidRDefault="0055343F" w:rsidP="00960592">
      <w:pPr>
        <w:ind w:firstLine="720"/>
        <w:contextualSpacing/>
      </w:pPr>
      <w:r>
        <w:rPr>
          <w:iCs/>
        </w:rPr>
        <w:t>The shadows in the c</w:t>
      </w:r>
      <w:r w:rsidR="00474418" w:rsidRPr="0055343F">
        <w:rPr>
          <w:iCs/>
        </w:rPr>
        <w:t xml:space="preserve">ognitive </w:t>
      </w:r>
      <w:r>
        <w:rPr>
          <w:iCs/>
        </w:rPr>
        <w:t>t</w:t>
      </w:r>
      <w:r w:rsidR="00474418" w:rsidRPr="0055343F">
        <w:rPr>
          <w:iCs/>
        </w:rPr>
        <w:t>errain</w:t>
      </w:r>
      <w:r w:rsidR="00474418" w:rsidRPr="003776BC">
        <w:t xml:space="preserve"> </w:t>
      </w:r>
      <w:r w:rsidR="00474418">
        <w:t xml:space="preserve">are sacred values defined and positioned by sub-cultures and organizations in contrast to normative </w:t>
      </w:r>
      <w:r w:rsidR="00960592">
        <w:t>interpretation</w:t>
      </w:r>
      <w:r w:rsidR="00474418">
        <w:t xml:space="preserve">.  </w:t>
      </w:r>
      <w:r w:rsidR="00474418" w:rsidRPr="003776BC">
        <w:rPr>
          <w:lang w:bidi="he-IL"/>
        </w:rPr>
        <w:t>Conceptually, what separates</w:t>
      </w:r>
      <w:r w:rsidR="00474418">
        <w:rPr>
          <w:lang w:bidi="he-IL"/>
        </w:rPr>
        <w:t xml:space="preserve"> a foundational sacred</w:t>
      </w:r>
      <w:r w:rsidR="00474418" w:rsidRPr="003776BC">
        <w:rPr>
          <w:lang w:bidi="he-IL"/>
        </w:rPr>
        <w:t xml:space="preserve"> </w:t>
      </w:r>
      <w:r w:rsidR="00474418">
        <w:rPr>
          <w:lang w:bidi="he-IL"/>
        </w:rPr>
        <w:t>value</w:t>
      </w:r>
      <w:r w:rsidR="00474418" w:rsidRPr="003776BC">
        <w:rPr>
          <w:lang w:bidi="he-IL"/>
        </w:rPr>
        <w:t xml:space="preserve"> from a simple defi</w:t>
      </w:r>
      <w:r w:rsidR="00474418">
        <w:rPr>
          <w:lang w:bidi="he-IL"/>
        </w:rPr>
        <w:t>nition is that groups compete over the value’s meaning.</w:t>
      </w:r>
      <w:r w:rsidR="00FB048D">
        <w:rPr>
          <w:lang w:bidi="he-IL"/>
        </w:rPr>
        <w:t xml:space="preserve">  </w:t>
      </w:r>
      <w:r w:rsidR="00474418">
        <w:rPr>
          <w:lang w:bidi="he-IL"/>
        </w:rPr>
        <w:t>A chair is easily defined and can be seen by an observer regardless of upbringing, background, or culture.  B</w:t>
      </w:r>
      <w:r w:rsidR="00474418" w:rsidRPr="003776BC">
        <w:rPr>
          <w:lang w:bidi="he-IL"/>
        </w:rPr>
        <w:t xml:space="preserve">ut, the true meaning of </w:t>
      </w:r>
      <w:r w:rsidR="00474418">
        <w:rPr>
          <w:lang w:bidi="he-IL"/>
        </w:rPr>
        <w:t>the American sacred value of “freedom” is debatable</w:t>
      </w:r>
      <w:r w:rsidR="00474418" w:rsidRPr="003776BC">
        <w:rPr>
          <w:lang w:bidi="he-IL"/>
        </w:rPr>
        <w:t xml:space="preserve">, and this debate incites competition </w:t>
      </w:r>
      <w:r w:rsidR="00474418">
        <w:rPr>
          <w:lang w:bidi="he-IL"/>
        </w:rPr>
        <w:t>over its meaning and which identity</w:t>
      </w:r>
      <w:r w:rsidR="00474418" w:rsidRPr="003776BC">
        <w:rPr>
          <w:lang w:bidi="he-IL"/>
        </w:rPr>
        <w:t xml:space="preserve"> represents the </w:t>
      </w:r>
      <w:r w:rsidR="00474418">
        <w:rPr>
          <w:lang w:bidi="he-IL"/>
        </w:rPr>
        <w:t xml:space="preserve">true </w:t>
      </w:r>
      <w:r w:rsidR="00474418" w:rsidRPr="003776BC">
        <w:rPr>
          <w:lang w:bidi="he-IL"/>
        </w:rPr>
        <w:t>meaning</w:t>
      </w:r>
      <w:r w:rsidR="00474418">
        <w:rPr>
          <w:lang w:bidi="he-IL"/>
        </w:rPr>
        <w:t xml:space="preserve"> of freedom. </w:t>
      </w:r>
      <w:r w:rsidR="00474418">
        <w:t>H</w:t>
      </w:r>
      <w:r w:rsidR="00474418" w:rsidRPr="003776BC">
        <w:t xml:space="preserve">ow </w:t>
      </w:r>
      <w:r w:rsidR="00474418">
        <w:t>that concept is truly defined by</w:t>
      </w:r>
      <w:r w:rsidR="00474418" w:rsidRPr="003776BC">
        <w:t xml:space="preserve"> the individual American—there is a big difference in interpreting freedom </w:t>
      </w:r>
      <w:r w:rsidR="00474418" w:rsidRPr="003776BC">
        <w:rPr>
          <w:i/>
          <w:iCs/>
        </w:rPr>
        <w:t xml:space="preserve">from </w:t>
      </w:r>
      <w:r w:rsidR="00474418" w:rsidRPr="003776BC">
        <w:t xml:space="preserve">compared to freedom </w:t>
      </w:r>
      <w:r w:rsidR="00474418" w:rsidRPr="003776BC">
        <w:rPr>
          <w:i/>
          <w:iCs/>
        </w:rPr>
        <w:t>of</w:t>
      </w:r>
      <w:r w:rsidR="00474418" w:rsidRPr="003776BC">
        <w:t xml:space="preserve">—impacts his politics, his behavior, his expectations, </w:t>
      </w:r>
      <w:r w:rsidR="00474418">
        <w:t xml:space="preserve">his emotions, and his view of groups with competitive interpretations.  </w:t>
      </w:r>
    </w:p>
    <w:p w:rsidR="00474418" w:rsidRDefault="00474418" w:rsidP="00474418">
      <w:pPr>
        <w:ind w:firstLine="720"/>
        <w:contextualSpacing/>
      </w:pPr>
      <w:r>
        <w:t xml:space="preserve">The positioning of these sacred values strengthens current in-group identity or creates a new in-group identity based on their reinterpretation.  </w:t>
      </w:r>
      <w:r w:rsidR="006F2E58">
        <w:t>The internalization of the aberrant sacred values becomes vital needs to the individual</w:t>
      </w:r>
      <w:r w:rsidR="00960592">
        <w:t xml:space="preserve"> seeking a new group identity</w:t>
      </w:r>
      <w:r w:rsidR="006F2E58">
        <w:t xml:space="preserve">.  </w:t>
      </w:r>
      <w:r>
        <w:t xml:space="preserve">The Qutbist identity is relatively new within Sunni Islam.  If the positioning of the sacred value creates a </w:t>
      </w:r>
      <w:r>
        <w:rPr>
          <w:i/>
        </w:rPr>
        <w:t xml:space="preserve">superior </w:t>
      </w:r>
      <w:r>
        <w:t>identity compared to subordinate groups, the reflective be</w:t>
      </w:r>
      <w:r w:rsidR="006F2E58">
        <w:t>lief in this superiority triggers a group narcissistic posture that</w:t>
      </w:r>
      <w:r>
        <w:t xml:space="preserve"> strengthens the will of the individual to depersonalize and dehumanize the out-group.  </w:t>
      </w:r>
    </w:p>
    <w:p w:rsidR="00474418" w:rsidRPr="003776BC" w:rsidRDefault="00474418" w:rsidP="00474418">
      <w:pPr>
        <w:ind w:firstLine="720"/>
        <w:contextualSpacing/>
      </w:pPr>
      <w:r w:rsidRPr="003776BC">
        <w:t xml:space="preserve">For example, </w:t>
      </w:r>
      <w:r>
        <w:t xml:space="preserve">Christians used the book of Philemon </w:t>
      </w:r>
      <w:r w:rsidRPr="003776BC">
        <w:t>to rationalize the p</w:t>
      </w:r>
      <w:r>
        <w:t>erpetuation of slavery for many centuries.  In Philemon,</w:t>
      </w:r>
      <w:r w:rsidRPr="003776BC">
        <w:t xml:space="preserve"> Paul told the runaway slave Onesimus to return </w:t>
      </w:r>
      <w:r>
        <w:t xml:space="preserve">to </w:t>
      </w:r>
      <w:r w:rsidRPr="003776BC">
        <w:t>his master</w:t>
      </w:r>
      <w:r>
        <w:t xml:space="preserve">.  Since Philemon is a part of the Bible, believed to be God’s infallible or inspired Word, believers inferred divine sanction for slavery based </w:t>
      </w:r>
      <w:r>
        <w:lastRenderedPageBreak/>
        <w:t xml:space="preserve">on the sacred value of “God’s Word.”  </w:t>
      </w:r>
      <w:r w:rsidRPr="003776BC">
        <w:t>Of course, the book of Philemon</w:t>
      </w:r>
      <w:r>
        <w:t xml:space="preserve"> does not promote</w:t>
      </w:r>
      <w:r w:rsidRPr="003776BC">
        <w:t xml:space="preserve"> the normalization of slavery, </w:t>
      </w:r>
      <w:r>
        <w:t>and there were other Christians who used other sacred values in “God’s Word” to promote the abolition of slavery.  H</w:t>
      </w:r>
      <w:r w:rsidRPr="003776BC">
        <w:t>owever</w:t>
      </w:r>
      <w:r>
        <w:t>, the use of Philemon to defend the</w:t>
      </w:r>
      <w:r w:rsidRPr="003776BC">
        <w:t xml:space="preserve"> existence of slavery is undeniable</w:t>
      </w:r>
      <w:r>
        <w:t>, and influenced the way believers</w:t>
      </w:r>
      <w:r w:rsidRPr="003776BC">
        <w:t xml:space="preserve"> </w:t>
      </w:r>
      <w:r>
        <w:t xml:space="preserve">for centuries </w:t>
      </w:r>
      <w:r w:rsidRPr="003776BC">
        <w:t>viewed the relationship between Christianity and slavery</w:t>
      </w:r>
      <w:r>
        <w:t xml:space="preserve">.  </w:t>
      </w:r>
      <w:r w:rsidRPr="003776BC">
        <w:t xml:space="preserve">There are Christians who use statements against miscegenation in Leviticus </w:t>
      </w:r>
      <w:r>
        <w:t>to oppose</w:t>
      </w:r>
      <w:r w:rsidRPr="003776BC">
        <w:t xml:space="preserve"> intermarriage between whites and blacks</w:t>
      </w:r>
      <w:r>
        <w:t xml:space="preserve">.  </w:t>
      </w:r>
      <w:r w:rsidRPr="003776BC">
        <w:t xml:space="preserve">This is a gross misuse of the type of inter-marriage Leviticus </w:t>
      </w:r>
      <w:r>
        <w:t xml:space="preserve">protests.  </w:t>
      </w:r>
    </w:p>
    <w:p w:rsidR="00474418" w:rsidRPr="005B0A88" w:rsidRDefault="00474418" w:rsidP="00474418">
      <w:pPr>
        <w:ind w:firstLine="720"/>
        <w:contextualSpacing/>
        <w:rPr>
          <w:rFonts w:eastAsia="Calibri"/>
          <w:lang w:bidi="he-IL"/>
        </w:rPr>
      </w:pPr>
      <w:r w:rsidRPr="003776BC">
        <w:t xml:space="preserve">Likewise, </w:t>
      </w:r>
      <w:r>
        <w:t xml:space="preserve">Qutbists position </w:t>
      </w:r>
      <w:r w:rsidRPr="003776BC">
        <w:t>martyrdom</w:t>
      </w:r>
      <w:r>
        <w:t>,</w:t>
      </w:r>
      <w:r w:rsidRPr="003776BC">
        <w:t xml:space="preserve"> jihad</w:t>
      </w:r>
      <w:r>
        <w:t>, and the pure Islamic state</w:t>
      </w:r>
      <w:r w:rsidRPr="003776BC">
        <w:t xml:space="preserve"> to inspire and justify suicide bombings</w:t>
      </w:r>
      <w:r>
        <w:t>.  These interpretations</w:t>
      </w:r>
      <w:r w:rsidRPr="003776BC">
        <w:t xml:space="preserve"> contort normative interpretation of those values</w:t>
      </w:r>
      <w:r>
        <w:t xml:space="preserve">.  </w:t>
      </w:r>
      <w:r w:rsidRPr="003776BC">
        <w:t xml:space="preserve">There is much more in Islam that would condemn </w:t>
      </w:r>
      <w:r>
        <w:t>murder-suicide</w:t>
      </w:r>
      <w:r w:rsidRPr="003776BC">
        <w:t xml:space="preserve"> than promote the behavior</w:t>
      </w:r>
      <w:r>
        <w:t xml:space="preserve">.  </w:t>
      </w:r>
      <w:r w:rsidRPr="003776BC">
        <w:t>However, it is ignora</w:t>
      </w:r>
      <w:r>
        <w:t>nt</w:t>
      </w:r>
      <w:r w:rsidRPr="003776BC">
        <w:t xml:space="preserve"> to pretend that </w:t>
      </w:r>
      <w:r>
        <w:t>this competition does not exist and ignore the basis for the Qutbists’ conclusions.  Competition over the values of jihad, tawhid, and martyrdom merely induces some to take extreme definitions in order to justify a distinct in-group as superior to others.  Group narcissism can still be found in the shadows of sacred values, and through death, the martyr connects to the highest form of self in Heaven.  Suicide terrorism is one of the most pernicious executions of this group narcissism, because of the extreme exchange involved to purchase the highest and best identity.</w:t>
      </w:r>
      <w:r w:rsidRPr="003776BC">
        <w:tab/>
      </w:r>
      <w:r>
        <w:t xml:space="preserve"> </w:t>
      </w:r>
    </w:p>
    <w:p w:rsidR="00474418" w:rsidRPr="001223A0" w:rsidRDefault="00474418" w:rsidP="00474418">
      <w:pPr>
        <w:pStyle w:val="Heading2"/>
        <w:rPr>
          <w:i/>
          <w:color w:val="5A5A5A"/>
        </w:rPr>
      </w:pPr>
      <w:bookmarkStart w:id="69" w:name="_Toc450748699"/>
      <w:r>
        <w:rPr>
          <w:rStyle w:val="SubtleEmphasis"/>
        </w:rPr>
        <w:t>Vital Needs and the Cognitive Terrain: The Case of Jake Bilardi</w:t>
      </w:r>
      <w:bookmarkEnd w:id="69"/>
    </w:p>
    <w:p w:rsidR="00474418" w:rsidRDefault="00474418" w:rsidP="00474418">
      <w:pPr>
        <w:ind w:firstLine="720"/>
        <w:contextualSpacing/>
        <w:rPr>
          <w:rFonts w:eastAsia="Calibri"/>
          <w:lang w:bidi="he-IL"/>
        </w:rPr>
      </w:pPr>
      <w:r>
        <w:rPr>
          <w:rFonts w:eastAsia="Calibri"/>
          <w:lang w:bidi="he-IL"/>
        </w:rPr>
        <w:t>On March 11</w:t>
      </w:r>
      <w:r w:rsidRPr="00BB13F9">
        <w:rPr>
          <w:rFonts w:eastAsia="Calibri"/>
          <w:vertAlign w:val="superscript"/>
          <w:lang w:bidi="he-IL"/>
        </w:rPr>
        <w:t>th</w:t>
      </w:r>
      <w:r>
        <w:rPr>
          <w:rFonts w:eastAsia="Calibri"/>
          <w:lang w:bidi="he-IL"/>
        </w:rPr>
        <w:t xml:space="preserve"> 2015 at a checkpoint in Ramadi, eighteen year old Australian Jake Bilardi detonated a suicide bomb that killed seventeen Iraqis.  Bilardi documented </w:t>
      </w:r>
      <w:r>
        <w:rPr>
          <w:rFonts w:eastAsia="Calibri"/>
          <w:lang w:bidi="he-IL"/>
        </w:rPr>
        <w:lastRenderedPageBreak/>
        <w:t>his radicalization in a series of blogposts leading up to his martyrdom operation.</w:t>
      </w:r>
      <w:r>
        <w:rPr>
          <w:rStyle w:val="FootnoteReference"/>
          <w:rFonts w:eastAsia="Calibri"/>
          <w:lang w:bidi="he-IL"/>
        </w:rPr>
        <w:footnoteReference w:id="265"/>
      </w:r>
      <w:r>
        <w:rPr>
          <w:rFonts w:eastAsia="Calibri"/>
          <w:lang w:bidi="he-IL"/>
        </w:rPr>
        <w:t xml:space="preserve">  He described himself as an atheist growing up in affluent Melbourne, passionate about international politics.  He hated the American occupation of Iraq and the Israeli occupation of Palestine.  In one of his posts, he describes his anger with the global system that pushed him to Qutbism and need for violent revolution:</w:t>
      </w:r>
    </w:p>
    <w:p w:rsidR="00474418" w:rsidRDefault="00474418" w:rsidP="00474418">
      <w:pPr>
        <w:spacing w:line="240" w:lineRule="auto"/>
        <w:ind w:left="720"/>
        <w:contextualSpacing/>
        <w:rPr>
          <w:rFonts w:eastAsia="Calibri"/>
          <w:lang w:bidi="he-IL"/>
        </w:rPr>
      </w:pPr>
      <w:r w:rsidRPr="00335333">
        <w:rPr>
          <w:rFonts w:eastAsia="Calibri"/>
        </w:rPr>
        <w:t>The turning point in my ideological development</w:t>
      </w:r>
      <w:r>
        <w:rPr>
          <w:rFonts w:eastAsia="Calibri"/>
        </w:rPr>
        <w:t xml:space="preserve"> [began with]</w:t>
      </w:r>
      <w:r w:rsidRPr="00335333">
        <w:rPr>
          <w:rFonts w:eastAsia="Calibri"/>
        </w:rPr>
        <w:t xml:space="preserve"> my complete hatred and opposition to the entire system Australia and the majority of the world was based upon. It was also the moment I realized that violent global revolution was necessary to eliminate this system of governance and that I would likely be killed in this struggle</w:t>
      </w:r>
      <w:r>
        <w:rPr>
          <w:rFonts w:eastAsia="Calibri"/>
        </w:rPr>
        <w:t>.</w:t>
      </w:r>
      <w:r>
        <w:rPr>
          <w:rStyle w:val="FootnoteReference"/>
          <w:rFonts w:eastAsia="Calibri"/>
        </w:rPr>
        <w:footnoteReference w:id="266"/>
      </w:r>
      <w:r>
        <w:rPr>
          <w:rFonts w:eastAsia="Calibri"/>
          <w:lang w:bidi="he-IL"/>
        </w:rPr>
        <w:t xml:space="preserve"> </w:t>
      </w:r>
    </w:p>
    <w:p w:rsidR="00474418" w:rsidRDefault="00474418" w:rsidP="00474418">
      <w:pPr>
        <w:spacing w:line="240" w:lineRule="auto"/>
        <w:contextualSpacing/>
        <w:rPr>
          <w:rFonts w:eastAsia="Calibri"/>
          <w:lang w:bidi="he-IL"/>
        </w:rPr>
      </w:pPr>
    </w:p>
    <w:p w:rsidR="00474418" w:rsidRDefault="00474418" w:rsidP="00474418">
      <w:pPr>
        <w:ind w:firstLine="720"/>
        <w:contextualSpacing/>
        <w:rPr>
          <w:rFonts w:eastAsia="Calibri"/>
          <w:lang w:bidi="he-IL"/>
        </w:rPr>
      </w:pPr>
      <w:r>
        <w:rPr>
          <w:rFonts w:eastAsia="Calibri"/>
          <w:lang w:bidi="he-IL"/>
        </w:rPr>
        <w:t xml:space="preserve">In another post, he describes how he debated among different ideologies that offered an alternative to the unacceptable system of democracy, </w:t>
      </w:r>
      <w:r w:rsidRPr="00DB1052">
        <w:rPr>
          <w:rFonts w:eastAsia="Calibri"/>
        </w:rPr>
        <w:t>"S</w:t>
      </w:r>
      <w:r>
        <w:rPr>
          <w:rFonts w:eastAsia="Calibri"/>
        </w:rPr>
        <w:t>ocialism? Communism?? Nazism???...</w:t>
      </w:r>
      <w:r w:rsidRPr="00DB1052">
        <w:rPr>
          <w:rFonts w:ascii="Helvetica" w:hAnsi="Helvetica"/>
          <w:color w:val="262626"/>
          <w:sz w:val="27"/>
          <w:szCs w:val="27"/>
          <w:shd w:val="clear" w:color="auto" w:fill="FEFEFE"/>
        </w:rPr>
        <w:t xml:space="preserve"> </w:t>
      </w:r>
      <w:r w:rsidRPr="00DB1052">
        <w:rPr>
          <w:rFonts w:eastAsia="Calibri"/>
        </w:rPr>
        <w:t>It was Islam that for me stood out as easy to understand and was shockingly consistent with established historical and scientific facts</w:t>
      </w:r>
      <w:r>
        <w:rPr>
          <w:rFonts w:eastAsia="Calibri"/>
        </w:rPr>
        <w:t>.”</w:t>
      </w:r>
      <w:r>
        <w:rPr>
          <w:rStyle w:val="FootnoteReference"/>
          <w:rFonts w:eastAsia="Calibri"/>
        </w:rPr>
        <w:footnoteReference w:id="267"/>
      </w:r>
      <w:r>
        <w:rPr>
          <w:rFonts w:eastAsia="Calibri"/>
        </w:rPr>
        <w:t xml:space="preserve">  </w:t>
      </w:r>
      <w:r>
        <w:rPr>
          <w:rFonts w:eastAsia="Calibri"/>
          <w:lang w:bidi="he-IL"/>
        </w:rPr>
        <w:t>His father described Jake as having psychological problems; he was bullied at school and suffered from paranoia.</w:t>
      </w:r>
      <w:r>
        <w:rPr>
          <w:rStyle w:val="FootnoteReference"/>
          <w:rFonts w:eastAsia="Calibri"/>
          <w:lang w:bidi="he-IL"/>
        </w:rPr>
        <w:footnoteReference w:id="268"/>
      </w:r>
      <w:r>
        <w:rPr>
          <w:rFonts w:eastAsia="Calibri"/>
          <w:lang w:bidi="he-IL"/>
        </w:rPr>
        <w:t xml:space="preserve">  He converted to Islam after the death of his mother, and interacted with members of ISIS online.  By 2014, he was radicalized.  He intended to conduct a terrorist attack in Melbourne, but decided the attack would call too much attention.  He traveled to Iraq and volunteered to become a suicide bomber.  When in </w:t>
      </w:r>
      <w:r>
        <w:rPr>
          <w:rFonts w:eastAsia="Calibri"/>
          <w:lang w:bidi="he-IL"/>
        </w:rPr>
        <w:lastRenderedPageBreak/>
        <w:t>Iraq, Bilardi told a BBC reporter,</w:t>
      </w:r>
      <w:r w:rsidRPr="009F5220">
        <w:rPr>
          <w:rFonts w:eastAsia="Calibri"/>
        </w:rPr>
        <w:t> "I came here chasing death, I might as we</w:t>
      </w:r>
      <w:r>
        <w:rPr>
          <w:rFonts w:eastAsia="Calibri"/>
        </w:rPr>
        <w:t>ll kill as many kuffar as I can.</w:t>
      </w:r>
      <w:r w:rsidRPr="009F5220">
        <w:rPr>
          <w:rFonts w:eastAsia="Calibri"/>
        </w:rPr>
        <w:t>"</w:t>
      </w:r>
      <w:r>
        <w:rPr>
          <w:rStyle w:val="FootnoteReference"/>
          <w:rFonts w:eastAsia="Calibri"/>
        </w:rPr>
        <w:footnoteReference w:id="269"/>
      </w:r>
    </w:p>
    <w:p w:rsidR="00474418" w:rsidRDefault="00474418" w:rsidP="00474418">
      <w:pPr>
        <w:ind w:firstLine="720"/>
        <w:contextualSpacing/>
        <w:rPr>
          <w:rFonts w:eastAsia="Calibri"/>
          <w:lang w:bidi="he-IL"/>
        </w:rPr>
      </w:pPr>
      <w:r>
        <w:rPr>
          <w:rFonts w:eastAsia="Calibri"/>
          <w:lang w:bidi="he-IL"/>
        </w:rPr>
        <w:t xml:space="preserve">The tragic story of Bilardi represents how an ideology can give a new identity to disaffected individuals that need purpose, particularly an identity based in righteous anger that places the adherent above the oppressive world.  Bilardi’s psychological problems fit within Adam Lankford’s </w:t>
      </w:r>
      <w:r>
        <w:rPr>
          <w:rFonts w:eastAsia="Calibri"/>
          <w:i/>
          <w:lang w:bidi="he-IL"/>
        </w:rPr>
        <w:t xml:space="preserve">Myth of Martyrdom </w:t>
      </w:r>
      <w:r>
        <w:rPr>
          <w:rFonts w:eastAsia="Calibri"/>
          <w:lang w:bidi="he-IL"/>
        </w:rPr>
        <w:t xml:space="preserve">thesis.  However, the ideology transforms the wounded into a true believer.  There is no reason to think Bilardi’s emotional anger at the injustice of the world was anything less than a betrayed sacred value.  He did not start off with </w:t>
      </w:r>
      <w:r w:rsidRPr="00EC6F60">
        <w:rPr>
          <w:rFonts w:eastAsia="Calibri"/>
          <w:iCs/>
          <w:lang w:bidi="he-IL"/>
        </w:rPr>
        <w:t>tawhid or a unified Ummah</w:t>
      </w:r>
      <w:r>
        <w:rPr>
          <w:rFonts w:eastAsia="Calibri"/>
          <w:i/>
          <w:lang w:bidi="he-IL"/>
        </w:rPr>
        <w:t xml:space="preserve"> </w:t>
      </w:r>
      <w:r>
        <w:rPr>
          <w:rFonts w:eastAsia="Calibri"/>
          <w:lang w:bidi="he-IL"/>
        </w:rPr>
        <w:t>as core sacred values to his identity, but a righteous reaction to injustice in the world itself.  Afte</w:t>
      </w:r>
      <w:r w:rsidR="006F2E58">
        <w:rPr>
          <w:rFonts w:eastAsia="Calibri"/>
          <w:lang w:bidi="he-IL"/>
        </w:rPr>
        <w:t>r converting to Islam, the new</w:t>
      </w:r>
      <w:r>
        <w:rPr>
          <w:rFonts w:eastAsia="Calibri"/>
          <w:lang w:bidi="he-IL"/>
        </w:rPr>
        <w:t xml:space="preserve"> sacred values framed his righteous anger.  In a prior generation, he would have likely joined a Marxist or fascist organization seeking to unmake the modern world.  ISIS is the current vanguard pooling disaffected Westerners’ meaning.  </w:t>
      </w:r>
    </w:p>
    <w:p w:rsidR="00474418" w:rsidRDefault="00474418" w:rsidP="00960592">
      <w:pPr>
        <w:ind w:firstLine="720"/>
        <w:contextualSpacing/>
        <w:rPr>
          <w:rFonts w:eastAsia="Calibri"/>
          <w:lang w:bidi="he-IL"/>
        </w:rPr>
      </w:pPr>
      <w:r>
        <w:rPr>
          <w:rFonts w:eastAsia="Calibri"/>
          <w:lang w:bidi="he-IL"/>
        </w:rPr>
        <w:t>Sacred</w:t>
      </w:r>
      <w:r w:rsidRPr="003776BC">
        <w:rPr>
          <w:rFonts w:eastAsia="Calibri"/>
          <w:lang w:bidi="he-IL"/>
        </w:rPr>
        <w:t xml:space="preserve"> </w:t>
      </w:r>
      <w:r>
        <w:rPr>
          <w:rFonts w:eastAsia="Calibri"/>
          <w:lang w:bidi="he-IL"/>
        </w:rPr>
        <w:t>value</w:t>
      </w:r>
      <w:r w:rsidRPr="003776BC">
        <w:rPr>
          <w:rFonts w:eastAsia="Calibri"/>
          <w:lang w:bidi="he-IL"/>
        </w:rPr>
        <w:t xml:space="preserve">s act in the mind of the </w:t>
      </w:r>
      <w:r>
        <w:rPr>
          <w:rFonts w:eastAsia="Calibri"/>
          <w:lang w:bidi="he-IL"/>
        </w:rPr>
        <w:t xml:space="preserve">individual from two angles: </w:t>
      </w:r>
      <w:r w:rsidRPr="003776BC">
        <w:rPr>
          <w:rFonts w:eastAsia="Calibri"/>
          <w:i/>
          <w:iCs/>
          <w:lang w:bidi="he-IL"/>
        </w:rPr>
        <w:t>pull</w:t>
      </w:r>
      <w:r w:rsidRPr="003776BC">
        <w:rPr>
          <w:rFonts w:eastAsia="Calibri"/>
          <w:lang w:bidi="he-IL"/>
        </w:rPr>
        <w:t xml:space="preserve"> </w:t>
      </w:r>
      <w:r>
        <w:rPr>
          <w:rFonts w:eastAsia="Calibri"/>
          <w:lang w:bidi="he-IL"/>
        </w:rPr>
        <w:t>sacred value</w:t>
      </w:r>
      <w:r w:rsidRPr="003776BC">
        <w:rPr>
          <w:rFonts w:eastAsia="Calibri"/>
          <w:lang w:bidi="he-IL"/>
        </w:rPr>
        <w:t xml:space="preserve">s and </w:t>
      </w:r>
      <w:r w:rsidRPr="003776BC">
        <w:rPr>
          <w:rFonts w:eastAsia="Calibri"/>
          <w:i/>
          <w:iCs/>
          <w:lang w:bidi="he-IL"/>
        </w:rPr>
        <w:t xml:space="preserve">push </w:t>
      </w:r>
      <w:r>
        <w:rPr>
          <w:rFonts w:eastAsia="Calibri"/>
          <w:iCs/>
          <w:lang w:bidi="he-IL"/>
        </w:rPr>
        <w:t xml:space="preserve">sacred </w:t>
      </w:r>
      <w:r>
        <w:rPr>
          <w:rFonts w:eastAsia="Calibri"/>
          <w:lang w:bidi="he-IL"/>
        </w:rPr>
        <w:t>value</w:t>
      </w:r>
      <w:r w:rsidRPr="003776BC">
        <w:rPr>
          <w:rFonts w:eastAsia="Calibri"/>
          <w:lang w:bidi="he-IL"/>
        </w:rPr>
        <w:t>s.</w:t>
      </w:r>
      <w:r w:rsidRPr="003776BC">
        <w:rPr>
          <w:rFonts w:eastAsia="Calibri"/>
          <w:vertAlign w:val="superscript"/>
          <w:lang w:bidi="he-IL"/>
        </w:rPr>
        <w:footnoteReference w:id="270"/>
      </w:r>
      <w:r>
        <w:rPr>
          <w:rFonts w:eastAsia="Calibri"/>
          <w:lang w:bidi="he-IL"/>
        </w:rPr>
        <w:t xml:space="preserve">  </w:t>
      </w:r>
      <w:r w:rsidRPr="003776BC">
        <w:rPr>
          <w:rFonts w:eastAsia="Calibri"/>
          <w:lang w:bidi="he-IL"/>
        </w:rPr>
        <w:t>Pull</w:t>
      </w:r>
      <w:r w:rsidRPr="003776BC">
        <w:rPr>
          <w:rFonts w:eastAsia="Calibri"/>
          <w:i/>
          <w:iCs/>
          <w:lang w:bidi="he-IL"/>
        </w:rPr>
        <w:t xml:space="preserve"> </w:t>
      </w:r>
      <w:r>
        <w:rPr>
          <w:rFonts w:eastAsia="Calibri"/>
          <w:lang w:bidi="he-IL"/>
        </w:rPr>
        <w:t>value</w:t>
      </w:r>
      <w:r w:rsidRPr="003776BC">
        <w:rPr>
          <w:rFonts w:eastAsia="Calibri"/>
          <w:lang w:bidi="he-IL"/>
        </w:rPr>
        <w:t xml:space="preserve">s are those </w:t>
      </w:r>
      <w:r>
        <w:rPr>
          <w:rFonts w:eastAsia="Calibri"/>
          <w:lang w:bidi="he-IL"/>
        </w:rPr>
        <w:t xml:space="preserve">ideals that inspire the individual.  Push values are those that the individual embraces to meet some underlying psychological need.  </w:t>
      </w:r>
      <w:r w:rsidRPr="003776BC">
        <w:rPr>
          <w:rFonts w:eastAsia="Calibri"/>
          <w:lang w:bidi="he-IL"/>
        </w:rPr>
        <w:t>When discus</w:t>
      </w:r>
      <w:r w:rsidR="006F2E58">
        <w:rPr>
          <w:rFonts w:eastAsia="Calibri"/>
          <w:lang w:bidi="he-IL"/>
        </w:rPr>
        <w:t>sing the individual’s will to commit to martyrdom</w:t>
      </w:r>
      <w:r w:rsidRPr="003776BC">
        <w:rPr>
          <w:rFonts w:eastAsia="Calibri"/>
          <w:lang w:bidi="he-IL"/>
        </w:rPr>
        <w:t xml:space="preserve">, this is the difference between someone finding the </w:t>
      </w:r>
      <w:r>
        <w:rPr>
          <w:rFonts w:eastAsia="Calibri"/>
          <w:lang w:bidi="he-IL"/>
        </w:rPr>
        <w:t>sacred values</w:t>
      </w:r>
      <w:r w:rsidRPr="003776BC">
        <w:rPr>
          <w:rFonts w:eastAsia="Calibri"/>
          <w:lang w:bidi="he-IL"/>
        </w:rPr>
        <w:t xml:space="preserve"> of martyrdom and its rewards inherently appealing and attractive (pull), and someone who</w:t>
      </w:r>
      <w:r w:rsidR="00960592">
        <w:rPr>
          <w:rFonts w:eastAsia="Calibri"/>
          <w:lang w:bidi="he-IL"/>
        </w:rPr>
        <w:t xml:space="preserve"> turns to martyrdom because he</w:t>
      </w:r>
      <w:r w:rsidRPr="003776BC">
        <w:rPr>
          <w:rFonts w:eastAsia="Calibri"/>
          <w:lang w:bidi="he-IL"/>
        </w:rPr>
        <w:t xml:space="preserve"> is depressed and looking for a way out (push)</w:t>
      </w:r>
      <w:r>
        <w:rPr>
          <w:rFonts w:eastAsia="Calibri"/>
          <w:lang w:bidi="he-IL"/>
        </w:rPr>
        <w:t xml:space="preserve">.  </w:t>
      </w:r>
      <w:r w:rsidRPr="003776BC">
        <w:rPr>
          <w:rFonts w:eastAsia="Calibri"/>
          <w:lang w:bidi="he-IL"/>
        </w:rPr>
        <w:t xml:space="preserve">Nonetheless, the </w:t>
      </w:r>
      <w:r>
        <w:rPr>
          <w:rFonts w:eastAsia="Calibri"/>
          <w:lang w:bidi="he-IL"/>
        </w:rPr>
        <w:lastRenderedPageBreak/>
        <w:t>sacred value</w:t>
      </w:r>
      <w:r w:rsidRPr="003776BC">
        <w:rPr>
          <w:rFonts w:eastAsia="Calibri"/>
          <w:lang w:bidi="he-IL"/>
        </w:rPr>
        <w:t>s at work play a critical role, whether as a tool for inspiration or rationalization</w:t>
      </w:r>
      <w:r>
        <w:rPr>
          <w:rFonts w:eastAsia="Calibri"/>
          <w:lang w:bidi="he-IL"/>
        </w:rPr>
        <w:t xml:space="preserve">.  </w:t>
      </w:r>
    </w:p>
    <w:p w:rsidR="00474418" w:rsidRDefault="00474418" w:rsidP="00960592">
      <w:pPr>
        <w:ind w:firstLine="720"/>
        <w:contextualSpacing/>
        <w:rPr>
          <w:rFonts w:eastAsia="Calibri"/>
          <w:lang w:bidi="he-IL"/>
        </w:rPr>
      </w:pPr>
      <w:r>
        <w:rPr>
          <w:rFonts w:eastAsia="Calibri"/>
          <w:lang w:bidi="he-IL"/>
        </w:rPr>
        <w:t xml:space="preserve">Underlying psychological factors do not undermine the role of ideology in explaining the outcome, just as the ideology does not undermine the role of underlying emotional factors.  The </w:t>
      </w:r>
      <w:r w:rsidR="00960592">
        <w:rPr>
          <w:rFonts w:eastAsia="Calibri"/>
          <w:lang w:bidi="he-IL"/>
        </w:rPr>
        <w:t xml:space="preserve">destructive </w:t>
      </w:r>
      <w:r>
        <w:rPr>
          <w:rFonts w:eastAsia="Calibri"/>
          <w:lang w:bidi="he-IL"/>
        </w:rPr>
        <w:t>narrative is more pernicious for the emotionally disturbed seeking to escape life, because the narrative turns the suicidal into murderers as well.</w:t>
      </w:r>
      <w:r w:rsidR="00960592">
        <w:rPr>
          <w:rFonts w:eastAsia="Calibri"/>
          <w:lang w:bidi="he-IL"/>
        </w:rPr>
        <w:t xml:space="preserve">  </w:t>
      </w:r>
      <w:r>
        <w:rPr>
          <w:rFonts w:eastAsia="Calibri"/>
          <w:lang w:bidi="he-IL"/>
        </w:rPr>
        <w:t>The fourth and fifth groups of self-selected martyrs are closer than they are separate because they are both centered on a search for meaning.  For the ideologue, the ideology offers an identity that makes the group member a part of an esoteric elite superior to the rest of the world.  Truth and salvation comes through the ascension of the precious tribe.  For the emotionally disturbed, the ideology that saves the world heals many woun</w:t>
      </w:r>
      <w:r w:rsidR="006F2E58">
        <w:rPr>
          <w:rFonts w:eastAsia="Calibri"/>
          <w:lang w:bidi="he-IL"/>
        </w:rPr>
        <w:t>ds and offsets personal shame</w:t>
      </w:r>
      <w:r>
        <w:rPr>
          <w:rFonts w:eastAsia="Calibri"/>
          <w:lang w:bidi="he-IL"/>
        </w:rPr>
        <w:t xml:space="preserve">.  The lack of a safe, strong, and attractive local identity drives both.  </w:t>
      </w:r>
    </w:p>
    <w:p w:rsidR="00474418" w:rsidRDefault="00474418" w:rsidP="00474418">
      <w:pPr>
        <w:ind w:firstLine="720"/>
        <w:contextualSpacing/>
        <w:rPr>
          <w:rFonts w:eastAsia="Calibri"/>
          <w:lang w:bidi="he-IL"/>
        </w:rPr>
      </w:pPr>
      <w:r>
        <w:rPr>
          <w:rFonts w:eastAsia="Calibri"/>
          <w:lang w:bidi="he-IL"/>
        </w:rPr>
        <w:t>The missing local identity creates a void that adventure and revolution provides.  As of 2014, there were 370 Belgians among ISIS compared to 70 Indonesians.</w:t>
      </w:r>
      <w:r>
        <w:rPr>
          <w:rStyle w:val="FootnoteReference"/>
          <w:rFonts w:eastAsia="Calibri"/>
          <w:lang w:bidi="he-IL"/>
        </w:rPr>
        <w:footnoteReference w:id="271"/>
      </w:r>
      <w:r>
        <w:rPr>
          <w:rFonts w:eastAsia="Calibri"/>
          <w:lang w:bidi="he-IL"/>
        </w:rPr>
        <w:t xml:space="preserve">  Indonesia is the largest Muslim country in the world, yet the call to for Indonesians to join ISIS is comparatively small compared to the Islamic community in Belgium, which represents 4-6% of the total Belgian population (11 million, 440,000 to 660,000).  One Belgian fighter described his reason to join ISIS with the simple phrase, “it’s boring in Belgium.”</w:t>
      </w:r>
      <w:r>
        <w:rPr>
          <w:rStyle w:val="FootnoteReference"/>
          <w:rFonts w:eastAsia="Calibri"/>
          <w:lang w:bidi="he-IL"/>
        </w:rPr>
        <w:footnoteReference w:id="272"/>
      </w:r>
      <w:r>
        <w:rPr>
          <w:rFonts w:eastAsia="Calibri"/>
          <w:lang w:bidi="he-IL"/>
        </w:rPr>
        <w:t xml:space="preserve">  Prosperity and personal economic security gut the urgency of life and </w:t>
      </w:r>
      <w:r>
        <w:rPr>
          <w:rFonts w:eastAsia="Calibri"/>
          <w:lang w:bidi="he-IL"/>
        </w:rPr>
        <w:lastRenderedPageBreak/>
        <w:t xml:space="preserve">mute the sacred values that meet core psychologic needs over community, nation, faith, and interdependency.  </w:t>
      </w:r>
    </w:p>
    <w:p w:rsidR="001B05F8" w:rsidRDefault="00474418" w:rsidP="00474418">
      <w:pPr>
        <w:ind w:firstLine="720"/>
        <w:contextualSpacing/>
        <w:rPr>
          <w:rFonts w:eastAsia="Calibri"/>
          <w:lang w:bidi="he-IL"/>
        </w:rPr>
      </w:pPr>
      <w:r>
        <w:rPr>
          <w:rFonts w:eastAsia="Calibri"/>
          <w:lang w:bidi="he-IL"/>
        </w:rPr>
        <w:t xml:space="preserve">Civilization requires banality.  The specialized division of labor that produces </w:t>
      </w:r>
      <w:r w:rsidR="006F2E58">
        <w:rPr>
          <w:rFonts w:eastAsia="Calibri"/>
          <w:lang w:bidi="he-IL"/>
        </w:rPr>
        <w:t xml:space="preserve">a wide variety of </w:t>
      </w:r>
      <w:r>
        <w:rPr>
          <w:rFonts w:eastAsia="Calibri"/>
          <w:lang w:bidi="he-IL"/>
        </w:rPr>
        <w:t xml:space="preserve">goods </w:t>
      </w:r>
      <w:r w:rsidR="006F2E58">
        <w:rPr>
          <w:rFonts w:eastAsia="Calibri"/>
          <w:lang w:bidi="he-IL"/>
        </w:rPr>
        <w:t xml:space="preserve">and services </w:t>
      </w:r>
      <w:r>
        <w:rPr>
          <w:rFonts w:eastAsia="Calibri"/>
          <w:lang w:bidi="he-IL"/>
        </w:rPr>
        <w:t>needs stability, repetitiveness, and commitment.  However, underlying needs for meaning, for belonging to a group, for cosmic significance, remain despite basic needs being met.  If anything, prosperity pushes the underlying psychological needs for identity to the forefront.  The goal for a civilized society should be to find sacred values in the mundane, to find meaning in civilization, and to build bonds across diverse communities within a nation, so that alienation from the larger nation is uncommon.  The United Kingdom has started to push for inculcating British identity in the schools, to ensure that a common national identity is rectified that spans religion and ethnic background.</w:t>
      </w:r>
      <w:r w:rsidRPr="003776BC">
        <w:rPr>
          <w:vertAlign w:val="superscript"/>
        </w:rPr>
        <w:footnoteReference w:id="273"/>
      </w:r>
      <w:r>
        <w:rPr>
          <w:rFonts w:eastAsia="Calibri"/>
          <w:lang w:bidi="he-IL"/>
        </w:rPr>
        <w:t xml:space="preserve">  In other words, so that all Britons—whether Christian, Muslim, or </w:t>
      </w:r>
      <w:r w:rsidR="0055343F">
        <w:rPr>
          <w:rFonts w:eastAsia="Calibri"/>
          <w:lang w:bidi="he-IL"/>
        </w:rPr>
        <w:t>non-religious</w:t>
      </w:r>
      <w:r>
        <w:rPr>
          <w:rFonts w:eastAsia="Calibri"/>
          <w:lang w:bidi="he-IL"/>
        </w:rPr>
        <w:t>—find being British a satisfying in-group.</w:t>
      </w:r>
    </w:p>
    <w:p w:rsidR="00474418" w:rsidRPr="000619E8" w:rsidRDefault="001B05F8" w:rsidP="00FB048D">
      <w:pPr>
        <w:ind w:firstLine="720"/>
        <w:contextualSpacing/>
        <w:rPr>
          <w:rFonts w:eastAsia="Calibri"/>
          <w:lang w:bidi="he-IL"/>
        </w:rPr>
      </w:pPr>
      <w:r>
        <w:rPr>
          <w:iCs/>
          <w:lang w:bidi="he-IL"/>
        </w:rPr>
        <w:t>In the 14</w:t>
      </w:r>
      <w:r w:rsidRPr="00474418">
        <w:rPr>
          <w:iCs/>
          <w:vertAlign w:val="superscript"/>
          <w:lang w:bidi="he-IL"/>
        </w:rPr>
        <w:t>th</w:t>
      </w:r>
      <w:r>
        <w:rPr>
          <w:iCs/>
          <w:lang w:bidi="he-IL"/>
        </w:rPr>
        <w:t xml:space="preserve"> Century, the Arab historian </w:t>
      </w:r>
      <w:r w:rsidR="000619E8">
        <w:rPr>
          <w:iCs/>
          <w:lang w:bidi="he-IL"/>
        </w:rPr>
        <w:t>and founder of sociology I</w:t>
      </w:r>
      <w:r>
        <w:rPr>
          <w:iCs/>
          <w:lang w:bidi="he-IL"/>
        </w:rPr>
        <w:t xml:space="preserve">bn Khaldun described </w:t>
      </w:r>
      <w:r w:rsidRPr="001B05F8">
        <w:rPr>
          <w:i/>
          <w:lang w:bidi="he-IL"/>
        </w:rPr>
        <w:t>asabiyya</w:t>
      </w:r>
      <w:r>
        <w:rPr>
          <w:iCs/>
          <w:lang w:bidi="he-IL"/>
        </w:rPr>
        <w:t xml:space="preserve"> (“group feeling”) as the social power that drives the rise and fall of </w:t>
      </w:r>
      <w:r w:rsidR="00FB048D">
        <w:rPr>
          <w:iCs/>
          <w:lang w:bidi="he-IL"/>
        </w:rPr>
        <w:t>societies</w:t>
      </w:r>
      <w:r>
        <w:rPr>
          <w:iCs/>
          <w:lang w:bidi="he-IL"/>
        </w:rPr>
        <w:t>.</w:t>
      </w:r>
      <w:r>
        <w:rPr>
          <w:rStyle w:val="FootnoteReference"/>
        </w:rPr>
        <w:footnoteReference w:id="274"/>
      </w:r>
      <w:r>
        <w:t xml:space="preserve">  Group feeling is the psychological and emotional bond that the individual has for the group in which he is a member.  </w:t>
      </w:r>
      <w:r w:rsidR="00FB048D">
        <w:t xml:space="preserve">It </w:t>
      </w:r>
      <w:r>
        <w:t>is the fundamental glue for civilization.  If the individual has strong group feeling, the grea</w:t>
      </w:r>
      <w:r w:rsidR="007648CD">
        <w:t>ter chance the individual will</w:t>
      </w:r>
      <w:r>
        <w:t xml:space="preserve"> fight and defend the group and its politics.  If group feeling weakens among the members of a society</w:t>
      </w:r>
      <w:r w:rsidR="007648CD">
        <w:t>, then a new group with superior</w:t>
      </w:r>
      <w:r>
        <w:t xml:space="preserve"> group feeling </w:t>
      </w:r>
      <w:r w:rsidR="000619E8">
        <w:t>w</w:t>
      </w:r>
      <w:r w:rsidR="00FB048D">
        <w:t xml:space="preserve">ill </w:t>
      </w:r>
      <w:r>
        <w:t xml:space="preserve">overthrow </w:t>
      </w:r>
      <w:r w:rsidR="000619E8">
        <w:t xml:space="preserve">the decayed </w:t>
      </w:r>
      <w:r w:rsidR="000619E8">
        <w:lastRenderedPageBreak/>
        <w:t>society</w:t>
      </w:r>
      <w:r>
        <w:t>.</w:t>
      </w:r>
      <w:r w:rsidR="000619E8">
        <w:t xml:space="preserve">  Although societal collapse may be a step too far in this anal</w:t>
      </w:r>
      <w:r w:rsidR="007648CD">
        <w:t>ysis, we can see how the weak</w:t>
      </w:r>
      <w:r w:rsidR="000619E8">
        <w:t xml:space="preserve"> group feeling</w:t>
      </w:r>
      <w:r w:rsidR="0055343F">
        <w:rPr>
          <w:i/>
          <w:iCs/>
        </w:rPr>
        <w:t xml:space="preserve"> </w:t>
      </w:r>
      <w:r w:rsidR="0055343F">
        <w:rPr>
          <w:iCs/>
        </w:rPr>
        <w:t xml:space="preserve">both for and </w:t>
      </w:r>
      <w:r w:rsidR="000619E8">
        <w:t>among local in-groups drives individuals to find in-groups that have strong group feeling.</w:t>
      </w:r>
      <w:r w:rsidR="00FB048D">
        <w:t xml:space="preserve">  </w:t>
      </w:r>
      <w:r w:rsidR="000619E8">
        <w:t>Since social identity is a necessary component to individual identity, the “weak”</w:t>
      </w:r>
      <w:r w:rsidR="00FB048D">
        <w:t xml:space="preserve"> local</w:t>
      </w:r>
      <w:r w:rsidR="000619E8">
        <w:t xml:space="preserve"> in-groups are unacceptable options</w:t>
      </w:r>
      <w:r w:rsidR="00FB048D">
        <w:t xml:space="preserve"> to internalize</w:t>
      </w:r>
      <w:r w:rsidR="000619E8">
        <w:t>.</w:t>
      </w:r>
      <w:r w:rsidR="00FB048D">
        <w:t xml:space="preserve">  This freedom to choose a new in-group drives individuals to find the best in-groups, with the best rewards, yet based in the core sacred values that the local in-groups fail to uphold.  </w:t>
      </w:r>
      <w:r w:rsidR="000619E8">
        <w:t>Thus, local and national leaders need to construct strong group feeling for local and national identities, so that the radicalized in-groups do not have an identity void to penetrate.</w:t>
      </w:r>
    </w:p>
    <w:p w:rsidR="00474418" w:rsidRDefault="00474418" w:rsidP="00666F5A">
      <w:pPr>
        <w:ind w:firstLine="720"/>
        <w:contextualSpacing/>
        <w:rPr>
          <w:rFonts w:eastAsia="Calibri"/>
          <w:lang w:bidi="he-IL"/>
        </w:rPr>
      </w:pPr>
      <w:r>
        <w:rPr>
          <w:rFonts w:eastAsia="Calibri"/>
          <w:lang w:bidi="he-IL"/>
        </w:rPr>
        <w:t xml:space="preserve">This leads to the consequences of </w:t>
      </w:r>
      <w:r w:rsidR="00FB048D">
        <w:rPr>
          <w:rFonts w:eastAsia="Calibri"/>
          <w:lang w:bidi="he-IL"/>
        </w:rPr>
        <w:t xml:space="preserve">self-selected </w:t>
      </w:r>
      <w:r>
        <w:rPr>
          <w:rFonts w:eastAsia="Calibri"/>
          <w:lang w:bidi="he-IL"/>
        </w:rPr>
        <w:t xml:space="preserve">national identity, and the role of </w:t>
      </w:r>
      <w:r w:rsidR="007648CD">
        <w:rPr>
          <w:rFonts w:eastAsia="Calibri"/>
          <w:lang w:bidi="he-IL"/>
        </w:rPr>
        <w:t xml:space="preserve">cognitive </w:t>
      </w:r>
      <w:r>
        <w:rPr>
          <w:rFonts w:eastAsia="Calibri"/>
          <w:lang w:bidi="he-IL"/>
        </w:rPr>
        <w:t xml:space="preserve">occupation in suicide terrorism.  Robert Pape’s </w:t>
      </w:r>
      <w:r>
        <w:rPr>
          <w:rFonts w:eastAsia="Calibri"/>
          <w:i/>
          <w:lang w:bidi="he-IL"/>
        </w:rPr>
        <w:t xml:space="preserve">Dying to Win </w:t>
      </w:r>
      <w:r>
        <w:rPr>
          <w:rFonts w:eastAsia="Calibri"/>
          <w:lang w:bidi="he-IL"/>
        </w:rPr>
        <w:t xml:space="preserve">argues that occupation causes suicide terrorism.  The United States’ interactions in the Middle East, whether in regards to troops on the ground or heavy handed sponsorship, causes suicide terrorism.  Israel’s occupation of Palestine causes suicide terrorism.  Thus, Robert Pape’s policy recommendation is that democracies should not occupy the homeland of nationalists. </w:t>
      </w:r>
    </w:p>
    <w:p w:rsidR="00474418" w:rsidRPr="00EE7DF6" w:rsidRDefault="0084711F" w:rsidP="00474418">
      <w:pPr>
        <w:ind w:firstLine="720"/>
        <w:contextualSpacing/>
        <w:rPr>
          <w:rFonts w:eastAsia="Calibri"/>
          <w:lang w:bidi="he-IL"/>
        </w:rPr>
      </w:pPr>
      <w:r>
        <w:rPr>
          <w:rFonts w:eastAsia="Calibri"/>
          <w:lang w:bidi="he-IL"/>
        </w:rPr>
        <w:t xml:space="preserve">As stated in chapter 1, </w:t>
      </w:r>
      <w:r w:rsidR="00474418">
        <w:rPr>
          <w:rFonts w:eastAsia="Calibri"/>
          <w:lang w:bidi="he-IL"/>
        </w:rPr>
        <w:t>Pape’s theory has been criticized from different angles.  Assaf Moghadam argues that Pape’s definition of occupation is vague, as it essentially makes any international conflict an occupation.</w:t>
      </w:r>
      <w:r w:rsidR="00474418" w:rsidRPr="00EE7DF6">
        <w:rPr>
          <w:rFonts w:ascii="Times New Roman" w:eastAsia="Calibri" w:hAnsi="Times New Roman"/>
          <w:noProof/>
          <w:sz w:val="22"/>
          <w:szCs w:val="22"/>
          <w:vertAlign w:val="superscript"/>
          <w:lang w:bidi="he-IL"/>
        </w:rPr>
        <w:footnoteReference w:id="275"/>
      </w:r>
      <w:r w:rsidR="00474418">
        <w:rPr>
          <w:rFonts w:ascii="Times New Roman" w:eastAsia="Calibri" w:hAnsi="Times New Roman"/>
          <w:noProof/>
          <w:sz w:val="22"/>
          <w:szCs w:val="22"/>
          <w:lang w:bidi="he-IL"/>
        </w:rPr>
        <w:t xml:space="preserve">  </w:t>
      </w:r>
      <w:r w:rsidR="00474418">
        <w:rPr>
          <w:rFonts w:eastAsia="Calibri"/>
          <w:lang w:bidi="he-IL"/>
        </w:rPr>
        <w:t>According to Michael Horowitz, Pape’s statistical model no longer predicts the nationalist theory of suicide terrorism with data updated since 2005.</w:t>
      </w:r>
      <w:r w:rsidR="00474418" w:rsidRPr="00DB28B2">
        <w:rPr>
          <w:rFonts w:ascii="Times New Roman" w:eastAsia="Calibri" w:hAnsi="Times New Roman"/>
          <w:noProof/>
          <w:sz w:val="22"/>
          <w:szCs w:val="22"/>
          <w:vertAlign w:val="superscript"/>
          <w:lang w:bidi="he-IL"/>
        </w:rPr>
        <w:footnoteReference w:id="276"/>
      </w:r>
      <w:r w:rsidR="00474418">
        <w:rPr>
          <w:rFonts w:ascii="Times New Roman" w:eastAsia="Calibri" w:hAnsi="Times New Roman"/>
          <w:noProof/>
          <w:sz w:val="22"/>
          <w:szCs w:val="22"/>
          <w:lang w:bidi="he-IL"/>
        </w:rPr>
        <w:t xml:space="preserve">  </w:t>
      </w:r>
      <w:r w:rsidR="00474418" w:rsidRPr="00145593">
        <w:rPr>
          <w:rFonts w:ascii="Times New Roman" w:eastAsia="Calibri" w:hAnsi="Times New Roman"/>
          <w:noProof/>
          <w:lang w:bidi="he-IL"/>
        </w:rPr>
        <w:t>Jeffery Lewis argues that t</w:t>
      </w:r>
      <w:r w:rsidR="00474418" w:rsidRPr="00145593">
        <w:rPr>
          <w:rFonts w:eastAsia="Calibri"/>
          <w:lang w:bidi="he-IL"/>
        </w:rPr>
        <w:t xml:space="preserve">he relationship between occupation and suicide terrorism is spurious, as underlying societal conflict leads to </w:t>
      </w:r>
      <w:r w:rsidR="00474418" w:rsidRPr="00145593">
        <w:rPr>
          <w:rFonts w:eastAsia="Calibri"/>
          <w:lang w:bidi="he-IL"/>
        </w:rPr>
        <w:lastRenderedPageBreak/>
        <w:t>both the occupation and the usage of suicide terrorism</w:t>
      </w:r>
      <w:r w:rsidR="00474418">
        <w:rPr>
          <w:rFonts w:eastAsia="Calibri"/>
          <w:lang w:bidi="he-IL"/>
        </w:rPr>
        <w:t>.</w:t>
      </w:r>
      <w:r w:rsidR="00474418" w:rsidRPr="00DB28B2">
        <w:rPr>
          <w:rFonts w:ascii="Times New Roman" w:eastAsia="Calibri" w:hAnsi="Times New Roman"/>
          <w:noProof/>
          <w:sz w:val="22"/>
          <w:szCs w:val="22"/>
          <w:vertAlign w:val="superscript"/>
          <w:lang w:bidi="he-IL"/>
        </w:rPr>
        <w:footnoteReference w:id="277"/>
      </w:r>
      <w:r w:rsidR="00474418">
        <w:rPr>
          <w:rFonts w:eastAsia="Calibri"/>
          <w:lang w:bidi="he-IL"/>
        </w:rPr>
        <w:t xml:space="preserve">  Scott Atran objects to Pape’s methodology to explain a complex human phenomenon with a statistical model, since any statistical model only proves correlation and not causation.</w:t>
      </w:r>
      <w:r w:rsidR="00474418" w:rsidRPr="00DB28B2">
        <w:rPr>
          <w:rFonts w:ascii="Times New Roman" w:eastAsia="Calibri" w:hAnsi="Times New Roman"/>
          <w:noProof/>
          <w:sz w:val="22"/>
          <w:szCs w:val="22"/>
          <w:vertAlign w:val="superscript"/>
          <w:lang w:bidi="he-IL"/>
        </w:rPr>
        <w:footnoteReference w:id="278"/>
      </w:r>
      <w:r w:rsidR="00474418">
        <w:rPr>
          <w:rFonts w:ascii="Times New Roman" w:eastAsia="Calibri" w:hAnsi="Times New Roman"/>
          <w:noProof/>
          <w:sz w:val="22"/>
          <w:szCs w:val="22"/>
          <w:lang w:bidi="he-IL"/>
        </w:rPr>
        <w:t xml:space="preserve">  </w:t>
      </w:r>
      <w:r w:rsidR="00474418" w:rsidRPr="00EE7DF6">
        <w:rPr>
          <w:rFonts w:eastAsia="Calibri"/>
          <w:lang w:bidi="he-IL"/>
        </w:rPr>
        <w:t xml:space="preserve">Atran’s </w:t>
      </w:r>
      <w:r w:rsidR="00474418">
        <w:rPr>
          <w:rFonts w:eastAsia="Calibri"/>
          <w:lang w:bidi="he-IL"/>
        </w:rPr>
        <w:t xml:space="preserve">full </w:t>
      </w:r>
      <w:r w:rsidR="00474418" w:rsidRPr="00EE7DF6">
        <w:rPr>
          <w:rFonts w:eastAsia="Calibri"/>
          <w:lang w:bidi="he-IL"/>
        </w:rPr>
        <w:t>critique</w:t>
      </w:r>
      <w:r w:rsidR="00474418">
        <w:rPr>
          <w:rFonts w:eastAsia="Calibri"/>
          <w:lang w:bidi="he-IL"/>
        </w:rPr>
        <w:t xml:space="preserve"> of Pape’s occupation theme is as follows</w:t>
      </w:r>
      <w:r w:rsidR="00474418" w:rsidRPr="00EE7DF6">
        <w:rPr>
          <w:rFonts w:eastAsia="Calibri"/>
          <w:lang w:bidi="he-IL"/>
        </w:rPr>
        <w:t>:</w:t>
      </w:r>
    </w:p>
    <w:p w:rsidR="00474418" w:rsidRDefault="00474418" w:rsidP="00474418">
      <w:pPr>
        <w:spacing w:line="240" w:lineRule="auto"/>
        <w:ind w:left="720"/>
        <w:contextualSpacing/>
        <w:rPr>
          <w:rFonts w:eastAsia="Calibri"/>
          <w:lang w:bidi="he-IL"/>
        </w:rPr>
      </w:pPr>
      <w:r w:rsidRPr="00EE7DF6">
        <w:rPr>
          <w:rFonts w:eastAsia="Calibri"/>
          <w:lang w:bidi="he-IL"/>
        </w:rPr>
        <w:t>When Egyptian Bedouin are dying to kill European tourists and the Egyptians who cater to them; when British citizens blow themselves up along with other British because of the country’s involvement in Iraq and Afghanistan; when jihadis exclusively target co-religionists linked to the secular government in Bangladesh, which is not a particularly close friend of the United States or its allies; when Malaysian bombers kill Australians and Balinese Hindus in Indonesia as “self-defense” in a “clash of civilizations” betwee</w:t>
      </w:r>
      <w:r>
        <w:rPr>
          <w:rFonts w:eastAsia="Calibri"/>
          <w:lang w:bidi="he-IL"/>
        </w:rPr>
        <w:t>n Islam and the United States;</w:t>
      </w:r>
      <w:r w:rsidRPr="00EE7DF6">
        <w:rPr>
          <w:rFonts w:eastAsia="Calibri"/>
          <w:lang w:bidi="he-IL"/>
        </w:rPr>
        <w:t xml:space="preserve"> and when Arabs from more than a dozen countries rush to embrace death in Iraq in order to kill Shi‘as, who are probably more supportive of Iran than they are of the United States, it is quite a stretch to identify the common thread as a secular struggle over foreign occupation of a homeland, unless “secular” covers transcendent ideologies, “foreign occupation” includes tourism, and “homeland” expands to at least three continents.</w:t>
      </w:r>
      <w:r w:rsidRPr="00EE7DF6">
        <w:rPr>
          <w:rFonts w:eastAsia="Calibri"/>
          <w:vertAlign w:val="superscript"/>
          <w:lang w:bidi="he-IL"/>
        </w:rPr>
        <w:footnoteReference w:id="279"/>
      </w:r>
      <w:r w:rsidRPr="00EE7DF6">
        <w:rPr>
          <w:rFonts w:eastAsia="Calibri"/>
          <w:lang w:bidi="he-IL"/>
        </w:rPr>
        <w:t xml:space="preserve">  </w:t>
      </w:r>
    </w:p>
    <w:p w:rsidR="00474418" w:rsidRPr="00EE7DF6" w:rsidRDefault="00474418" w:rsidP="00474418">
      <w:pPr>
        <w:spacing w:line="240" w:lineRule="auto"/>
        <w:ind w:left="720"/>
        <w:contextualSpacing/>
        <w:rPr>
          <w:rFonts w:eastAsia="Calibri"/>
          <w:lang w:bidi="he-IL"/>
        </w:rPr>
      </w:pPr>
    </w:p>
    <w:p w:rsidR="00474418" w:rsidRDefault="00474418" w:rsidP="00666F5A">
      <w:pPr>
        <w:contextualSpacing/>
        <w:rPr>
          <w:rFonts w:eastAsia="Calibri"/>
          <w:lang w:bidi="he-IL"/>
        </w:rPr>
      </w:pPr>
      <w:r>
        <w:rPr>
          <w:rFonts w:eastAsia="Calibri"/>
          <w:lang w:bidi="he-IL"/>
        </w:rPr>
        <w:t>Qutbist ideology regards a</w:t>
      </w:r>
      <w:r w:rsidRPr="00EE7DF6">
        <w:rPr>
          <w:rFonts w:eastAsia="Calibri"/>
          <w:lang w:bidi="he-IL"/>
        </w:rPr>
        <w:t xml:space="preserve"> hint of Western influence as evidence of occupation</w:t>
      </w:r>
      <w:r>
        <w:rPr>
          <w:rFonts w:eastAsia="Calibri"/>
          <w:lang w:bidi="he-IL"/>
        </w:rPr>
        <w:t>, thus lines are blurred between actual occupation and cognitive occupation</w:t>
      </w:r>
      <w:r w:rsidRPr="00EE7DF6">
        <w:rPr>
          <w:rFonts w:eastAsia="Calibri"/>
          <w:lang w:bidi="he-IL"/>
        </w:rPr>
        <w:t>.</w:t>
      </w:r>
      <w:r w:rsidRPr="00EE7DF6">
        <w:rPr>
          <w:rFonts w:eastAsia="Calibri"/>
          <w:vertAlign w:val="superscript"/>
          <w:lang w:bidi="he-IL"/>
        </w:rPr>
        <w:footnoteReference w:id="280"/>
      </w:r>
      <w:r>
        <w:rPr>
          <w:rFonts w:eastAsia="Calibri"/>
          <w:lang w:bidi="he-IL"/>
        </w:rPr>
        <w:t xml:space="preserve">  Since the cognitive terrain is relative to </w:t>
      </w:r>
      <w:r w:rsidR="0055343F">
        <w:rPr>
          <w:rFonts w:eastAsia="Calibri"/>
          <w:lang w:bidi="he-IL"/>
        </w:rPr>
        <w:t>the characteristics of the</w:t>
      </w:r>
      <w:r>
        <w:rPr>
          <w:rFonts w:eastAsia="Calibri"/>
          <w:lang w:bidi="he-IL"/>
        </w:rPr>
        <w:t xml:space="preserve"> sacred values among communities, any in-group can use Pape’s argument as justification for occupation.  To the Marxist, the capitalist world system occupies the legitimate means of production.</w:t>
      </w:r>
      <w:r w:rsidR="00FB048D">
        <w:rPr>
          <w:rFonts w:eastAsia="Calibri"/>
          <w:lang w:bidi="he-IL"/>
        </w:rPr>
        <w:t xml:space="preserve">  </w:t>
      </w:r>
    </w:p>
    <w:p w:rsidR="00474418" w:rsidRDefault="00474418" w:rsidP="00960592">
      <w:pPr>
        <w:contextualSpacing/>
        <w:rPr>
          <w:rFonts w:eastAsia="Calibri"/>
          <w:lang w:bidi="he-IL"/>
        </w:rPr>
      </w:pPr>
      <w:r>
        <w:rPr>
          <w:rFonts w:eastAsia="Calibri"/>
          <w:lang w:bidi="he-IL"/>
        </w:rPr>
        <w:tab/>
      </w:r>
      <w:r w:rsidR="00FB048D">
        <w:rPr>
          <w:rFonts w:eastAsia="Calibri"/>
          <w:lang w:bidi="he-IL"/>
        </w:rPr>
        <w:t>T</w:t>
      </w:r>
      <w:r>
        <w:rPr>
          <w:rFonts w:eastAsia="Calibri"/>
          <w:lang w:bidi="he-IL"/>
        </w:rPr>
        <w:t>he c</w:t>
      </w:r>
      <w:r w:rsidR="00FB048D">
        <w:rPr>
          <w:rFonts w:eastAsia="Calibri"/>
          <w:lang w:bidi="he-IL"/>
        </w:rPr>
        <w:t>oncept of cognitive occupation</w:t>
      </w:r>
      <w:r>
        <w:rPr>
          <w:rFonts w:eastAsia="Calibri"/>
          <w:lang w:bidi="he-IL"/>
        </w:rPr>
        <w:t xml:space="preserve"> </w:t>
      </w:r>
      <w:r w:rsidR="00FB048D">
        <w:rPr>
          <w:rFonts w:eastAsia="Calibri"/>
          <w:lang w:bidi="he-IL"/>
        </w:rPr>
        <w:t xml:space="preserve">is worthy of discussion, </w:t>
      </w:r>
      <w:r>
        <w:rPr>
          <w:rFonts w:eastAsia="Calibri"/>
          <w:lang w:bidi="he-IL"/>
        </w:rPr>
        <w:t>and how Pape’s thesis explain</w:t>
      </w:r>
      <w:r w:rsidR="00FB048D">
        <w:rPr>
          <w:rFonts w:eastAsia="Calibri"/>
          <w:lang w:bidi="he-IL"/>
        </w:rPr>
        <w:t>s</w:t>
      </w:r>
      <w:r>
        <w:rPr>
          <w:rFonts w:eastAsia="Calibri"/>
          <w:lang w:bidi="he-IL"/>
        </w:rPr>
        <w:t xml:space="preserve"> the desire to recreate the Caliphate.  To Qutbists, the European empires carved up the Ottoman Empire into Western-sponsored governments that stand in the way of a recreated Caliphate.  The real nation is the Islamic </w:t>
      </w:r>
      <w:r w:rsidRPr="009D0132">
        <w:rPr>
          <w:rFonts w:eastAsia="Calibri"/>
          <w:lang w:bidi="he-IL"/>
        </w:rPr>
        <w:t>Ummah</w:t>
      </w:r>
      <w:r>
        <w:rPr>
          <w:rFonts w:eastAsia="Calibri"/>
          <w:lang w:bidi="he-IL"/>
        </w:rPr>
        <w:t xml:space="preserve">, which requires a </w:t>
      </w:r>
      <w:r>
        <w:rPr>
          <w:rFonts w:eastAsia="Calibri"/>
          <w:lang w:bidi="he-IL"/>
        </w:rPr>
        <w:lastRenderedPageBreak/>
        <w:t xml:space="preserve">pure Islamic State.  </w:t>
      </w:r>
      <w:r w:rsidR="00FB048D">
        <w:rPr>
          <w:rFonts w:eastAsia="Calibri"/>
          <w:lang w:bidi="he-IL"/>
        </w:rPr>
        <w:t xml:space="preserve">Any structure in the way of a pure Islamic State is a type of occupation.  For Qutbists, the Arab-Islamic governments are occupiers.  </w:t>
      </w:r>
      <w:r>
        <w:rPr>
          <w:rFonts w:eastAsia="Calibri"/>
          <w:lang w:bidi="he-IL"/>
        </w:rPr>
        <w:t>For Muslims in the Arab-Islamic world, the artificial governments carved from Sykes-Picot Agreement weaken the cognitive allegiance to being Syrian, Iraqi, or Lebanese.</w:t>
      </w:r>
      <w:r w:rsidR="00FB048D">
        <w:rPr>
          <w:rFonts w:eastAsia="Calibri"/>
          <w:lang w:bidi="he-IL"/>
        </w:rPr>
        <w:t xml:space="preserve">  </w:t>
      </w:r>
    </w:p>
    <w:p w:rsidR="00960592" w:rsidRDefault="00474418" w:rsidP="00474418">
      <w:pPr>
        <w:contextualSpacing/>
        <w:rPr>
          <w:rFonts w:eastAsia="Calibri"/>
          <w:lang w:bidi="he-IL"/>
        </w:rPr>
      </w:pPr>
      <w:r>
        <w:rPr>
          <w:rFonts w:eastAsia="Calibri"/>
          <w:lang w:bidi="he-IL"/>
        </w:rPr>
        <w:tab/>
        <w:t xml:space="preserve">This interpretation works from a constructivist perspective.  The imagined Ummah is another type of Benedict </w:t>
      </w:r>
      <w:r w:rsidR="00C33402">
        <w:rPr>
          <w:rFonts w:eastAsia="Calibri"/>
          <w:lang w:bidi="he-IL"/>
        </w:rPr>
        <w:t>Anderson</w:t>
      </w:r>
      <w:r>
        <w:rPr>
          <w:rFonts w:eastAsia="Calibri"/>
          <w:lang w:bidi="he-IL"/>
        </w:rPr>
        <w:t>’s Imagined Communities.  However, there are three problems with this approach in relation to the Pape thesis.  First, implicit in Pape’s thesis is a moral</w:t>
      </w:r>
      <w:r w:rsidR="007648CD">
        <w:rPr>
          <w:rFonts w:eastAsia="Calibri"/>
          <w:lang w:bidi="he-IL"/>
        </w:rPr>
        <w:t xml:space="preserve"> component</w:t>
      </w:r>
      <w:r>
        <w:rPr>
          <w:rFonts w:eastAsia="Calibri"/>
          <w:lang w:bidi="he-IL"/>
        </w:rPr>
        <w:t>, based in two assumptions.  The</w:t>
      </w:r>
      <w:r w:rsidR="00960592">
        <w:rPr>
          <w:rFonts w:eastAsia="Calibri"/>
          <w:lang w:bidi="he-IL"/>
        </w:rPr>
        <w:t xml:space="preserve"> first assumption is that all nationalism is equally just (or unjust), and the second </w:t>
      </w:r>
      <w:r>
        <w:rPr>
          <w:rFonts w:eastAsia="Calibri"/>
          <w:lang w:bidi="he-IL"/>
        </w:rPr>
        <w:t xml:space="preserve">is that a suicide bombing campaign is one of the worst consequences of inter or intrastate conflict.  </w:t>
      </w:r>
      <w:r w:rsidR="00960592">
        <w:rPr>
          <w:rFonts w:eastAsia="Calibri"/>
          <w:lang w:bidi="he-IL"/>
        </w:rPr>
        <w:t xml:space="preserve">Foreign agents need to remove themselves from local nationalist-based conflicts, and countries would do best to heed the ambitions of nationalist-secessionist movements that perceive the government as occupier.  </w:t>
      </w:r>
    </w:p>
    <w:p w:rsidR="003F6346" w:rsidRDefault="00474418" w:rsidP="00960592">
      <w:pPr>
        <w:ind w:firstLine="720"/>
        <w:contextualSpacing/>
        <w:rPr>
          <w:rFonts w:eastAsia="Calibri"/>
          <w:lang w:bidi="he-IL"/>
        </w:rPr>
      </w:pPr>
      <w:r>
        <w:rPr>
          <w:rFonts w:eastAsia="Calibri"/>
          <w:lang w:bidi="he-IL"/>
        </w:rPr>
        <w:t xml:space="preserve">The problem with treating all nationalist movements as equal is that the religious-based nation is essentially universal, whereas the traditional national liberation movement is local.  Not all constructed national identities are equal, particularly in regard to global consequences.  The aspirations of the Tamils or Kurds to have their own nation-state are similar to each other, but they differ from the aspirations of Qutbists to unravel the internationally sanctioned order in the Arab World.  The Tamils and Kurds are attempting to find a means to participate in the global system; the Qutbists are seeking to overthrow the global system.  </w:t>
      </w:r>
      <w:r w:rsidR="00EC2460">
        <w:rPr>
          <w:rFonts w:eastAsia="Calibri"/>
          <w:lang w:bidi="he-IL"/>
        </w:rPr>
        <w:t xml:space="preserve">Thus, it may be better for regional and global to suffer a suicide bombing campaign than it is to concede the nationalist aspirations of Qutbists.  </w:t>
      </w:r>
    </w:p>
    <w:p w:rsidR="00474418" w:rsidRPr="009D4F36" w:rsidRDefault="00474418" w:rsidP="00666F5A">
      <w:pPr>
        <w:ind w:firstLine="720"/>
        <w:contextualSpacing/>
        <w:rPr>
          <w:rFonts w:eastAsia="Calibri"/>
          <w:lang w:bidi="he-IL"/>
        </w:rPr>
      </w:pPr>
      <w:r>
        <w:rPr>
          <w:rFonts w:eastAsia="Calibri"/>
          <w:lang w:bidi="he-IL"/>
        </w:rPr>
        <w:lastRenderedPageBreak/>
        <w:t xml:space="preserve">The second problem is the strategic logic of suicide terrorism works if </w:t>
      </w:r>
      <w:r w:rsidR="00666F5A">
        <w:rPr>
          <w:rFonts w:eastAsia="Calibri"/>
          <w:lang w:bidi="he-IL"/>
        </w:rPr>
        <w:t>rebels perceive the tactic to</w:t>
      </w:r>
      <w:r>
        <w:rPr>
          <w:rFonts w:eastAsia="Calibri"/>
          <w:lang w:bidi="he-IL"/>
        </w:rPr>
        <w:t xml:space="preserve"> be successful.  The cycle of the tactic’s adoption would be greatly reduced if the strategic objectives of </w:t>
      </w:r>
      <w:r w:rsidR="00666F5A">
        <w:rPr>
          <w:rFonts w:eastAsia="Calibri"/>
          <w:lang w:bidi="he-IL"/>
        </w:rPr>
        <w:t>its practitioners</w:t>
      </w:r>
      <w:r w:rsidR="007648CD">
        <w:rPr>
          <w:rFonts w:eastAsia="Calibri"/>
          <w:lang w:bidi="he-IL"/>
        </w:rPr>
        <w:t xml:space="preserve"> were intentionally obstructed.  </w:t>
      </w:r>
      <w:r>
        <w:rPr>
          <w:rFonts w:eastAsia="Calibri"/>
          <w:lang w:bidi="he-IL"/>
        </w:rPr>
        <w:t>The third problem is competing claims over terrain complicates acknowledgement of nationalist ambition.  According to Qutbist thought, Spain is occupying the Caliphate as well, and thus Spain must stop occupying itself.  The Israel-Palestine issue is an example of this, as each group has sacred values that are intractable.</w:t>
      </w:r>
      <w:r w:rsidR="00183E6B">
        <w:rPr>
          <w:rFonts w:eastAsia="Calibri"/>
          <w:lang w:bidi="he-IL"/>
        </w:rPr>
        <w:t xml:space="preserve">  </w:t>
      </w:r>
    </w:p>
    <w:p w:rsidR="00474418" w:rsidRPr="00560210" w:rsidRDefault="00474418" w:rsidP="00474418">
      <w:pPr>
        <w:pStyle w:val="Heading2"/>
        <w:rPr>
          <w:rStyle w:val="SubtleEmphasis"/>
        </w:rPr>
      </w:pPr>
      <w:bookmarkStart w:id="70" w:name="_Toc450748700"/>
      <w:r w:rsidRPr="00560210">
        <w:rPr>
          <w:rStyle w:val="SubtleEmphasis"/>
        </w:rPr>
        <w:t>Policy Implications for the Individual Logic of Suicide Terrorism</w:t>
      </w:r>
      <w:bookmarkEnd w:id="70"/>
    </w:p>
    <w:p w:rsidR="00474418" w:rsidRDefault="00474418" w:rsidP="00474418">
      <w:pPr>
        <w:ind w:firstLine="720"/>
      </w:pPr>
      <w:r>
        <w:t xml:space="preserve">The recommendations below are intended to address the lessons from this argument on policy, specifically the role of identity on decision-making.  Because of the scope of this paper, the policy recommendations are broad strategic objectives for Western nation-states in terms of both domestic and international policy.  This is not intended to demonstrate “how to defeat ISIS,” nor to provide such vague goals that are not implementable, but instead show how nation-states should consider the role of ideology in suicide terrorism.  </w:t>
      </w:r>
    </w:p>
    <w:p w:rsidR="00474418" w:rsidRDefault="00474418" w:rsidP="00474418">
      <w:r>
        <w:tab/>
      </w:r>
      <w:r w:rsidRPr="00F86019">
        <w:rPr>
          <w:b/>
          <w:i/>
        </w:rPr>
        <w:t xml:space="preserve">All tools </w:t>
      </w:r>
      <w:r>
        <w:rPr>
          <w:b/>
          <w:i/>
        </w:rPr>
        <w:t xml:space="preserve">of statecraft </w:t>
      </w:r>
      <w:r w:rsidRPr="00F86019">
        <w:rPr>
          <w:b/>
          <w:i/>
        </w:rPr>
        <w:t>must be on the table to confront suicide terrorism organization</w:t>
      </w:r>
      <w:r>
        <w:rPr>
          <w:b/>
          <w:i/>
        </w:rPr>
        <w:t>s</w:t>
      </w:r>
      <w:r w:rsidRPr="00F86019">
        <w:rPr>
          <w:b/>
          <w:i/>
        </w:rPr>
        <w:t>.</w:t>
      </w:r>
      <w:r>
        <w:t xml:space="preserve">  The Pape thesis argues that occupation causes suicide terrorism, but the end-state objectives of groups such as Al Qaeda and ISIS are worse than the existence of a suicide bombing campaign.  As horrible as a suicide bombing campaign is, the collapse of many Middle Eastern governments at the expense of a reestablished Caliphate is worse.  The process would lead to more deaths and social upheaval.  This is not an argument for occupation, but an argument </w:t>
      </w:r>
      <w:r w:rsidRPr="00326D38">
        <w:rPr>
          <w:i/>
          <w:iCs/>
        </w:rPr>
        <w:t>against</w:t>
      </w:r>
      <w:r w:rsidR="00183E6B">
        <w:t xml:space="preserve"> removing</w:t>
      </w:r>
      <w:r>
        <w:t xml:space="preserve"> </w:t>
      </w:r>
      <w:r w:rsidR="00183E6B">
        <w:t xml:space="preserve">from the table </w:t>
      </w:r>
      <w:r>
        <w:t>military intervention</w:t>
      </w:r>
      <w:r w:rsidR="00183E6B">
        <w:t xml:space="preserve"> or support to perceived occupying governments</w:t>
      </w:r>
      <w:r>
        <w:t>.</w:t>
      </w:r>
    </w:p>
    <w:p w:rsidR="00474418" w:rsidRDefault="00474418" w:rsidP="00474418">
      <w:r>
        <w:lastRenderedPageBreak/>
        <w:tab/>
      </w:r>
      <w:r>
        <w:rPr>
          <w:b/>
          <w:i/>
        </w:rPr>
        <w:t xml:space="preserve">Western governments must celebrate the greater national in-group and demonstrate how their respective national identities overlap with core sacred values of minority communities. </w:t>
      </w:r>
      <w:r>
        <w:t>Western governments must embrace diversity without sacrificing a larger identity that connects everyone into one larger “people.”  The United States and Canada have some of the highest patriotic rates among Muslims in the West.</w:t>
      </w:r>
      <w:r>
        <w:rPr>
          <w:rStyle w:val="FootnoteReference"/>
        </w:rPr>
        <w:footnoteReference w:id="281"/>
      </w:r>
      <w:r>
        <w:t xml:space="preserve">  The European countries do not.  This is a problem with nationality on the European continent, as their national identities center on ethnicity first and cognitive identity second.  It is possible for Muslim immigrants in America and Canada to believe they are American and Canadian compared to Muslim immigrants in Germany or France to believe they are German or French.  Instilling national identity to European Muslims is necessary to bond minori</w:t>
      </w:r>
      <w:r w:rsidR="00183E6B">
        <w:t>ties with the national in-group</w:t>
      </w:r>
      <w:r>
        <w:t>.</w:t>
      </w:r>
      <w:r w:rsidR="00FB048D">
        <w:t xml:space="preserve">  </w:t>
      </w:r>
      <w:r>
        <w:t>Domestic agencies must conduct outreach to minority communities and integrate them into the national identity in a way that is respectful, inclusive, but nonetheless oriented toward integration.  Ibn Khaldun warned that when a society loses “group feeling,” societal decay is the result.</w:t>
      </w:r>
      <w:r>
        <w:rPr>
          <w:rStyle w:val="FootnoteReference"/>
        </w:rPr>
        <w:footnoteReference w:id="282"/>
      </w:r>
      <w:r>
        <w:t xml:space="preserve">  Although the countries of Belgium and France losing some Muslims to ISIS may not be complete societal decay, the evidence suggests that these foreign fighters have no group feeling to </w:t>
      </w:r>
      <w:r w:rsidR="008D2065">
        <w:t>established local or national</w:t>
      </w:r>
      <w:r>
        <w:t xml:space="preserve"> in-group</w:t>
      </w:r>
      <w:r w:rsidR="008D2065">
        <w:t>s</w:t>
      </w:r>
      <w:r>
        <w:t>.</w:t>
      </w:r>
      <w:r w:rsidR="00FB048D">
        <w:t xml:space="preserve">  </w:t>
      </w:r>
    </w:p>
    <w:p w:rsidR="00474418" w:rsidRDefault="00474418" w:rsidP="00666F5A">
      <w:pPr>
        <w:ind w:firstLine="720"/>
      </w:pPr>
      <w:r>
        <w:t>The hesitancy of European countries to embrace national identity as a unifying force must stop, a remnant of World Wars that are over 75 years old now.  The dismantling of national identity has created a</w:t>
      </w:r>
      <w:r w:rsidRPr="00814016">
        <w:t xml:space="preserve"> void that strident and radical belief </w:t>
      </w:r>
      <w:r w:rsidRPr="00814016">
        <w:lastRenderedPageBreak/>
        <w:t xml:space="preserve">systems can exploit.  </w:t>
      </w:r>
      <w:r>
        <w:t>This is not without controversy and peril as the British government’s attempts to project</w:t>
      </w:r>
      <w:r w:rsidRPr="00814016">
        <w:t xml:space="preserve"> British values into British Muslim communities</w:t>
      </w:r>
      <w:r>
        <w:t xml:space="preserve"> has been met some various degrees of resistance—not just from the Muslim community, but from Brit</w:t>
      </w:r>
      <w:r w:rsidR="00B3135E">
        <w:t>i</w:t>
      </w:r>
      <w:r>
        <w:t>s</w:t>
      </w:r>
      <w:r w:rsidR="00B3135E">
        <w:t>h subjects</w:t>
      </w:r>
      <w:r>
        <w:t xml:space="preserve"> clinging to the sacred value of tolerance over social integration</w:t>
      </w:r>
      <w:r w:rsidRPr="00814016">
        <w:t>.</w:t>
      </w:r>
      <w:r w:rsidRPr="00814016">
        <w:rPr>
          <w:vertAlign w:val="superscript"/>
        </w:rPr>
        <w:footnoteReference w:id="283"/>
      </w:r>
      <w:r>
        <w:t xml:space="preserve">  Nonetheless, nation-states must leverage agencies, non-profit organizations, and even firms to build community and group feeling internally.</w:t>
      </w:r>
    </w:p>
    <w:p w:rsidR="00474418" w:rsidRDefault="00474418" w:rsidP="00EC2460">
      <w:r>
        <w:tab/>
      </w:r>
      <w:r w:rsidR="00183E6B">
        <w:rPr>
          <w:b/>
          <w:i/>
        </w:rPr>
        <w:t>Work with Salafi</w:t>
      </w:r>
      <w:r w:rsidRPr="00814016">
        <w:rPr>
          <w:b/>
          <w:i/>
        </w:rPr>
        <w:t>s, not against them.</w:t>
      </w:r>
      <w:r>
        <w:t xml:space="preserve">  </w:t>
      </w:r>
      <w:r w:rsidRPr="00CD4509">
        <w:t>Strict Salafi schools are the most vociferous and effective opponents of violent jihad.</w:t>
      </w:r>
      <w:r w:rsidRPr="00CD4509">
        <w:rPr>
          <w:vertAlign w:val="superscript"/>
        </w:rPr>
        <w:footnoteReference w:id="284"/>
      </w:r>
      <w:r>
        <w:t xml:space="preserve">  The Salafi label</w:t>
      </w:r>
      <w:r w:rsidRPr="00CD4509">
        <w:t xml:space="preserve"> has been villainized, but most Salafis </w:t>
      </w:r>
      <w:r>
        <w:t xml:space="preserve">are not militant jihadists and they </w:t>
      </w:r>
      <w:r w:rsidRPr="00CD4509">
        <w:t>reject</w:t>
      </w:r>
      <w:r>
        <w:t xml:space="preserve"> ISIS</w:t>
      </w:r>
      <w:r w:rsidRPr="00CD4509">
        <w:t>.</w:t>
      </w:r>
      <w:r>
        <w:t xml:space="preserve">  The </w:t>
      </w:r>
      <w:r>
        <w:rPr>
          <w:i/>
        </w:rPr>
        <w:t xml:space="preserve">Da’wa </w:t>
      </w:r>
      <w:r>
        <w:t>call to Islam is the main course of spreading Salafism.  The</w:t>
      </w:r>
      <w:r w:rsidR="00183E6B">
        <w:t xml:space="preserve"> first priority of the Salafi </w:t>
      </w:r>
      <w:r>
        <w:t xml:space="preserve">is </w:t>
      </w:r>
      <w:r w:rsidRPr="00CD4509">
        <w:t>personal purification and religious observan</w:t>
      </w:r>
      <w:r>
        <w:t xml:space="preserve">ce.  Avoiding fitna (internecine warfare among Muslims) </w:t>
      </w:r>
      <w:r w:rsidRPr="00CD4509">
        <w:t>is</w:t>
      </w:r>
      <w:r>
        <w:t xml:space="preserve"> a sacred value in Islam that Qutbists routinely violate, </w:t>
      </w:r>
      <w:r w:rsidR="00EC2460">
        <w:t>y</w:t>
      </w:r>
      <w:r>
        <w:t>et Salafis believe</w:t>
      </w:r>
      <w:r w:rsidR="00EC2460">
        <w:t xml:space="preserve"> that propagating fitna is one of the worst crimes a Muslim can commit</w:t>
      </w:r>
      <w:r w:rsidRPr="00CD4509">
        <w:rPr>
          <w:bCs/>
          <w:iCs/>
        </w:rPr>
        <w:t>.</w:t>
      </w:r>
      <w:r w:rsidRPr="00CD4509">
        <w:rPr>
          <w:bCs/>
          <w:iCs/>
          <w:vertAlign w:val="superscript"/>
        </w:rPr>
        <w:footnoteReference w:id="285"/>
      </w:r>
      <w:r w:rsidRPr="00CD4509">
        <w:rPr>
          <w:bCs/>
          <w:iCs/>
        </w:rPr>
        <w:t xml:space="preserve"> </w:t>
      </w:r>
      <w:r>
        <w:t xml:space="preserve">This takes wisdom on the part of nation-states, as American officials publicly embracing Salafist preachers would likely tarnish their message and mitigate their effectiveness.  Nonetheless, there are ways with Influence Operations (IO) that American and Western operatives can work behind the scenes to promote and assist the effort of Salafist preachers to counter the </w:t>
      </w:r>
      <w:r w:rsidR="00183E6B">
        <w:t>Qutbist message</w:t>
      </w:r>
      <w:r>
        <w:t xml:space="preserve">.  </w:t>
      </w:r>
    </w:p>
    <w:p w:rsidR="00474418" w:rsidRPr="00CD4509" w:rsidRDefault="00474418" w:rsidP="00474418">
      <w:pPr>
        <w:ind w:firstLine="720"/>
      </w:pPr>
      <w:r w:rsidRPr="009E4666">
        <w:rPr>
          <w:b/>
          <w:i/>
        </w:rPr>
        <w:t>Publicly appealing to “moderates”</w:t>
      </w:r>
      <w:r>
        <w:rPr>
          <w:b/>
          <w:i/>
        </w:rPr>
        <w:t xml:space="preserve"> in a religion</w:t>
      </w:r>
      <w:r w:rsidRPr="009E4666">
        <w:rPr>
          <w:b/>
          <w:i/>
        </w:rPr>
        <w:t xml:space="preserve"> does little to create a bandwagon</w:t>
      </w:r>
      <w:r>
        <w:rPr>
          <w:b/>
          <w:i/>
        </w:rPr>
        <w:t xml:space="preserve"> against radical ideologies</w:t>
      </w:r>
      <w:r w:rsidRPr="009E4666">
        <w:rPr>
          <w:b/>
          <w:i/>
        </w:rPr>
        <w:t>.</w:t>
      </w:r>
      <w:r>
        <w:t xml:space="preserve">  Most devout individuals take their faith seriously and resent being called moderate, and most individuals attracted to radicalism want nothing to do with moderation.  Work with the faithful and devout to sustain </w:t>
      </w:r>
      <w:r>
        <w:lastRenderedPageBreak/>
        <w:t xml:space="preserve">global security.  As mentioned above, publicly embracing certain religious leaders or themes may be counterproductive, but it is equally counterproductive to message a stance as “secular” or “moderate,” which polarizes </w:t>
      </w:r>
      <w:r w:rsidR="008D2065">
        <w:t xml:space="preserve">Western strategic objectives </w:t>
      </w:r>
      <w:r>
        <w:t>among the devout</w:t>
      </w:r>
      <w:r w:rsidR="008D2065">
        <w:t>, both internally and externally</w:t>
      </w:r>
      <w:r>
        <w:t xml:space="preserve">.  </w:t>
      </w:r>
    </w:p>
    <w:p w:rsidR="00474418" w:rsidRDefault="00474418" w:rsidP="00474418">
      <w:pPr>
        <w:ind w:firstLine="720"/>
      </w:pPr>
      <w:r>
        <w:rPr>
          <w:b/>
          <w:i/>
        </w:rPr>
        <w:t>Identify the sacred values underpinning the martyrdom narrative and demonstrate that those sacred values have been abused</w:t>
      </w:r>
      <w:r w:rsidRPr="00432CB6">
        <w:rPr>
          <w:b/>
          <w:i/>
        </w:rPr>
        <w:t xml:space="preserve">.  </w:t>
      </w:r>
      <w:r>
        <w:t>For example, the argument that the martyrdom operation is not suicide—which is forbidden in Islam—is weak.  Finding ways both domestically and internationally to spread the religious arguments against martyrdom—without contaminating the messenger—would help to weaken the conviction in the individual prospective bomber that martyrdom leads to heaven.</w:t>
      </w:r>
    </w:p>
    <w:p w:rsidR="00474418" w:rsidRDefault="00474418" w:rsidP="00474418">
      <w:pPr>
        <w:ind w:firstLine="720"/>
      </w:pPr>
      <w:r>
        <w:rPr>
          <w:b/>
          <w:i/>
        </w:rPr>
        <w:t>Promote m</w:t>
      </w:r>
      <w:r w:rsidRPr="00814016">
        <w:rPr>
          <w:b/>
          <w:i/>
        </w:rPr>
        <w:t xml:space="preserve">ental health awareness among </w:t>
      </w:r>
      <w:r>
        <w:rPr>
          <w:b/>
          <w:i/>
        </w:rPr>
        <w:t xml:space="preserve">minority </w:t>
      </w:r>
      <w:r w:rsidRPr="00814016">
        <w:rPr>
          <w:b/>
          <w:i/>
        </w:rPr>
        <w:t>communities.</w:t>
      </w:r>
      <w:r>
        <w:t xml:space="preserve">  Push messages on the virtue of mental health assistance to families of young men, considered prime recruiting ground for ISIS.  Few parents genuinely want their children to immigrate to Iraq to fight and die for the Islamic State.  Promote the value—and honor—in seeking </w:t>
      </w:r>
      <w:r w:rsidR="00891871">
        <w:t xml:space="preserve">psychiatric </w:t>
      </w:r>
      <w:r>
        <w:t>help for the good of the family.</w:t>
      </w:r>
    </w:p>
    <w:p w:rsidR="00CD4509" w:rsidRPr="00F57EFD" w:rsidRDefault="00891871" w:rsidP="008D2065">
      <w:pPr>
        <w:ind w:firstLine="720"/>
      </w:pPr>
      <w:r>
        <w:t>This paper integrates</w:t>
      </w:r>
      <w:r w:rsidR="00EC2460">
        <w:t xml:space="preserve"> res</w:t>
      </w:r>
      <w:r w:rsidR="007749D5">
        <w:t xml:space="preserve">earch from anthropology, social cognition, and intergroup hostility to understand how ideology influences the decision to commit murder-suicide.  </w:t>
      </w:r>
      <w:r>
        <w:t xml:space="preserve">The Qutbist ideology structures who the bad guys are, why they are worthy of death, and why death is not the end.  </w:t>
      </w:r>
      <w:r w:rsidR="007749D5">
        <w:t xml:space="preserve">Combatting the sponsoring organization is necessary, but confronting the underlying ideological assumption is necessary as well.  </w:t>
      </w:r>
    </w:p>
    <w:p w:rsidR="005B0A88" w:rsidRDefault="005B0A88">
      <w:pPr>
        <w:spacing w:line="240" w:lineRule="auto"/>
        <w:rPr>
          <w:rFonts w:asciiTheme="majorHAnsi" w:hAnsiTheme="majorHAnsi"/>
          <w:b/>
          <w:bCs/>
          <w:sz w:val="28"/>
          <w:szCs w:val="32"/>
        </w:rPr>
      </w:pPr>
    </w:p>
    <w:p w:rsidR="0076125D" w:rsidRDefault="0076125D">
      <w:pPr>
        <w:spacing w:line="240" w:lineRule="auto"/>
        <w:rPr>
          <w:rFonts w:asciiTheme="majorHAnsi" w:hAnsiTheme="majorHAnsi"/>
          <w:b/>
          <w:bCs/>
          <w:noProof/>
          <w:sz w:val="28"/>
          <w:szCs w:val="32"/>
          <w:lang w:bidi="ar-SA"/>
        </w:rPr>
      </w:pPr>
      <w:r>
        <w:rPr>
          <w:noProof/>
          <w:lang w:bidi="ar-SA"/>
        </w:rPr>
        <w:br w:type="page"/>
      </w:r>
    </w:p>
    <w:p w:rsidR="005F4A0F" w:rsidRPr="005F4A0F" w:rsidRDefault="009E6480" w:rsidP="00DD0216">
      <w:pPr>
        <w:pStyle w:val="Heading1"/>
        <w:rPr>
          <w:noProof/>
          <w:lang w:bidi="ar-SA"/>
        </w:rPr>
      </w:pPr>
      <w:bookmarkStart w:id="71" w:name="_Toc450748701"/>
      <w:r w:rsidRPr="009E6480">
        <w:rPr>
          <w:noProof/>
          <w:lang w:bidi="ar-SA"/>
        </w:rPr>
        <w:lastRenderedPageBreak/>
        <w:t>References</w:t>
      </w:r>
      <w:bookmarkEnd w:id="71"/>
    </w:p>
    <w:p w:rsidR="009E6480" w:rsidRPr="009E6480" w:rsidRDefault="009E6480" w:rsidP="00090501">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“Al-Zawihiri Answers Questions by Al-Qa’ida Critics, Criticizes al-Qaradawi, HAMAS.”</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Open Source Center</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GMP20080403637002</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April 2, 2008.</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 xml:space="preserve">“Book Commemorates September 11 ‘Raid’.” </w:t>
      </w:r>
      <w:r w:rsidRPr="009E6480">
        <w:rPr>
          <w:rFonts w:ascii="Times New Roman" w:eastAsia="Calibri" w:hAnsi="Times New Roman"/>
          <w:i/>
          <w:noProof/>
          <w:lang w:bidi="ar-SA"/>
        </w:rPr>
        <w:t>Open Source Center</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September 1, 2002</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GMP20031027000226.</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“Four Suicide Bombers Behind Last Week’s Mosque Attack, the U.S</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Military Says”</w:t>
      </w:r>
      <w:r w:rsidR="004555DB">
        <w:rPr>
          <w:rFonts w:ascii="Times New Roman" w:eastAsia="Calibri" w:hAnsi="Times New Roman"/>
          <w:noProof/>
          <w:lang w:bidi="ar-SA"/>
        </w:rPr>
        <w:t xml:space="preserve"> </w:t>
      </w:r>
      <w:r w:rsidRPr="009E6480">
        <w:rPr>
          <w:rFonts w:ascii="Times New Roman" w:eastAsia="Calibri" w:hAnsi="Times New Roman"/>
          <w:i/>
          <w:noProof/>
          <w:lang w:bidi="ar-SA"/>
        </w:rPr>
        <w:t>Associated Press</w:t>
      </w:r>
      <w:r w:rsidR="004555DB">
        <w:rPr>
          <w:rFonts w:ascii="Times New Roman" w:eastAsia="Calibri" w:hAnsi="Times New Roman"/>
          <w:i/>
          <w:noProof/>
          <w:lang w:bidi="ar-SA"/>
        </w:rPr>
        <w:t xml:space="preserve">.  </w:t>
      </w:r>
      <w:r w:rsidRPr="009E6480">
        <w:rPr>
          <w:rFonts w:ascii="Times New Roman" w:eastAsia="Calibri" w:hAnsi="Times New Roman"/>
          <w:noProof/>
          <w:lang w:bidi="ar-SA"/>
        </w:rPr>
        <w:t>14 April 2006.</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“The Islamic Ruling on the Permissibility of Martyrdom Operations.”</w:t>
      </w:r>
      <w:r w:rsidR="004555DB">
        <w:rPr>
          <w:rFonts w:ascii="Times New Roman" w:eastAsia="Calibri" w:hAnsi="Times New Roman"/>
          <w:noProof/>
          <w:lang w:bidi="ar-SA"/>
        </w:rPr>
        <w:t xml:space="preserve"> </w:t>
      </w:r>
      <w:hyperlink r:id="rId11" w:history="1">
        <w:r w:rsidRPr="009E6480">
          <w:rPr>
            <w:rFonts w:ascii="Times New Roman" w:eastAsia="Calibri" w:hAnsi="Times New Roman"/>
            <w:noProof/>
            <w:color w:val="0000FF"/>
            <w:u w:val="single"/>
            <w:lang w:bidi="ar-SA"/>
          </w:rPr>
          <w:t>http://www.religioscope.com/pdf/martyrdom.pdf</w:t>
        </w:r>
      </w:hyperlink>
      <w:r w:rsidRPr="009E6480">
        <w:rPr>
          <w:rFonts w:ascii="Times New Roman" w:eastAsia="Calibri" w:hAnsi="Times New Roman"/>
          <w:noProof/>
          <w:lang w:bidi="ar-SA"/>
        </w:rPr>
        <w:t xml:space="preserve"> (Accessed 24 November 2015).</w:t>
      </w:r>
    </w:p>
    <w:p w:rsidR="009E6480" w:rsidRDefault="009E6480" w:rsidP="009E6480">
      <w:pPr>
        <w:spacing w:line="240" w:lineRule="auto"/>
        <w:ind w:right="720"/>
        <w:contextualSpacing/>
        <w:rPr>
          <w:rFonts w:ascii="Times New Roman" w:eastAsia="Calibri" w:hAnsi="Times New Roman"/>
          <w:noProof/>
          <w:lang w:bidi="ar-SA"/>
        </w:rPr>
      </w:pPr>
    </w:p>
    <w:p w:rsidR="00B75C88" w:rsidRPr="00B75C88" w:rsidRDefault="00B75C88" w:rsidP="00B75C88">
      <w:pPr>
        <w:spacing w:line="240" w:lineRule="auto"/>
        <w:ind w:right="720"/>
        <w:contextualSpacing/>
        <w:rPr>
          <w:rFonts w:ascii="Times New Roman" w:eastAsia="Calibri" w:hAnsi="Times New Roman"/>
          <w:noProof/>
          <w:lang w:bidi="ar-SA"/>
        </w:rPr>
      </w:pPr>
      <w:r w:rsidRPr="00B75C88">
        <w:rPr>
          <w:rFonts w:ascii="Times New Roman" w:eastAsia="Calibri" w:hAnsi="Times New Roman"/>
          <w:noProof/>
          <w:lang w:bidi="ar-SA"/>
        </w:rPr>
        <w:t xml:space="preserve">“Jake Bilardi's father blames himself for teenager's death as suicide bomber in Iraq.”  </w:t>
      </w:r>
      <w:r w:rsidRPr="00B75C88">
        <w:rPr>
          <w:rFonts w:ascii="Times New Roman" w:eastAsia="Calibri" w:hAnsi="Times New Roman"/>
          <w:i/>
          <w:noProof/>
          <w:lang w:bidi="ar-SA"/>
        </w:rPr>
        <w:t xml:space="preserve">The Guardian. </w:t>
      </w:r>
      <w:r w:rsidRPr="00B75C88">
        <w:rPr>
          <w:rFonts w:ascii="Times New Roman" w:eastAsia="Calibri" w:hAnsi="Times New Roman"/>
          <w:noProof/>
          <w:lang w:bidi="ar-SA"/>
        </w:rPr>
        <w:t xml:space="preserve">22 March 2015.  </w:t>
      </w:r>
    </w:p>
    <w:p w:rsidR="00B75C88" w:rsidRPr="00B75C88" w:rsidRDefault="00B75C88" w:rsidP="00B75C88">
      <w:pPr>
        <w:spacing w:line="240" w:lineRule="auto"/>
        <w:ind w:right="720"/>
        <w:contextualSpacing/>
        <w:rPr>
          <w:rFonts w:ascii="Times New Roman" w:eastAsia="Calibri" w:hAnsi="Times New Roman"/>
          <w:noProof/>
          <w:lang w:bidi="ar-SA"/>
        </w:rPr>
      </w:pPr>
      <w:r w:rsidRPr="00B75C88">
        <w:rPr>
          <w:rFonts w:ascii="Times New Roman" w:eastAsia="Calibri" w:hAnsi="Times New Roman"/>
          <w:noProof/>
          <w:lang w:bidi="ar-SA"/>
        </w:rPr>
        <w:t xml:space="preserve">http://www.theguardian.com/australia-news/2015/mar/23/jake-bilardi-father-blames-himself-teenagers-death-suicide-bomber (Accessed 1 May 2015). </w:t>
      </w:r>
    </w:p>
    <w:p w:rsidR="00B75C88" w:rsidRDefault="00B75C88" w:rsidP="009E6480">
      <w:pPr>
        <w:spacing w:line="240" w:lineRule="auto"/>
        <w:ind w:right="720"/>
        <w:contextualSpacing/>
        <w:rPr>
          <w:rFonts w:ascii="Times New Roman" w:eastAsia="Calibri" w:hAnsi="Times New Roman"/>
          <w:noProof/>
          <w:lang w:bidi="ar-SA"/>
        </w:rPr>
      </w:pPr>
    </w:p>
    <w:p w:rsidR="00B75C88" w:rsidRPr="00B75C88" w:rsidRDefault="00B75C88" w:rsidP="00B75C88">
      <w:pPr>
        <w:spacing w:line="240" w:lineRule="auto"/>
        <w:ind w:right="720"/>
        <w:contextualSpacing/>
        <w:rPr>
          <w:rFonts w:ascii="Times New Roman" w:eastAsia="Calibri" w:hAnsi="Times New Roman"/>
          <w:bCs/>
          <w:noProof/>
          <w:lang w:bidi="ar-SA"/>
        </w:rPr>
      </w:pPr>
      <w:r w:rsidRPr="00B75C88">
        <w:rPr>
          <w:rFonts w:ascii="Times New Roman" w:eastAsia="Calibri" w:hAnsi="Times New Roman"/>
          <w:noProof/>
          <w:lang w:bidi="ar-SA"/>
        </w:rPr>
        <w:t>“</w:t>
      </w:r>
      <w:r w:rsidRPr="00B75C88">
        <w:rPr>
          <w:rFonts w:ascii="Times New Roman" w:eastAsia="Calibri" w:hAnsi="Times New Roman"/>
          <w:bCs/>
          <w:noProof/>
          <w:lang w:bidi="ar-SA"/>
        </w:rPr>
        <w:t xml:space="preserve">Jake Bilardi: The radicalisation of an Australian teen.”  </w:t>
      </w:r>
      <w:r w:rsidRPr="00B75C88">
        <w:rPr>
          <w:rFonts w:ascii="Times New Roman" w:eastAsia="Calibri" w:hAnsi="Times New Roman"/>
          <w:bCs/>
          <w:i/>
          <w:noProof/>
          <w:lang w:bidi="ar-SA"/>
        </w:rPr>
        <w:t xml:space="preserve">BBC News. </w:t>
      </w:r>
      <w:r w:rsidRPr="00B75C88">
        <w:rPr>
          <w:rFonts w:ascii="Times New Roman" w:eastAsia="Calibri" w:hAnsi="Times New Roman"/>
          <w:bCs/>
          <w:noProof/>
          <w:lang w:bidi="ar-SA"/>
        </w:rPr>
        <w:t>12 March 2015.</w:t>
      </w:r>
    </w:p>
    <w:p w:rsidR="00B75C88" w:rsidRDefault="00C35D4A" w:rsidP="00B75C88">
      <w:pPr>
        <w:spacing w:line="240" w:lineRule="auto"/>
        <w:ind w:right="720"/>
        <w:contextualSpacing/>
        <w:rPr>
          <w:rFonts w:ascii="Times New Roman" w:eastAsia="Calibri" w:hAnsi="Times New Roman"/>
          <w:noProof/>
          <w:lang w:bidi="ar-SA"/>
        </w:rPr>
      </w:pPr>
      <w:hyperlink r:id="rId12" w:history="1">
        <w:r w:rsidR="00B75C88" w:rsidRPr="00B75C88">
          <w:rPr>
            <w:rStyle w:val="Hyperlink"/>
            <w:rFonts w:ascii="Times New Roman" w:eastAsia="Calibri" w:hAnsi="Times New Roman"/>
            <w:noProof/>
            <w:lang w:bidi="ar-SA"/>
          </w:rPr>
          <w:t>http://www.bbc.com/news/world-australia-31845428</w:t>
        </w:r>
      </w:hyperlink>
      <w:r w:rsidR="00B75C88" w:rsidRPr="00B75C88">
        <w:rPr>
          <w:rFonts w:ascii="Times New Roman" w:eastAsia="Calibri" w:hAnsi="Times New Roman"/>
          <w:noProof/>
          <w:lang w:bidi="ar-SA"/>
        </w:rPr>
        <w:t xml:space="preserve"> (Accessed 1 May 2016).</w:t>
      </w:r>
    </w:p>
    <w:p w:rsidR="00B75C88" w:rsidRPr="009E6480" w:rsidRDefault="00B75C88"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“Mind of the Suicide Bomber.”</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May 25, 2003</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CBS News</w:t>
      </w:r>
      <w:r w:rsidR="004555DB">
        <w:rPr>
          <w:rFonts w:ascii="Times New Roman" w:eastAsia="Calibri" w:hAnsi="Times New Roman"/>
          <w:noProof/>
          <w:lang w:bidi="ar-SA"/>
        </w:rPr>
        <w:t xml:space="preserve">.  </w:t>
      </w:r>
      <w:hyperlink r:id="rId13" w:history="1">
        <w:r w:rsidRPr="009E6480">
          <w:rPr>
            <w:rFonts w:ascii="Times New Roman" w:eastAsia="Calibri" w:hAnsi="Times New Roman"/>
            <w:noProof/>
            <w:color w:val="0000FF"/>
            <w:u w:val="single"/>
            <w:lang w:bidi="ar-SA"/>
          </w:rPr>
          <w:t>http://www.cbsnews.com/stories/2003/05/23/60minutes/printable555344.shtml</w:t>
        </w:r>
      </w:hyperlink>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“Muaskar Al-Battar.”</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Radical Islamist Culture, Credo and Communications Series</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Issue 2:</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7 July (2008).</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“Neurosense Ltd;</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How Super</w:t>
      </w:r>
      <w:r w:rsidR="00551DC8">
        <w:rPr>
          <w:rFonts w:ascii="Times New Roman" w:eastAsia="Calibri" w:hAnsi="Times New Roman"/>
          <w:noProof/>
          <w:lang w:bidi="ar-SA"/>
        </w:rPr>
        <w:t>value</w:t>
      </w:r>
      <w:r w:rsidRPr="009E6480">
        <w:rPr>
          <w:rFonts w:ascii="Times New Roman" w:eastAsia="Calibri" w:hAnsi="Times New Roman"/>
          <w:noProof/>
          <w:lang w:bidi="ar-SA"/>
        </w:rPr>
        <w:t>s are Provoking Religious Fervour.”</w:t>
      </w:r>
      <w:r w:rsidR="004555DB">
        <w:rPr>
          <w:rFonts w:ascii="Times New Roman" w:eastAsia="Calibri" w:hAnsi="Times New Roman"/>
          <w:noProof/>
          <w:lang w:bidi="ar-SA"/>
        </w:rPr>
        <w:t xml:space="preserve"> </w:t>
      </w:r>
      <w:r w:rsidRPr="009E6480">
        <w:rPr>
          <w:rFonts w:ascii="Times New Roman" w:eastAsia="Calibri" w:hAnsi="Times New Roman"/>
          <w:i/>
          <w:noProof/>
          <w:lang w:bidi="ar-SA"/>
        </w:rPr>
        <w:t>Marketing Weekly News</w:t>
      </w:r>
      <w:r w:rsidR="004555DB">
        <w:rPr>
          <w:rFonts w:ascii="Times New Roman" w:eastAsia="Calibri" w:hAnsi="Times New Roman"/>
          <w:i/>
          <w:noProof/>
          <w:lang w:bidi="ar-SA"/>
        </w:rPr>
        <w:t xml:space="preserve">.  </w:t>
      </w:r>
      <w:r w:rsidRPr="009E6480">
        <w:rPr>
          <w:rFonts w:ascii="Times New Roman" w:eastAsia="Calibri" w:hAnsi="Times New Roman"/>
          <w:noProof/>
          <w:lang w:bidi="ar-SA"/>
        </w:rPr>
        <w:t>18 June 2011</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http://www.prnewswire.co.uk/news-releases/how-super</w:t>
      </w:r>
      <w:r w:rsidR="00551DC8">
        <w:rPr>
          <w:rFonts w:ascii="Times New Roman" w:eastAsia="Calibri" w:hAnsi="Times New Roman"/>
          <w:noProof/>
          <w:lang w:bidi="ar-SA"/>
        </w:rPr>
        <w:t>value</w:t>
      </w:r>
      <w:r w:rsidRPr="009E6480">
        <w:rPr>
          <w:rFonts w:ascii="Times New Roman" w:eastAsia="Calibri" w:hAnsi="Times New Roman"/>
          <w:noProof/>
          <w:lang w:bidi="ar-SA"/>
        </w:rPr>
        <w:t>s-are-provoking-religious-fervour-145340345.html</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(Accessed 4 May 2015).</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“Part 11 of New Book by Egyptian Islamic Jihad Leader Ayman Al-Zawihiri.”</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London Al-Sharq al-Awsat</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12 December 2001</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GMP20011212000080.</w:t>
      </w:r>
    </w:p>
    <w:p w:rsidR="00B75C88" w:rsidRPr="009E6480" w:rsidRDefault="00B75C88"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"Taliban aided by Pakistan, secret U.S</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reports suggest." </w:t>
      </w:r>
      <w:r w:rsidRPr="009E6480">
        <w:rPr>
          <w:rFonts w:ascii="Times New Roman" w:eastAsia="Calibri" w:hAnsi="Times New Roman"/>
          <w:i/>
          <w:iCs/>
          <w:noProof/>
          <w:lang w:bidi="ar-SA"/>
        </w:rPr>
        <w:t>Hamilton Spectator (Ontario, Canada)</w:t>
      </w:r>
      <w:r w:rsidRPr="009E6480">
        <w:rPr>
          <w:rFonts w:ascii="Times New Roman" w:eastAsia="Calibri" w:hAnsi="Times New Roman"/>
          <w:noProof/>
          <w:lang w:bidi="ar-SA"/>
        </w:rPr>
        <w:t>, July 26, 2010., </w:t>
      </w:r>
      <w:r w:rsidRPr="009E6480">
        <w:rPr>
          <w:rFonts w:ascii="Times New Roman" w:eastAsia="Calibri" w:hAnsi="Times New Roman"/>
          <w:i/>
          <w:iCs/>
          <w:noProof/>
          <w:lang w:bidi="ar-SA"/>
        </w:rPr>
        <w:t>NewsBank</w:t>
      </w:r>
      <w:r w:rsidRPr="009E6480">
        <w:rPr>
          <w:rFonts w:ascii="Times New Roman" w:eastAsia="Calibri" w:hAnsi="Times New Roman"/>
          <w:noProof/>
          <w:lang w:bidi="ar-SA"/>
        </w:rPr>
        <w:t>, EBSCO</w:t>
      </w:r>
      <w:r w:rsidRPr="009E6480">
        <w:rPr>
          <w:rFonts w:ascii="Times New Roman" w:eastAsia="Calibri" w:hAnsi="Times New Roman"/>
          <w:i/>
          <w:iCs/>
          <w:noProof/>
          <w:lang w:bidi="ar-SA"/>
        </w:rPr>
        <w:t>host</w:t>
      </w:r>
      <w:r w:rsidRPr="009E6480">
        <w:rPr>
          <w:rFonts w:ascii="Times New Roman" w:eastAsia="Calibri" w:hAnsi="Times New Roman"/>
          <w:noProof/>
          <w:lang w:bidi="ar-SA"/>
        </w:rPr>
        <w:t> (Accessed February 13, 2013).</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“Violent Islamist Extremism, the Internet, and the Homegrown Terrorist Threat.”</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United States Senate Committee on Homeland Security and Governmental Affairs</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May 8 (2008).</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lastRenderedPageBreak/>
        <w:t>Abdul-Ahad, Ghaith</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 xml:space="preserve">“Outside Iraq But Deep In the Fight.” </w:t>
      </w:r>
      <w:r w:rsidRPr="009E6480">
        <w:rPr>
          <w:rFonts w:ascii="Times New Roman" w:eastAsia="Calibri" w:hAnsi="Times New Roman"/>
          <w:i/>
          <w:noProof/>
          <w:lang w:bidi="ar-SA"/>
        </w:rPr>
        <w:t>Washington Post</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8 June, 2005; A01.</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Aboul-Enein, Yousef and Sherifa Zuhur</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“Islamic Rulings on Warfare.”</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Strategic Studies Institute</w:t>
      </w:r>
      <w:r w:rsidR="004555DB">
        <w:rPr>
          <w:rFonts w:ascii="Times New Roman" w:eastAsia="Calibri" w:hAnsi="Times New Roman"/>
          <w:i/>
          <w:iCs/>
          <w:noProof/>
          <w:lang w:bidi="ar-SA"/>
        </w:rPr>
        <w:t xml:space="preserve">.  </w:t>
      </w:r>
      <w:r w:rsidRPr="009E6480">
        <w:rPr>
          <w:rFonts w:ascii="Times New Roman" w:eastAsia="Calibri" w:hAnsi="Times New Roman"/>
          <w:noProof/>
          <w:lang w:bidi="ar-SA"/>
        </w:rPr>
        <w:t>Army War College</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October 2004.</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Abrahms, Max</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What Terrorists Really Want: Terrorist Motives and Counterterrorism Strategy</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[Emmitsburg, MD]: [National Emergency Training Center], 2008.</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Afsar, Shahid and Chris Samples and Thomas Wood</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“The Taliban:</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An Organizational Analysis.”</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Military Review</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May-June 2008</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58-73</w:t>
      </w:r>
      <w:r w:rsidR="004555DB">
        <w:rPr>
          <w:rFonts w:ascii="Times New Roman" w:eastAsia="Calibri" w:hAnsi="Times New Roman"/>
          <w:noProof/>
          <w:lang w:bidi="ar-SA"/>
        </w:rPr>
        <w:t xml:space="preserve">.  </w:t>
      </w:r>
      <w:hyperlink r:id="rId14" w:history="1">
        <w:r w:rsidRPr="009E6480">
          <w:rPr>
            <w:rFonts w:ascii="Times New Roman" w:eastAsia="Calibri" w:hAnsi="Times New Roman"/>
            <w:noProof/>
            <w:color w:val="0000FF"/>
            <w:u w:val="single"/>
            <w:lang w:bidi="ar-SA"/>
          </w:rPr>
          <w:t>http://www.humansecuritygateway.com/documents/MILREVIEW_Taliban_Organizational_Analysis.pdf</w:t>
        </w:r>
      </w:hyperlink>
      <w:r w:rsidR="004555DB">
        <w:rPr>
          <w:rFonts w:ascii="Times New Roman" w:eastAsia="Calibri" w:hAnsi="Times New Roman"/>
          <w:noProof/>
          <w:lang w:bidi="ar-SA"/>
        </w:rPr>
        <w:t xml:space="preserve"> </w:t>
      </w:r>
      <w:r w:rsidRPr="009E6480">
        <w:rPr>
          <w:rFonts w:ascii="Times New Roman" w:eastAsia="Calibri" w:hAnsi="Times New Roman"/>
          <w:noProof/>
          <w:lang w:bidi="ar-SA"/>
        </w:rPr>
        <w:t>(Accessed 3 March 2013).</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Ahmed, Naseem</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"Pakistan Taliban Policy 1994-1999." </w:t>
      </w:r>
      <w:r w:rsidRPr="009E6480">
        <w:rPr>
          <w:rFonts w:ascii="Times New Roman" w:eastAsia="Calibri" w:hAnsi="Times New Roman"/>
          <w:i/>
          <w:iCs/>
          <w:noProof/>
          <w:lang w:bidi="ar-SA"/>
        </w:rPr>
        <w:t>Dialogue (1819-6462)</w:t>
      </w:r>
      <w:r w:rsidRPr="009E6480">
        <w:rPr>
          <w:rFonts w:ascii="Times New Roman" w:eastAsia="Calibri" w:hAnsi="Times New Roman"/>
          <w:noProof/>
          <w:lang w:bidi="ar-SA"/>
        </w:rPr>
        <w:t> 7, no</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1 (January 2012): 81-101</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Academic Search Premier</w:t>
      </w:r>
      <w:r w:rsidRPr="009E6480">
        <w:rPr>
          <w:rFonts w:ascii="Times New Roman" w:eastAsia="Calibri" w:hAnsi="Times New Roman"/>
          <w:noProof/>
          <w:lang w:bidi="ar-SA"/>
        </w:rPr>
        <w:t>, EBSCO</w:t>
      </w:r>
      <w:r w:rsidRPr="009E6480">
        <w:rPr>
          <w:rFonts w:ascii="Times New Roman" w:eastAsia="Calibri" w:hAnsi="Times New Roman"/>
          <w:i/>
          <w:iCs/>
          <w:noProof/>
          <w:lang w:bidi="ar-SA"/>
        </w:rPr>
        <w:t>host</w:t>
      </w:r>
      <w:r w:rsidRPr="009E6480">
        <w:rPr>
          <w:rFonts w:ascii="Times New Roman" w:eastAsia="Calibri" w:hAnsi="Times New Roman"/>
          <w:noProof/>
          <w:lang w:bidi="ar-SA"/>
        </w:rPr>
        <w:t> (Accessed February 13, 2013).</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Ahmed, Rahsmee Z</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“Osama Hand in Glove with LTTE.”</w:t>
      </w:r>
      <w:r w:rsidR="004555DB">
        <w:rPr>
          <w:rFonts w:ascii="Times New Roman" w:eastAsia="Calibri" w:hAnsi="Times New Roman"/>
          <w:noProof/>
          <w:lang w:bidi="ar-SA"/>
        </w:rPr>
        <w:t xml:space="preserve"> </w:t>
      </w:r>
      <w:r w:rsidRPr="009E6480">
        <w:rPr>
          <w:rFonts w:ascii="Times New Roman" w:eastAsia="Calibri" w:hAnsi="Times New Roman"/>
          <w:i/>
          <w:noProof/>
          <w:lang w:bidi="ar-SA"/>
        </w:rPr>
        <w:t>The Times of India</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Sept 23, 2001.</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Alexander, Chris (2011-11-08)</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 xml:space="preserve">The Long Way Back: Afghanistan's Quest for Peace </w:t>
      </w:r>
      <w:r w:rsidRPr="009E6480">
        <w:rPr>
          <w:rFonts w:ascii="Times New Roman" w:eastAsia="Calibri" w:hAnsi="Times New Roman"/>
          <w:noProof/>
          <w:lang w:bidi="ar-SA"/>
        </w:rPr>
        <w:t>(Kindle Locations 214-215)</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Harper</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Kindle Edition.</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Alvanou, Maria</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“Palestinian Women Suicide bombers:</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The Interplaying Effects of Islam, Nationalism, and Honor Culture.”</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Strategic Research and Policy Center</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National Defense College, Israeli Defense Force</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May 2007</w:t>
      </w:r>
      <w:r w:rsidR="004555DB">
        <w:rPr>
          <w:rFonts w:ascii="Times New Roman" w:eastAsia="Calibri" w:hAnsi="Times New Roman"/>
          <w:noProof/>
          <w:lang w:bidi="ar-SA"/>
        </w:rPr>
        <w:t xml:space="preserve">.  </w:t>
      </w:r>
      <w:r w:rsidRPr="009E6480">
        <w:rPr>
          <w:rFonts w:ascii="Times New Roman" w:eastAsia="Calibri" w:hAnsi="Times New Roman"/>
          <w:noProof/>
          <w:lang w:bidi="ar-SA"/>
        </w:rPr>
        <w:br/>
      </w: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Anderson, Benedict</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Imagined Communities: Reflections on the Origin and Spread of Nationalism</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London: Verso, 2006.</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hAnsi="Times New Roman"/>
          <w:noProof/>
          <w:lang w:bidi="ar-SA"/>
        </w:rPr>
      </w:pPr>
      <w:r w:rsidRPr="009E6480">
        <w:rPr>
          <w:rFonts w:ascii="Times New Roman" w:hAnsi="Times New Roman"/>
          <w:noProof/>
          <w:lang w:bidi="ar-SA"/>
        </w:rPr>
        <w:t>Atran, Scott</w:t>
      </w:r>
      <w:r w:rsidR="004555DB">
        <w:rPr>
          <w:rFonts w:ascii="Times New Roman" w:hAnsi="Times New Roman"/>
          <w:noProof/>
          <w:lang w:bidi="ar-SA"/>
        </w:rPr>
        <w:t xml:space="preserve">.  </w:t>
      </w:r>
      <w:r w:rsidRPr="009E6480">
        <w:rPr>
          <w:rFonts w:ascii="Times New Roman" w:hAnsi="Times New Roman"/>
          <w:noProof/>
          <w:lang w:bidi="ar-SA"/>
        </w:rPr>
        <w:t xml:space="preserve">“Genesis and Future of Suicide Terrorism.” </w:t>
      </w:r>
      <w:r w:rsidRPr="009E6480">
        <w:rPr>
          <w:rFonts w:ascii="Times New Roman" w:hAnsi="Times New Roman"/>
          <w:i/>
          <w:iCs/>
          <w:noProof/>
          <w:lang w:bidi="ar-SA"/>
        </w:rPr>
        <w:t>Science Magazine</w:t>
      </w:r>
      <w:r w:rsidR="004555DB">
        <w:rPr>
          <w:rFonts w:ascii="Times New Roman" w:hAnsi="Times New Roman"/>
          <w:noProof/>
          <w:lang w:bidi="ar-SA"/>
        </w:rPr>
        <w:t xml:space="preserve">.  </w:t>
      </w:r>
      <w:r w:rsidRPr="009E6480">
        <w:rPr>
          <w:rFonts w:ascii="Times New Roman" w:hAnsi="Times New Roman"/>
          <w:noProof/>
          <w:lang w:bidi="ar-SA"/>
        </w:rPr>
        <w:t>March 2003</w:t>
      </w:r>
      <w:r w:rsidR="004555DB">
        <w:rPr>
          <w:rFonts w:ascii="Times New Roman" w:hAnsi="Times New Roman"/>
          <w:noProof/>
          <w:lang w:bidi="ar-SA"/>
        </w:rPr>
        <w:t xml:space="preserve">.  </w:t>
      </w:r>
      <w:hyperlink r:id="rId15" w:history="1">
        <w:r w:rsidRPr="009E6480">
          <w:rPr>
            <w:rFonts w:ascii="Times New Roman" w:eastAsia="Verdana" w:hAnsi="Times New Roman"/>
            <w:noProof/>
            <w:color w:val="0000FF"/>
            <w:u w:val="single"/>
            <w:lang w:bidi="ar-SA"/>
          </w:rPr>
          <w:t>http://sitemaker.umich.edu/satran/files/science-gst.pdf</w:t>
        </w:r>
      </w:hyperlink>
      <w:r w:rsidR="004555DB">
        <w:rPr>
          <w:rFonts w:ascii="Times New Roman" w:hAnsi="Times New Roman"/>
          <w:noProof/>
          <w:lang w:bidi="ar-SA"/>
        </w:rPr>
        <w:t xml:space="preserve"> </w:t>
      </w:r>
      <w:r w:rsidRPr="009E6480">
        <w:rPr>
          <w:rFonts w:ascii="Times New Roman" w:hAnsi="Times New Roman"/>
          <w:noProof/>
          <w:lang w:bidi="ar-SA"/>
        </w:rPr>
        <w:t>(Accessed October 14, 2012)</w:t>
      </w:r>
      <w:r w:rsidR="004555DB">
        <w:rPr>
          <w:rFonts w:ascii="Times New Roman" w:hAnsi="Times New Roman"/>
          <w:noProof/>
          <w:lang w:bidi="ar-SA"/>
        </w:rPr>
        <w:t xml:space="preserve">.  </w:t>
      </w:r>
    </w:p>
    <w:p w:rsidR="009E6480" w:rsidRDefault="009E6480" w:rsidP="009E6480">
      <w:pPr>
        <w:spacing w:line="240" w:lineRule="auto"/>
        <w:ind w:right="720"/>
        <w:contextualSpacing/>
        <w:rPr>
          <w:rFonts w:ascii="Times New Roman" w:hAnsi="Times New Roman"/>
          <w:noProof/>
          <w:lang w:bidi="ar-SA"/>
        </w:rPr>
      </w:pPr>
    </w:p>
    <w:p w:rsidR="00A95D10" w:rsidRPr="00A95D10" w:rsidRDefault="00A95D10" w:rsidP="009E6480">
      <w:pPr>
        <w:spacing w:line="240" w:lineRule="auto"/>
        <w:ind w:right="720"/>
        <w:contextualSpacing/>
        <w:rPr>
          <w:rFonts w:ascii="Times New Roman" w:hAnsi="Times New Roman"/>
          <w:noProof/>
          <w:lang w:bidi="ar-SA"/>
        </w:rPr>
      </w:pPr>
      <w:r w:rsidRPr="00A95D10">
        <w:rPr>
          <w:rFonts w:ascii="Times New Roman" w:hAnsi="Times New Roman"/>
          <w:noProof/>
          <w:lang w:bidi="ar-SA"/>
        </w:rPr>
        <w:t xml:space="preserve">Atran, Scott.  “Moral Imperatives and Democratic Dynamics in the Fight Against AQAP.”  In Chapman, Abigail and Janice Adelman.  </w:t>
      </w:r>
      <w:r w:rsidRPr="00A95D10">
        <w:rPr>
          <w:rFonts w:ascii="Times New Roman" w:hAnsi="Times New Roman"/>
          <w:i/>
          <w:iCs/>
          <w:noProof/>
          <w:lang w:bidi="ar-SA"/>
        </w:rPr>
        <w:t>Influencing Violent Extremist Organizations Pilot Effort: Focus on Al Qaeda in the Arabian Peninsula (AQAP).</w:t>
      </w:r>
      <w:r w:rsidRPr="00A95D10">
        <w:rPr>
          <w:rFonts w:ascii="Times New Roman" w:hAnsi="Times New Roman"/>
          <w:noProof/>
          <w:lang w:bidi="ar-SA"/>
        </w:rPr>
        <w:t xml:space="preserve">  Strategic Multi-Layer Assessment Office.  2011</w:t>
      </w:r>
    </w:p>
    <w:p w:rsidR="00A95D10" w:rsidRPr="009E6480" w:rsidRDefault="00A95D10" w:rsidP="009E6480">
      <w:pPr>
        <w:spacing w:line="240" w:lineRule="auto"/>
        <w:ind w:right="720"/>
        <w:contextualSpacing/>
        <w:rPr>
          <w:rFonts w:ascii="Times New Roman"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Atran, Scott</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2006</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"The Moral Logic and Growth of Suicide Terrorism"</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Washington Quarterly</w:t>
      </w:r>
      <w:r w:rsidR="004555DB">
        <w:rPr>
          <w:rFonts w:ascii="Times New Roman" w:eastAsia="Calibri" w:hAnsi="Times New Roman"/>
          <w:i/>
          <w:iCs/>
          <w:noProof/>
          <w:lang w:bidi="ar-SA"/>
        </w:rPr>
        <w:t xml:space="preserve">.  </w:t>
      </w:r>
      <w:r w:rsidRPr="009E6480">
        <w:rPr>
          <w:rFonts w:ascii="Times New Roman" w:eastAsia="Calibri" w:hAnsi="Times New Roman"/>
          <w:noProof/>
          <w:lang w:bidi="ar-SA"/>
        </w:rPr>
        <w:t>29, no</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2: 127-147.</w:t>
      </w:r>
    </w:p>
    <w:p w:rsidR="009E6480" w:rsidRDefault="009E6480" w:rsidP="009E6480">
      <w:pPr>
        <w:spacing w:line="240" w:lineRule="auto"/>
        <w:ind w:right="720"/>
        <w:contextualSpacing/>
        <w:rPr>
          <w:rFonts w:ascii="Times New Roman" w:eastAsia="Calibri" w:hAnsi="Times New Roman"/>
          <w:noProof/>
          <w:lang w:bidi="ar-SA"/>
        </w:rPr>
      </w:pPr>
    </w:p>
    <w:p w:rsidR="009D7375" w:rsidRPr="009D7375" w:rsidRDefault="009D7375" w:rsidP="009E6480">
      <w:pPr>
        <w:spacing w:line="240" w:lineRule="auto"/>
        <w:ind w:right="720"/>
        <w:contextualSpacing/>
        <w:rPr>
          <w:rFonts w:ascii="Times New Roman" w:eastAsia="Calibri" w:hAnsi="Times New Roman"/>
          <w:noProof/>
          <w:lang w:bidi="ar-SA"/>
        </w:rPr>
      </w:pPr>
      <w:r w:rsidRPr="009D7375">
        <w:rPr>
          <w:rFonts w:ascii="Times New Roman" w:eastAsia="Calibri" w:hAnsi="Times New Roman"/>
          <w:noProof/>
          <w:lang w:bidi="ar-SA"/>
        </w:rPr>
        <w:t xml:space="preserve">Atran, </w:t>
      </w:r>
      <w:r>
        <w:rPr>
          <w:rFonts w:ascii="Times New Roman" w:eastAsia="Calibri" w:hAnsi="Times New Roman"/>
          <w:noProof/>
          <w:lang w:bidi="ar-SA"/>
        </w:rPr>
        <w:t xml:space="preserve">Scott and </w:t>
      </w:r>
      <w:r w:rsidRPr="009D7375">
        <w:rPr>
          <w:rFonts w:ascii="Times New Roman" w:eastAsia="Calibri" w:hAnsi="Times New Roman"/>
          <w:noProof/>
          <w:lang w:bidi="ar-SA"/>
        </w:rPr>
        <w:t xml:space="preserve">Robert Axelrod. </w:t>
      </w:r>
      <w:r>
        <w:rPr>
          <w:rFonts w:ascii="Times New Roman" w:eastAsia="Calibri" w:hAnsi="Times New Roman"/>
          <w:noProof/>
          <w:lang w:bidi="ar-SA"/>
        </w:rPr>
        <w:t>“</w:t>
      </w:r>
      <w:r w:rsidRPr="009D7375">
        <w:rPr>
          <w:rFonts w:ascii="Times New Roman" w:eastAsia="Calibri" w:hAnsi="Times New Roman"/>
          <w:noProof/>
          <w:lang w:bidi="ar-SA"/>
        </w:rPr>
        <w:t>Reframing Sacred Values.</w:t>
      </w:r>
      <w:r>
        <w:rPr>
          <w:rFonts w:ascii="Times New Roman" w:eastAsia="Calibri" w:hAnsi="Times New Roman"/>
          <w:noProof/>
          <w:lang w:bidi="ar-SA"/>
        </w:rPr>
        <w:t>”</w:t>
      </w:r>
      <w:r w:rsidRPr="009D7375">
        <w:rPr>
          <w:rFonts w:ascii="Times New Roman" w:eastAsia="Calibri" w:hAnsi="Times New Roman"/>
          <w:noProof/>
          <w:lang w:bidi="ar-SA"/>
        </w:rPr>
        <w:t xml:space="preserve"> Negotiation Journal (Harvard), 2008, 24, pp.221-246.  </w:t>
      </w:r>
    </w:p>
    <w:p w:rsidR="009D7375" w:rsidRPr="009E6480" w:rsidRDefault="009D7375"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Atran, Scott</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Who Becomes a Terrorist Today?</w:t>
      </w:r>
      <w:r w:rsidRPr="009E6480">
        <w:rPr>
          <w:rFonts w:ascii="Times New Roman" w:eastAsia="Calibri" w:hAnsi="Times New Roman"/>
          <w:noProof/>
          <w:lang w:bidi="ar-SA"/>
        </w:rPr>
        <w:t> Perspectives on Terrorism</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n.d</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&lt;http://jeannicod.ccsd.cnrs.fr/ijn_00505183/en/&gt;.</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Barrett, Justin L</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(2011-10-01)</w:t>
      </w:r>
      <w:r w:rsidR="004555DB">
        <w:rPr>
          <w:rFonts w:ascii="Times New Roman" w:eastAsia="Calibri" w:hAnsi="Times New Roman"/>
          <w:noProof/>
          <w:lang w:bidi="ar-SA"/>
        </w:rPr>
        <w:t xml:space="preserve">.  </w:t>
      </w:r>
      <w:r w:rsidRPr="009E6480">
        <w:rPr>
          <w:rFonts w:ascii="Times New Roman" w:eastAsia="Calibri" w:hAnsi="Times New Roman"/>
          <w:i/>
          <w:noProof/>
          <w:lang w:bidi="ar-SA"/>
        </w:rPr>
        <w:t>Cognitive Science, Religion, and Theology: From Human Minds to Divine Minds (</w:t>
      </w:r>
      <w:r w:rsidRPr="009E6480">
        <w:rPr>
          <w:rFonts w:ascii="Times New Roman" w:eastAsia="Calibri" w:hAnsi="Times New Roman"/>
          <w:noProof/>
          <w:lang w:bidi="ar-SA"/>
        </w:rPr>
        <w:t>Templeton Science and Religion Series)</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Templeton Press</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Kindle Edition.</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Barrett, Justin L</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Why Would Anyone Believe in God?</w:t>
      </w:r>
      <w:r w:rsidRPr="009E6480">
        <w:rPr>
          <w:rFonts w:ascii="Times New Roman" w:eastAsia="Calibri" w:hAnsi="Times New Roman"/>
          <w:noProof/>
          <w:lang w:bidi="ar-SA"/>
        </w:rPr>
        <w:t> Walnut Creek, CA: AltaMira Press, 2004.</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iCs/>
          <w:noProof/>
          <w:lang w:bidi="ar-SA"/>
        </w:rPr>
      </w:pPr>
      <w:r w:rsidRPr="009E6480">
        <w:rPr>
          <w:rFonts w:ascii="Times New Roman" w:eastAsia="Calibri" w:hAnsi="Times New Roman"/>
          <w:iCs/>
          <w:noProof/>
          <w:lang w:bidi="ar-SA"/>
        </w:rPr>
        <w:t>Benmelech, Efraim, Claude Berrebi, and Esteban F</w:t>
      </w:r>
      <w:r w:rsidR="004555DB">
        <w:rPr>
          <w:rFonts w:ascii="Times New Roman" w:eastAsia="Calibri" w:hAnsi="Times New Roman"/>
          <w:iCs/>
          <w:noProof/>
          <w:lang w:bidi="ar-SA"/>
        </w:rPr>
        <w:t xml:space="preserve">.  </w:t>
      </w:r>
      <w:r w:rsidRPr="009E6480">
        <w:rPr>
          <w:rFonts w:ascii="Times New Roman" w:eastAsia="Calibri" w:hAnsi="Times New Roman"/>
          <w:iCs/>
          <w:noProof/>
          <w:lang w:bidi="ar-SA"/>
        </w:rPr>
        <w:t>Klor</w:t>
      </w:r>
      <w:r w:rsidR="004555DB">
        <w:rPr>
          <w:rFonts w:ascii="Times New Roman" w:eastAsia="Calibri" w:hAnsi="Times New Roman"/>
          <w:iCs/>
          <w:noProof/>
          <w:lang w:bidi="ar-SA"/>
        </w:rPr>
        <w:t xml:space="preserve">.  </w:t>
      </w:r>
      <w:r w:rsidRPr="009E6480">
        <w:rPr>
          <w:rFonts w:ascii="Times New Roman" w:eastAsia="Calibri" w:hAnsi="Times New Roman"/>
          <w:iCs/>
          <w:noProof/>
          <w:lang w:bidi="ar-SA"/>
        </w:rPr>
        <w:t>2012</w:t>
      </w:r>
      <w:r w:rsidR="004555DB">
        <w:rPr>
          <w:rFonts w:ascii="Times New Roman" w:eastAsia="Calibri" w:hAnsi="Times New Roman"/>
          <w:iCs/>
          <w:noProof/>
          <w:lang w:bidi="ar-SA"/>
        </w:rPr>
        <w:t xml:space="preserve">.  </w:t>
      </w:r>
      <w:r w:rsidRPr="009E6480">
        <w:rPr>
          <w:rFonts w:ascii="Times New Roman" w:eastAsia="Calibri" w:hAnsi="Times New Roman"/>
          <w:iCs/>
          <w:noProof/>
          <w:lang w:bidi="ar-SA"/>
        </w:rPr>
        <w:t>"Economic Conditions and the Quality of Suicide Terrorism"</w:t>
      </w:r>
      <w:r w:rsidR="004555DB">
        <w:rPr>
          <w:rFonts w:ascii="Times New Roman" w:eastAsia="Calibri" w:hAnsi="Times New Roman"/>
          <w:iCs/>
          <w:noProof/>
          <w:lang w:bidi="ar-SA"/>
        </w:rPr>
        <w:t xml:space="preserve">.  </w:t>
      </w:r>
      <w:r w:rsidRPr="009E6480">
        <w:rPr>
          <w:rFonts w:ascii="Times New Roman" w:eastAsia="Calibri" w:hAnsi="Times New Roman"/>
          <w:i/>
          <w:noProof/>
          <w:lang w:bidi="ar-SA"/>
        </w:rPr>
        <w:t>The Journal of Politics</w:t>
      </w:r>
      <w:r w:rsidR="004555DB">
        <w:rPr>
          <w:rFonts w:ascii="Times New Roman" w:eastAsia="Calibri" w:hAnsi="Times New Roman"/>
          <w:i/>
          <w:noProof/>
          <w:lang w:bidi="ar-SA"/>
        </w:rPr>
        <w:t xml:space="preserve">.  </w:t>
      </w:r>
      <w:r w:rsidRPr="009E6480">
        <w:rPr>
          <w:rFonts w:ascii="Times New Roman" w:eastAsia="Calibri" w:hAnsi="Times New Roman"/>
          <w:iCs/>
          <w:noProof/>
          <w:lang w:bidi="ar-SA"/>
        </w:rPr>
        <w:t>74, no</w:t>
      </w:r>
      <w:r w:rsidR="004555DB">
        <w:rPr>
          <w:rFonts w:ascii="Times New Roman" w:eastAsia="Calibri" w:hAnsi="Times New Roman"/>
          <w:iCs/>
          <w:noProof/>
          <w:lang w:bidi="ar-SA"/>
        </w:rPr>
        <w:t xml:space="preserve">.  </w:t>
      </w:r>
      <w:r w:rsidRPr="009E6480">
        <w:rPr>
          <w:rFonts w:ascii="Times New Roman" w:eastAsia="Calibri" w:hAnsi="Times New Roman"/>
          <w:iCs/>
          <w:noProof/>
          <w:lang w:bidi="ar-SA"/>
        </w:rPr>
        <w:t>01: 113-128.</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Bernstein-Wax, Jessica</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“Studies:</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Suicide Bombers in Iraq are Mostly Foreigners.”</w:t>
      </w:r>
      <w:r w:rsidR="004555DB">
        <w:rPr>
          <w:rFonts w:ascii="Times New Roman" w:eastAsia="Calibri" w:hAnsi="Times New Roman"/>
          <w:noProof/>
          <w:lang w:bidi="ar-SA"/>
        </w:rPr>
        <w:t xml:space="preserve"> </w:t>
      </w:r>
      <w:r w:rsidRPr="009E6480">
        <w:rPr>
          <w:rFonts w:ascii="Times New Roman" w:eastAsia="Calibri" w:hAnsi="Times New Roman"/>
          <w:i/>
          <w:noProof/>
          <w:lang w:bidi="ar-SA"/>
        </w:rPr>
        <w:t>McClatchy Newspapers</w:t>
      </w:r>
      <w:r w:rsidR="004555DB">
        <w:rPr>
          <w:rFonts w:ascii="Times New Roman" w:eastAsia="Calibri" w:hAnsi="Times New Roman"/>
          <w:i/>
          <w:noProof/>
          <w:lang w:bidi="ar-SA"/>
        </w:rPr>
        <w:t xml:space="preserve">.  </w:t>
      </w:r>
      <w:r w:rsidRPr="009E6480">
        <w:rPr>
          <w:rFonts w:ascii="Times New Roman" w:eastAsia="Calibri" w:hAnsi="Times New Roman"/>
          <w:noProof/>
          <w:lang w:bidi="ar-SA"/>
        </w:rPr>
        <w:t>8 August, 2007</w:t>
      </w:r>
      <w:r w:rsidR="004555DB">
        <w:rPr>
          <w:rFonts w:ascii="Times New Roman" w:eastAsia="Calibri" w:hAnsi="Times New Roman"/>
          <w:noProof/>
          <w:lang w:bidi="ar-SA"/>
        </w:rPr>
        <w:t xml:space="preserve">.  </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Blanchard, Christopher M</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Al Qaeda Statements and Evolving Ideology</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[Washington, D.C.]: Congressional Information Service, Library of Congress, 2006.</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Bloom, Mia</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“Female Suicide Bombers:</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A Global Trend.”</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Aedalus</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January 1</w:t>
      </w:r>
      <w:r w:rsidRPr="009E6480">
        <w:rPr>
          <w:rFonts w:ascii="Times New Roman" w:eastAsia="Calibri" w:hAnsi="Times New Roman"/>
          <w:noProof/>
          <w:vertAlign w:val="superscript"/>
          <w:lang w:bidi="ar-SA"/>
        </w:rPr>
        <w:t>st</w:t>
      </w:r>
      <w:r w:rsidRPr="009E6480">
        <w:rPr>
          <w:rFonts w:ascii="Times New Roman" w:eastAsia="Calibri" w:hAnsi="Times New Roman"/>
          <w:noProof/>
          <w:lang w:bidi="ar-SA"/>
        </w:rPr>
        <w:t>, 2007</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Pg</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94, Vol</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136 No</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1.</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090501">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B</w:t>
      </w:r>
      <w:r w:rsidR="00090501">
        <w:rPr>
          <w:rFonts w:ascii="Times New Roman" w:eastAsia="Calibri" w:hAnsi="Times New Roman"/>
          <w:noProof/>
          <w:lang w:bidi="ar-SA"/>
        </w:rPr>
        <w:t>loom</w:t>
      </w:r>
      <w:r w:rsidRPr="009E6480">
        <w:rPr>
          <w:rFonts w:ascii="Times New Roman" w:eastAsia="Calibri" w:hAnsi="Times New Roman"/>
          <w:noProof/>
          <w:lang w:bidi="ar-SA"/>
        </w:rPr>
        <w:t xml:space="preserve">, </w:t>
      </w:r>
      <w:r w:rsidR="00090501">
        <w:rPr>
          <w:rFonts w:ascii="Times New Roman" w:eastAsia="Calibri" w:hAnsi="Times New Roman"/>
          <w:noProof/>
          <w:lang w:bidi="ar-SA"/>
        </w:rPr>
        <w:t>Mia</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2004</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"Palestinian Suicide Bombing: Public Support, Market Share, and Outbidding"</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Political Science Quarterly</w:t>
      </w:r>
      <w:r w:rsidR="004555DB">
        <w:rPr>
          <w:rFonts w:ascii="Times New Roman" w:eastAsia="Calibri" w:hAnsi="Times New Roman"/>
          <w:i/>
          <w:iCs/>
          <w:noProof/>
          <w:lang w:bidi="ar-SA"/>
        </w:rPr>
        <w:t xml:space="preserve">.  </w:t>
      </w:r>
      <w:r w:rsidRPr="009E6480">
        <w:rPr>
          <w:rFonts w:ascii="Times New Roman" w:eastAsia="Calibri" w:hAnsi="Times New Roman"/>
          <w:noProof/>
          <w:lang w:bidi="ar-SA"/>
        </w:rPr>
        <w:t>119, no</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1: 61-88.</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Bloom, Mia</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Dying to Kill: The Allure of Suicide Terror</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New York: Columbia University Press, 2005.</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Brachman, Jarret M</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and William F</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McCants</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“Stealing Al-Qa’ida’s Playbook.”</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Combating Terrorism Center</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2006</w:t>
      </w:r>
      <w:r w:rsidR="004555DB">
        <w:rPr>
          <w:rFonts w:ascii="Times New Roman" w:eastAsia="Calibri" w:hAnsi="Times New Roman"/>
          <w:noProof/>
          <w:lang w:bidi="ar-SA"/>
        </w:rPr>
        <w:t xml:space="preserve">.  </w:t>
      </w:r>
      <w:hyperlink r:id="rId16" w:history="1">
        <w:r w:rsidRPr="009E6480">
          <w:rPr>
            <w:rFonts w:ascii="Times New Roman" w:eastAsia="Calibri" w:hAnsi="Times New Roman"/>
            <w:noProof/>
            <w:color w:val="0000FF"/>
            <w:u w:val="single"/>
            <w:lang w:bidi="ar-SA"/>
          </w:rPr>
          <w:t>http://ctc.usma.edu/pdf/Stealing%20Al-Qai'da's%20Playbook%20--%20CTC.pdf</w:t>
        </w:r>
      </w:hyperlink>
      <w:r w:rsidRPr="009E6480">
        <w:rPr>
          <w:rFonts w:ascii="Times New Roman" w:eastAsia="Calibri" w:hAnsi="Times New Roman"/>
          <w:noProof/>
          <w:lang w:bidi="ar-SA"/>
        </w:rPr>
        <w:t xml:space="preserve"> </w:t>
      </w: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 xml:space="preserve"> </w:t>
      </w: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Branigan, William</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“Vanquished Arafat Could Turn Victor;</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PLO Chief Gains Poolitically Despite Prolonged Israeli Siege;</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News Analysis.”</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The Washington Post</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July 19, 1982</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Lexis Nexis Academic</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(Accessed October 14, 2012).</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i/>
          <w:iCs/>
          <w:noProof/>
          <w:lang w:bidi="ar-SA"/>
        </w:rPr>
      </w:pPr>
      <w:r w:rsidRPr="009E6480">
        <w:rPr>
          <w:rFonts w:ascii="Times New Roman" w:eastAsia="Calibri" w:hAnsi="Times New Roman"/>
          <w:iCs/>
          <w:noProof/>
          <w:lang w:bidi="ar-SA"/>
        </w:rPr>
        <w:t>Braun, R., and M</w:t>
      </w:r>
      <w:r w:rsidR="004555DB">
        <w:rPr>
          <w:rFonts w:ascii="Times New Roman" w:eastAsia="Calibri" w:hAnsi="Times New Roman"/>
          <w:iCs/>
          <w:noProof/>
          <w:lang w:bidi="ar-SA"/>
        </w:rPr>
        <w:t xml:space="preserve">.  </w:t>
      </w:r>
      <w:r w:rsidRPr="009E6480">
        <w:rPr>
          <w:rFonts w:ascii="Times New Roman" w:eastAsia="Calibri" w:hAnsi="Times New Roman"/>
          <w:iCs/>
          <w:noProof/>
          <w:lang w:bidi="ar-SA"/>
        </w:rPr>
        <w:t>Genkin</w:t>
      </w:r>
      <w:r w:rsidR="004555DB">
        <w:rPr>
          <w:rFonts w:ascii="Times New Roman" w:eastAsia="Calibri" w:hAnsi="Times New Roman"/>
          <w:iCs/>
          <w:noProof/>
          <w:lang w:bidi="ar-SA"/>
        </w:rPr>
        <w:t xml:space="preserve">.  </w:t>
      </w:r>
      <w:r w:rsidRPr="009E6480">
        <w:rPr>
          <w:rFonts w:ascii="Times New Roman" w:eastAsia="Calibri" w:hAnsi="Times New Roman"/>
          <w:iCs/>
          <w:noProof/>
          <w:lang w:bidi="ar-SA"/>
        </w:rPr>
        <w:t>2014</w:t>
      </w:r>
      <w:r w:rsidR="004555DB">
        <w:rPr>
          <w:rFonts w:ascii="Times New Roman" w:eastAsia="Calibri" w:hAnsi="Times New Roman"/>
          <w:iCs/>
          <w:noProof/>
          <w:lang w:bidi="ar-SA"/>
        </w:rPr>
        <w:t xml:space="preserve">.  </w:t>
      </w:r>
      <w:r w:rsidRPr="009E6480">
        <w:rPr>
          <w:rFonts w:ascii="Times New Roman" w:eastAsia="Calibri" w:hAnsi="Times New Roman"/>
          <w:iCs/>
          <w:noProof/>
          <w:lang w:bidi="ar-SA"/>
        </w:rPr>
        <w:t>"Cultural Resonance and the Diffusion of Suicide Bombings: The Role of Collectivism"</w:t>
      </w:r>
      <w:r w:rsidR="004555DB">
        <w:rPr>
          <w:rFonts w:ascii="Times New Roman" w:eastAsia="Calibri" w:hAnsi="Times New Roman"/>
          <w:iCs/>
          <w:noProof/>
          <w:lang w:bidi="ar-SA"/>
        </w:rPr>
        <w:t xml:space="preserve">.  </w:t>
      </w:r>
      <w:r w:rsidRPr="009E6480">
        <w:rPr>
          <w:rFonts w:ascii="Times New Roman" w:eastAsia="Calibri" w:hAnsi="Times New Roman"/>
          <w:i/>
          <w:noProof/>
          <w:lang w:bidi="ar-SA"/>
        </w:rPr>
        <w:t>Journal of Conflict Resolution</w:t>
      </w:r>
      <w:r w:rsidR="004555DB">
        <w:rPr>
          <w:rFonts w:ascii="Times New Roman" w:eastAsia="Calibri" w:hAnsi="Times New Roman"/>
          <w:i/>
          <w:noProof/>
          <w:lang w:bidi="ar-SA"/>
        </w:rPr>
        <w:t xml:space="preserve">.  </w:t>
      </w:r>
      <w:r w:rsidRPr="009E6480">
        <w:rPr>
          <w:rFonts w:ascii="Times New Roman" w:eastAsia="Calibri" w:hAnsi="Times New Roman"/>
          <w:iCs/>
          <w:noProof/>
          <w:lang w:bidi="ar-SA"/>
        </w:rPr>
        <w:t>58, no</w:t>
      </w:r>
      <w:r w:rsidR="004555DB">
        <w:rPr>
          <w:rFonts w:ascii="Times New Roman" w:eastAsia="Calibri" w:hAnsi="Times New Roman"/>
          <w:iCs/>
          <w:noProof/>
          <w:lang w:bidi="ar-SA"/>
        </w:rPr>
        <w:t xml:space="preserve">.  </w:t>
      </w:r>
      <w:r w:rsidRPr="009E6480">
        <w:rPr>
          <w:rFonts w:ascii="Times New Roman" w:eastAsia="Calibri" w:hAnsi="Times New Roman"/>
          <w:iCs/>
          <w:noProof/>
          <w:lang w:bidi="ar-SA"/>
        </w:rPr>
        <w:t>7: 1258-1284.</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Brewer MB</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2007</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"The Importance of Being We: Human Nature and Intergroup Relations"</w:t>
      </w:r>
      <w:r w:rsidR="004555DB">
        <w:rPr>
          <w:rFonts w:ascii="Times New Roman" w:eastAsia="Calibri" w:hAnsi="Times New Roman"/>
          <w:noProof/>
          <w:lang w:bidi="ar-SA"/>
        </w:rPr>
        <w:t xml:space="preserve">.  </w:t>
      </w:r>
      <w:r w:rsidRPr="009E6480">
        <w:rPr>
          <w:rFonts w:ascii="Times New Roman" w:eastAsia="Calibri" w:hAnsi="Times New Roman"/>
          <w:i/>
          <w:noProof/>
          <w:lang w:bidi="ar-SA"/>
        </w:rPr>
        <w:t>The American Psychologist</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62, no</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8: 726-38.</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Brimley, Shawn</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“Tentacles of Jihad:</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Targeting Transnational Support Networks; Enemies, Criticism, and Terrorism.”</w:t>
      </w:r>
      <w:r w:rsidR="004555DB">
        <w:rPr>
          <w:rFonts w:ascii="Times New Roman" w:eastAsia="Calibri" w:hAnsi="Times New Roman"/>
          <w:noProof/>
          <w:lang w:bidi="ar-SA"/>
        </w:rPr>
        <w:t xml:space="preserve"> </w:t>
      </w:r>
      <w:r w:rsidRPr="009E6480">
        <w:rPr>
          <w:rFonts w:ascii="Times New Roman" w:eastAsia="Calibri" w:hAnsi="Times New Roman"/>
          <w:i/>
          <w:noProof/>
          <w:lang w:bidi="ar-SA"/>
        </w:rPr>
        <w:t>Parameters</w:t>
      </w:r>
      <w:r w:rsidR="004555DB">
        <w:rPr>
          <w:rFonts w:ascii="Times New Roman" w:eastAsia="Calibri" w:hAnsi="Times New Roman"/>
          <w:i/>
          <w:noProof/>
          <w:lang w:bidi="ar-SA"/>
        </w:rPr>
        <w:t xml:space="preserve">.  </w:t>
      </w:r>
      <w:r w:rsidRPr="009E6480">
        <w:rPr>
          <w:rFonts w:ascii="Times New Roman" w:eastAsia="Calibri" w:hAnsi="Times New Roman"/>
          <w:noProof/>
          <w:lang w:bidi="ar-SA"/>
        </w:rPr>
        <w:t>June 22, 2006</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Pg</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30(17) Vol</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36 No</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2.</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Brummit, Chris</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“Most Afghan Suicide bombers Trained in Pakistan, UN says.”</w:t>
      </w:r>
      <w:r w:rsidR="004555DB">
        <w:rPr>
          <w:rFonts w:ascii="Times New Roman" w:eastAsia="Calibri" w:hAnsi="Times New Roman"/>
          <w:noProof/>
          <w:lang w:bidi="ar-SA"/>
        </w:rPr>
        <w:t xml:space="preserve"> </w:t>
      </w:r>
      <w:r w:rsidRPr="009E6480">
        <w:rPr>
          <w:rFonts w:ascii="Times New Roman" w:eastAsia="Calibri" w:hAnsi="Times New Roman"/>
          <w:i/>
          <w:noProof/>
          <w:lang w:bidi="ar-SA"/>
        </w:rPr>
        <w:t>Winnipeg Free Press</w:t>
      </w:r>
      <w:r w:rsidR="004555DB">
        <w:rPr>
          <w:rFonts w:ascii="Times New Roman" w:eastAsia="Calibri" w:hAnsi="Times New Roman"/>
          <w:i/>
          <w:noProof/>
          <w:lang w:bidi="ar-SA"/>
        </w:rPr>
        <w:t xml:space="preserve">.  </w:t>
      </w:r>
      <w:r w:rsidRPr="009E6480">
        <w:rPr>
          <w:rFonts w:ascii="Times New Roman" w:eastAsia="Calibri" w:hAnsi="Times New Roman"/>
          <w:noProof/>
          <w:lang w:bidi="ar-SA"/>
        </w:rPr>
        <w:t>9 Sept 9, 2007</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Page A.9</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ISSN:</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0828-1785.</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Brym, Robert J., and Bader Araj</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2006</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"Suicide Bombing As Strategy and Interaction: The Case of the Second Intifada"</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Social Forces</w:t>
      </w:r>
      <w:r w:rsidR="004555DB">
        <w:rPr>
          <w:rFonts w:ascii="Times New Roman" w:eastAsia="Calibri" w:hAnsi="Times New Roman"/>
          <w:i/>
          <w:iCs/>
          <w:noProof/>
          <w:lang w:bidi="ar-SA"/>
        </w:rPr>
        <w:t xml:space="preserve">.  </w:t>
      </w:r>
      <w:r w:rsidRPr="009E6480">
        <w:rPr>
          <w:rFonts w:ascii="Times New Roman" w:eastAsia="Calibri" w:hAnsi="Times New Roman"/>
          <w:noProof/>
          <w:lang w:bidi="ar-SA"/>
        </w:rPr>
        <w:t>84, no</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4: 1969-1986.</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Brynen, Rex</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Sanctuary and Survival: The PLO in Lebanon</w:t>
      </w:r>
      <w:r w:rsidR="004555DB">
        <w:rPr>
          <w:rFonts w:ascii="Times New Roman" w:eastAsia="Calibri" w:hAnsi="Times New Roman"/>
          <w:i/>
          <w:iCs/>
          <w:noProof/>
          <w:lang w:bidi="ar-SA"/>
        </w:rPr>
        <w:t xml:space="preserve">.  </w:t>
      </w:r>
      <w:r w:rsidRPr="009E6480">
        <w:rPr>
          <w:rFonts w:ascii="Times New Roman" w:eastAsia="Calibri" w:hAnsi="Times New Roman"/>
          <w:noProof/>
          <w:lang w:bidi="ar-SA"/>
        </w:rPr>
        <w:t>Boulder: Westview Press, 1990.</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Byman, D</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(2008)</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The five front war: The better way to fight global jihad</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Hoboken, N.J.: John Wiley &amp; Sons.</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Caan, Christian</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‘Journey of Death: Suicide Bombers in Iraq.”</w:t>
      </w:r>
      <w:r w:rsidR="004555DB">
        <w:rPr>
          <w:rFonts w:ascii="Times New Roman" w:eastAsia="Calibri" w:hAnsi="Times New Roman"/>
          <w:noProof/>
          <w:lang w:bidi="ar-SA"/>
        </w:rPr>
        <w:t xml:space="preserve"> </w:t>
      </w:r>
      <w:r w:rsidRPr="009E6480">
        <w:rPr>
          <w:rFonts w:ascii="Times New Roman" w:eastAsia="Calibri" w:hAnsi="Times New Roman"/>
          <w:i/>
          <w:noProof/>
          <w:lang w:bidi="ar-SA"/>
        </w:rPr>
        <w:t>United States Institute of Peace</w:t>
      </w:r>
      <w:r w:rsidR="004555DB">
        <w:rPr>
          <w:rFonts w:ascii="Times New Roman" w:eastAsia="Calibri" w:hAnsi="Times New Roman"/>
          <w:i/>
          <w:noProof/>
          <w:lang w:bidi="ar-SA"/>
        </w:rPr>
        <w:t xml:space="preserve">.  </w:t>
      </w:r>
      <w:r w:rsidRPr="009E6480">
        <w:rPr>
          <w:rFonts w:ascii="Times New Roman" w:eastAsia="Calibri" w:hAnsi="Times New Roman"/>
          <w:noProof/>
          <w:lang w:bidi="ar-SA"/>
        </w:rPr>
        <w:t>July 2007</w:t>
      </w:r>
      <w:r w:rsidR="004555DB">
        <w:rPr>
          <w:rFonts w:ascii="Times New Roman" w:eastAsia="Calibri" w:hAnsi="Times New Roman"/>
          <w:noProof/>
          <w:lang w:bidi="ar-SA"/>
        </w:rPr>
        <w:t xml:space="preserve">.  </w:t>
      </w:r>
      <w:hyperlink r:id="rId17" w:history="1">
        <w:r w:rsidRPr="009E6480">
          <w:rPr>
            <w:rFonts w:ascii="Times New Roman" w:eastAsia="Calibri" w:hAnsi="Times New Roman"/>
            <w:noProof/>
            <w:color w:val="0000FF"/>
            <w:u w:val="single"/>
            <w:lang w:bidi="ar-SA"/>
          </w:rPr>
          <w:t>http://www.usip.org/sites/default/files/suicide_bombers_iraq.pdf</w:t>
        </w:r>
      </w:hyperlink>
      <w:r w:rsidRPr="009E6480">
        <w:rPr>
          <w:rFonts w:ascii="Times New Roman" w:eastAsia="Calibri" w:hAnsi="Times New Roman"/>
          <w:noProof/>
          <w:lang w:bidi="ar-SA"/>
        </w:rPr>
        <w:t xml:space="preserve"> (Accessed 29 November 2015).</w:t>
      </w:r>
    </w:p>
    <w:p w:rsidR="009E6480" w:rsidRDefault="009E6480" w:rsidP="009E6480">
      <w:pPr>
        <w:spacing w:line="240" w:lineRule="auto"/>
        <w:ind w:right="720"/>
        <w:contextualSpacing/>
        <w:rPr>
          <w:rFonts w:ascii="Times New Roman" w:eastAsia="Calibri" w:hAnsi="Times New Roman"/>
          <w:noProof/>
          <w:lang w:bidi="ar-SA"/>
        </w:rPr>
      </w:pPr>
    </w:p>
    <w:p w:rsidR="00090501" w:rsidRDefault="00090501" w:rsidP="00090501">
      <w:pPr>
        <w:spacing w:line="240" w:lineRule="auto"/>
        <w:ind w:right="720"/>
        <w:contextualSpacing/>
        <w:rPr>
          <w:rFonts w:ascii="Times New Roman" w:eastAsia="Calibri" w:hAnsi="Times New Roman"/>
          <w:noProof/>
        </w:rPr>
      </w:pPr>
      <w:r w:rsidRPr="00090501">
        <w:rPr>
          <w:rFonts w:ascii="Times New Roman" w:eastAsia="Calibri" w:hAnsi="Times New Roman"/>
          <w:noProof/>
        </w:rPr>
        <w:t>Carlston, Donal E. </w:t>
      </w:r>
      <w:r w:rsidRPr="00090501">
        <w:rPr>
          <w:rFonts w:ascii="Times New Roman" w:eastAsia="Calibri" w:hAnsi="Times New Roman"/>
          <w:i/>
          <w:iCs/>
          <w:noProof/>
        </w:rPr>
        <w:t>The Oxford Handbook of Social Cognition</w:t>
      </w:r>
      <w:r w:rsidRPr="00090501">
        <w:rPr>
          <w:rFonts w:ascii="Times New Roman" w:eastAsia="Calibri" w:hAnsi="Times New Roman"/>
          <w:noProof/>
        </w:rPr>
        <w:t>. 2013</w:t>
      </w:r>
      <w:r>
        <w:rPr>
          <w:rFonts w:ascii="Times New Roman" w:eastAsia="Calibri" w:hAnsi="Times New Roman"/>
          <w:noProof/>
        </w:rPr>
        <w:t>.</w:t>
      </w:r>
    </w:p>
    <w:p w:rsidR="00090501" w:rsidRPr="009E6480" w:rsidRDefault="00090501" w:rsidP="00090501">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Çapan, Ergün</w:t>
      </w:r>
      <w:r w:rsidR="004555DB">
        <w:rPr>
          <w:rFonts w:ascii="Times New Roman" w:eastAsia="Calibri" w:hAnsi="Times New Roman"/>
          <w:noProof/>
          <w:lang w:bidi="ar-SA"/>
        </w:rPr>
        <w:t xml:space="preserve">.  </w:t>
      </w:r>
      <w:r w:rsidRPr="009E6480">
        <w:rPr>
          <w:rFonts w:ascii="Times New Roman" w:eastAsia="Calibri" w:hAnsi="Times New Roman"/>
          <w:i/>
          <w:noProof/>
          <w:lang w:bidi="ar-SA"/>
        </w:rPr>
        <w:t>Terror and Suicide Attacks An Islamic Perspective</w:t>
      </w:r>
      <w:r w:rsidR="004555DB">
        <w:rPr>
          <w:rFonts w:ascii="Times New Roman" w:eastAsia="Calibri" w:hAnsi="Times New Roman"/>
          <w:i/>
          <w:noProof/>
          <w:lang w:bidi="ar-SA"/>
        </w:rPr>
        <w:t xml:space="preserve">.  </w:t>
      </w:r>
      <w:r w:rsidRPr="009E6480">
        <w:rPr>
          <w:rFonts w:ascii="Times New Roman" w:eastAsia="Calibri" w:hAnsi="Times New Roman"/>
          <w:noProof/>
          <w:lang w:bidi="ar-SA"/>
        </w:rPr>
        <w:t>Somerset, N.J.: Light, Inc, 2004.</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Cassara, John</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“Afghanistan’s Drug Menace:</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Why Can’t We Follow the Money?”</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John A</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Cassara</w:t>
      </w:r>
      <w:r w:rsidR="004555DB">
        <w:rPr>
          <w:rFonts w:ascii="Times New Roman" w:eastAsia="Calibri" w:hAnsi="Times New Roman"/>
          <w:noProof/>
          <w:lang w:bidi="ar-SA"/>
        </w:rPr>
        <w:t xml:space="preserve">.  </w:t>
      </w:r>
      <w:hyperlink r:id="rId18" w:history="1">
        <w:r w:rsidRPr="009E6480">
          <w:rPr>
            <w:rFonts w:ascii="Times New Roman" w:eastAsia="Calibri" w:hAnsi="Times New Roman"/>
            <w:noProof/>
            <w:color w:val="0000FF"/>
            <w:u w:val="single"/>
            <w:lang w:bidi="ar-SA"/>
          </w:rPr>
          <w:t>http://www.johncassara.com/index.php?option=com_content&amp;view=article&amp;id=20:afghanistans-drug-menace-why-cant-we-follow-the-money&amp;catid=2:articles&amp;Itemid=8</w:t>
        </w:r>
      </w:hyperlink>
      <w:r w:rsidR="004555DB">
        <w:rPr>
          <w:rFonts w:ascii="Times New Roman" w:eastAsia="Calibri" w:hAnsi="Times New Roman"/>
          <w:noProof/>
          <w:lang w:bidi="ar-SA"/>
        </w:rPr>
        <w:t xml:space="preserve"> </w:t>
      </w:r>
      <w:r w:rsidRPr="009E6480">
        <w:rPr>
          <w:rFonts w:ascii="Times New Roman" w:eastAsia="Calibri" w:hAnsi="Times New Roman"/>
          <w:noProof/>
          <w:lang w:bidi="ar-SA"/>
        </w:rPr>
        <w:t>(Accessed 3 March 2013).</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Chapman, Abigail and Janice Adelman</w:t>
      </w:r>
      <w:r w:rsidR="004555DB">
        <w:rPr>
          <w:rFonts w:ascii="Times New Roman" w:eastAsia="Calibri" w:hAnsi="Times New Roman"/>
          <w:noProof/>
          <w:lang w:bidi="ar-SA"/>
        </w:rPr>
        <w:t xml:space="preserve">.  </w:t>
      </w:r>
      <w:r w:rsidRPr="009E6480">
        <w:rPr>
          <w:rFonts w:ascii="Times New Roman" w:eastAsia="Calibri" w:hAnsi="Times New Roman"/>
          <w:i/>
          <w:noProof/>
          <w:lang w:bidi="ar-SA"/>
        </w:rPr>
        <w:t>Influencing Violent Extremist Organizations Pilot Effort: Focus on Al Qaeda in the Arabian Peninsula (AQAP)</w:t>
      </w:r>
      <w:r w:rsidR="004555DB">
        <w:rPr>
          <w:rFonts w:ascii="Times New Roman" w:eastAsia="Calibri" w:hAnsi="Times New Roman"/>
          <w:i/>
          <w:noProof/>
          <w:lang w:bidi="ar-SA"/>
        </w:rPr>
        <w:t xml:space="preserve">.  </w:t>
      </w:r>
      <w:r w:rsidRPr="009E6480">
        <w:rPr>
          <w:rFonts w:ascii="Times New Roman" w:eastAsia="Calibri" w:hAnsi="Times New Roman"/>
          <w:noProof/>
          <w:lang w:bidi="ar-SA"/>
        </w:rPr>
        <w:t>Strategic Multi-Layer Assessment Office</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2011</w:t>
      </w:r>
      <w:r w:rsidR="004555DB">
        <w:rPr>
          <w:rFonts w:ascii="Times New Roman" w:eastAsia="Calibri" w:hAnsi="Times New Roman"/>
          <w:noProof/>
          <w:lang w:bidi="ar-SA"/>
        </w:rPr>
        <w:t xml:space="preserve">.  </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Choi, Seung-Wan and James A</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Piazza</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“Internally Displaced Populations and Suicide Terrorism.”</w:t>
      </w:r>
      <w:r w:rsidR="004555DB">
        <w:rPr>
          <w:rFonts w:ascii="Times New Roman" w:eastAsia="Calibri" w:hAnsi="Times New Roman"/>
          <w:noProof/>
          <w:lang w:bidi="ar-SA"/>
        </w:rPr>
        <w:t xml:space="preserve"> </w:t>
      </w:r>
      <w:r w:rsidRPr="009E6480">
        <w:rPr>
          <w:rFonts w:ascii="Times New Roman" w:eastAsia="Calibri" w:hAnsi="Times New Roman"/>
          <w:i/>
          <w:noProof/>
          <w:lang w:bidi="ar-SA"/>
        </w:rPr>
        <w:t>Journal of Conflict Resolution</w:t>
      </w:r>
      <w:r w:rsidR="004555DB">
        <w:rPr>
          <w:rFonts w:ascii="Times New Roman" w:eastAsia="Calibri" w:hAnsi="Times New Roman"/>
          <w:i/>
          <w:noProof/>
          <w:lang w:bidi="ar-SA"/>
        </w:rPr>
        <w:t xml:space="preserve">.  </w:t>
      </w:r>
      <w:r w:rsidRPr="009E6480">
        <w:rPr>
          <w:rFonts w:ascii="Times New Roman" w:eastAsia="Calibri" w:hAnsi="Times New Roman"/>
          <w:noProof/>
          <w:lang w:bidi="ar-SA"/>
        </w:rPr>
        <w:t>2014</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1-33</w:t>
      </w:r>
      <w:r w:rsidR="004555DB">
        <w:rPr>
          <w:rFonts w:ascii="Times New Roman" w:eastAsia="Calibri" w:hAnsi="Times New Roman"/>
          <w:noProof/>
          <w:lang w:bidi="ar-SA"/>
        </w:rPr>
        <w:t xml:space="preserve">.  </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iCs/>
          <w:noProof/>
          <w:lang w:bidi="ar-SA"/>
        </w:rPr>
      </w:pPr>
      <w:r w:rsidRPr="009E6480">
        <w:rPr>
          <w:rFonts w:ascii="Times New Roman" w:eastAsia="Calibri" w:hAnsi="Times New Roman"/>
          <w:iCs/>
          <w:noProof/>
          <w:lang w:bidi="ar-SA"/>
        </w:rPr>
        <w:t>Cook, David</w:t>
      </w:r>
      <w:r w:rsidR="004555DB">
        <w:rPr>
          <w:rFonts w:ascii="Times New Roman" w:eastAsia="Calibri" w:hAnsi="Times New Roman"/>
          <w:iCs/>
          <w:noProof/>
          <w:lang w:bidi="ar-SA"/>
        </w:rPr>
        <w:t xml:space="preserve">.  </w:t>
      </w:r>
      <w:r w:rsidRPr="009E6480">
        <w:rPr>
          <w:rFonts w:ascii="Times New Roman" w:eastAsia="Calibri" w:hAnsi="Times New Roman"/>
          <w:i/>
          <w:noProof/>
          <w:lang w:bidi="ar-SA"/>
        </w:rPr>
        <w:t>Understanding Jihad</w:t>
      </w:r>
      <w:r w:rsidR="004555DB">
        <w:rPr>
          <w:rFonts w:ascii="Times New Roman" w:eastAsia="Calibri" w:hAnsi="Times New Roman"/>
          <w:i/>
          <w:iCs/>
          <w:noProof/>
          <w:lang w:bidi="ar-SA"/>
        </w:rPr>
        <w:t xml:space="preserve">.  </w:t>
      </w:r>
      <w:r w:rsidRPr="009E6480">
        <w:rPr>
          <w:rFonts w:ascii="Times New Roman" w:eastAsia="Calibri" w:hAnsi="Times New Roman"/>
          <w:iCs/>
          <w:noProof/>
          <w:lang w:bidi="ar-SA"/>
        </w:rPr>
        <w:t>Berkeley: University of California Press, 2005.</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lastRenderedPageBreak/>
        <w:t>Cook, David, and Olivia Allison</w:t>
      </w:r>
      <w:r w:rsidR="004555DB">
        <w:rPr>
          <w:rFonts w:ascii="Times New Roman" w:eastAsia="Calibri" w:hAnsi="Times New Roman"/>
          <w:noProof/>
          <w:lang w:bidi="ar-SA"/>
        </w:rPr>
        <w:t xml:space="preserve">.  </w:t>
      </w:r>
      <w:r w:rsidRPr="009E6480">
        <w:rPr>
          <w:rFonts w:ascii="Times New Roman" w:eastAsia="Calibri" w:hAnsi="Times New Roman"/>
          <w:i/>
          <w:noProof/>
          <w:lang w:bidi="ar-SA"/>
        </w:rPr>
        <w:t>Understanding and Addressing Suicide Attacks:</w:t>
      </w:r>
      <w:r w:rsidR="004555DB">
        <w:rPr>
          <w:rFonts w:ascii="Times New Roman" w:eastAsia="Calibri" w:hAnsi="Times New Roman"/>
          <w:i/>
          <w:noProof/>
          <w:lang w:bidi="ar-SA"/>
        </w:rPr>
        <w:t xml:space="preserve"> </w:t>
      </w:r>
      <w:r w:rsidRPr="009E6480">
        <w:rPr>
          <w:rFonts w:ascii="Times New Roman" w:eastAsia="Calibri" w:hAnsi="Times New Roman"/>
          <w:i/>
          <w:noProof/>
          <w:lang w:bidi="ar-SA"/>
        </w:rPr>
        <w:t>The Faith and politics of Martyrdom Operations</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Westport, CT; Praeger Security International, 2007</w:t>
      </w:r>
      <w:r w:rsidR="004555DB">
        <w:rPr>
          <w:rFonts w:ascii="Times New Roman" w:eastAsia="Calibri" w:hAnsi="Times New Roman"/>
          <w:noProof/>
          <w:lang w:bidi="ar-SA"/>
        </w:rPr>
        <w:t xml:space="preserve">.  </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Cronin, Audrey Kurth</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Terrorists and Suicide Attacks</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[Washington, D.C.]: Congressional Research Service, Library of Congress, 2003.</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Curcio, Sharon</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“Generational Differences in Waging Jihad.”</w:t>
      </w:r>
      <w:r w:rsidR="004555DB">
        <w:rPr>
          <w:rFonts w:ascii="Times New Roman" w:eastAsia="Calibri" w:hAnsi="Times New Roman"/>
          <w:noProof/>
          <w:lang w:bidi="ar-SA"/>
        </w:rPr>
        <w:t xml:space="preserve"> </w:t>
      </w:r>
      <w:r w:rsidRPr="009E6480">
        <w:rPr>
          <w:rFonts w:ascii="Times New Roman" w:eastAsia="Calibri" w:hAnsi="Times New Roman"/>
          <w:i/>
          <w:noProof/>
          <w:lang w:bidi="ar-SA"/>
        </w:rPr>
        <w:t>Military Review</w:t>
      </w:r>
      <w:r w:rsidR="004555DB">
        <w:rPr>
          <w:rFonts w:ascii="Times New Roman" w:eastAsia="Calibri" w:hAnsi="Times New Roman"/>
          <w:i/>
          <w:noProof/>
          <w:lang w:bidi="ar-SA"/>
        </w:rPr>
        <w:t xml:space="preserve">.  </w:t>
      </w:r>
      <w:r w:rsidRPr="009E6480">
        <w:rPr>
          <w:rFonts w:ascii="Times New Roman" w:eastAsia="Calibri" w:hAnsi="Times New Roman"/>
          <w:noProof/>
          <w:lang w:bidi="ar-SA"/>
        </w:rPr>
        <w:t>July-August 2005.</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Darling, Dan</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“Special Analysis:</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Al-Qaeda in Chechnya”</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Winds of Change.NET</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April 22, 2004</w:t>
      </w:r>
      <w:r w:rsidR="004555DB">
        <w:rPr>
          <w:rFonts w:ascii="Times New Roman" w:eastAsia="Calibri" w:hAnsi="Times New Roman"/>
          <w:noProof/>
          <w:lang w:bidi="ar-SA"/>
        </w:rPr>
        <w:t xml:space="preserve">.  </w:t>
      </w:r>
      <w:hyperlink r:id="rId19" w:history="1">
        <w:r w:rsidRPr="009E6480">
          <w:rPr>
            <w:rFonts w:ascii="Times New Roman" w:eastAsia="Calibri" w:hAnsi="Times New Roman"/>
            <w:noProof/>
            <w:color w:val="0000FF"/>
            <w:u w:val="single"/>
            <w:lang w:bidi="ar-SA"/>
          </w:rPr>
          <w:t>http://www.windsofchange.net/archives/special_analysis_alqaeda_in_chechnya-print.php</w:t>
        </w:r>
      </w:hyperlink>
    </w:p>
    <w:p w:rsidR="009E6480" w:rsidRDefault="009E6480" w:rsidP="009E6480">
      <w:pPr>
        <w:spacing w:line="240" w:lineRule="auto"/>
        <w:ind w:right="720"/>
        <w:contextualSpacing/>
        <w:rPr>
          <w:rFonts w:ascii="Times New Roman" w:eastAsia="Calibri" w:hAnsi="Times New Roman"/>
          <w:noProof/>
          <w:lang w:bidi="ar-SA"/>
        </w:rPr>
      </w:pPr>
    </w:p>
    <w:p w:rsidR="005F4A0F" w:rsidRDefault="005F4A0F" w:rsidP="005F4A0F">
      <w:pPr>
        <w:spacing w:line="240" w:lineRule="auto"/>
        <w:ind w:right="720"/>
        <w:contextualSpacing/>
        <w:rPr>
          <w:rFonts w:ascii="Times New Roman" w:eastAsia="Calibri" w:hAnsi="Times New Roman"/>
          <w:noProof/>
        </w:rPr>
      </w:pPr>
      <w:r w:rsidRPr="005F4A0F">
        <w:rPr>
          <w:rFonts w:ascii="Times New Roman" w:eastAsia="Calibri" w:hAnsi="Times New Roman"/>
          <w:noProof/>
        </w:rPr>
        <w:t>De Dreu CK, LL Greer, Van Kleef GA, S Shalvi, and MJ Handgraaf. 2011. "Oxytocin Promotes Human Ethnocentrism". </w:t>
      </w:r>
      <w:r w:rsidRPr="005F4A0F">
        <w:rPr>
          <w:rFonts w:ascii="Times New Roman" w:eastAsia="Calibri" w:hAnsi="Times New Roman"/>
          <w:i/>
          <w:iCs/>
          <w:noProof/>
        </w:rPr>
        <w:t>Proceedings of the National Academy of Sciences of the United States of America. </w:t>
      </w:r>
      <w:r w:rsidRPr="005F4A0F">
        <w:rPr>
          <w:rFonts w:ascii="Times New Roman" w:eastAsia="Calibri" w:hAnsi="Times New Roman"/>
          <w:noProof/>
        </w:rPr>
        <w:t>108, no. 4: 1262-6.</w:t>
      </w:r>
      <w:r>
        <w:rPr>
          <w:rFonts w:ascii="Times New Roman" w:eastAsia="Calibri" w:hAnsi="Times New Roman"/>
          <w:noProof/>
        </w:rPr>
        <w:t xml:space="preserve"> </w:t>
      </w:r>
    </w:p>
    <w:p w:rsidR="005F4A0F" w:rsidRPr="009E6480" w:rsidRDefault="005F4A0F"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de Zavala AG, A Cichocka, and M Bilewicz</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2013</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"The Paradox of in-Group Love: Differentiating Collective Narcissism Advances Understanding of the Relationship between in-Group and Out-Group Attitudes"</w:t>
      </w:r>
      <w:r w:rsidR="004555DB">
        <w:rPr>
          <w:rFonts w:ascii="Times New Roman" w:eastAsia="Calibri" w:hAnsi="Times New Roman"/>
          <w:noProof/>
          <w:lang w:bidi="ar-SA"/>
        </w:rPr>
        <w:t xml:space="preserve">.  </w:t>
      </w:r>
      <w:r w:rsidRPr="009E6480">
        <w:rPr>
          <w:rFonts w:ascii="Times New Roman" w:eastAsia="Calibri" w:hAnsi="Times New Roman"/>
          <w:i/>
          <w:noProof/>
          <w:lang w:bidi="ar-SA"/>
        </w:rPr>
        <w:t>Journal of Personality</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81, no</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1: 16-28.</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Defense Intelligence Agency</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Declassified October 1998 Intel Report</w:t>
      </w:r>
      <w:r w:rsidR="004555DB">
        <w:rPr>
          <w:rFonts w:ascii="Times New Roman" w:eastAsia="Calibri" w:hAnsi="Times New Roman"/>
          <w:noProof/>
          <w:lang w:bidi="ar-SA"/>
        </w:rPr>
        <w:t xml:space="preserve">.  </w:t>
      </w:r>
      <w:hyperlink r:id="rId20" w:history="1">
        <w:r w:rsidRPr="009E6480">
          <w:rPr>
            <w:rFonts w:ascii="Times New Roman" w:eastAsia="Calibri" w:hAnsi="Times New Roman"/>
            <w:noProof/>
            <w:color w:val="0000FF"/>
            <w:u w:val="single"/>
            <w:lang w:bidi="ar-SA"/>
          </w:rPr>
          <w:t>http://www.scribd.com/doc/136899500/DIA-IIR-2004-pdf</w:t>
        </w:r>
      </w:hyperlink>
      <w:r w:rsidRPr="009E6480">
        <w:rPr>
          <w:rFonts w:ascii="Times New Roman" w:eastAsia="Calibri" w:hAnsi="Times New Roman"/>
          <w:noProof/>
          <w:lang w:bidi="ar-SA"/>
        </w:rPr>
        <w:t xml:space="preserve"> (Accesssed 18 November 2015).</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Dickey, Christopher</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“Women of Al Qaeeda.”</w:t>
      </w:r>
      <w:r w:rsidR="004555DB">
        <w:rPr>
          <w:rFonts w:ascii="Times New Roman" w:eastAsia="Calibri" w:hAnsi="Times New Roman"/>
          <w:noProof/>
          <w:lang w:bidi="ar-SA"/>
        </w:rPr>
        <w:t xml:space="preserve"> </w:t>
      </w:r>
      <w:r w:rsidRPr="009E6480">
        <w:rPr>
          <w:rFonts w:ascii="Times New Roman" w:eastAsia="Calibri" w:hAnsi="Times New Roman"/>
          <w:i/>
          <w:noProof/>
          <w:lang w:bidi="ar-SA"/>
        </w:rPr>
        <w:t>Newsweek</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December 12, 2005</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Page 26.</w:t>
      </w:r>
    </w:p>
    <w:p w:rsidR="00385FB3" w:rsidRDefault="00385FB3" w:rsidP="009E6480">
      <w:pPr>
        <w:spacing w:line="240" w:lineRule="auto"/>
        <w:ind w:right="720"/>
        <w:contextualSpacing/>
        <w:rPr>
          <w:rFonts w:ascii="Times New Roman" w:eastAsia="Calibri" w:hAnsi="Times New Roman"/>
          <w:noProof/>
          <w:lang w:bidi="ar-SA"/>
        </w:rPr>
      </w:pPr>
    </w:p>
    <w:p w:rsidR="00385FB3" w:rsidRPr="009E6480" w:rsidRDefault="00385FB3" w:rsidP="00385FB3">
      <w:pPr>
        <w:spacing w:line="240" w:lineRule="auto"/>
        <w:ind w:right="720"/>
        <w:contextualSpacing/>
        <w:rPr>
          <w:rFonts w:ascii="Times New Roman" w:eastAsia="Calibri" w:hAnsi="Times New Roman"/>
          <w:noProof/>
          <w:lang w:bidi="ar-SA"/>
        </w:rPr>
      </w:pPr>
      <w:r w:rsidRPr="00385FB3">
        <w:rPr>
          <w:rFonts w:ascii="Times New Roman" w:eastAsia="Calibri" w:hAnsi="Times New Roman"/>
          <w:bCs/>
          <w:iCs/>
          <w:noProof/>
        </w:rPr>
        <w:t xml:space="preserve">Dillard, James Price.  “Use of Narrative in Promoting and Countering Violent Extremism.”  In </w:t>
      </w:r>
      <w:r w:rsidRPr="00385FB3">
        <w:rPr>
          <w:rFonts w:ascii="Times New Roman" w:eastAsia="Calibri" w:hAnsi="Times New Roman"/>
          <w:iCs/>
          <w:noProof/>
        </w:rPr>
        <w:t xml:space="preserve">Chapman, Abigail and Janice Adelman.  </w:t>
      </w:r>
      <w:r w:rsidRPr="00385FB3">
        <w:rPr>
          <w:rFonts w:ascii="Times New Roman" w:eastAsia="Calibri" w:hAnsi="Times New Roman"/>
          <w:i/>
          <w:iCs/>
          <w:noProof/>
        </w:rPr>
        <w:t>Influencing Violent Extremist Organizations Pilot Effort: Focus on Al Qaeda in the Arabian Peninsula (AQAP).</w:t>
      </w:r>
      <w:r w:rsidRPr="00385FB3">
        <w:rPr>
          <w:rFonts w:ascii="Times New Roman" w:eastAsia="Calibri" w:hAnsi="Times New Roman"/>
          <w:iCs/>
          <w:noProof/>
        </w:rPr>
        <w:t xml:space="preserve">  Strategic Multi-Layer Assessment Office.  2011.  </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Dolnik, Adam</w:t>
      </w:r>
      <w:r w:rsidR="004555DB">
        <w:rPr>
          <w:rFonts w:ascii="Times New Roman" w:eastAsia="Calibri" w:hAnsi="Times New Roman"/>
          <w:noProof/>
          <w:lang w:bidi="ar-SA"/>
        </w:rPr>
        <w:t xml:space="preserve">.  </w:t>
      </w:r>
      <w:r w:rsidRPr="009E6480">
        <w:rPr>
          <w:rFonts w:ascii="Times New Roman" w:eastAsia="Calibri" w:hAnsi="Times New Roman"/>
          <w:i/>
          <w:noProof/>
          <w:lang w:bidi="ar-SA"/>
        </w:rPr>
        <w:t>Understanding Terrorist Innovation Technology, Tactics and Global Trends</w:t>
      </w:r>
      <w:r w:rsidR="004555DB">
        <w:rPr>
          <w:rFonts w:ascii="Times New Roman" w:eastAsia="Calibri" w:hAnsi="Times New Roman"/>
          <w:i/>
          <w:noProof/>
          <w:lang w:bidi="ar-SA"/>
        </w:rPr>
        <w:t xml:space="preserve">.  </w:t>
      </w:r>
      <w:r w:rsidRPr="009E6480">
        <w:rPr>
          <w:rFonts w:ascii="Times New Roman" w:eastAsia="Calibri" w:hAnsi="Times New Roman"/>
          <w:noProof/>
          <w:lang w:bidi="ar-SA"/>
        </w:rPr>
        <w:t>Contemporary terrorism series</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London: Routledge, 2007.</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Dobrot, Lawrence Andrew</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“The Global War on Terrorism:</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A Religious War?”</w:t>
      </w:r>
      <w:r w:rsidR="004555DB">
        <w:rPr>
          <w:rFonts w:ascii="Times New Roman" w:eastAsia="Calibri" w:hAnsi="Times New Roman"/>
          <w:noProof/>
          <w:lang w:bidi="ar-SA"/>
        </w:rPr>
        <w:t xml:space="preserve"> </w:t>
      </w:r>
      <w:r w:rsidRPr="009E6480">
        <w:rPr>
          <w:rFonts w:ascii="Times New Roman" w:eastAsia="Calibri" w:hAnsi="Times New Roman"/>
          <w:i/>
          <w:noProof/>
          <w:lang w:bidi="ar-SA"/>
        </w:rPr>
        <w:t>Carlisle Paper in Security Strategy</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Nov 29, 2007</w:t>
      </w:r>
      <w:r w:rsidR="004555DB">
        <w:rPr>
          <w:rFonts w:ascii="Times New Roman" w:eastAsia="Calibri" w:hAnsi="Times New Roman"/>
          <w:noProof/>
          <w:lang w:bidi="ar-SA"/>
        </w:rPr>
        <w:t xml:space="preserve">.  </w:t>
      </w:r>
    </w:p>
    <w:p w:rsidR="009E6480" w:rsidRPr="009E6480" w:rsidRDefault="00C35D4A" w:rsidP="009E6480">
      <w:pPr>
        <w:spacing w:line="240" w:lineRule="auto"/>
        <w:ind w:right="720"/>
        <w:contextualSpacing/>
        <w:rPr>
          <w:rFonts w:ascii="Times New Roman" w:eastAsia="Calibri" w:hAnsi="Times New Roman"/>
          <w:noProof/>
          <w:lang w:bidi="ar-SA"/>
        </w:rPr>
      </w:pPr>
      <w:hyperlink r:id="rId21" w:history="1">
        <w:r w:rsidR="009E6480" w:rsidRPr="009E6480">
          <w:rPr>
            <w:rFonts w:ascii="Times New Roman" w:eastAsia="Calibri" w:hAnsi="Times New Roman"/>
            <w:b/>
            <w:bCs/>
            <w:noProof/>
            <w:color w:val="0000FF"/>
            <w:u w:val="single"/>
            <w:lang w:bidi="ar-SA"/>
          </w:rPr>
          <w:t>http://www.strategicstudiesinstitute.army.mil/pdffiles/pub822.pdf</w:t>
        </w:r>
      </w:hyperlink>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090501">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Du Plessis, Erik (2011-02-03)</w:t>
      </w:r>
      <w:r w:rsidR="004555DB">
        <w:rPr>
          <w:rFonts w:ascii="Times New Roman" w:eastAsia="Calibri" w:hAnsi="Times New Roman"/>
          <w:noProof/>
          <w:lang w:bidi="ar-SA"/>
        </w:rPr>
        <w:t xml:space="preserve">.  </w:t>
      </w:r>
      <w:r w:rsidRPr="009E6480">
        <w:rPr>
          <w:rFonts w:ascii="Times New Roman" w:eastAsia="Calibri" w:hAnsi="Times New Roman"/>
          <w:i/>
          <w:noProof/>
          <w:lang w:bidi="ar-SA"/>
        </w:rPr>
        <w:t xml:space="preserve">The </w:t>
      </w:r>
      <w:r w:rsidR="00090501">
        <w:rPr>
          <w:rFonts w:ascii="Times New Roman" w:eastAsia="Calibri" w:hAnsi="Times New Roman"/>
          <w:i/>
          <w:noProof/>
          <w:lang w:bidi="ar-SA"/>
        </w:rPr>
        <w:t>Branded</w:t>
      </w:r>
      <w:r w:rsidRPr="009E6480">
        <w:rPr>
          <w:rFonts w:ascii="Times New Roman" w:eastAsia="Calibri" w:hAnsi="Times New Roman"/>
          <w:i/>
          <w:noProof/>
          <w:lang w:bidi="ar-SA"/>
        </w:rPr>
        <w:t xml:space="preserve"> Mind: What Neuroscience Really Tells Us About the Puzzle of the Brain and the </w:t>
      </w:r>
      <w:r w:rsidR="00551DC8">
        <w:rPr>
          <w:rFonts w:ascii="Times New Roman" w:eastAsia="Calibri" w:hAnsi="Times New Roman"/>
          <w:i/>
          <w:noProof/>
          <w:lang w:bidi="ar-SA"/>
        </w:rPr>
        <w:t>Value</w:t>
      </w:r>
      <w:r w:rsidR="004555DB">
        <w:rPr>
          <w:rFonts w:ascii="Times New Roman" w:eastAsia="Calibri" w:hAnsi="Times New Roman"/>
          <w:i/>
          <w:noProof/>
          <w:lang w:bidi="ar-SA"/>
        </w:rPr>
        <w:t xml:space="preserve">.  </w:t>
      </w:r>
      <w:r w:rsidRPr="009E6480">
        <w:rPr>
          <w:rFonts w:ascii="Times New Roman" w:eastAsia="Calibri" w:hAnsi="Times New Roman"/>
          <w:noProof/>
          <w:lang w:bidi="ar-SA"/>
        </w:rPr>
        <w:t>Kogan Page</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Kindle Edition.</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Eisenberg, Laurie</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"History Revisited or Revamped? The Maronite Factor in Israel's 1982 Invasion of Lebanon." </w:t>
      </w:r>
      <w:r w:rsidRPr="009E6480">
        <w:rPr>
          <w:rFonts w:ascii="Times New Roman" w:eastAsia="Calibri" w:hAnsi="Times New Roman"/>
          <w:i/>
          <w:iCs/>
          <w:noProof/>
          <w:lang w:bidi="ar-SA"/>
        </w:rPr>
        <w:t>Israel Affairs</w:t>
      </w:r>
      <w:r w:rsidRPr="009E6480">
        <w:rPr>
          <w:rFonts w:ascii="Times New Roman" w:eastAsia="Calibri" w:hAnsi="Times New Roman"/>
          <w:noProof/>
          <w:lang w:bidi="ar-SA"/>
        </w:rPr>
        <w:t> 15, no</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4 (October 2009): 372-396</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Academic Search Premier</w:t>
      </w:r>
      <w:r w:rsidRPr="009E6480">
        <w:rPr>
          <w:rFonts w:ascii="Times New Roman" w:eastAsia="Calibri" w:hAnsi="Times New Roman"/>
          <w:noProof/>
          <w:lang w:bidi="ar-SA"/>
        </w:rPr>
        <w:t>, EBSCO</w:t>
      </w:r>
      <w:r w:rsidRPr="009E6480">
        <w:rPr>
          <w:rFonts w:ascii="Times New Roman" w:eastAsia="Calibri" w:hAnsi="Times New Roman"/>
          <w:i/>
          <w:iCs/>
          <w:noProof/>
          <w:lang w:bidi="ar-SA"/>
        </w:rPr>
        <w:t>host</w:t>
      </w:r>
      <w:r w:rsidRPr="009E6480">
        <w:rPr>
          <w:rFonts w:ascii="Times New Roman" w:eastAsia="Calibri" w:hAnsi="Times New Roman"/>
          <w:noProof/>
          <w:lang w:bidi="ar-SA"/>
        </w:rPr>
        <w:t>(accessed October 1, 2012).</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Ellis, Thomas E</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Cognition and Suicide: Theory, Research, and Therapy</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Washington, DC: American Psychological Association, 2006.</w:t>
      </w:r>
    </w:p>
    <w:p w:rsidR="009E6480" w:rsidRDefault="009E6480" w:rsidP="009E6480">
      <w:pPr>
        <w:spacing w:line="240" w:lineRule="auto"/>
        <w:ind w:right="720"/>
        <w:contextualSpacing/>
        <w:rPr>
          <w:rFonts w:ascii="Times New Roman" w:eastAsia="Calibri" w:hAnsi="Times New Roman"/>
          <w:noProof/>
          <w:lang w:bidi="ar-SA"/>
        </w:rPr>
      </w:pPr>
    </w:p>
    <w:p w:rsidR="00B75C88" w:rsidRDefault="00B75C88" w:rsidP="00B75C88">
      <w:pPr>
        <w:spacing w:line="240" w:lineRule="auto"/>
        <w:ind w:right="720"/>
        <w:contextualSpacing/>
        <w:rPr>
          <w:rFonts w:ascii="Times New Roman" w:eastAsia="Calibri" w:hAnsi="Times New Roman"/>
          <w:noProof/>
        </w:rPr>
      </w:pPr>
      <w:r w:rsidRPr="00B75C88">
        <w:rPr>
          <w:rFonts w:ascii="Times New Roman" w:eastAsia="Calibri" w:hAnsi="Times New Roman"/>
          <w:noProof/>
        </w:rPr>
        <w:t>Elster, Jon, and Jon Elster. </w:t>
      </w:r>
      <w:r w:rsidRPr="00B75C88">
        <w:rPr>
          <w:rFonts w:ascii="Times New Roman" w:eastAsia="Calibri" w:hAnsi="Times New Roman"/>
          <w:i/>
          <w:iCs/>
          <w:noProof/>
        </w:rPr>
        <w:t>Explaining Social Behavior: More Nuts and Bolts for the Social Sciences</w:t>
      </w:r>
      <w:r w:rsidRPr="00B75C88">
        <w:rPr>
          <w:rFonts w:ascii="Times New Roman" w:eastAsia="Calibri" w:hAnsi="Times New Roman"/>
          <w:noProof/>
        </w:rPr>
        <w:t>. Cambridge: Cambri</w:t>
      </w:r>
      <w:r>
        <w:rPr>
          <w:rFonts w:ascii="Times New Roman" w:eastAsia="Calibri" w:hAnsi="Times New Roman"/>
          <w:noProof/>
        </w:rPr>
        <w:t xml:space="preserve">dge University Press, 2007. </w:t>
      </w:r>
    </w:p>
    <w:p w:rsidR="00B75C88" w:rsidRPr="009E6480" w:rsidRDefault="00B75C88"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Fair, C</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Christine</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Urban Battle Fields of South Asia Lessons Learned from Sri Lanka, India, and Pakistan</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Santa Monica, CA: Rand, 2004</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&lt;http://site.ebrary.com/id/10152605&gt;</w:t>
      </w:r>
      <w:r w:rsidR="004555DB">
        <w:rPr>
          <w:rFonts w:ascii="Times New Roman" w:eastAsia="Calibri" w:hAnsi="Times New Roman"/>
          <w:noProof/>
          <w:lang w:bidi="ar-SA"/>
        </w:rPr>
        <w:t xml:space="preserve">.  </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Faramarzi, Schererezade</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“Girl Who Drove Car Bomb First Sent Mother Present.”</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The Associated Press</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International News</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April 12, 1985, PM cycle.</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Fatah, Sonya</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“Why the Disabled do Taliban’s Deadly Work; with so Few Rehabilitation Services Available, Suicide Attacks Can Offer Easy Escape.”</w:t>
      </w:r>
      <w:r w:rsidR="004555DB">
        <w:rPr>
          <w:rFonts w:ascii="Times New Roman" w:eastAsia="Calibri" w:hAnsi="Times New Roman"/>
          <w:noProof/>
          <w:lang w:bidi="ar-SA"/>
        </w:rPr>
        <w:t xml:space="preserve"> </w:t>
      </w:r>
      <w:r w:rsidRPr="009E6480">
        <w:rPr>
          <w:rFonts w:ascii="Times New Roman" w:eastAsia="Calibri" w:hAnsi="Times New Roman"/>
          <w:i/>
          <w:noProof/>
          <w:lang w:bidi="ar-SA"/>
        </w:rPr>
        <w:t>The Globe and Mail</w:t>
      </w:r>
      <w:r w:rsidR="004555DB">
        <w:rPr>
          <w:rFonts w:ascii="Times New Roman" w:eastAsia="Calibri" w:hAnsi="Times New Roman"/>
          <w:i/>
          <w:noProof/>
          <w:lang w:bidi="ar-SA"/>
        </w:rPr>
        <w:t xml:space="preserve">.  </w:t>
      </w:r>
      <w:r w:rsidRPr="009E6480">
        <w:rPr>
          <w:rFonts w:ascii="Times New Roman" w:eastAsia="Calibri" w:hAnsi="Times New Roman"/>
          <w:noProof/>
          <w:lang w:bidi="ar-SA"/>
        </w:rPr>
        <w:t>7 May, 2007</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Page A1.</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Feldman, Shai, and Heda Rechnitz-Kijner</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Deception, Consensus, and War: Israel in Lebanon</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[Tel Aviv]: Tel Aviv University, 1984.</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Felter, Joseph and Brian Fishman</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“Al Qa’ida’s Foreign Fighters in Iraq:</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 xml:space="preserve">A First Look at the Sinjar Records.” </w:t>
      </w:r>
      <w:r w:rsidRPr="009E6480">
        <w:rPr>
          <w:rFonts w:ascii="Times New Roman" w:eastAsia="Calibri" w:hAnsi="Times New Roman"/>
          <w:i/>
          <w:noProof/>
          <w:lang w:bidi="ar-SA"/>
        </w:rPr>
        <w:t>Combating Terrorism Center</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19 December, 2007</w:t>
      </w:r>
      <w:r w:rsidR="004555DB">
        <w:rPr>
          <w:rFonts w:ascii="Times New Roman" w:eastAsia="Calibri" w:hAnsi="Times New Roman"/>
          <w:noProof/>
          <w:lang w:bidi="ar-SA"/>
        </w:rPr>
        <w:t xml:space="preserve">.  </w:t>
      </w:r>
      <w:hyperlink r:id="rId22" w:history="1">
        <w:r w:rsidRPr="009E6480">
          <w:rPr>
            <w:rFonts w:ascii="Times New Roman" w:eastAsia="Calibri" w:hAnsi="Times New Roman"/>
            <w:noProof/>
            <w:color w:val="0000FF"/>
            <w:u w:val="single"/>
            <w:lang w:bidi="ar-SA"/>
          </w:rPr>
          <w:t>http://ctc.usma.edu/harmony/pdf/CTCForeignFighter.19.Dec07.pdf</w:t>
        </w:r>
      </w:hyperlink>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i/>
          <w:iCs/>
          <w:noProof/>
          <w:lang w:bidi="ar-SA"/>
        </w:rPr>
        <w:t>Female Suicide Bombers:</w:t>
      </w:r>
      <w:r w:rsidR="004555DB">
        <w:rPr>
          <w:rFonts w:ascii="Times New Roman" w:eastAsia="Calibri" w:hAnsi="Times New Roman"/>
          <w:i/>
          <w:iCs/>
          <w:noProof/>
          <w:lang w:bidi="ar-SA"/>
        </w:rPr>
        <w:t xml:space="preserve"> </w:t>
      </w:r>
      <w:r w:rsidRPr="009E6480">
        <w:rPr>
          <w:rFonts w:ascii="Times New Roman" w:eastAsia="Calibri" w:hAnsi="Times New Roman"/>
          <w:i/>
          <w:iCs/>
          <w:noProof/>
          <w:lang w:bidi="ar-SA"/>
        </w:rPr>
        <w:t>Dying for Equality</w:t>
      </w:r>
      <w:r w:rsidRPr="009E6480">
        <w:rPr>
          <w:rFonts w:ascii="Times New Roman" w:eastAsia="Calibri" w:hAnsi="Times New Roman"/>
          <w:noProof/>
          <w:lang w:bidi="ar-SA"/>
        </w:rPr>
        <w:t>?</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Edited by Yoram Schweitzer</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Jaffee Center for Strategic Studies, Tel Aviv University</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August 2006</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Memorandum No</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84.</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Firestone, Reuven</w:t>
      </w:r>
      <w:r w:rsidR="004555DB">
        <w:rPr>
          <w:rFonts w:ascii="Times New Roman" w:eastAsia="Calibri" w:hAnsi="Times New Roman"/>
          <w:noProof/>
          <w:lang w:bidi="ar-SA"/>
        </w:rPr>
        <w:t xml:space="preserve">.  </w:t>
      </w:r>
      <w:r w:rsidRPr="009E6480">
        <w:rPr>
          <w:rFonts w:ascii="Times New Roman" w:eastAsia="Calibri" w:hAnsi="Times New Roman"/>
          <w:i/>
          <w:noProof/>
          <w:lang w:bidi="ar-SA"/>
        </w:rPr>
        <w:t>Jihad – Origins of Holy War in Islam</w:t>
      </w:r>
      <w:r w:rsidR="004555DB">
        <w:rPr>
          <w:rFonts w:ascii="Times New Roman" w:eastAsia="Calibri" w:hAnsi="Times New Roman"/>
          <w:i/>
          <w:noProof/>
          <w:lang w:bidi="ar-SA"/>
        </w:rPr>
        <w:t xml:space="preserve">.  </w:t>
      </w:r>
      <w:r w:rsidRPr="009E6480">
        <w:rPr>
          <w:rFonts w:ascii="Times New Roman" w:eastAsia="Calibri" w:hAnsi="Times New Roman"/>
          <w:noProof/>
          <w:lang w:bidi="ar-SA"/>
        </w:rPr>
        <w:t>New York:</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Oxford University Press, 1999.</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Forest, James J</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F</w:t>
      </w:r>
      <w:r w:rsidR="004555DB">
        <w:rPr>
          <w:rFonts w:ascii="Times New Roman" w:eastAsia="Calibri" w:hAnsi="Times New Roman"/>
          <w:noProof/>
          <w:lang w:bidi="ar-SA"/>
        </w:rPr>
        <w:t xml:space="preserve">.  </w:t>
      </w:r>
      <w:r w:rsidRPr="009E6480">
        <w:rPr>
          <w:rFonts w:ascii="Times New Roman" w:eastAsia="Calibri" w:hAnsi="Times New Roman"/>
          <w:i/>
          <w:noProof/>
          <w:lang w:bidi="ar-SA"/>
        </w:rPr>
        <w:t>The Making of a Terrorist Recruitment, Training, and Root Causes</w:t>
      </w:r>
      <w:r w:rsidR="004555DB">
        <w:rPr>
          <w:rFonts w:ascii="Times New Roman" w:eastAsia="Calibri" w:hAnsi="Times New Roman"/>
          <w:i/>
          <w:noProof/>
          <w:lang w:bidi="ar-SA"/>
        </w:rPr>
        <w:t xml:space="preserve">.  </w:t>
      </w:r>
      <w:r w:rsidRPr="009E6480">
        <w:rPr>
          <w:rFonts w:ascii="Times New Roman" w:eastAsia="Calibri" w:hAnsi="Times New Roman"/>
          <w:noProof/>
          <w:lang w:bidi="ar-SA"/>
        </w:rPr>
        <w:t>Westport, Conn: Praeger Security International, 2006.</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Freedberg Jr., Sydney J</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“The New Iraqi Way of War.”</w:t>
      </w:r>
      <w:r w:rsidR="004555DB">
        <w:rPr>
          <w:rFonts w:ascii="Times New Roman" w:eastAsia="Calibri" w:hAnsi="Times New Roman"/>
          <w:noProof/>
          <w:lang w:bidi="ar-SA"/>
        </w:rPr>
        <w:t xml:space="preserve"> </w:t>
      </w:r>
      <w:r w:rsidRPr="009E6480">
        <w:rPr>
          <w:rFonts w:ascii="Times New Roman" w:eastAsia="Calibri" w:hAnsi="Times New Roman"/>
          <w:i/>
          <w:noProof/>
          <w:lang w:bidi="ar-SA"/>
        </w:rPr>
        <w:t>National Journal</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8 June, 2007</w:t>
      </w:r>
      <w:r w:rsidR="004555DB">
        <w:rPr>
          <w:rFonts w:ascii="Times New Roman" w:eastAsia="Calibri" w:hAnsi="Times New Roman"/>
          <w:noProof/>
          <w:lang w:bidi="ar-SA"/>
        </w:rPr>
        <w:t xml:space="preserve">.  </w:t>
      </w:r>
      <w:hyperlink r:id="rId23" w:tooltip="http://nationaljournal.com/njcover2.htm" w:history="1">
        <w:r w:rsidRPr="009E6480">
          <w:rPr>
            <w:rFonts w:ascii="Times New Roman" w:eastAsia="Calibri" w:hAnsi="Times New Roman"/>
            <w:noProof/>
            <w:color w:val="0000FF"/>
            <w:u w:val="single"/>
            <w:lang w:bidi="ar-SA"/>
          </w:rPr>
          <w:t>http://nationaljournal.com/njcover2.htm#</w:t>
        </w:r>
      </w:hyperlink>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Frayer, Lauren</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“Iraqi Prime Minister Says Bombings and Suicide Attacks have Dropped Sharply in Baghdad.”</w:t>
      </w:r>
      <w:r w:rsidR="004555DB">
        <w:rPr>
          <w:rFonts w:ascii="Times New Roman" w:eastAsia="Calibri" w:hAnsi="Times New Roman"/>
          <w:noProof/>
          <w:lang w:bidi="ar-SA"/>
        </w:rPr>
        <w:t xml:space="preserve"> </w:t>
      </w:r>
      <w:r w:rsidRPr="009E6480">
        <w:rPr>
          <w:rFonts w:ascii="Times New Roman" w:eastAsia="Calibri" w:hAnsi="Times New Roman"/>
          <w:i/>
          <w:noProof/>
          <w:lang w:bidi="ar-SA"/>
        </w:rPr>
        <w:t>Associated Press</w:t>
      </w:r>
      <w:r w:rsidR="004555DB">
        <w:rPr>
          <w:rFonts w:ascii="Times New Roman" w:eastAsia="Calibri" w:hAnsi="Times New Roman"/>
          <w:i/>
          <w:noProof/>
          <w:lang w:bidi="ar-SA"/>
        </w:rPr>
        <w:t xml:space="preserve">.  </w:t>
      </w:r>
      <w:r w:rsidRPr="009E6480">
        <w:rPr>
          <w:rFonts w:ascii="Times New Roman" w:eastAsia="Calibri" w:hAnsi="Times New Roman"/>
          <w:noProof/>
          <w:lang w:bidi="ar-SA"/>
        </w:rPr>
        <w:t>12 November, 2007</w:t>
      </w:r>
      <w:r w:rsidR="004555DB">
        <w:rPr>
          <w:rFonts w:ascii="Times New Roman" w:eastAsia="Calibri" w:hAnsi="Times New Roman"/>
          <w:noProof/>
          <w:lang w:bidi="ar-SA"/>
        </w:rPr>
        <w:t xml:space="preserve">.  </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lastRenderedPageBreak/>
        <w:t>Friedman, Thomas L</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“Inside the Palestinian Bunker.”</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The New York Times</w:t>
      </w:r>
      <w:r w:rsidR="004555DB">
        <w:rPr>
          <w:rFonts w:ascii="Times New Roman" w:eastAsia="Calibri" w:hAnsi="Times New Roman"/>
          <w:i/>
          <w:iCs/>
          <w:noProof/>
          <w:lang w:bidi="ar-SA"/>
        </w:rPr>
        <w:t xml:space="preserve">.  </w:t>
      </w:r>
      <w:r w:rsidRPr="009E6480">
        <w:rPr>
          <w:rFonts w:ascii="Times New Roman" w:eastAsia="Calibri" w:hAnsi="Times New Roman"/>
          <w:noProof/>
          <w:lang w:bidi="ar-SA"/>
        </w:rPr>
        <w:t>December 15, 1985</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Lexis Nexis Academic</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(Accessed October 14, 2012).</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Fromm, Erich</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“Individual and Social Narcissism.”</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From Sadler, William Alan</w:t>
      </w:r>
      <w:r w:rsidR="004555DB">
        <w:rPr>
          <w:rFonts w:ascii="Times New Roman" w:eastAsia="Calibri" w:hAnsi="Times New Roman"/>
          <w:noProof/>
          <w:lang w:bidi="ar-SA"/>
        </w:rPr>
        <w:t xml:space="preserve">.  </w:t>
      </w:r>
      <w:r w:rsidRPr="009E6480">
        <w:rPr>
          <w:rFonts w:ascii="Times New Roman" w:eastAsia="Calibri" w:hAnsi="Times New Roman"/>
          <w:i/>
          <w:noProof/>
          <w:lang w:bidi="ar-SA"/>
        </w:rPr>
        <w:t>Personality and Religion; the Role of Religion in Personality Development</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New York: Harper &amp; Row, 1970</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117-134.</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Gall, Carlotta</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“To Expand, Al Qaeda Looks to Locals.”</w:t>
      </w:r>
      <w:r w:rsidR="004555DB">
        <w:rPr>
          <w:rFonts w:ascii="Times New Roman" w:eastAsia="Calibri" w:hAnsi="Times New Roman"/>
          <w:noProof/>
          <w:lang w:bidi="ar-SA"/>
        </w:rPr>
        <w:t xml:space="preserve"> </w:t>
      </w:r>
      <w:r w:rsidRPr="009E6480">
        <w:rPr>
          <w:rFonts w:ascii="Times New Roman" w:eastAsia="Calibri" w:hAnsi="Times New Roman"/>
          <w:i/>
          <w:noProof/>
          <w:lang w:bidi="ar-SA"/>
        </w:rPr>
        <w:t>The International Herald Tribune</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December 21, 2007;</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News; pg</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1.</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Gamel, Kim</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 xml:space="preserve">“Suicide Truck Bomber strikes in mainly </w:t>
      </w:r>
      <w:r w:rsidR="00D418E4">
        <w:rPr>
          <w:rFonts w:ascii="Times New Roman" w:eastAsia="Calibri" w:hAnsi="Times New Roman"/>
          <w:noProof/>
          <w:lang w:bidi="ar-SA"/>
        </w:rPr>
        <w:t>Shia</w:t>
      </w:r>
      <w:r w:rsidRPr="009E6480">
        <w:rPr>
          <w:rFonts w:ascii="Times New Roman" w:eastAsia="Calibri" w:hAnsi="Times New Roman"/>
          <w:noProof/>
          <w:lang w:bidi="ar-SA"/>
        </w:rPr>
        <w:t xml:space="preserve"> area in Baghdad, killing more than 100 people.”</w:t>
      </w:r>
      <w:r w:rsidR="004555DB">
        <w:rPr>
          <w:rFonts w:ascii="Times New Roman" w:eastAsia="Calibri" w:hAnsi="Times New Roman"/>
          <w:noProof/>
          <w:lang w:bidi="ar-SA"/>
        </w:rPr>
        <w:t xml:space="preserve"> </w:t>
      </w:r>
      <w:r w:rsidRPr="009E6480">
        <w:rPr>
          <w:rFonts w:ascii="Times New Roman" w:eastAsia="Calibri" w:hAnsi="Times New Roman"/>
          <w:i/>
          <w:noProof/>
          <w:lang w:bidi="ar-SA"/>
        </w:rPr>
        <w:t>Associated Press Worldstream</w:t>
      </w:r>
      <w:r w:rsidR="004555DB">
        <w:rPr>
          <w:rFonts w:ascii="Times New Roman" w:eastAsia="Calibri" w:hAnsi="Times New Roman"/>
          <w:i/>
          <w:noProof/>
          <w:lang w:bidi="ar-SA"/>
        </w:rPr>
        <w:t xml:space="preserve">.  </w:t>
      </w:r>
      <w:r w:rsidRPr="009E6480">
        <w:rPr>
          <w:rFonts w:ascii="Times New Roman" w:eastAsia="Calibri" w:hAnsi="Times New Roman"/>
          <w:noProof/>
          <w:lang w:bidi="ar-SA"/>
        </w:rPr>
        <w:t>3 February, 2007.</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Ghosh, Bobby</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“Inside the Mind of an Iraqi Suicide Bomber.”</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Time</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26 June, 2005</w:t>
      </w:r>
      <w:r w:rsidR="004555DB">
        <w:rPr>
          <w:rFonts w:ascii="Times New Roman" w:eastAsia="Calibri" w:hAnsi="Times New Roman"/>
          <w:noProof/>
          <w:lang w:bidi="ar-SA"/>
        </w:rPr>
        <w:t xml:space="preserve">.  </w:t>
      </w:r>
      <w:hyperlink r:id="rId24" w:history="1">
        <w:r w:rsidRPr="009E6480">
          <w:rPr>
            <w:rFonts w:ascii="Times New Roman" w:eastAsia="Calibri" w:hAnsi="Times New Roman"/>
            <w:noProof/>
            <w:color w:val="0000FF"/>
            <w:u w:val="single"/>
            <w:lang w:bidi="ar-SA"/>
          </w:rPr>
          <w:t>http://content.time.com/time/magazine/article/0,9171,1077288,00.html</w:t>
        </w:r>
      </w:hyperlink>
      <w:r w:rsidRPr="009E6480">
        <w:rPr>
          <w:rFonts w:ascii="Times New Roman" w:eastAsia="Calibri" w:hAnsi="Times New Roman"/>
          <w:noProof/>
          <w:lang w:bidi="ar-SA"/>
        </w:rPr>
        <w:t xml:space="preserve"> (Accessed 27 November 2015).</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Ghosh, Bobby</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“Professor of Death.”</w:t>
      </w:r>
      <w:r w:rsidR="004555DB">
        <w:rPr>
          <w:rFonts w:ascii="Times New Roman" w:eastAsia="Calibri" w:hAnsi="Times New Roman"/>
          <w:noProof/>
          <w:lang w:bidi="ar-SA"/>
        </w:rPr>
        <w:t xml:space="preserve"> </w:t>
      </w:r>
      <w:r w:rsidRPr="009E6480">
        <w:rPr>
          <w:rFonts w:ascii="Times New Roman" w:eastAsia="Calibri" w:hAnsi="Times New Roman"/>
          <w:i/>
          <w:noProof/>
          <w:lang w:bidi="ar-SA"/>
        </w:rPr>
        <w:t>Time</w:t>
      </w:r>
      <w:r w:rsidR="004555DB">
        <w:rPr>
          <w:rFonts w:ascii="Times New Roman" w:eastAsia="Calibri" w:hAnsi="Times New Roman"/>
          <w:i/>
          <w:noProof/>
          <w:lang w:bidi="ar-SA"/>
        </w:rPr>
        <w:t xml:space="preserve">.  </w:t>
      </w:r>
      <w:r w:rsidRPr="009E6480">
        <w:rPr>
          <w:rFonts w:ascii="Times New Roman" w:eastAsia="Calibri" w:hAnsi="Times New Roman"/>
          <w:noProof/>
          <w:lang w:bidi="ar-SA"/>
        </w:rPr>
        <w:t>17 October 2005</w:t>
      </w:r>
      <w:r w:rsidR="004555DB">
        <w:rPr>
          <w:rFonts w:ascii="Times New Roman" w:eastAsia="Calibri" w:hAnsi="Times New Roman"/>
          <w:noProof/>
          <w:lang w:bidi="ar-SA"/>
        </w:rPr>
        <w:t xml:space="preserve">.  </w:t>
      </w:r>
      <w:hyperlink r:id="rId25" w:history="1">
        <w:r w:rsidRPr="009E6480">
          <w:rPr>
            <w:rFonts w:ascii="Times New Roman" w:eastAsia="Calibri" w:hAnsi="Times New Roman"/>
            <w:noProof/>
            <w:color w:val="0000FF"/>
            <w:u w:val="single"/>
            <w:lang w:bidi="ar-SA"/>
          </w:rPr>
          <w:t>http://content.time.com/time/magazine/article/0,9171,1118370,00.html</w:t>
        </w:r>
      </w:hyperlink>
      <w:r w:rsidRPr="009E6480">
        <w:rPr>
          <w:rFonts w:ascii="Times New Roman" w:eastAsia="Calibri" w:hAnsi="Times New Roman"/>
          <w:noProof/>
          <w:lang w:bidi="ar-SA"/>
        </w:rPr>
        <w:t xml:space="preserve"> (Accessed 27 November 2015).</w:t>
      </w:r>
    </w:p>
    <w:p w:rsidR="009E6480" w:rsidRDefault="009E6480" w:rsidP="009E6480">
      <w:pPr>
        <w:spacing w:line="240" w:lineRule="auto"/>
        <w:ind w:right="720"/>
        <w:contextualSpacing/>
        <w:rPr>
          <w:rFonts w:ascii="Times New Roman" w:eastAsia="Calibri" w:hAnsi="Times New Roman"/>
          <w:noProof/>
          <w:lang w:bidi="ar-SA"/>
        </w:rPr>
      </w:pPr>
    </w:p>
    <w:p w:rsidR="00090501" w:rsidRDefault="00090501" w:rsidP="00090501">
      <w:pPr>
        <w:spacing w:line="240" w:lineRule="auto"/>
        <w:ind w:right="720"/>
        <w:contextualSpacing/>
        <w:rPr>
          <w:rFonts w:ascii="Times New Roman" w:eastAsia="Calibri" w:hAnsi="Times New Roman"/>
          <w:noProof/>
        </w:rPr>
      </w:pPr>
      <w:r w:rsidRPr="00090501">
        <w:rPr>
          <w:rFonts w:ascii="Times New Roman" w:eastAsia="Calibri" w:hAnsi="Times New Roman"/>
          <w:noProof/>
        </w:rPr>
        <w:t>Gill, Paul. 2012. "Terrorist Violence and the Contextual, Facilitative and Causal Qualities of Group-Based Behaviors". </w:t>
      </w:r>
      <w:r w:rsidRPr="00090501">
        <w:rPr>
          <w:rFonts w:ascii="Times New Roman" w:eastAsia="Calibri" w:hAnsi="Times New Roman"/>
          <w:i/>
          <w:iCs/>
          <w:noProof/>
        </w:rPr>
        <w:t>Aggression and Violent Behavior. </w:t>
      </w:r>
      <w:r w:rsidRPr="00090501">
        <w:rPr>
          <w:rFonts w:ascii="Times New Roman" w:eastAsia="Calibri" w:hAnsi="Times New Roman"/>
          <w:noProof/>
        </w:rPr>
        <w:t xml:space="preserve">17, no. 6: 565 - 574.  </w:t>
      </w:r>
    </w:p>
    <w:p w:rsidR="00090501" w:rsidRPr="009E6480" w:rsidRDefault="00090501"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Gilli A., and Gilli M</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2014</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"The Spread of Military Innovations: Adoption Capacity Theory, Tactical Incentives, and the Case of Suicide Terrorism"</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Security Studies</w:t>
      </w:r>
      <w:r w:rsidR="004555DB">
        <w:rPr>
          <w:rFonts w:ascii="Times New Roman" w:eastAsia="Calibri" w:hAnsi="Times New Roman"/>
          <w:i/>
          <w:iCs/>
          <w:noProof/>
          <w:lang w:bidi="ar-SA"/>
        </w:rPr>
        <w:t xml:space="preserve">.  </w:t>
      </w:r>
      <w:r w:rsidRPr="009E6480">
        <w:rPr>
          <w:rFonts w:ascii="Times New Roman" w:eastAsia="Calibri" w:hAnsi="Times New Roman"/>
          <w:noProof/>
          <w:lang w:bidi="ar-SA"/>
        </w:rPr>
        <w:t>23, no</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3: 513-547.</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Giustozzi, Antonio</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Qur’an, Kalashnikov, and Laptop: The Neo-Taliban Insurgency in Afghanistan</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New York: Columbia University Press, 2008.</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Glasser, Susan B</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 xml:space="preserve">“’Martyrs’ In Iraq Mostly Saudis.” </w:t>
      </w:r>
      <w:r w:rsidRPr="009E6480">
        <w:rPr>
          <w:rFonts w:ascii="Times New Roman" w:eastAsia="Calibri" w:hAnsi="Times New Roman"/>
          <w:i/>
          <w:noProof/>
          <w:lang w:bidi="ar-SA"/>
        </w:rPr>
        <w:t>Washington Post</w:t>
      </w:r>
      <w:r w:rsidR="004555DB">
        <w:rPr>
          <w:rFonts w:ascii="Times New Roman" w:eastAsia="Calibri" w:hAnsi="Times New Roman"/>
          <w:i/>
          <w:noProof/>
          <w:lang w:bidi="ar-SA"/>
        </w:rPr>
        <w:t xml:space="preserve">.  </w:t>
      </w:r>
      <w:r w:rsidRPr="009E6480">
        <w:rPr>
          <w:rFonts w:ascii="Times New Roman" w:eastAsia="Calibri" w:hAnsi="Times New Roman"/>
          <w:noProof/>
          <w:lang w:bidi="ar-SA"/>
        </w:rPr>
        <w:t>15 May, 2005.</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rPr>
          <w:rFonts w:ascii="Times New Roman" w:eastAsia="Calibri" w:hAnsi="Times New Roman"/>
          <w:noProof/>
          <w:lang w:bidi="ar-SA"/>
        </w:rPr>
      </w:pPr>
      <w:r w:rsidRPr="009E6480">
        <w:rPr>
          <w:rFonts w:ascii="Times New Roman" w:eastAsia="Calibri" w:hAnsi="Times New Roman"/>
          <w:noProof/>
          <w:lang w:bidi="ar-SA"/>
        </w:rPr>
        <w:t>Golec de Zavala A, A Cichocka, and I Iskra-Golec</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2013</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"Collective Narcissism Moderates the Effect of in-Group Image Threat on Intergroup Hostility"</w:t>
      </w:r>
      <w:r w:rsidR="004555DB">
        <w:rPr>
          <w:rFonts w:ascii="Times New Roman" w:eastAsia="Calibri" w:hAnsi="Times New Roman"/>
          <w:noProof/>
          <w:lang w:bidi="ar-SA"/>
        </w:rPr>
        <w:t xml:space="preserve">.  </w:t>
      </w:r>
      <w:r w:rsidRPr="009E6480">
        <w:rPr>
          <w:rFonts w:ascii="Times New Roman" w:eastAsia="Calibri" w:hAnsi="Times New Roman"/>
          <w:i/>
          <w:noProof/>
          <w:lang w:bidi="ar-SA"/>
        </w:rPr>
        <w:t>Journal of Personality and Social Psychology</w:t>
      </w:r>
      <w:r w:rsidR="004555DB">
        <w:rPr>
          <w:rFonts w:ascii="Times New Roman" w:eastAsia="Calibri" w:hAnsi="Times New Roman"/>
          <w:i/>
          <w:noProof/>
          <w:lang w:bidi="ar-SA"/>
        </w:rPr>
        <w:t xml:space="preserve">.  </w:t>
      </w:r>
      <w:r w:rsidRPr="009E6480">
        <w:rPr>
          <w:rFonts w:ascii="Times New Roman" w:eastAsia="Calibri" w:hAnsi="Times New Roman"/>
          <w:noProof/>
          <w:lang w:bidi="ar-SA"/>
        </w:rPr>
        <w:t>104, no</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6: 1019-39.</w:t>
      </w:r>
    </w:p>
    <w:p w:rsidR="009E6480" w:rsidRDefault="009E6480" w:rsidP="009E6480">
      <w:pPr>
        <w:spacing w:line="240" w:lineRule="auto"/>
        <w:ind w:right="720"/>
        <w:contextualSpacing/>
        <w:rPr>
          <w:rFonts w:ascii="Times New Roman" w:eastAsia="Calibri" w:hAnsi="Times New Roman"/>
          <w:noProof/>
          <w:lang w:bidi="ar-SA"/>
        </w:rPr>
      </w:pPr>
    </w:p>
    <w:p w:rsidR="005F4A0F" w:rsidRPr="005F4A0F" w:rsidRDefault="005F4A0F" w:rsidP="005F4A0F">
      <w:pPr>
        <w:spacing w:line="240" w:lineRule="auto"/>
        <w:ind w:right="720"/>
        <w:contextualSpacing/>
        <w:rPr>
          <w:rFonts w:ascii="Times New Roman" w:eastAsia="Calibri" w:hAnsi="Times New Roman"/>
          <w:noProof/>
        </w:rPr>
      </w:pPr>
      <w:r w:rsidRPr="005F4A0F">
        <w:rPr>
          <w:rFonts w:ascii="Times New Roman" w:eastAsia="Calibri" w:hAnsi="Times New Roman"/>
          <w:noProof/>
        </w:rPr>
        <w:t>Goleman, Daniel, Richard E. Boyatzis, and Annie McKee. </w:t>
      </w:r>
      <w:r w:rsidRPr="005F4A0F">
        <w:rPr>
          <w:rFonts w:ascii="Times New Roman" w:eastAsia="Calibri" w:hAnsi="Times New Roman"/>
          <w:i/>
          <w:iCs/>
          <w:noProof/>
        </w:rPr>
        <w:t>Primal Leadership: Realizing the Power of Emotional Intelligence</w:t>
      </w:r>
      <w:r w:rsidRPr="005F4A0F">
        <w:rPr>
          <w:rFonts w:ascii="Times New Roman" w:eastAsia="Calibri" w:hAnsi="Times New Roman"/>
          <w:noProof/>
        </w:rPr>
        <w:t>. Boston, Mass: Harvard B</w:t>
      </w:r>
      <w:r>
        <w:rPr>
          <w:rFonts w:ascii="Times New Roman" w:eastAsia="Calibri" w:hAnsi="Times New Roman"/>
          <w:noProof/>
        </w:rPr>
        <w:t xml:space="preserve">usiness School Press, 2002. </w:t>
      </w:r>
    </w:p>
    <w:p w:rsidR="005F4A0F" w:rsidRPr="009E6480" w:rsidRDefault="005F4A0F"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Gompert, David C</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“Heads We Win:</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The Cognitive Side of Counter-Insurgency.”</w:t>
      </w:r>
      <w:r w:rsidR="004555DB">
        <w:rPr>
          <w:rFonts w:ascii="Times New Roman" w:eastAsia="Calibri" w:hAnsi="Times New Roman"/>
          <w:noProof/>
          <w:lang w:bidi="ar-SA"/>
        </w:rPr>
        <w:t xml:space="preserve"> </w:t>
      </w:r>
      <w:r w:rsidRPr="009E6480">
        <w:rPr>
          <w:rFonts w:ascii="Times New Roman" w:eastAsia="Calibri" w:hAnsi="Times New Roman"/>
          <w:i/>
          <w:noProof/>
          <w:lang w:bidi="ar-SA"/>
        </w:rPr>
        <w:t>RAND</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Santa Monica:</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2007</w:t>
      </w:r>
      <w:r w:rsidR="004555DB">
        <w:rPr>
          <w:rFonts w:ascii="Times New Roman" w:eastAsia="Calibri" w:hAnsi="Times New Roman"/>
          <w:noProof/>
          <w:lang w:bidi="ar-SA"/>
        </w:rPr>
        <w:t xml:space="preserve">.  </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Gordon, Neve</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"In Lebanon, Israel sees itself as victim." </w:t>
      </w:r>
      <w:r w:rsidRPr="009E6480">
        <w:rPr>
          <w:rFonts w:ascii="Times New Roman" w:eastAsia="Calibri" w:hAnsi="Times New Roman"/>
          <w:i/>
          <w:iCs/>
          <w:noProof/>
          <w:lang w:bidi="ar-SA"/>
        </w:rPr>
        <w:t>National Catholic Reporter</w:t>
      </w:r>
      <w:r w:rsidRPr="009E6480">
        <w:rPr>
          <w:rFonts w:ascii="Times New Roman" w:eastAsia="Calibri" w:hAnsi="Times New Roman"/>
          <w:noProof/>
          <w:lang w:bidi="ar-SA"/>
        </w:rPr>
        <w:t> 36, no</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29 (May 19, 2000): 21</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Academic Search Premier</w:t>
      </w:r>
      <w:r w:rsidRPr="009E6480">
        <w:rPr>
          <w:rFonts w:ascii="Times New Roman" w:eastAsia="Calibri" w:hAnsi="Times New Roman"/>
          <w:noProof/>
          <w:lang w:bidi="ar-SA"/>
        </w:rPr>
        <w:t>, EBSCO</w:t>
      </w:r>
      <w:r w:rsidRPr="009E6480">
        <w:rPr>
          <w:rFonts w:ascii="Times New Roman" w:eastAsia="Calibri" w:hAnsi="Times New Roman"/>
          <w:i/>
          <w:iCs/>
          <w:noProof/>
          <w:lang w:bidi="ar-SA"/>
        </w:rPr>
        <w:t>host</w:t>
      </w:r>
      <w:r w:rsidRPr="009E6480">
        <w:rPr>
          <w:rFonts w:ascii="Times New Roman" w:eastAsia="Calibri" w:hAnsi="Times New Roman"/>
          <w:noProof/>
          <w:lang w:bidi="ar-SA"/>
        </w:rPr>
        <w:t> (accessed October 1, 2012).</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Govan, Fiona</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“Town that breeds suicide bombers</w:t>
      </w:r>
      <w:r w:rsidR="004555DB">
        <w:rPr>
          <w:rFonts w:ascii="Times New Roman" w:eastAsia="Calibri" w:hAnsi="Times New Roman"/>
          <w:noProof/>
          <w:lang w:bidi="ar-SA"/>
        </w:rPr>
        <w:t xml:space="preserve">.  </w:t>
      </w:r>
      <w:r w:rsidRPr="009E6480">
        <w:rPr>
          <w:rFonts w:ascii="Times New Roman" w:eastAsia="Calibri" w:hAnsi="Times New Roman"/>
          <w:i/>
          <w:noProof/>
          <w:lang w:bidi="ar-SA"/>
        </w:rPr>
        <w:t>Telegraph.uk</w:t>
      </w:r>
      <w:r w:rsidR="004555DB">
        <w:rPr>
          <w:rFonts w:ascii="Times New Roman" w:eastAsia="Calibri" w:hAnsi="Times New Roman"/>
          <w:i/>
          <w:noProof/>
          <w:lang w:bidi="ar-SA"/>
        </w:rPr>
        <w:t xml:space="preserve">.  </w:t>
      </w:r>
      <w:r w:rsidRPr="009E6480">
        <w:rPr>
          <w:rFonts w:ascii="Times New Roman" w:eastAsia="Calibri" w:hAnsi="Times New Roman"/>
          <w:noProof/>
          <w:lang w:bidi="ar-SA"/>
        </w:rPr>
        <w:t>24 November 2006</w:t>
      </w:r>
      <w:r w:rsidR="004555DB">
        <w:rPr>
          <w:rFonts w:ascii="Times New Roman" w:eastAsia="Calibri" w:hAnsi="Times New Roman"/>
          <w:noProof/>
          <w:lang w:bidi="ar-SA"/>
        </w:rPr>
        <w:t xml:space="preserve">.  </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Gunaratna, Rohan</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2002</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Inside Al Qaeda: global network of terror</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New York: Columbia University Press.</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Hafez, Mohammed M</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Manufacturing Human Bombs</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Washington, D.C.: United States Institute of Peace Press, 2006.</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Hafez, Mohammed M</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Suicide Bombers in Iraq: The Strategy and Ideology of Martyrdom</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Washington, D.C.: U.S</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Institute of Peace Press, 2007.</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Hasan, Syed Shoaib</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“Recruiting Taliban ‘Child Soldiers.’”</w:t>
      </w:r>
      <w:r w:rsidR="004555DB">
        <w:rPr>
          <w:rFonts w:ascii="Times New Roman" w:eastAsia="Calibri" w:hAnsi="Times New Roman"/>
          <w:noProof/>
          <w:lang w:bidi="ar-SA"/>
        </w:rPr>
        <w:t xml:space="preserve"> </w:t>
      </w:r>
      <w:r w:rsidRPr="009E6480">
        <w:rPr>
          <w:rFonts w:ascii="Times New Roman" w:eastAsia="Calibri" w:hAnsi="Times New Roman"/>
          <w:i/>
          <w:noProof/>
          <w:lang w:bidi="ar-SA"/>
        </w:rPr>
        <w:t>BBCNews</w:t>
      </w:r>
      <w:r w:rsidR="004555DB">
        <w:rPr>
          <w:rFonts w:ascii="Times New Roman" w:eastAsia="Calibri" w:hAnsi="Times New Roman"/>
          <w:i/>
          <w:noProof/>
          <w:lang w:bidi="ar-SA"/>
        </w:rPr>
        <w:t xml:space="preserve">.  </w:t>
      </w:r>
      <w:r w:rsidRPr="009E6480">
        <w:rPr>
          <w:rFonts w:ascii="Times New Roman" w:eastAsia="Calibri" w:hAnsi="Times New Roman"/>
          <w:noProof/>
          <w:lang w:bidi="ar-SA"/>
        </w:rPr>
        <w:t>12 June, 2007.</w:t>
      </w:r>
    </w:p>
    <w:p w:rsidR="009E6480" w:rsidRPr="009E6480" w:rsidRDefault="00C35D4A" w:rsidP="009E6480">
      <w:pPr>
        <w:spacing w:line="240" w:lineRule="auto"/>
        <w:ind w:right="720"/>
        <w:contextualSpacing/>
        <w:rPr>
          <w:rFonts w:ascii="Times New Roman" w:eastAsia="Calibri" w:hAnsi="Times New Roman"/>
          <w:noProof/>
          <w:lang w:bidi="ar-SA"/>
        </w:rPr>
      </w:pPr>
      <w:hyperlink r:id="rId26" w:history="1">
        <w:r w:rsidR="009E6480" w:rsidRPr="009E6480">
          <w:rPr>
            <w:rFonts w:ascii="Times New Roman" w:eastAsia="Calibri" w:hAnsi="Times New Roman"/>
            <w:noProof/>
            <w:color w:val="0000FF"/>
            <w:u w:val="single"/>
            <w:lang w:bidi="ar-SA"/>
          </w:rPr>
          <w:t>http://news.bbc.co.uk/2/hi/south_asia/6731389.stm</w:t>
        </w:r>
      </w:hyperlink>
      <w:r w:rsidR="009E6480" w:rsidRPr="009E6480">
        <w:rPr>
          <w:rFonts w:ascii="Times New Roman" w:eastAsia="Calibri" w:hAnsi="Times New Roman"/>
          <w:noProof/>
          <w:lang w:bidi="ar-SA"/>
        </w:rPr>
        <w:t xml:space="preserve"> </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Hanf, Theodor</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Coexistence in Wartime Lebanon: Decline of a State and Rise of a Nation</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London: Centre for Lebanese Studies in association with I.B</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Tauris, 1993.</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Hassan, Riaz</w:t>
      </w:r>
      <w:r w:rsidR="004555DB">
        <w:rPr>
          <w:rFonts w:ascii="Times New Roman" w:eastAsia="Calibri" w:hAnsi="Times New Roman"/>
          <w:noProof/>
          <w:lang w:bidi="ar-SA"/>
        </w:rPr>
        <w:t xml:space="preserve">.  </w:t>
      </w:r>
      <w:r w:rsidRPr="009E6480">
        <w:rPr>
          <w:rFonts w:ascii="Times New Roman" w:eastAsia="Calibri" w:hAnsi="Times New Roman"/>
          <w:i/>
          <w:noProof/>
          <w:lang w:bidi="ar-SA"/>
        </w:rPr>
        <w:t>Life As a Weapon: The Global Rise of Suicide Bombings</w:t>
      </w:r>
      <w:r w:rsidR="004555DB">
        <w:rPr>
          <w:rFonts w:ascii="Times New Roman" w:eastAsia="Calibri" w:hAnsi="Times New Roman"/>
          <w:i/>
          <w:noProof/>
          <w:lang w:bidi="ar-SA"/>
        </w:rPr>
        <w:t xml:space="preserve">.  </w:t>
      </w:r>
      <w:r w:rsidRPr="009E6480">
        <w:rPr>
          <w:rFonts w:ascii="Times New Roman" w:eastAsia="Calibri" w:hAnsi="Times New Roman"/>
          <w:noProof/>
          <w:lang w:bidi="ar-SA"/>
        </w:rPr>
        <w:t>London: Routledge, 2011.</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Helmer, Daniel Isaac</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The Long War: Flipside of the Coin : Israel's Lebanese Incursion between 1982-2000</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Fort Leavenworth, Kan: Combat Studies Institute Press, 2007.</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color w:val="0000FF"/>
          <w:u w:val="single"/>
          <w:lang w:bidi="ar-SA"/>
        </w:rPr>
      </w:pPr>
      <w:r w:rsidRPr="009E6480">
        <w:rPr>
          <w:rFonts w:ascii="Times New Roman" w:eastAsia="Calibri" w:hAnsi="Times New Roman"/>
          <w:noProof/>
          <w:lang w:bidi="ar-SA"/>
        </w:rPr>
        <w:t>Helmer, Daniel</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“Hezbollah’s Employment of Suicide Bombing During the 1980s:</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 xml:space="preserve">The Theological, Political, and Operational Development of a New Tactic.” </w:t>
      </w:r>
      <w:r w:rsidRPr="00257C34">
        <w:rPr>
          <w:rFonts w:ascii="Times New Roman" w:eastAsia="Calibri" w:hAnsi="Times New Roman"/>
          <w:i/>
          <w:iCs/>
          <w:noProof/>
          <w:lang w:bidi="ar-SA"/>
        </w:rPr>
        <w:t>Military Review</w:t>
      </w:r>
      <w:r w:rsidRPr="009E6480">
        <w:rPr>
          <w:rFonts w:ascii="Times New Roman" w:eastAsia="Calibri" w:hAnsi="Times New Roman"/>
          <w:noProof/>
          <w:lang w:bidi="ar-SA"/>
        </w:rPr>
        <w:t>, July/August 2006</w:t>
      </w:r>
      <w:r w:rsidR="004555DB">
        <w:rPr>
          <w:rFonts w:ascii="Times New Roman" w:eastAsia="Calibri" w:hAnsi="Times New Roman"/>
          <w:noProof/>
          <w:lang w:bidi="ar-SA"/>
        </w:rPr>
        <w:t xml:space="preserve">.  </w:t>
      </w:r>
      <w:hyperlink r:id="rId27" w:history="1">
        <w:r w:rsidRPr="009E6480">
          <w:rPr>
            <w:rFonts w:ascii="Times New Roman" w:eastAsia="Calibri" w:hAnsi="Times New Roman"/>
            <w:noProof/>
            <w:color w:val="0000FF"/>
            <w:u w:val="single"/>
            <w:lang w:bidi="ar-SA"/>
          </w:rPr>
          <w:t>http://usacac.army.mil/CAC/milreview/English/JulAug06/Helmer.pdf</w:t>
        </w:r>
      </w:hyperlink>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i/>
          <w:noProof/>
          <w:lang w:bidi="ar-SA"/>
        </w:rPr>
      </w:pPr>
      <w:r w:rsidRPr="009E6480">
        <w:rPr>
          <w:rFonts w:ascii="Times New Roman" w:eastAsia="Calibri" w:hAnsi="Times New Roman"/>
          <w:noProof/>
          <w:lang w:bidi="ar-SA"/>
        </w:rPr>
        <w:t>Henne, Peter S</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2012</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"The Ancient Fire: Religion and Suicide Terrorism"</w:t>
      </w:r>
      <w:r w:rsidR="004555DB">
        <w:rPr>
          <w:rFonts w:ascii="Times New Roman" w:eastAsia="Calibri" w:hAnsi="Times New Roman"/>
          <w:noProof/>
          <w:lang w:bidi="ar-SA"/>
        </w:rPr>
        <w:t xml:space="preserve">.  </w:t>
      </w:r>
      <w:r w:rsidRPr="009E6480">
        <w:rPr>
          <w:rFonts w:ascii="Times New Roman" w:eastAsia="Calibri" w:hAnsi="Times New Roman"/>
          <w:i/>
          <w:noProof/>
          <w:lang w:bidi="ar-SA"/>
        </w:rPr>
        <w:t>Terrorism and Political Violence</w:t>
      </w:r>
      <w:r w:rsidR="004555DB">
        <w:rPr>
          <w:rFonts w:ascii="Times New Roman" w:eastAsia="Calibri" w:hAnsi="Times New Roman"/>
          <w:i/>
          <w:noProof/>
          <w:lang w:bidi="ar-SA"/>
        </w:rPr>
        <w:t xml:space="preserve">.  </w:t>
      </w:r>
      <w:r w:rsidRPr="009E6480">
        <w:rPr>
          <w:rFonts w:ascii="Times New Roman" w:eastAsia="Calibri" w:hAnsi="Times New Roman"/>
          <w:noProof/>
          <w:lang w:bidi="ar-SA"/>
        </w:rPr>
        <w:t>24, no</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1: 38-60.</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Hicks, Madelyn Hsiao-Rei, Hamit Dardagan, Peter M Bagnall, Michael Spagat, and John A Sloboda</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2011</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"Casualties in Civilians and Coalition Soldiers from Suicide Bombings in Iraq, 2003–10: a Descriptive Study"</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The Lancet</w:t>
      </w:r>
      <w:r w:rsidR="004555DB">
        <w:rPr>
          <w:rFonts w:ascii="Times New Roman" w:eastAsia="Calibri" w:hAnsi="Times New Roman"/>
          <w:i/>
          <w:iCs/>
          <w:noProof/>
          <w:lang w:bidi="ar-SA"/>
        </w:rPr>
        <w:t xml:space="preserve">.  </w:t>
      </w:r>
      <w:r w:rsidRPr="009E6480">
        <w:rPr>
          <w:rFonts w:ascii="Times New Roman" w:eastAsia="Calibri" w:hAnsi="Times New Roman"/>
          <w:noProof/>
          <w:lang w:bidi="ar-SA"/>
        </w:rPr>
        <w:t>378, no</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9794: 906-914.</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lastRenderedPageBreak/>
        <w:t>Hoffman, Bruce</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“The Logic of Suicide Terrorism.”</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The Atlantic</w:t>
      </w:r>
      <w:r w:rsidR="004555DB">
        <w:rPr>
          <w:rFonts w:ascii="Times New Roman" w:eastAsia="Calibri" w:hAnsi="Times New Roman"/>
          <w:i/>
          <w:iCs/>
          <w:noProof/>
          <w:lang w:bidi="ar-SA"/>
        </w:rPr>
        <w:t xml:space="preserve">.  </w:t>
      </w:r>
      <w:r w:rsidRPr="009E6480">
        <w:rPr>
          <w:rFonts w:ascii="Times New Roman" w:eastAsia="Calibri" w:hAnsi="Times New Roman"/>
          <w:noProof/>
          <w:lang w:bidi="ar-SA"/>
        </w:rPr>
        <w:t>June 2003</w:t>
      </w:r>
      <w:r w:rsidR="004555DB">
        <w:rPr>
          <w:rFonts w:ascii="Times New Roman" w:eastAsia="Calibri" w:hAnsi="Times New Roman"/>
          <w:noProof/>
          <w:lang w:bidi="ar-SA"/>
        </w:rPr>
        <w:t xml:space="preserve">.  </w:t>
      </w:r>
      <w:hyperlink r:id="rId28" w:history="1">
        <w:r w:rsidRPr="009E6480">
          <w:rPr>
            <w:rFonts w:ascii="Times New Roman" w:eastAsia="Calibri" w:hAnsi="Times New Roman"/>
            <w:noProof/>
            <w:color w:val="0000FF"/>
            <w:u w:val="single"/>
            <w:lang w:bidi="ar-SA"/>
          </w:rPr>
          <w:t>http://www.theatlantic.com/magazine/archive/2003/06/the-logic-of-suicide-terrorism/302739/</w:t>
        </w:r>
      </w:hyperlink>
      <w:r w:rsidRPr="009E6480">
        <w:rPr>
          <w:rFonts w:ascii="Times New Roman" w:eastAsia="Calibri" w:hAnsi="Times New Roman"/>
          <w:noProof/>
          <w:lang w:bidi="ar-SA"/>
        </w:rPr>
        <w:t xml:space="preserve"> (Accessed 24 October 2015).</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Hoffman, Bruce</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Inside Terrorism</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New York, N.Y.: Columbia University press, 2006.</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Horowitz</w:t>
      </w:r>
      <w:r w:rsidR="00257C34">
        <w:rPr>
          <w:rFonts w:ascii="Times New Roman" w:eastAsia="Calibri" w:hAnsi="Times New Roman"/>
          <w:noProof/>
          <w:lang w:bidi="ar-SA"/>
        </w:rPr>
        <w:t>,</w:t>
      </w:r>
      <w:r w:rsidRPr="009E6480">
        <w:rPr>
          <w:rFonts w:ascii="Times New Roman" w:eastAsia="Calibri" w:hAnsi="Times New Roman"/>
          <w:noProof/>
          <w:lang w:bidi="ar-SA"/>
        </w:rPr>
        <w:t xml:space="preserve"> M.C</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2010</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"Nonstate Actors and the Diffusion of Innovations: The Case of Suicide Terrorism"</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International Organization</w:t>
      </w:r>
      <w:r w:rsidR="004555DB">
        <w:rPr>
          <w:rFonts w:ascii="Times New Roman" w:eastAsia="Calibri" w:hAnsi="Times New Roman"/>
          <w:i/>
          <w:iCs/>
          <w:noProof/>
          <w:lang w:bidi="ar-SA"/>
        </w:rPr>
        <w:t xml:space="preserve">.  </w:t>
      </w:r>
      <w:r w:rsidRPr="009E6480">
        <w:rPr>
          <w:rFonts w:ascii="Times New Roman" w:eastAsia="Calibri" w:hAnsi="Times New Roman"/>
          <w:noProof/>
          <w:lang w:bidi="ar-SA"/>
        </w:rPr>
        <w:t>64, no</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1: 33-64.</w:t>
      </w:r>
    </w:p>
    <w:p w:rsidR="009E6480" w:rsidRPr="009E6480" w:rsidRDefault="009E6480" w:rsidP="009E6480">
      <w:pPr>
        <w:spacing w:line="240" w:lineRule="auto"/>
        <w:ind w:right="720"/>
        <w:contextualSpacing/>
        <w:rPr>
          <w:rFonts w:ascii="Times New Roman" w:eastAsia="Calibri" w:hAnsi="Times New Roman"/>
          <w:noProof/>
          <w:lang w:bidi="ar-SA"/>
        </w:rPr>
      </w:pPr>
    </w:p>
    <w:p w:rsidR="00B75C88" w:rsidRPr="00B75C88" w:rsidRDefault="00B75C88" w:rsidP="00B75C88">
      <w:pPr>
        <w:spacing w:line="240" w:lineRule="auto"/>
        <w:ind w:right="720"/>
        <w:contextualSpacing/>
        <w:rPr>
          <w:rFonts w:ascii="Times New Roman" w:eastAsia="Calibri" w:hAnsi="Times New Roman"/>
          <w:noProof/>
          <w:lang w:bidi="ar-SA"/>
        </w:rPr>
      </w:pPr>
      <w:r w:rsidRPr="00B75C88">
        <w:rPr>
          <w:rFonts w:ascii="Times New Roman" w:eastAsia="Calibri" w:hAnsi="Times New Roman"/>
          <w:noProof/>
          <w:lang w:bidi="ar-SA"/>
        </w:rPr>
        <w:t xml:space="preserve">Hume, Tim.  “'Blog' of suspected Australian teen terrorist Jake Bilardi reveals path to ISIS.”  </w:t>
      </w:r>
      <w:r w:rsidRPr="00B75C88">
        <w:rPr>
          <w:rFonts w:ascii="Times New Roman" w:eastAsia="Calibri" w:hAnsi="Times New Roman"/>
          <w:i/>
          <w:iCs/>
          <w:noProof/>
          <w:lang w:bidi="ar-SA"/>
        </w:rPr>
        <w:t xml:space="preserve">CNN. </w:t>
      </w:r>
      <w:r w:rsidRPr="00B75C88">
        <w:rPr>
          <w:rFonts w:ascii="Times New Roman" w:eastAsia="Calibri" w:hAnsi="Times New Roman"/>
          <w:noProof/>
          <w:lang w:bidi="ar-SA"/>
        </w:rPr>
        <w:t xml:space="preserve"> 13 March 2015.</w:t>
      </w:r>
    </w:p>
    <w:p w:rsidR="00B75C88" w:rsidRDefault="00B75C88" w:rsidP="00B75C88">
      <w:pPr>
        <w:spacing w:line="240" w:lineRule="auto"/>
        <w:ind w:right="720"/>
        <w:contextualSpacing/>
        <w:rPr>
          <w:rFonts w:ascii="Times New Roman" w:eastAsia="Calibri" w:hAnsi="Times New Roman"/>
          <w:noProof/>
          <w:lang w:bidi="ar-SA"/>
        </w:rPr>
      </w:pPr>
      <w:r w:rsidRPr="00B75C88">
        <w:rPr>
          <w:rFonts w:ascii="Times New Roman" w:eastAsia="Calibri" w:hAnsi="Times New Roman"/>
          <w:noProof/>
        </w:rPr>
        <w:t xml:space="preserve"> </w:t>
      </w:r>
      <w:hyperlink r:id="rId29" w:history="1">
        <w:r w:rsidRPr="00B75C88">
          <w:rPr>
            <w:rStyle w:val="Hyperlink"/>
            <w:rFonts w:ascii="Times New Roman" w:eastAsia="Calibri" w:hAnsi="Times New Roman"/>
            <w:noProof/>
            <w:lang w:bidi="ar-SA"/>
          </w:rPr>
          <w:t>http://www.cnn.com/2015/03/13/asia/australia-isis-bilardi-blog/</w:t>
        </w:r>
      </w:hyperlink>
      <w:r w:rsidRPr="00B75C88">
        <w:rPr>
          <w:rFonts w:ascii="Times New Roman" w:eastAsia="Calibri" w:hAnsi="Times New Roman"/>
          <w:noProof/>
          <w:lang w:bidi="ar-SA"/>
        </w:rPr>
        <w:t xml:space="preserve"> (Accessed 1 May 2016).</w:t>
      </w:r>
    </w:p>
    <w:p w:rsidR="00B75C88" w:rsidRDefault="00B75C88" w:rsidP="009E6480">
      <w:pPr>
        <w:spacing w:line="240" w:lineRule="auto"/>
        <w:ind w:right="720"/>
        <w:contextualSpacing/>
        <w:rPr>
          <w:rFonts w:ascii="Times New Roman" w:eastAsia="Calibri" w:hAnsi="Times New Roman"/>
          <w:noProof/>
          <w:lang w:bidi="ar-SA"/>
        </w:rPr>
      </w:pPr>
    </w:p>
    <w:p w:rsidR="00FB048D" w:rsidRDefault="00FB048D" w:rsidP="00FB048D">
      <w:pPr>
        <w:spacing w:line="240" w:lineRule="auto"/>
        <w:ind w:right="720"/>
        <w:contextualSpacing/>
        <w:rPr>
          <w:rFonts w:ascii="Times New Roman" w:eastAsia="Calibri" w:hAnsi="Times New Roman"/>
          <w:noProof/>
        </w:rPr>
      </w:pPr>
      <w:r w:rsidRPr="00FB048D">
        <w:rPr>
          <w:rFonts w:ascii="Times New Roman" w:eastAsia="Calibri" w:hAnsi="Times New Roman" w:hint="eastAsia"/>
          <w:noProof/>
        </w:rPr>
        <w:t>Ibn Khaldūn, Franz Rosenthal, and N. J. Dawood. </w:t>
      </w:r>
      <w:r w:rsidRPr="00FB048D">
        <w:rPr>
          <w:rFonts w:ascii="Times New Roman" w:eastAsia="Calibri" w:hAnsi="Times New Roman" w:hint="eastAsia"/>
          <w:i/>
          <w:iCs/>
          <w:noProof/>
        </w:rPr>
        <w:t>The Muqaddimah, an Introduction to History</w:t>
      </w:r>
      <w:r w:rsidRPr="00FB048D">
        <w:rPr>
          <w:rFonts w:ascii="Times New Roman" w:eastAsia="Calibri" w:hAnsi="Times New Roman" w:hint="eastAsia"/>
          <w:noProof/>
        </w:rPr>
        <w:t>. [Princeton, N.J.]: Princeton University Press, 1969.</w:t>
      </w:r>
      <w:r w:rsidRPr="00FB048D">
        <w:rPr>
          <w:rFonts w:ascii="Times New Roman" w:eastAsia="Calibri" w:hAnsi="Times New Roman"/>
          <w:noProof/>
        </w:rPr>
        <w:t xml:space="preserve"> </w:t>
      </w:r>
    </w:p>
    <w:p w:rsidR="00FB048D" w:rsidRDefault="00FB048D"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Ibrahim, Raymond, Ayman Ẓawāhirī, and Osama Bin Laden</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The Al Qaeda Reader</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New York: Doubleday, 2007.</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Inbar, Efraim</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"Great Power Mediation: The USA and the May 1983 Israeli-Lebanese Agreement." </w:t>
      </w:r>
      <w:r w:rsidRPr="009E6480">
        <w:rPr>
          <w:rFonts w:ascii="Times New Roman" w:eastAsia="Calibri" w:hAnsi="Times New Roman"/>
          <w:i/>
          <w:iCs/>
          <w:noProof/>
          <w:lang w:bidi="ar-SA"/>
        </w:rPr>
        <w:t>Journal Of Peace Research</w:t>
      </w:r>
      <w:r w:rsidRPr="009E6480">
        <w:rPr>
          <w:rFonts w:ascii="Times New Roman" w:eastAsia="Calibri" w:hAnsi="Times New Roman"/>
          <w:noProof/>
          <w:lang w:bidi="ar-SA"/>
        </w:rPr>
        <w:t> 28, no</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1 (1991): 71-84</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JSTOR Arts &amp; Sciences II</w:t>
      </w:r>
      <w:r w:rsidRPr="009E6480">
        <w:rPr>
          <w:rFonts w:ascii="Times New Roman" w:eastAsia="Calibri" w:hAnsi="Times New Roman"/>
          <w:noProof/>
          <w:lang w:bidi="ar-SA"/>
        </w:rPr>
        <w:t>, EBSCO</w:t>
      </w:r>
      <w:r w:rsidRPr="009E6480">
        <w:rPr>
          <w:rFonts w:ascii="Times New Roman" w:eastAsia="Calibri" w:hAnsi="Times New Roman"/>
          <w:i/>
          <w:iCs/>
          <w:noProof/>
          <w:lang w:bidi="ar-SA"/>
        </w:rPr>
        <w:t>host</w:t>
      </w:r>
      <w:r w:rsidRPr="009E6480">
        <w:rPr>
          <w:rFonts w:ascii="Times New Roman" w:eastAsia="Calibri" w:hAnsi="Times New Roman"/>
          <w:noProof/>
          <w:lang w:bidi="ar-SA"/>
        </w:rPr>
        <w:t> (accessed October 1, 2012).</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International Policy Institute for Counter-Terrorism (Israel), and Interdisciplinary Center (Hertseliyah, Israel)</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Countering Suicide Terrorism An International Conference: February 20-23, 2000, Herzliya, Israel</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Herzliya, Israel: International Policy Institute for Counter Terrorism, 2001.</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Jaber, Hala and Ali Rifat</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“Suicide Bombers Head to Iraq From Damascus.”</w:t>
      </w:r>
      <w:r w:rsidR="004555DB">
        <w:rPr>
          <w:rFonts w:ascii="Times New Roman" w:eastAsia="Calibri" w:hAnsi="Times New Roman"/>
          <w:noProof/>
          <w:lang w:bidi="ar-SA"/>
        </w:rPr>
        <w:t xml:space="preserve"> </w:t>
      </w:r>
      <w:r w:rsidRPr="009E6480">
        <w:rPr>
          <w:rFonts w:ascii="Times New Roman" w:eastAsia="Calibri" w:hAnsi="Times New Roman"/>
          <w:i/>
          <w:noProof/>
          <w:lang w:bidi="ar-SA"/>
        </w:rPr>
        <w:t>TimesOnline</w:t>
      </w:r>
      <w:r w:rsidR="004555DB">
        <w:rPr>
          <w:rFonts w:ascii="Times New Roman" w:eastAsia="Calibri" w:hAnsi="Times New Roman"/>
          <w:i/>
          <w:noProof/>
          <w:lang w:bidi="ar-SA"/>
        </w:rPr>
        <w:t xml:space="preserve">.  </w:t>
      </w:r>
      <w:r w:rsidRPr="009E6480">
        <w:rPr>
          <w:rFonts w:ascii="Times New Roman" w:eastAsia="Calibri" w:hAnsi="Times New Roman"/>
          <w:noProof/>
          <w:lang w:bidi="ar-SA"/>
        </w:rPr>
        <w:t>7 October, 2007.</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Jarnefelt E., Canfield C.F., Kelemen D., and Jarnefelt E</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2015</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"The Divided Mind of a Disbeliever: Intuitive Beliefs About Nature As Purposefully Created Among Different Groups of Non-Religious Adults"</w:t>
      </w:r>
      <w:r w:rsidR="004555DB">
        <w:rPr>
          <w:rFonts w:ascii="Times New Roman" w:eastAsia="Calibri" w:hAnsi="Times New Roman"/>
          <w:noProof/>
          <w:lang w:bidi="ar-SA"/>
        </w:rPr>
        <w:t xml:space="preserve">.  </w:t>
      </w:r>
      <w:r w:rsidRPr="009E6480">
        <w:rPr>
          <w:rFonts w:ascii="Times New Roman" w:eastAsia="Calibri" w:hAnsi="Times New Roman"/>
          <w:i/>
          <w:noProof/>
          <w:lang w:bidi="ar-SA"/>
        </w:rPr>
        <w:t>Cognition</w:t>
      </w:r>
      <w:r w:rsidR="004555DB">
        <w:rPr>
          <w:rFonts w:ascii="Times New Roman" w:eastAsia="Calibri" w:hAnsi="Times New Roman"/>
          <w:i/>
          <w:noProof/>
          <w:lang w:bidi="ar-SA"/>
        </w:rPr>
        <w:t xml:space="preserve">.  </w:t>
      </w:r>
      <w:r w:rsidRPr="009E6480">
        <w:rPr>
          <w:rFonts w:ascii="Times New Roman" w:eastAsia="Calibri" w:hAnsi="Times New Roman"/>
          <w:noProof/>
          <w:lang w:bidi="ar-SA"/>
        </w:rPr>
        <w:t>140: 72-88.</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257C34">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Jenkins, Brian Michael</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 xml:space="preserve">“Unconquerable Nation: Knowing Our Enemy, Knowing Ourselves.” </w:t>
      </w:r>
      <w:r w:rsidRPr="009E6480">
        <w:rPr>
          <w:rFonts w:ascii="Times New Roman" w:eastAsia="Calibri" w:hAnsi="Times New Roman"/>
          <w:i/>
          <w:iCs/>
          <w:noProof/>
          <w:lang w:bidi="ar-SA"/>
        </w:rPr>
        <w:t>RAND</w:t>
      </w:r>
      <w:r w:rsidR="004555DB">
        <w:rPr>
          <w:rFonts w:ascii="Times New Roman" w:eastAsia="Calibri" w:hAnsi="Times New Roman"/>
          <w:i/>
          <w:iCs/>
          <w:noProof/>
          <w:lang w:bidi="ar-SA"/>
        </w:rPr>
        <w:t xml:space="preserve">.  </w:t>
      </w:r>
      <w:r w:rsidR="00257C34">
        <w:rPr>
          <w:rFonts w:ascii="Times New Roman" w:eastAsia="Calibri" w:hAnsi="Times New Roman"/>
          <w:noProof/>
          <w:lang w:bidi="ar-SA"/>
        </w:rPr>
        <w:t>2006.</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Juergensmeyer, Mark</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Global Rebellion: Religious Challenges to the Secular State, from Christian Militias to Al Qaeda</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Berkeley: University of California Press, 2008.</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Karmon, Eli</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Coalitions between Terrorist Organizations: Revolutionaries, Nationalists, and Islamists</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Leiden: Martinus Nijhoff, 2005.</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Katzman, Kenneth</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Al Qaeda in Iraq Assessment and Outside Links</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[Washington, D.C.]: Congressional Research Service, 2008</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&lt;http://www.fas.org/sgp/crs/terror/RL32217.pdf&gt;.</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iCs/>
          <w:noProof/>
          <w:lang w:bidi="ar-SA"/>
        </w:rPr>
      </w:pPr>
      <w:r w:rsidRPr="009E6480">
        <w:rPr>
          <w:rFonts w:ascii="Times New Roman" w:eastAsia="Calibri" w:hAnsi="Times New Roman"/>
          <w:iCs/>
          <w:noProof/>
          <w:lang w:bidi="ar-SA"/>
        </w:rPr>
        <w:t>Kennedy, Hugh</w:t>
      </w:r>
      <w:r w:rsidR="004555DB">
        <w:rPr>
          <w:rFonts w:ascii="Times New Roman" w:eastAsia="Calibri" w:hAnsi="Times New Roman"/>
          <w:iCs/>
          <w:noProof/>
          <w:lang w:bidi="ar-SA"/>
        </w:rPr>
        <w:t xml:space="preserve">.  </w:t>
      </w:r>
      <w:r w:rsidRPr="009E6480">
        <w:rPr>
          <w:rFonts w:ascii="Times New Roman" w:eastAsia="Calibri" w:hAnsi="Times New Roman"/>
          <w:i/>
          <w:iCs/>
          <w:noProof/>
          <w:lang w:bidi="ar-SA"/>
        </w:rPr>
        <w:t>The Armies of the Caliphs Military and Society in the Early Islamic State</w:t>
      </w:r>
      <w:r w:rsidR="004555DB">
        <w:rPr>
          <w:rFonts w:ascii="Times New Roman" w:eastAsia="Calibri" w:hAnsi="Times New Roman"/>
          <w:i/>
          <w:iCs/>
          <w:noProof/>
          <w:lang w:bidi="ar-SA"/>
        </w:rPr>
        <w:t xml:space="preserve">.  </w:t>
      </w:r>
      <w:r w:rsidRPr="009E6480">
        <w:rPr>
          <w:rFonts w:ascii="Times New Roman" w:eastAsia="Calibri" w:hAnsi="Times New Roman"/>
          <w:i/>
          <w:iCs/>
          <w:noProof/>
          <w:lang w:bidi="ar-SA"/>
        </w:rPr>
        <w:t>Warfare and history</w:t>
      </w:r>
      <w:r w:rsidR="004555DB">
        <w:rPr>
          <w:rFonts w:ascii="Times New Roman" w:eastAsia="Calibri" w:hAnsi="Times New Roman"/>
          <w:i/>
          <w:iCs/>
          <w:noProof/>
          <w:lang w:bidi="ar-SA"/>
        </w:rPr>
        <w:t xml:space="preserve">.  </w:t>
      </w:r>
      <w:r w:rsidRPr="009E6480">
        <w:rPr>
          <w:rFonts w:ascii="Times New Roman" w:eastAsia="Calibri" w:hAnsi="Times New Roman"/>
          <w:iCs/>
          <w:noProof/>
          <w:lang w:bidi="ar-SA"/>
        </w:rPr>
        <w:t>London: Routledge, 2001.</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Khan R, K Misra, and V Singh</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2013</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 xml:space="preserve">"Ideology and </w:t>
      </w:r>
      <w:r w:rsidR="00551DC8">
        <w:rPr>
          <w:rFonts w:ascii="Times New Roman" w:eastAsia="Calibri" w:hAnsi="Times New Roman"/>
          <w:noProof/>
          <w:lang w:bidi="ar-SA"/>
        </w:rPr>
        <w:t>Value</w:t>
      </w:r>
      <w:r w:rsidRPr="009E6480">
        <w:rPr>
          <w:rFonts w:ascii="Times New Roman" w:eastAsia="Calibri" w:hAnsi="Times New Roman"/>
          <w:noProof/>
          <w:lang w:bidi="ar-SA"/>
        </w:rPr>
        <w:t xml:space="preserve"> Consumption"</w:t>
      </w:r>
      <w:r w:rsidR="004555DB">
        <w:rPr>
          <w:rFonts w:ascii="Times New Roman" w:eastAsia="Calibri" w:hAnsi="Times New Roman"/>
          <w:noProof/>
          <w:lang w:bidi="ar-SA"/>
        </w:rPr>
        <w:t xml:space="preserve">.  </w:t>
      </w:r>
      <w:r w:rsidRPr="009E6480">
        <w:rPr>
          <w:rFonts w:ascii="Times New Roman" w:eastAsia="Calibri" w:hAnsi="Times New Roman"/>
          <w:i/>
          <w:noProof/>
          <w:lang w:bidi="ar-SA"/>
        </w:rPr>
        <w:t>Psychological Science</w:t>
      </w:r>
      <w:r w:rsidR="004555DB">
        <w:rPr>
          <w:rFonts w:ascii="Times New Roman" w:eastAsia="Calibri" w:hAnsi="Times New Roman"/>
          <w:i/>
          <w:noProof/>
          <w:lang w:bidi="ar-SA"/>
        </w:rPr>
        <w:t xml:space="preserve">.  </w:t>
      </w:r>
      <w:r w:rsidRPr="009E6480">
        <w:rPr>
          <w:rFonts w:ascii="Times New Roman" w:eastAsia="Calibri" w:hAnsi="Times New Roman"/>
          <w:noProof/>
          <w:lang w:bidi="ar-SA"/>
        </w:rPr>
        <w:t>24, no</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3: 326-33.</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Khosrokhavar, Farhad, and David Macey</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Suicide Bombers Allah's New Martyrs</w:t>
      </w:r>
      <w:r w:rsidR="004555DB">
        <w:rPr>
          <w:rFonts w:ascii="Times New Roman" w:eastAsia="Calibri" w:hAnsi="Times New Roman"/>
          <w:i/>
          <w:iCs/>
          <w:noProof/>
          <w:lang w:bidi="ar-SA"/>
        </w:rPr>
        <w:t xml:space="preserve">.  </w:t>
      </w:r>
      <w:r w:rsidRPr="009E6480">
        <w:rPr>
          <w:rFonts w:ascii="Times New Roman" w:eastAsia="Calibri" w:hAnsi="Times New Roman"/>
          <w:noProof/>
          <w:lang w:bidi="ar-SA"/>
        </w:rPr>
        <w:t>London: Pluto Press, 2005.</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Kilcullen, David</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The Accidental Guerrilla: Fighting Small Wars in the Midst of a Big One</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Oxford: Oxford University Press, 2009</w:t>
      </w:r>
      <w:r w:rsidR="004555DB">
        <w:rPr>
          <w:rFonts w:ascii="Times New Roman" w:eastAsia="Calibri" w:hAnsi="Times New Roman"/>
          <w:noProof/>
          <w:lang w:bidi="ar-SA"/>
        </w:rPr>
        <w:t xml:space="preserve">.  </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Kimche, David</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“The Long Arms of Terror.”</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Evening Standard</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De</w:t>
      </w:r>
      <w:r w:rsidR="00257C34">
        <w:rPr>
          <w:rFonts w:ascii="Times New Roman" w:eastAsia="Calibri" w:hAnsi="Times New Roman"/>
          <w:noProof/>
          <w:lang w:bidi="ar-SA"/>
        </w:rPr>
        <w:t>c</w:t>
      </w:r>
      <w:r w:rsidRPr="009E6480">
        <w:rPr>
          <w:rFonts w:ascii="Times New Roman" w:eastAsia="Calibri" w:hAnsi="Times New Roman"/>
          <w:noProof/>
          <w:lang w:bidi="ar-SA"/>
        </w:rPr>
        <w:t>ember 15, 1992</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Lexis Nexis Academic</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(Accessed October 14, 2012)</w:t>
      </w:r>
      <w:r w:rsidR="004555DB">
        <w:rPr>
          <w:rFonts w:ascii="Times New Roman" w:eastAsia="Calibri" w:hAnsi="Times New Roman"/>
          <w:noProof/>
          <w:lang w:bidi="ar-SA"/>
        </w:rPr>
        <w:t xml:space="preserve">.  </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Kohen, Amit</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“Hamas training Women for Combat as well as Suicide Missions – Israeli Report.”</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BBC Monitroing Middle East</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September 21, 2007.</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Kramer, Martin</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 xml:space="preserve">“The Moral Logic of Hezbollah,” in Reich, Water (ed) </w:t>
      </w:r>
      <w:r w:rsidRPr="009E6480">
        <w:rPr>
          <w:rFonts w:ascii="Times New Roman" w:eastAsia="Calibri" w:hAnsi="Times New Roman"/>
          <w:i/>
          <w:iCs/>
          <w:noProof/>
          <w:lang w:bidi="ar-SA"/>
        </w:rPr>
        <w:t>Origns of Terrorism:</w:t>
      </w:r>
      <w:r w:rsidR="004555DB">
        <w:rPr>
          <w:rFonts w:ascii="Times New Roman" w:eastAsia="Calibri" w:hAnsi="Times New Roman"/>
          <w:i/>
          <w:iCs/>
          <w:noProof/>
          <w:lang w:bidi="ar-SA"/>
        </w:rPr>
        <w:t xml:space="preserve"> </w:t>
      </w:r>
      <w:r w:rsidRPr="009E6480">
        <w:rPr>
          <w:rFonts w:ascii="Times New Roman" w:eastAsia="Calibri" w:hAnsi="Times New Roman"/>
          <w:i/>
          <w:iCs/>
          <w:noProof/>
          <w:lang w:bidi="ar-SA"/>
        </w:rPr>
        <w:t>Psychologies, Ideologies, Theologies, State of Mind</w:t>
      </w:r>
      <w:r w:rsidR="004555DB">
        <w:rPr>
          <w:rFonts w:ascii="Times New Roman" w:eastAsia="Calibri" w:hAnsi="Times New Roman"/>
          <w:i/>
          <w:iCs/>
          <w:noProof/>
          <w:lang w:bidi="ar-SA"/>
        </w:rPr>
        <w:t xml:space="preserve">.  </w:t>
      </w:r>
      <w:r w:rsidRPr="009E6480">
        <w:rPr>
          <w:rFonts w:ascii="Times New Roman" w:eastAsia="Calibri" w:hAnsi="Times New Roman"/>
          <w:noProof/>
          <w:lang w:bidi="ar-SA"/>
        </w:rPr>
        <w:t>Washington D.C., Woodrow Wilson Center Press, 1990</w:t>
      </w:r>
      <w:r w:rsidR="004555DB">
        <w:rPr>
          <w:rFonts w:ascii="Times New Roman" w:eastAsia="Calibri" w:hAnsi="Times New Roman"/>
          <w:noProof/>
          <w:lang w:bidi="ar-SA"/>
        </w:rPr>
        <w:t xml:space="preserve">.  </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Krueger, Alan B</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2007</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What makes a terrorist: economics and the roots of terrorism</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Lionel Robbins lectures</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Princeton: Princeton University Press</w:t>
      </w:r>
      <w:r w:rsidR="004555DB">
        <w:rPr>
          <w:rFonts w:ascii="Times New Roman" w:eastAsia="Calibri" w:hAnsi="Times New Roman"/>
          <w:noProof/>
          <w:lang w:bidi="ar-SA"/>
        </w:rPr>
        <w:t xml:space="preserve">.  </w:t>
      </w:r>
    </w:p>
    <w:p w:rsidR="009E6480" w:rsidRDefault="009E6480" w:rsidP="009E6480">
      <w:pPr>
        <w:spacing w:line="240" w:lineRule="auto"/>
        <w:ind w:right="720"/>
        <w:contextualSpacing/>
        <w:rPr>
          <w:rFonts w:ascii="Times New Roman" w:eastAsia="Calibri" w:hAnsi="Times New Roman"/>
          <w:noProof/>
          <w:lang w:bidi="ar-SA"/>
        </w:rPr>
      </w:pPr>
    </w:p>
    <w:p w:rsidR="00257C34" w:rsidRPr="009E6480" w:rsidRDefault="00257C34" w:rsidP="00257C34">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Lankford, Adam</w:t>
      </w:r>
      <w:r>
        <w:rPr>
          <w:rFonts w:ascii="Times New Roman" w:eastAsia="Calibri" w:hAnsi="Times New Roman"/>
          <w:noProof/>
          <w:lang w:bidi="ar-SA"/>
        </w:rPr>
        <w:t xml:space="preserve">.  </w:t>
      </w:r>
      <w:r w:rsidRPr="009E6480">
        <w:rPr>
          <w:rFonts w:ascii="Times New Roman" w:eastAsia="Calibri" w:hAnsi="Times New Roman"/>
          <w:noProof/>
          <w:lang w:bidi="ar-SA"/>
        </w:rPr>
        <w:t>2012</w:t>
      </w:r>
      <w:r>
        <w:rPr>
          <w:rFonts w:ascii="Times New Roman" w:eastAsia="Calibri" w:hAnsi="Times New Roman"/>
          <w:noProof/>
          <w:lang w:bidi="ar-SA"/>
        </w:rPr>
        <w:t xml:space="preserve">.  </w:t>
      </w:r>
      <w:r w:rsidRPr="009E6480">
        <w:rPr>
          <w:rFonts w:ascii="Times New Roman" w:eastAsia="Calibri" w:hAnsi="Times New Roman"/>
          <w:noProof/>
          <w:lang w:bidi="ar-SA"/>
        </w:rPr>
        <w:t>"A Psychological Autopsy of 9/11 Ringleader Mohamed Atta</w:t>
      </w:r>
      <w:r>
        <w:rPr>
          <w:rFonts w:ascii="Times New Roman" w:eastAsia="Calibri" w:hAnsi="Times New Roman"/>
          <w:noProof/>
          <w:lang w:bidi="ar-SA"/>
        </w:rPr>
        <w:t>."</w:t>
      </w:r>
      <w:r w:rsidRPr="009E6480">
        <w:rPr>
          <w:rFonts w:ascii="Times New Roman" w:eastAsia="Calibri" w:hAnsi="Times New Roman"/>
          <w:i/>
          <w:noProof/>
          <w:lang w:bidi="ar-SA"/>
        </w:rPr>
        <w:t>Journal of Police and Criminal Psychology</w:t>
      </w:r>
      <w:r>
        <w:rPr>
          <w:rFonts w:ascii="Times New Roman" w:eastAsia="Calibri" w:hAnsi="Times New Roman"/>
          <w:i/>
          <w:noProof/>
          <w:lang w:bidi="ar-SA"/>
        </w:rPr>
        <w:t xml:space="preserve">.  </w:t>
      </w:r>
      <w:r w:rsidRPr="009E6480">
        <w:rPr>
          <w:rFonts w:ascii="Times New Roman" w:eastAsia="Calibri" w:hAnsi="Times New Roman"/>
          <w:noProof/>
          <w:lang w:bidi="ar-SA"/>
        </w:rPr>
        <w:t>27, no</w:t>
      </w:r>
      <w:r>
        <w:rPr>
          <w:rFonts w:ascii="Times New Roman" w:eastAsia="Calibri" w:hAnsi="Times New Roman"/>
          <w:noProof/>
          <w:lang w:bidi="ar-SA"/>
        </w:rPr>
        <w:t xml:space="preserve">.  </w:t>
      </w:r>
      <w:r w:rsidRPr="009E6480">
        <w:rPr>
          <w:rFonts w:ascii="Times New Roman" w:eastAsia="Calibri" w:hAnsi="Times New Roman"/>
          <w:noProof/>
          <w:lang w:bidi="ar-SA"/>
        </w:rPr>
        <w:t>2.</w:t>
      </w:r>
    </w:p>
    <w:p w:rsidR="00257C34" w:rsidRPr="009E6480" w:rsidRDefault="00257C34" w:rsidP="009E6480">
      <w:pPr>
        <w:spacing w:line="240" w:lineRule="auto"/>
        <w:ind w:right="720"/>
        <w:contextualSpacing/>
        <w:rPr>
          <w:rFonts w:ascii="Times New Roman" w:eastAsia="Calibri" w:hAnsi="Times New Roman"/>
          <w:noProof/>
          <w:lang w:bidi="ar-SA"/>
        </w:rPr>
      </w:pPr>
    </w:p>
    <w:p w:rsid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Lankford, Adam</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2013</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"Comparative Analysis of Suicide Terrorists and Rampage, Workplace, and School Shooters in the United States From 1990 to 2010</w:t>
      </w:r>
      <w:r w:rsidRPr="009E6480">
        <w:rPr>
          <w:rFonts w:ascii="Times New Roman" w:eastAsia="Calibri" w:hAnsi="Times New Roman"/>
          <w:i/>
          <w:noProof/>
          <w:lang w:bidi="ar-SA"/>
        </w:rPr>
        <w:t>"</w:t>
      </w:r>
      <w:r w:rsidR="004555DB">
        <w:rPr>
          <w:rFonts w:ascii="Times New Roman" w:eastAsia="Calibri" w:hAnsi="Times New Roman"/>
          <w:i/>
          <w:noProof/>
          <w:lang w:bidi="ar-SA"/>
        </w:rPr>
        <w:t xml:space="preserve">.  </w:t>
      </w:r>
      <w:r w:rsidRPr="009E6480">
        <w:rPr>
          <w:rFonts w:ascii="Times New Roman" w:eastAsia="Calibri" w:hAnsi="Times New Roman"/>
          <w:i/>
          <w:noProof/>
          <w:lang w:bidi="ar-SA"/>
        </w:rPr>
        <w:t>Homicide Studies</w:t>
      </w:r>
      <w:r w:rsidR="004555DB">
        <w:rPr>
          <w:rFonts w:ascii="Times New Roman" w:eastAsia="Calibri" w:hAnsi="Times New Roman"/>
          <w:i/>
          <w:noProof/>
          <w:lang w:bidi="ar-SA"/>
        </w:rPr>
        <w:t xml:space="preserve">.  </w:t>
      </w:r>
      <w:r w:rsidRPr="009E6480">
        <w:rPr>
          <w:rFonts w:ascii="Times New Roman" w:eastAsia="Calibri" w:hAnsi="Times New Roman"/>
          <w:noProof/>
          <w:lang w:bidi="ar-SA"/>
        </w:rPr>
        <w:t>17, no</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3: 255 - 274.</w:t>
      </w:r>
    </w:p>
    <w:p w:rsidR="00257C34" w:rsidRPr="009E6480" w:rsidRDefault="00257C34"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Lankford, A</w:t>
      </w:r>
      <w:r w:rsidR="00257C34">
        <w:rPr>
          <w:rFonts w:ascii="Times New Roman" w:eastAsia="Calibri" w:hAnsi="Times New Roman"/>
          <w:noProof/>
          <w:lang w:bidi="ar-SA"/>
        </w:rPr>
        <w:t>dam</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2010</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"Do Suicide Terrorists Exhibit Clinically Suicidal Risk Factors? A Review of Initial Evidence and Call for Future Research"</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Aggression and Violent Behavior</w:t>
      </w:r>
      <w:r w:rsidR="004555DB">
        <w:rPr>
          <w:rFonts w:ascii="Times New Roman" w:eastAsia="Calibri" w:hAnsi="Times New Roman"/>
          <w:i/>
          <w:iCs/>
          <w:noProof/>
          <w:lang w:bidi="ar-SA"/>
        </w:rPr>
        <w:t xml:space="preserve">.  </w:t>
      </w:r>
      <w:r w:rsidRPr="009E6480">
        <w:rPr>
          <w:rFonts w:ascii="Times New Roman" w:eastAsia="Calibri" w:hAnsi="Times New Roman"/>
          <w:noProof/>
          <w:lang w:bidi="ar-SA"/>
        </w:rPr>
        <w:t>15, no</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5: 334-340.</w:t>
      </w:r>
    </w:p>
    <w:p w:rsidR="009E6480" w:rsidRDefault="009E6480" w:rsidP="009E6480">
      <w:pPr>
        <w:spacing w:line="240" w:lineRule="auto"/>
        <w:ind w:right="720"/>
        <w:contextualSpacing/>
        <w:rPr>
          <w:rFonts w:ascii="Times New Roman" w:eastAsia="Calibri" w:hAnsi="Times New Roman"/>
          <w:noProof/>
          <w:lang w:bidi="ar-SA"/>
        </w:rPr>
      </w:pPr>
    </w:p>
    <w:p w:rsidR="00257C34" w:rsidRPr="009E6480" w:rsidRDefault="00257C34" w:rsidP="00257C34">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Lankford</w:t>
      </w:r>
      <w:r>
        <w:rPr>
          <w:rFonts w:ascii="Times New Roman" w:eastAsia="Calibri" w:hAnsi="Times New Roman"/>
          <w:noProof/>
          <w:lang w:bidi="ar-SA"/>
        </w:rPr>
        <w:t>,</w:t>
      </w:r>
      <w:r w:rsidRPr="009E6480">
        <w:rPr>
          <w:rFonts w:ascii="Times New Roman" w:eastAsia="Calibri" w:hAnsi="Times New Roman"/>
          <w:noProof/>
          <w:lang w:bidi="ar-SA"/>
        </w:rPr>
        <w:t xml:space="preserve"> A</w:t>
      </w:r>
      <w:r>
        <w:rPr>
          <w:rFonts w:ascii="Times New Roman" w:eastAsia="Calibri" w:hAnsi="Times New Roman"/>
          <w:noProof/>
          <w:lang w:bidi="ar-SA"/>
        </w:rPr>
        <w:t xml:space="preserve">dam.  </w:t>
      </w:r>
      <w:r w:rsidRPr="009E6480">
        <w:rPr>
          <w:rFonts w:ascii="Times New Roman" w:eastAsia="Calibri" w:hAnsi="Times New Roman"/>
          <w:noProof/>
          <w:lang w:bidi="ar-SA"/>
        </w:rPr>
        <w:t>2014</w:t>
      </w:r>
      <w:r>
        <w:rPr>
          <w:rFonts w:ascii="Times New Roman" w:eastAsia="Calibri" w:hAnsi="Times New Roman"/>
          <w:noProof/>
          <w:lang w:bidi="ar-SA"/>
        </w:rPr>
        <w:t xml:space="preserve">.  </w:t>
      </w:r>
      <w:r w:rsidRPr="009E6480">
        <w:rPr>
          <w:rFonts w:ascii="Times New Roman" w:eastAsia="Calibri" w:hAnsi="Times New Roman"/>
          <w:noProof/>
          <w:lang w:bidi="ar-SA"/>
        </w:rPr>
        <w:t>"Précis of the Myth of Martyrdom: What Really Drives Suicide Bombers, Rampage Shooters, and Other Self-Destructive Killers"</w:t>
      </w:r>
      <w:r>
        <w:rPr>
          <w:rFonts w:ascii="Times New Roman" w:eastAsia="Calibri" w:hAnsi="Times New Roman"/>
          <w:noProof/>
          <w:lang w:bidi="ar-SA"/>
        </w:rPr>
        <w:t xml:space="preserve">.  </w:t>
      </w:r>
      <w:r w:rsidRPr="009E6480">
        <w:rPr>
          <w:rFonts w:ascii="Times New Roman" w:eastAsia="Calibri" w:hAnsi="Times New Roman"/>
          <w:i/>
          <w:iCs/>
          <w:noProof/>
          <w:lang w:bidi="ar-SA"/>
        </w:rPr>
        <w:t>The Behavioral and Brain Sciences</w:t>
      </w:r>
      <w:r>
        <w:rPr>
          <w:rFonts w:ascii="Times New Roman" w:eastAsia="Calibri" w:hAnsi="Times New Roman"/>
          <w:iCs/>
          <w:noProof/>
          <w:lang w:bidi="ar-SA"/>
        </w:rPr>
        <w:t xml:space="preserve">.  </w:t>
      </w:r>
      <w:r w:rsidRPr="009E6480">
        <w:rPr>
          <w:rFonts w:ascii="Times New Roman" w:eastAsia="Calibri" w:hAnsi="Times New Roman"/>
          <w:noProof/>
          <w:lang w:bidi="ar-SA"/>
        </w:rPr>
        <w:t>37, no</w:t>
      </w:r>
      <w:r>
        <w:rPr>
          <w:rFonts w:ascii="Times New Roman" w:eastAsia="Calibri" w:hAnsi="Times New Roman"/>
          <w:noProof/>
          <w:lang w:bidi="ar-SA"/>
        </w:rPr>
        <w:t xml:space="preserve">.  </w:t>
      </w:r>
      <w:r w:rsidRPr="009E6480">
        <w:rPr>
          <w:rFonts w:ascii="Times New Roman" w:eastAsia="Calibri" w:hAnsi="Times New Roman"/>
          <w:noProof/>
          <w:lang w:bidi="ar-SA"/>
        </w:rPr>
        <w:t>4: 351-62.</w:t>
      </w:r>
    </w:p>
    <w:p w:rsidR="00257C34" w:rsidRPr="009E6480" w:rsidRDefault="00257C34"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lastRenderedPageBreak/>
        <w:t>Lankford, Adam</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2010</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"Suicide Terrorism as a Socially Approved Form of Suicide".</w:t>
      </w:r>
      <w:r w:rsidRPr="009E6480">
        <w:rPr>
          <w:rFonts w:ascii="Times New Roman" w:eastAsia="Calibri" w:hAnsi="Times New Roman"/>
          <w:i/>
          <w:iCs/>
          <w:noProof/>
          <w:lang w:bidi="ar-SA"/>
        </w:rPr>
        <w:t>Crisis: The Journal of Crisis Intervention and Suicide Prevention</w:t>
      </w:r>
      <w:r w:rsidR="004555DB">
        <w:rPr>
          <w:rFonts w:ascii="Times New Roman" w:eastAsia="Calibri" w:hAnsi="Times New Roman"/>
          <w:i/>
          <w:iCs/>
          <w:noProof/>
          <w:lang w:bidi="ar-SA"/>
        </w:rPr>
        <w:t xml:space="preserve">.  </w:t>
      </w:r>
      <w:r w:rsidRPr="009E6480">
        <w:rPr>
          <w:rFonts w:ascii="Times New Roman" w:eastAsia="Calibri" w:hAnsi="Times New Roman"/>
          <w:noProof/>
          <w:lang w:bidi="ar-SA"/>
        </w:rPr>
        <w:t>31, no</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6: 287-289.</w:t>
      </w:r>
    </w:p>
    <w:p w:rsidR="009E6480" w:rsidRDefault="009E6480" w:rsidP="009E6480">
      <w:pPr>
        <w:spacing w:line="240" w:lineRule="auto"/>
        <w:ind w:right="720"/>
        <w:contextualSpacing/>
        <w:rPr>
          <w:rFonts w:ascii="Times New Roman" w:eastAsia="Calibri" w:hAnsi="Times New Roman"/>
          <w:noProof/>
          <w:lang w:bidi="ar-SA"/>
        </w:rPr>
      </w:pPr>
    </w:p>
    <w:p w:rsidR="00FB048D" w:rsidRPr="00FB048D" w:rsidRDefault="00FB048D" w:rsidP="00FB048D">
      <w:pPr>
        <w:spacing w:line="240" w:lineRule="auto"/>
        <w:ind w:right="720"/>
        <w:contextualSpacing/>
        <w:rPr>
          <w:rFonts w:ascii="Times New Roman" w:eastAsia="Calibri" w:hAnsi="Times New Roman"/>
          <w:noProof/>
          <w:lang w:bidi="ar-SA"/>
        </w:rPr>
      </w:pPr>
      <w:r w:rsidRPr="00FB048D">
        <w:rPr>
          <w:rFonts w:ascii="Times New Roman" w:eastAsia="Calibri" w:hAnsi="Times New Roman"/>
          <w:noProof/>
        </w:rPr>
        <w:t>Lawrence, B. B. (2015). Ibn Khaldun/Applying ibn khaldun: The recovery of a lost tradition in sociology.</w:t>
      </w:r>
      <w:r w:rsidRPr="00FB048D">
        <w:rPr>
          <w:rFonts w:ascii="Times New Roman" w:eastAsia="Calibri" w:hAnsi="Times New Roman"/>
          <w:i/>
          <w:iCs/>
          <w:noProof/>
        </w:rPr>
        <w:t> The Middle East Journal, 69</w:t>
      </w:r>
      <w:r w:rsidRPr="00FB048D">
        <w:rPr>
          <w:rFonts w:ascii="Times New Roman" w:eastAsia="Calibri" w:hAnsi="Times New Roman"/>
          <w:noProof/>
        </w:rPr>
        <w:t>(2), 318-319. Retrieved from http://search.proquest.com/docview/1675910554?accountid=12964</w:t>
      </w:r>
    </w:p>
    <w:p w:rsidR="00FB048D" w:rsidRPr="009E6480" w:rsidRDefault="00FB048D"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Lawrence, Marta</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“Middle East, Asia drive up Terrorism:</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a Special Focus on Terrorism Trends.”</w:t>
      </w:r>
      <w:r w:rsidR="004555DB">
        <w:rPr>
          <w:rFonts w:ascii="Times New Roman" w:eastAsia="Calibri" w:hAnsi="Times New Roman"/>
          <w:noProof/>
          <w:lang w:bidi="ar-SA"/>
        </w:rPr>
        <w:t xml:space="preserve"> </w:t>
      </w:r>
      <w:r w:rsidRPr="009E6480">
        <w:rPr>
          <w:rFonts w:ascii="Times New Roman" w:eastAsia="Calibri" w:hAnsi="Times New Roman"/>
          <w:i/>
          <w:noProof/>
          <w:lang w:bidi="ar-SA"/>
        </w:rPr>
        <w:t>Security Management</w:t>
      </w:r>
      <w:r w:rsidR="004555DB">
        <w:rPr>
          <w:rFonts w:ascii="Times New Roman" w:eastAsia="Calibri" w:hAnsi="Times New Roman"/>
          <w:i/>
          <w:noProof/>
          <w:lang w:bidi="ar-SA"/>
        </w:rPr>
        <w:t xml:space="preserve">.  </w:t>
      </w:r>
      <w:r w:rsidRPr="009E6480">
        <w:rPr>
          <w:rFonts w:ascii="Times New Roman" w:eastAsia="Calibri" w:hAnsi="Times New Roman"/>
          <w:noProof/>
          <w:lang w:bidi="ar-SA"/>
        </w:rPr>
        <w:t>2006</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Vol</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50, No</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4, Pg</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28</w:t>
      </w:r>
      <w:r w:rsidR="004555DB">
        <w:rPr>
          <w:rFonts w:ascii="Times New Roman" w:eastAsia="Calibri" w:hAnsi="Times New Roman"/>
          <w:noProof/>
          <w:lang w:bidi="ar-SA"/>
        </w:rPr>
        <w:t xml:space="preserve">.  </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Levitt, Matthew</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2006</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Hamas: politics, charity, and terrorism in the service of jihad</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New Haven: Yale University Press.</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Lewis, Jeffrey William</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The Business of Martyrdom: A History of Suicide Bombing</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Annapolis, Md: Naval Institute Press, 2012.</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Lia, Brynjar</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“Doctrines of Jihadi Terrorist Training.”</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Terrorism and Political Violence</w:t>
      </w:r>
      <w:r w:rsidR="004555DB">
        <w:rPr>
          <w:rFonts w:ascii="Times New Roman" w:eastAsia="Calibri" w:hAnsi="Times New Roman"/>
          <w:i/>
          <w:iCs/>
          <w:noProof/>
          <w:lang w:bidi="ar-SA"/>
        </w:rPr>
        <w:t xml:space="preserve">.  </w:t>
      </w:r>
      <w:r w:rsidRPr="009E6480">
        <w:rPr>
          <w:rFonts w:ascii="Times New Roman" w:eastAsia="Calibri" w:hAnsi="Times New Roman"/>
          <w:noProof/>
          <w:lang w:bidi="ar-SA"/>
        </w:rPr>
        <w:t>Vol 20, No</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4;</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October (2008).</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Lindstrom, Martin</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"How Apple, others have cultivated religious followings." </w:t>
      </w:r>
      <w:r w:rsidRPr="009E6480">
        <w:rPr>
          <w:rFonts w:ascii="Times New Roman" w:eastAsia="Calibri" w:hAnsi="Times New Roman"/>
          <w:i/>
          <w:noProof/>
          <w:lang w:bidi="ar-SA"/>
        </w:rPr>
        <w:t>Advertising Age</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08 Dec</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2008: 16+</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Academic Search Elite</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Web</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29 May 2015.</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Marcus, Aliza</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Blood and Belief The PKK and the Kurdish Fight for Independence</w:t>
      </w:r>
      <w:r w:rsidR="004555DB">
        <w:rPr>
          <w:rFonts w:ascii="Times New Roman" w:eastAsia="Calibri" w:hAnsi="Times New Roman"/>
          <w:i/>
          <w:iCs/>
          <w:noProof/>
          <w:lang w:bidi="ar-SA"/>
        </w:rPr>
        <w:t xml:space="preserve">.  </w:t>
      </w:r>
      <w:r w:rsidRPr="009E6480">
        <w:rPr>
          <w:rFonts w:ascii="Times New Roman" w:eastAsia="Calibri" w:hAnsi="Times New Roman"/>
          <w:noProof/>
          <w:lang w:bidi="ar-SA"/>
        </w:rPr>
        <w:t>New York: New York University Press, 2007.</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iCs/>
          <w:noProof/>
          <w:lang w:bidi="ar-SA"/>
        </w:rPr>
      </w:pPr>
      <w:r w:rsidRPr="009E6480">
        <w:rPr>
          <w:rFonts w:ascii="Times New Roman" w:eastAsia="Calibri" w:hAnsi="Times New Roman"/>
          <w:iCs/>
          <w:noProof/>
          <w:lang w:bidi="ar-SA"/>
        </w:rPr>
        <w:t>Martin Kramer, “Sacrifice and ‘Self-Martyrdom’ in Shi’ite Lebanon,”</w:t>
      </w:r>
      <w:r w:rsidRPr="009E6480">
        <w:rPr>
          <w:rFonts w:ascii="Times New Roman" w:eastAsia="Calibri" w:hAnsi="Times New Roman"/>
          <w:noProof/>
          <w:lang w:bidi="ar-SA"/>
        </w:rPr>
        <w:t> Terrorism and Political Violence, </w:t>
      </w:r>
      <w:r w:rsidRPr="009E6480">
        <w:rPr>
          <w:rFonts w:ascii="Times New Roman" w:eastAsia="Calibri" w:hAnsi="Times New Roman"/>
          <w:iCs/>
          <w:noProof/>
          <w:lang w:bidi="ar-SA"/>
        </w:rPr>
        <w:t>vol</w:t>
      </w:r>
      <w:r w:rsidR="004555DB">
        <w:rPr>
          <w:rFonts w:ascii="Times New Roman" w:eastAsia="Calibri" w:hAnsi="Times New Roman"/>
          <w:iCs/>
          <w:noProof/>
          <w:lang w:bidi="ar-SA"/>
        </w:rPr>
        <w:t xml:space="preserve">.  </w:t>
      </w:r>
      <w:r w:rsidRPr="009E6480">
        <w:rPr>
          <w:rFonts w:ascii="Times New Roman" w:eastAsia="Calibri" w:hAnsi="Times New Roman"/>
          <w:iCs/>
          <w:noProof/>
          <w:lang w:bidi="ar-SA"/>
        </w:rPr>
        <w:t>3, no</w:t>
      </w:r>
      <w:r w:rsidR="004555DB">
        <w:rPr>
          <w:rFonts w:ascii="Times New Roman" w:eastAsia="Calibri" w:hAnsi="Times New Roman"/>
          <w:iCs/>
          <w:noProof/>
          <w:lang w:bidi="ar-SA"/>
        </w:rPr>
        <w:t xml:space="preserve">.  </w:t>
      </w:r>
      <w:r w:rsidRPr="009E6480">
        <w:rPr>
          <w:rFonts w:ascii="Times New Roman" w:eastAsia="Calibri" w:hAnsi="Times New Roman"/>
          <w:iCs/>
          <w:noProof/>
          <w:lang w:bidi="ar-SA"/>
        </w:rPr>
        <w:t>3 (Autumn 1991), pp</w:t>
      </w:r>
      <w:r w:rsidR="004555DB">
        <w:rPr>
          <w:rFonts w:ascii="Times New Roman" w:eastAsia="Calibri" w:hAnsi="Times New Roman"/>
          <w:iCs/>
          <w:noProof/>
          <w:lang w:bidi="ar-SA"/>
        </w:rPr>
        <w:t xml:space="preserve">.  </w:t>
      </w:r>
      <w:r w:rsidRPr="009E6480">
        <w:rPr>
          <w:rFonts w:ascii="Times New Roman" w:eastAsia="Calibri" w:hAnsi="Times New Roman"/>
          <w:iCs/>
          <w:noProof/>
          <w:lang w:bidi="ar-SA"/>
        </w:rPr>
        <w:t>30-47</w:t>
      </w:r>
      <w:r w:rsidR="004555DB">
        <w:rPr>
          <w:rFonts w:ascii="Times New Roman" w:eastAsia="Calibri" w:hAnsi="Times New Roman"/>
          <w:iCs/>
          <w:noProof/>
          <w:lang w:bidi="ar-SA"/>
        </w:rPr>
        <w:t xml:space="preserve">.  </w:t>
      </w:r>
    </w:p>
    <w:p w:rsidR="009E6480" w:rsidRPr="009E6480" w:rsidRDefault="009E6480" w:rsidP="009E6480">
      <w:pPr>
        <w:spacing w:line="240" w:lineRule="auto"/>
        <w:ind w:right="720"/>
        <w:contextualSpacing/>
        <w:rPr>
          <w:rFonts w:ascii="Times New Roman" w:eastAsia="Calibri" w:hAnsi="Times New Roman"/>
          <w:iCs/>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Masters, Jonathan</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“Council on Foreign Relations Backgrounder:</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What is Hamas?”</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PBS.org</w:t>
      </w:r>
      <w:r w:rsidR="004555DB">
        <w:rPr>
          <w:rFonts w:ascii="Times New Roman" w:eastAsia="Calibri" w:hAnsi="Times New Roman"/>
          <w:i/>
          <w:iCs/>
          <w:noProof/>
          <w:lang w:bidi="ar-SA"/>
        </w:rPr>
        <w:t xml:space="preserve">.  </w:t>
      </w:r>
      <w:r w:rsidRPr="009E6480">
        <w:rPr>
          <w:rFonts w:ascii="Times New Roman" w:eastAsia="Calibri" w:hAnsi="Times New Roman"/>
          <w:noProof/>
          <w:lang w:bidi="ar-SA"/>
        </w:rPr>
        <w:t>20 November 2012</w:t>
      </w:r>
      <w:r w:rsidR="004555DB">
        <w:rPr>
          <w:rFonts w:ascii="Times New Roman" w:eastAsia="Calibri" w:hAnsi="Times New Roman"/>
          <w:noProof/>
          <w:lang w:bidi="ar-SA"/>
        </w:rPr>
        <w:t xml:space="preserve">.  </w:t>
      </w:r>
      <w:hyperlink r:id="rId30" w:history="1">
        <w:r w:rsidRPr="009E6480">
          <w:rPr>
            <w:rFonts w:ascii="Times New Roman" w:eastAsia="Calibri" w:hAnsi="Times New Roman"/>
            <w:noProof/>
            <w:color w:val="0000FF"/>
            <w:u w:val="single"/>
            <w:lang w:bidi="ar-SA"/>
          </w:rPr>
          <w:t>http://www.pbs.org/newshour/rundown/hamas-backgrounder/</w:t>
        </w:r>
      </w:hyperlink>
      <w:r w:rsidRPr="009E6480">
        <w:rPr>
          <w:rFonts w:ascii="Times New Roman" w:eastAsia="Calibri" w:hAnsi="Times New Roman"/>
          <w:noProof/>
          <w:lang w:bidi="ar-SA"/>
        </w:rPr>
        <w:t xml:space="preserve"> (Accessed 22 October 2015).</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McCants, William (2015-09-22)</w:t>
      </w:r>
      <w:r w:rsidR="004555DB">
        <w:rPr>
          <w:rFonts w:ascii="Times New Roman" w:eastAsia="Calibri" w:hAnsi="Times New Roman"/>
          <w:noProof/>
          <w:lang w:bidi="ar-SA"/>
        </w:rPr>
        <w:t xml:space="preserve">.  </w:t>
      </w:r>
      <w:r w:rsidRPr="009E6480">
        <w:rPr>
          <w:rFonts w:ascii="Times New Roman" w:eastAsia="Calibri" w:hAnsi="Times New Roman"/>
          <w:i/>
          <w:noProof/>
          <w:lang w:bidi="ar-SA"/>
        </w:rPr>
        <w:t>The ISIS Apocalypse: The History, Strategy, and Doomsday Vision of the Islamic State</w:t>
      </w:r>
      <w:r w:rsidR="004555DB">
        <w:rPr>
          <w:rFonts w:ascii="Times New Roman" w:eastAsia="Calibri" w:hAnsi="Times New Roman"/>
          <w:i/>
          <w:noProof/>
          <w:lang w:bidi="ar-SA"/>
        </w:rPr>
        <w:t xml:space="preserve">.  </w:t>
      </w:r>
      <w:r w:rsidRPr="009E6480">
        <w:rPr>
          <w:rFonts w:ascii="Times New Roman" w:eastAsia="Calibri" w:hAnsi="Times New Roman"/>
          <w:noProof/>
          <w:lang w:bidi="ar-SA"/>
        </w:rPr>
        <w:t>St</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Martin's Press</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Kindle Edition.</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Mehta, Raj K</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Lost Victory: The Rise &amp; Fall of LTTE Supremo, V</w:t>
      </w:r>
      <w:r w:rsidR="004555DB">
        <w:rPr>
          <w:rFonts w:ascii="Times New Roman" w:eastAsia="Calibri" w:hAnsi="Times New Roman"/>
          <w:i/>
          <w:iCs/>
          <w:noProof/>
          <w:lang w:bidi="ar-SA"/>
        </w:rPr>
        <w:t xml:space="preserve">.  </w:t>
      </w:r>
      <w:r w:rsidRPr="009E6480">
        <w:rPr>
          <w:rFonts w:ascii="Times New Roman" w:eastAsia="Calibri" w:hAnsi="Times New Roman"/>
          <w:i/>
          <w:iCs/>
          <w:noProof/>
          <w:lang w:bidi="ar-SA"/>
        </w:rPr>
        <w:t>Prabhakaran</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New Delhi: Pentagon Security International, 2010</w:t>
      </w:r>
      <w:r w:rsidR="004555DB">
        <w:rPr>
          <w:rFonts w:ascii="Times New Roman" w:eastAsia="Calibri" w:hAnsi="Times New Roman"/>
          <w:noProof/>
          <w:lang w:bidi="ar-SA"/>
        </w:rPr>
        <w:t xml:space="preserve">.  </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Merari, Ariel, Ilan Diamant, Arie Bibi, Yoav Broshi, and Giora Zakin</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2009</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"Personality Characteristics of Self Martyrs/Suicide Bombers and Organizers of Suicide Attacks".</w:t>
      </w:r>
      <w:r w:rsidRPr="009E6480">
        <w:rPr>
          <w:rFonts w:ascii="Times New Roman" w:eastAsia="Calibri" w:hAnsi="Times New Roman"/>
          <w:i/>
          <w:iCs/>
          <w:noProof/>
          <w:lang w:bidi="ar-SA"/>
        </w:rPr>
        <w:t>Terrorism and Political Violence</w:t>
      </w:r>
      <w:r w:rsidR="004555DB">
        <w:rPr>
          <w:rFonts w:ascii="Times New Roman" w:eastAsia="Calibri" w:hAnsi="Times New Roman"/>
          <w:i/>
          <w:iCs/>
          <w:noProof/>
          <w:lang w:bidi="ar-SA"/>
        </w:rPr>
        <w:t xml:space="preserve">.  </w:t>
      </w:r>
      <w:r w:rsidRPr="009E6480">
        <w:rPr>
          <w:rFonts w:ascii="Times New Roman" w:eastAsia="Calibri" w:hAnsi="Times New Roman"/>
          <w:noProof/>
          <w:lang w:bidi="ar-SA"/>
        </w:rPr>
        <w:t>22, no</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1: 87.</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lastRenderedPageBreak/>
        <w:t>Merari, Ariel</w:t>
      </w:r>
      <w:r w:rsidR="004555DB">
        <w:rPr>
          <w:rFonts w:ascii="Times New Roman" w:eastAsia="Calibri" w:hAnsi="Times New Roman"/>
          <w:noProof/>
          <w:lang w:bidi="ar-SA"/>
        </w:rPr>
        <w:t xml:space="preserve">.  </w:t>
      </w:r>
      <w:r w:rsidRPr="009E6480">
        <w:rPr>
          <w:rFonts w:ascii="Times New Roman" w:eastAsia="Calibri" w:hAnsi="Times New Roman"/>
          <w:i/>
          <w:noProof/>
          <w:lang w:bidi="ar-SA"/>
        </w:rPr>
        <w:t>Driven to Death: Psychological and Social Aspects of Suicide Terrorism</w:t>
      </w:r>
      <w:r w:rsidR="004555DB">
        <w:rPr>
          <w:rFonts w:ascii="Times New Roman" w:eastAsia="Calibri" w:hAnsi="Times New Roman"/>
          <w:i/>
          <w:noProof/>
          <w:lang w:bidi="ar-SA"/>
        </w:rPr>
        <w:t xml:space="preserve">.  </w:t>
      </w:r>
      <w:r w:rsidRPr="009E6480">
        <w:rPr>
          <w:rFonts w:ascii="Times New Roman" w:eastAsia="Calibri" w:hAnsi="Times New Roman"/>
          <w:noProof/>
          <w:lang w:bidi="ar-SA"/>
        </w:rPr>
        <w:t>New York: Oxford University Press, 2010.</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Middleton, Drew</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“Soviet Arms Come in Second in Lebanon.”</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The New York Times</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Septebmer 19, 1982</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Lexis Nexis Academic</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(Accessed October 14, 2012)</w:t>
      </w:r>
      <w:r w:rsidR="004555DB">
        <w:rPr>
          <w:rFonts w:ascii="Times New Roman" w:eastAsia="Calibri" w:hAnsi="Times New Roman"/>
          <w:noProof/>
          <w:lang w:bidi="ar-SA"/>
        </w:rPr>
        <w:t xml:space="preserve">.  </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contextualSpacing/>
        <w:rPr>
          <w:rFonts w:ascii="Times New Roman" w:eastAsia="Calibri" w:hAnsi="Times New Roman"/>
          <w:noProof/>
          <w:lang w:bidi="ar-SA"/>
        </w:rPr>
      </w:pPr>
      <w:r w:rsidRPr="009E6480">
        <w:rPr>
          <w:rFonts w:ascii="Times New Roman" w:eastAsia="Calibri" w:hAnsi="Times New Roman"/>
          <w:noProof/>
          <w:lang w:bidi="ar-SA"/>
        </w:rPr>
        <w:t>Moghadam, Assaf</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2006</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"Suicide Terrorism, Occupation, and the Globalization of Martyrdom: A Critique of Dying to Win"</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Studies in Conflict and Terrorism</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29, no</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8: 707-729.</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Moghadam, Assaf</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“Mayhem, Myths, and Martyrdom:</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 xml:space="preserve">The Shi’a Conception of Jihad.” </w:t>
      </w:r>
      <w:r w:rsidRPr="009E6480">
        <w:rPr>
          <w:rFonts w:ascii="Times New Roman" w:eastAsia="Calibri" w:hAnsi="Times New Roman"/>
          <w:i/>
          <w:iCs/>
          <w:noProof/>
          <w:lang w:bidi="ar-SA"/>
        </w:rPr>
        <w:t>Terrorism and Political Violence</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Volume 19; 2007:</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125-143.</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Moghadam, Assaf (2011-02-24)</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 xml:space="preserve">The Globalization of Martyrdom: Al Qaeda, Salafi Jihad, and the Diffusion of Suicide Attacks </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Johns Hopkins University Press</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Kindle Edition.</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Mowles, Chris</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 xml:space="preserve">"The Israeli occupation of South Lebanon." </w:t>
      </w:r>
      <w:r w:rsidRPr="009E6480">
        <w:rPr>
          <w:rFonts w:ascii="Times New Roman" w:eastAsia="Calibri" w:hAnsi="Times New Roman"/>
          <w:i/>
          <w:iCs/>
          <w:noProof/>
          <w:lang w:bidi="ar-SA"/>
        </w:rPr>
        <w:t xml:space="preserve">Third World Quarterly </w:t>
      </w:r>
      <w:r w:rsidRPr="009E6480">
        <w:rPr>
          <w:rFonts w:ascii="Times New Roman" w:eastAsia="Calibri" w:hAnsi="Times New Roman"/>
          <w:noProof/>
          <w:lang w:bidi="ar-SA"/>
        </w:rPr>
        <w:t>8, no</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4 (October 1986): 1351-1366</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SocINDEX, EBSCOhost (accessed October 1, 2012).</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Murphy, Kim</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“A Cult of Reluctant Killers.”</w:t>
      </w:r>
      <w:r w:rsidR="004555DB">
        <w:rPr>
          <w:rFonts w:ascii="Times New Roman" w:eastAsia="Calibri" w:hAnsi="Times New Roman"/>
          <w:noProof/>
          <w:lang w:bidi="ar-SA"/>
        </w:rPr>
        <w:t xml:space="preserve"> </w:t>
      </w:r>
      <w:r w:rsidRPr="009E6480">
        <w:rPr>
          <w:rFonts w:ascii="Times New Roman" w:eastAsia="Calibri" w:hAnsi="Times New Roman"/>
          <w:i/>
          <w:noProof/>
          <w:lang w:bidi="ar-SA"/>
        </w:rPr>
        <w:t>The Los Angeles Times</w:t>
      </w:r>
      <w:r w:rsidR="004555DB">
        <w:rPr>
          <w:rFonts w:ascii="Times New Roman" w:eastAsia="Calibri" w:hAnsi="Times New Roman"/>
          <w:i/>
          <w:noProof/>
          <w:lang w:bidi="ar-SA"/>
        </w:rPr>
        <w:t xml:space="preserve">.  </w:t>
      </w:r>
      <w:r w:rsidRPr="009E6480">
        <w:rPr>
          <w:rFonts w:ascii="Times New Roman" w:eastAsia="Calibri" w:hAnsi="Times New Roman"/>
          <w:noProof/>
          <w:lang w:bidi="ar-SA"/>
        </w:rPr>
        <w:t>4 February 2004</w:t>
      </w:r>
      <w:r w:rsidR="004555DB">
        <w:rPr>
          <w:rFonts w:ascii="Times New Roman" w:eastAsia="Calibri" w:hAnsi="Times New Roman"/>
          <w:noProof/>
          <w:lang w:bidi="ar-SA"/>
        </w:rPr>
        <w:t xml:space="preserve">.  </w:t>
      </w:r>
      <w:hyperlink r:id="rId31" w:history="1">
        <w:r w:rsidRPr="009E6480">
          <w:rPr>
            <w:rFonts w:ascii="Times New Roman" w:eastAsia="Calibri" w:hAnsi="Times New Roman"/>
            <w:noProof/>
            <w:color w:val="0000FF"/>
            <w:u w:val="single"/>
            <w:lang w:bidi="ar-SA"/>
          </w:rPr>
          <w:t>http://www.pulitzer.org/archives/6905</w:t>
        </w:r>
      </w:hyperlink>
      <w:r w:rsidRPr="009E6480">
        <w:rPr>
          <w:rFonts w:ascii="Times New Roman" w:eastAsia="Calibri" w:hAnsi="Times New Roman"/>
          <w:noProof/>
          <w:lang w:bidi="ar-SA"/>
        </w:rPr>
        <w:t xml:space="preserve"> (Accessed 27 October 2015).</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Naji, Abu Bakr</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The Management of Savagery:</w:t>
      </w:r>
      <w:r w:rsidR="004555DB">
        <w:rPr>
          <w:rFonts w:ascii="Times New Roman" w:eastAsia="Calibri" w:hAnsi="Times New Roman"/>
          <w:i/>
          <w:iCs/>
          <w:noProof/>
          <w:lang w:bidi="ar-SA"/>
        </w:rPr>
        <w:t xml:space="preserve"> </w:t>
      </w:r>
      <w:r w:rsidRPr="009E6480">
        <w:rPr>
          <w:rFonts w:ascii="Times New Roman" w:eastAsia="Calibri" w:hAnsi="Times New Roman"/>
          <w:i/>
          <w:iCs/>
          <w:noProof/>
          <w:lang w:bidi="ar-SA"/>
        </w:rPr>
        <w:t xml:space="preserve">The Most Critical Stage through Which the </w:t>
      </w:r>
      <w:r w:rsidR="009D0132" w:rsidRPr="009D0132">
        <w:rPr>
          <w:rFonts w:ascii="Times New Roman" w:eastAsia="Calibri" w:hAnsi="Times New Roman"/>
          <w:i/>
          <w:iCs/>
          <w:lang w:bidi="ar-SA"/>
        </w:rPr>
        <w:t>Ummah</w:t>
      </w:r>
      <w:r w:rsidRPr="009E6480">
        <w:rPr>
          <w:rFonts w:ascii="Times New Roman" w:eastAsia="Calibri" w:hAnsi="Times New Roman"/>
          <w:i/>
          <w:iCs/>
          <w:noProof/>
          <w:lang w:bidi="ar-SA"/>
        </w:rPr>
        <w:t xml:space="preserve"> Will Pass</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Translated by William McCants</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23 May (2006).</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Napoleoni, Loretta</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“Chechnya’s Terror Economy is Booming and its Bloody Trade is Being Exported.”</w:t>
      </w:r>
      <w:r w:rsidR="004555DB">
        <w:rPr>
          <w:rFonts w:ascii="Times New Roman" w:eastAsia="Calibri" w:hAnsi="Times New Roman"/>
          <w:noProof/>
          <w:lang w:bidi="ar-SA"/>
        </w:rPr>
        <w:t xml:space="preserve"> </w:t>
      </w:r>
      <w:r w:rsidRPr="009E6480">
        <w:rPr>
          <w:rFonts w:ascii="Times New Roman" w:eastAsia="Calibri" w:hAnsi="Times New Roman"/>
          <w:i/>
          <w:noProof/>
          <w:lang w:bidi="ar-SA"/>
        </w:rPr>
        <w:t>The London Times</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Sept 9, 2004.</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Naṣr Allāh, Ḥasan, Nicholas Noe, and Nicholas Blanford</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Voice of Hezbollah: The Statements of Sayed Hassan Nasrallah</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London: Verso, 2007.</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Nasr, Seyyed Vali Reza</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The Shia Revival How Conflicts Within Islam Will Shape the Future</w:t>
      </w:r>
      <w:r w:rsidR="004555DB">
        <w:rPr>
          <w:rFonts w:ascii="Times New Roman" w:eastAsia="Calibri" w:hAnsi="Times New Roman"/>
          <w:i/>
          <w:iCs/>
          <w:noProof/>
          <w:lang w:bidi="ar-SA"/>
        </w:rPr>
        <w:t xml:space="preserve">.  </w:t>
      </w:r>
      <w:r w:rsidRPr="009E6480">
        <w:rPr>
          <w:rFonts w:ascii="Times New Roman" w:eastAsia="Calibri" w:hAnsi="Times New Roman"/>
          <w:noProof/>
          <w:lang w:bidi="ar-SA"/>
        </w:rPr>
        <w:t>New York: Norton, 2006.</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Nordland, Rod and Babak Dehghampisheh</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“Surge of Suicide Bombers;</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 xml:space="preserve">The Iraq War Has Turned into a Veritable ‘Martyr’ Factory, Unlike Any Seen in Previous Conflicts.” </w:t>
      </w:r>
      <w:r w:rsidRPr="009E6480">
        <w:rPr>
          <w:rFonts w:ascii="Times New Roman" w:eastAsia="Calibri" w:hAnsi="Times New Roman"/>
          <w:i/>
          <w:noProof/>
          <w:lang w:bidi="ar-SA"/>
        </w:rPr>
        <w:t>Newsweek</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13 August, 2007</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Page 30.</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Oppel, Richard A</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Jr</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“Foreign Fighters in Iraq Are Tied to Allies of U.S.”</w:t>
      </w:r>
      <w:r w:rsidR="004555DB">
        <w:rPr>
          <w:rFonts w:ascii="Times New Roman" w:eastAsia="Calibri" w:hAnsi="Times New Roman"/>
          <w:noProof/>
          <w:lang w:bidi="ar-SA"/>
        </w:rPr>
        <w:t xml:space="preserve"> </w:t>
      </w:r>
      <w:r w:rsidRPr="009E6480">
        <w:rPr>
          <w:rFonts w:ascii="Times New Roman" w:eastAsia="Calibri" w:hAnsi="Times New Roman"/>
          <w:i/>
          <w:noProof/>
          <w:lang w:bidi="ar-SA"/>
        </w:rPr>
        <w:t>The New York Times</w:t>
      </w:r>
      <w:r w:rsidR="004555DB">
        <w:rPr>
          <w:rFonts w:ascii="Times New Roman" w:eastAsia="Calibri" w:hAnsi="Times New Roman"/>
          <w:i/>
          <w:noProof/>
          <w:lang w:bidi="ar-SA"/>
        </w:rPr>
        <w:t xml:space="preserve">.  </w:t>
      </w:r>
      <w:r w:rsidRPr="009E6480">
        <w:rPr>
          <w:rFonts w:ascii="Times New Roman" w:eastAsia="Calibri" w:hAnsi="Times New Roman"/>
          <w:noProof/>
          <w:lang w:bidi="ar-SA"/>
        </w:rPr>
        <w:t>22 November 2007</w:t>
      </w:r>
      <w:r w:rsidR="004555DB">
        <w:rPr>
          <w:rFonts w:ascii="Times New Roman" w:eastAsia="Calibri" w:hAnsi="Times New Roman"/>
          <w:noProof/>
          <w:lang w:bidi="ar-SA"/>
        </w:rPr>
        <w:t xml:space="preserve">.  </w:t>
      </w:r>
      <w:hyperlink r:id="rId32" w:history="1">
        <w:r w:rsidRPr="009E6480">
          <w:rPr>
            <w:rFonts w:ascii="Times New Roman" w:eastAsia="Calibri" w:hAnsi="Times New Roman"/>
            <w:noProof/>
            <w:color w:val="0000FF"/>
            <w:u w:val="single"/>
            <w:lang w:bidi="ar-SA"/>
          </w:rPr>
          <w:t>http://www.nytimes.com/2007/11/22/world/middleeast/22fighters.html</w:t>
        </w:r>
      </w:hyperlink>
      <w:r w:rsidRPr="009E6480">
        <w:rPr>
          <w:rFonts w:ascii="Times New Roman" w:eastAsia="Calibri" w:hAnsi="Times New Roman"/>
          <w:noProof/>
          <w:lang w:bidi="ar-SA"/>
        </w:rPr>
        <w:t xml:space="preserve"> (Accessed 27 November 2015).</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Paley, Amit R</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“Shift in Tactics Aim to Revive Struggling Insurgency.”</w:t>
      </w:r>
      <w:r w:rsidR="004555DB">
        <w:rPr>
          <w:rFonts w:ascii="Times New Roman" w:eastAsia="Calibri" w:hAnsi="Times New Roman"/>
          <w:noProof/>
          <w:lang w:bidi="ar-SA"/>
        </w:rPr>
        <w:t xml:space="preserve"> </w:t>
      </w:r>
      <w:r w:rsidRPr="009E6480">
        <w:rPr>
          <w:rFonts w:ascii="Times New Roman" w:eastAsia="Calibri" w:hAnsi="Times New Roman"/>
          <w:i/>
          <w:noProof/>
          <w:lang w:bidi="ar-SA"/>
        </w:rPr>
        <w:t>Washington Post</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8 February , 2008.</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Pape, Robert Anthony</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Dying to Win: The Strategic Logic of Suicide Terrorism</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New York: Random House, 2005.</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Parker, Ned</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 xml:space="preserve">“Saudis’ Role in Iraq Insurgency Outlined.” </w:t>
      </w:r>
      <w:r w:rsidRPr="009E6480">
        <w:rPr>
          <w:rFonts w:ascii="Times New Roman" w:eastAsia="Calibri" w:hAnsi="Times New Roman"/>
          <w:i/>
          <w:noProof/>
          <w:lang w:bidi="ar-SA"/>
        </w:rPr>
        <w:t>The Los Angeles Times</w:t>
      </w:r>
      <w:r w:rsidR="004555DB">
        <w:rPr>
          <w:rFonts w:ascii="Times New Roman" w:eastAsia="Calibri" w:hAnsi="Times New Roman"/>
          <w:i/>
          <w:noProof/>
          <w:lang w:bidi="ar-SA"/>
        </w:rPr>
        <w:t xml:space="preserve">.  </w:t>
      </w:r>
      <w:r w:rsidRPr="009E6480">
        <w:rPr>
          <w:rFonts w:ascii="Times New Roman" w:eastAsia="Calibri" w:hAnsi="Times New Roman"/>
          <w:noProof/>
          <w:lang w:bidi="ar-SA"/>
        </w:rPr>
        <w:t>15 July, 2007</w:t>
      </w:r>
      <w:r w:rsidR="004555DB">
        <w:rPr>
          <w:rFonts w:ascii="Times New Roman" w:eastAsia="Calibri" w:hAnsi="Times New Roman"/>
          <w:noProof/>
          <w:lang w:bidi="ar-SA"/>
        </w:rPr>
        <w:t xml:space="preserve">.  </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4409A1">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Parkinson, Brian R</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"Israel's Lebanon War: Ariel Sharon and ‘Operation Peace for Galilee’." </w:t>
      </w:r>
      <w:r w:rsidRPr="009E6480">
        <w:rPr>
          <w:rFonts w:ascii="Times New Roman" w:eastAsia="Calibri" w:hAnsi="Times New Roman"/>
          <w:i/>
          <w:iCs/>
          <w:noProof/>
          <w:lang w:bidi="ar-SA"/>
        </w:rPr>
        <w:t>Journal Of Third World Studies</w:t>
      </w:r>
      <w:r w:rsidRPr="009E6480">
        <w:rPr>
          <w:rFonts w:ascii="Times New Roman" w:eastAsia="Calibri" w:hAnsi="Times New Roman"/>
          <w:noProof/>
          <w:lang w:bidi="ar-SA"/>
        </w:rPr>
        <w:t> 24, no</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2 (October 15, 2007): 63</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Biography Reference Bank (H.W</w:t>
      </w:r>
      <w:r w:rsidR="004555DB">
        <w:rPr>
          <w:rFonts w:ascii="Times New Roman" w:eastAsia="Calibri" w:hAnsi="Times New Roman"/>
          <w:i/>
          <w:iCs/>
          <w:noProof/>
          <w:lang w:bidi="ar-SA"/>
        </w:rPr>
        <w:t xml:space="preserve">.  </w:t>
      </w:r>
      <w:r w:rsidRPr="009E6480">
        <w:rPr>
          <w:rFonts w:ascii="Times New Roman" w:eastAsia="Calibri" w:hAnsi="Times New Roman"/>
          <w:i/>
          <w:iCs/>
          <w:noProof/>
          <w:lang w:bidi="ar-SA"/>
        </w:rPr>
        <w:t>Wilson)</w:t>
      </w:r>
      <w:r w:rsidR="004409A1">
        <w:rPr>
          <w:rFonts w:ascii="Times New Roman" w:eastAsia="Calibri" w:hAnsi="Times New Roman"/>
          <w:noProof/>
          <w:lang w:bidi="ar-SA"/>
        </w:rPr>
        <w:t>.</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Pedahzur, Ami, and Arie Perliger</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2006</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"The Changing Nature of Suicide Attacks: A Social Network Perspective"</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Social Forces</w:t>
      </w:r>
      <w:r w:rsidR="004555DB">
        <w:rPr>
          <w:rFonts w:ascii="Times New Roman" w:eastAsia="Calibri" w:hAnsi="Times New Roman"/>
          <w:i/>
          <w:iCs/>
          <w:noProof/>
          <w:lang w:bidi="ar-SA"/>
        </w:rPr>
        <w:t xml:space="preserve">.  </w:t>
      </w:r>
      <w:r w:rsidRPr="009E6480">
        <w:rPr>
          <w:rFonts w:ascii="Times New Roman" w:eastAsia="Calibri" w:hAnsi="Times New Roman"/>
          <w:noProof/>
          <w:lang w:bidi="ar-SA"/>
        </w:rPr>
        <w:t>84, no</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4: 1987-2008.</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Pedahzur, Ami</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Root Causes of Suicide Terrorism: Globalization of Martyrdom</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New York: Routledge, 2006</w:t>
      </w:r>
      <w:r w:rsidR="004555DB">
        <w:rPr>
          <w:rFonts w:ascii="Times New Roman" w:eastAsia="Calibri" w:hAnsi="Times New Roman"/>
          <w:noProof/>
          <w:lang w:bidi="ar-SA"/>
        </w:rPr>
        <w:t xml:space="preserve">.  </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Pelley, Scott</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“Jihad.com;</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Jihadists using Internet to Recruit and Train Warriors, Suicide Bombers.”</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CBS News Transcripts</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4 March (2007)</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LexisNexis</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Accessed 15 January (2009).</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Perl, Raphael</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Trends in Terrorism: 2006</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[Washington, D.C.]: Congressional Research Service, Library of Congress, 2006</w:t>
      </w:r>
      <w:r w:rsidR="004555DB">
        <w:rPr>
          <w:rFonts w:ascii="Times New Roman" w:eastAsia="Calibri" w:hAnsi="Times New Roman"/>
          <w:noProof/>
          <w:lang w:bidi="ar-SA"/>
        </w:rPr>
        <w:t xml:space="preserve">.  </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color w:val="0000FF"/>
          <w:u w:val="single"/>
          <w:lang w:bidi="ar-SA"/>
        </w:rPr>
      </w:pPr>
      <w:r w:rsidRPr="009E6480">
        <w:rPr>
          <w:rFonts w:ascii="Times New Roman" w:eastAsia="Calibri" w:hAnsi="Times New Roman"/>
          <w:noProof/>
          <w:lang w:bidi="ar-SA"/>
        </w:rPr>
        <w:t>Pew Global Attitudes Survey, “A Rising Tide Lifts Mood in the Developing World:</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Sharp Decline in Support for Suicide Bombing in Muslim Countries, July 27, 2007.”</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 xml:space="preserve">See </w:t>
      </w:r>
      <w:hyperlink r:id="rId33" w:history="1">
        <w:r w:rsidRPr="009E6480">
          <w:rPr>
            <w:rFonts w:ascii="Times New Roman" w:eastAsia="Calibri" w:hAnsi="Times New Roman"/>
            <w:noProof/>
            <w:color w:val="0000FF"/>
            <w:u w:val="single"/>
            <w:lang w:bidi="ar-SA"/>
          </w:rPr>
          <w:t>http://pewglobal.org/reports/display.php?ReportID=257</w:t>
        </w:r>
      </w:hyperlink>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2D40E9">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Post, Jerrold M</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2010</w:t>
      </w:r>
      <w:r w:rsidR="004555DB">
        <w:rPr>
          <w:rFonts w:ascii="Times New Roman" w:eastAsia="Calibri" w:hAnsi="Times New Roman"/>
          <w:noProof/>
          <w:lang w:bidi="ar-SA"/>
        </w:rPr>
        <w:t xml:space="preserve">.  </w:t>
      </w:r>
      <w:r w:rsidR="002D40E9">
        <w:rPr>
          <w:rFonts w:ascii="Times New Roman" w:eastAsia="Calibri" w:hAnsi="Times New Roman"/>
          <w:noProof/>
          <w:lang w:bidi="ar-SA"/>
        </w:rPr>
        <w:t>“</w:t>
      </w:r>
      <w:r w:rsidRPr="009E6480">
        <w:rPr>
          <w:rFonts w:ascii="Times New Roman" w:eastAsia="Calibri" w:hAnsi="Times New Roman"/>
          <w:noProof/>
          <w:lang w:bidi="ar-SA"/>
        </w:rPr>
        <w:t>When Hatred Is Bred in the Bone; the Social Psychology of Terrorism"</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Annals of the New York Academy of Sciences</w:t>
      </w:r>
      <w:r w:rsidR="004555DB">
        <w:rPr>
          <w:rFonts w:ascii="Times New Roman" w:eastAsia="Calibri" w:hAnsi="Times New Roman"/>
          <w:i/>
          <w:iCs/>
          <w:noProof/>
          <w:lang w:bidi="ar-SA"/>
        </w:rPr>
        <w:t xml:space="preserve">.  </w:t>
      </w:r>
      <w:r w:rsidRPr="009E6480">
        <w:rPr>
          <w:rFonts w:ascii="Times New Roman" w:eastAsia="Calibri" w:hAnsi="Times New Roman"/>
          <w:noProof/>
          <w:lang w:bidi="ar-SA"/>
        </w:rPr>
        <w:t>1208, no</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1: 15-23.</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Pratap, Anita</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Island of Blood Frontline Reports from Sri Lanka, Afghanistan and Other South Asian Flashpoints</w:t>
      </w:r>
      <w:r w:rsidR="004555DB">
        <w:rPr>
          <w:rFonts w:ascii="Times New Roman" w:eastAsia="Calibri" w:hAnsi="Times New Roman"/>
          <w:i/>
          <w:iCs/>
          <w:noProof/>
          <w:lang w:bidi="ar-SA"/>
        </w:rPr>
        <w:t xml:space="preserve">.  </w:t>
      </w:r>
      <w:r w:rsidRPr="009E6480">
        <w:rPr>
          <w:rFonts w:ascii="Times New Roman" w:eastAsia="Calibri" w:hAnsi="Times New Roman"/>
          <w:noProof/>
          <w:lang w:bidi="ar-SA"/>
        </w:rPr>
        <w:t>New York: Penguin Books, 2003</w:t>
      </w:r>
      <w:r w:rsidR="004555DB">
        <w:rPr>
          <w:rFonts w:ascii="Times New Roman" w:eastAsia="Calibri" w:hAnsi="Times New Roman"/>
          <w:noProof/>
          <w:lang w:bidi="ar-SA"/>
        </w:rPr>
        <w:t xml:space="preserve">.  </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Qutb, Sayyid</w:t>
      </w:r>
      <w:r w:rsidR="004555DB">
        <w:rPr>
          <w:rFonts w:ascii="Times New Roman" w:eastAsia="Calibri" w:hAnsi="Times New Roman"/>
          <w:noProof/>
          <w:lang w:bidi="ar-SA"/>
        </w:rPr>
        <w:t xml:space="preserve">.  </w:t>
      </w:r>
      <w:r w:rsidRPr="009E6480">
        <w:rPr>
          <w:rFonts w:ascii="Times New Roman" w:eastAsia="Calibri" w:hAnsi="Times New Roman"/>
          <w:i/>
          <w:noProof/>
          <w:lang w:bidi="ar-SA"/>
        </w:rPr>
        <w:t>Milestones</w:t>
      </w:r>
      <w:r w:rsidR="004555DB">
        <w:rPr>
          <w:rFonts w:ascii="Times New Roman" w:eastAsia="Calibri" w:hAnsi="Times New Roman"/>
          <w:i/>
          <w:noProof/>
          <w:lang w:bidi="ar-SA"/>
        </w:rPr>
        <w:t xml:space="preserve">.  </w:t>
      </w:r>
      <w:r w:rsidRPr="009E6480">
        <w:rPr>
          <w:rFonts w:ascii="Times New Roman" w:eastAsia="Calibri" w:hAnsi="Times New Roman"/>
          <w:noProof/>
          <w:lang w:bidi="ar-SA"/>
        </w:rPr>
        <w:t>International Islamic Federation of Student Organizations</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1978.</w:t>
      </w:r>
    </w:p>
    <w:p w:rsidR="00884A97" w:rsidRDefault="00884A97" w:rsidP="009E6480">
      <w:pPr>
        <w:spacing w:line="240" w:lineRule="auto"/>
        <w:ind w:right="720"/>
        <w:contextualSpacing/>
        <w:rPr>
          <w:rFonts w:ascii="Times New Roman" w:eastAsia="Calibri" w:hAnsi="Times New Roman"/>
          <w:noProof/>
          <w:lang w:bidi="ar-SA"/>
        </w:rPr>
      </w:pPr>
    </w:p>
    <w:p w:rsidR="00884A97" w:rsidRPr="009E6480" w:rsidRDefault="00884A97" w:rsidP="009E6480">
      <w:pPr>
        <w:spacing w:line="240" w:lineRule="auto"/>
        <w:ind w:right="720"/>
        <w:contextualSpacing/>
        <w:rPr>
          <w:rFonts w:ascii="Times New Roman" w:eastAsia="Calibri" w:hAnsi="Times New Roman"/>
          <w:noProof/>
          <w:lang w:bidi="ar-SA"/>
        </w:rPr>
      </w:pPr>
      <w:r>
        <w:t xml:space="preserve">Rafiq, Harras.  “Confessions of </w:t>
      </w:r>
      <w:r w:rsidR="009918F1">
        <w:t>Australia’s Teenage</w:t>
      </w:r>
      <w:r>
        <w:t xml:space="preserve"> Suicide Bomber.”  </w:t>
      </w:r>
      <w:r>
        <w:rPr>
          <w:i/>
        </w:rPr>
        <w:t xml:space="preserve">The Daily Beast.  </w:t>
      </w:r>
      <w:r>
        <w:t xml:space="preserve">16 March 2015.  </w:t>
      </w:r>
      <w:hyperlink r:id="rId34" w:history="1">
        <w:r w:rsidRPr="004A0D85">
          <w:rPr>
            <w:rStyle w:val="Hyperlink"/>
          </w:rPr>
          <w:t>http://www.thedailybeast.com/articles/2015/03/16/confessions-of-australia-s-teenage-suicide-bomber.html</w:t>
        </w:r>
      </w:hyperlink>
      <w:r>
        <w:t xml:space="preserve"> (Accessed 1 May 2016).</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Ramasubramanian, R</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“Suicide Terrorism in Sri Lanka.”</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Institute of Peace and Conflict Studies</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New Delhi, India</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August 2004</w:t>
      </w:r>
      <w:r w:rsidR="004555DB">
        <w:rPr>
          <w:rFonts w:ascii="Times New Roman" w:eastAsia="Calibri" w:hAnsi="Times New Roman"/>
          <w:noProof/>
          <w:lang w:bidi="ar-SA"/>
        </w:rPr>
        <w:t xml:space="preserve">.  </w:t>
      </w:r>
      <w:hyperlink r:id="rId35" w:history="1">
        <w:r w:rsidRPr="009E6480">
          <w:rPr>
            <w:rFonts w:ascii="Times New Roman" w:eastAsia="Calibri" w:hAnsi="Times New Roman"/>
            <w:noProof/>
            <w:color w:val="0000FF"/>
            <w:u w:val="single"/>
            <w:lang w:bidi="ar-SA"/>
          </w:rPr>
          <w:t>http://www.ipcs.org/IRP05.pdf</w:t>
        </w:r>
      </w:hyperlink>
      <w:r w:rsidR="004555DB">
        <w:rPr>
          <w:rFonts w:ascii="Times New Roman" w:eastAsia="Calibri" w:hAnsi="Times New Roman"/>
          <w:noProof/>
          <w:lang w:bidi="ar-SA"/>
        </w:rPr>
        <w:t xml:space="preserve"> </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Rashid, Ahmed</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2008</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Descent into chaos: the United States and the failure of nation building in Pakistan, Afghanistan, and Central Asia</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New York: Viking</w:t>
      </w:r>
      <w:r w:rsidR="004555DB">
        <w:rPr>
          <w:rFonts w:ascii="Times New Roman" w:eastAsia="Calibri" w:hAnsi="Times New Roman"/>
          <w:noProof/>
          <w:lang w:bidi="ar-SA"/>
        </w:rPr>
        <w:t xml:space="preserve">.  </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Rashid, Ahmed</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Taliban Militant Islam, Oil, and Fundamentalism in Central Asia</w:t>
      </w:r>
      <w:r w:rsidR="004555DB">
        <w:rPr>
          <w:rFonts w:ascii="Times New Roman" w:eastAsia="Calibri" w:hAnsi="Times New Roman"/>
          <w:i/>
          <w:iCs/>
          <w:noProof/>
          <w:lang w:bidi="ar-SA"/>
        </w:rPr>
        <w:t xml:space="preserve">.  </w:t>
      </w:r>
      <w:r w:rsidRPr="009E6480">
        <w:rPr>
          <w:rFonts w:ascii="Times New Roman" w:eastAsia="Calibri" w:hAnsi="Times New Roman"/>
          <w:noProof/>
          <w:lang w:bidi="ar-SA"/>
        </w:rPr>
        <w:t>Waterville, Me: Thorndike Press, 2002.</w:t>
      </w:r>
    </w:p>
    <w:p w:rsidR="009E6480" w:rsidRDefault="009E6480" w:rsidP="009E6480">
      <w:pPr>
        <w:spacing w:line="240" w:lineRule="auto"/>
        <w:ind w:right="720"/>
        <w:contextualSpacing/>
        <w:rPr>
          <w:rFonts w:ascii="Times New Roman" w:eastAsia="Calibri" w:hAnsi="Times New Roman"/>
          <w:noProof/>
          <w:lang w:bidi="ar-SA"/>
        </w:rPr>
      </w:pPr>
    </w:p>
    <w:p w:rsidR="00DF2709" w:rsidRDefault="00DF2709" w:rsidP="00DF2709">
      <w:pPr>
        <w:spacing w:line="240" w:lineRule="auto"/>
        <w:ind w:right="720"/>
        <w:contextualSpacing/>
        <w:rPr>
          <w:rFonts w:ascii="Times New Roman" w:eastAsia="Calibri" w:hAnsi="Times New Roman"/>
          <w:noProof/>
        </w:rPr>
      </w:pPr>
      <w:r w:rsidRPr="00DF2709">
        <w:rPr>
          <w:rFonts w:ascii="Times New Roman" w:eastAsia="Calibri" w:hAnsi="Times New Roman"/>
          <w:noProof/>
        </w:rPr>
        <w:t xml:space="preserve">Regular, Arlon.  “Mother of Two Becomes First Female Suicide Bomber of Hamas,” Haaretz, (January 15, 2008).  </w:t>
      </w:r>
    </w:p>
    <w:p w:rsidR="00DF2709" w:rsidRPr="009E6480" w:rsidRDefault="00DF2709" w:rsidP="00DF2709">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Reuter, Christoph</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My life is a weapon a modern history of suicide bombing</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Princeton, NJ: Princeton University Press, 2004</w:t>
      </w:r>
      <w:r w:rsidR="004555DB">
        <w:rPr>
          <w:rFonts w:ascii="Times New Roman" w:eastAsia="Calibri" w:hAnsi="Times New Roman"/>
          <w:noProof/>
          <w:lang w:bidi="ar-SA"/>
        </w:rPr>
        <w:t xml:space="preserve">.  </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Reuter, John</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“Chechnya’s Suicide Bombers:</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Desperate, Devout, or Deceived?”</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The American Committee for Peace in Chechnya</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September 16</w:t>
      </w:r>
      <w:r w:rsidRPr="009E6480">
        <w:rPr>
          <w:rFonts w:ascii="Times New Roman" w:eastAsia="Calibri" w:hAnsi="Times New Roman"/>
          <w:noProof/>
          <w:vertAlign w:val="superscript"/>
          <w:lang w:bidi="ar-SA"/>
        </w:rPr>
        <w:t>th</w:t>
      </w:r>
      <w:r w:rsidRPr="009E6480">
        <w:rPr>
          <w:rFonts w:ascii="Times New Roman" w:eastAsia="Calibri" w:hAnsi="Times New Roman"/>
          <w:noProof/>
          <w:lang w:bidi="ar-SA"/>
        </w:rPr>
        <w:t>, 2004.</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Ricks, Thomas E</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and Karen DeYoung</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“Al-Qaeda in Iraq Reported Crippled.”</w:t>
      </w:r>
      <w:r w:rsidR="004555DB">
        <w:rPr>
          <w:rFonts w:ascii="Times New Roman" w:eastAsia="Calibri" w:hAnsi="Times New Roman"/>
          <w:noProof/>
          <w:lang w:bidi="ar-SA"/>
        </w:rPr>
        <w:t xml:space="preserve"> </w:t>
      </w:r>
      <w:r w:rsidRPr="009E6480">
        <w:rPr>
          <w:rFonts w:ascii="Times New Roman" w:eastAsia="Calibri" w:hAnsi="Times New Roman"/>
          <w:i/>
          <w:noProof/>
          <w:lang w:bidi="ar-SA"/>
        </w:rPr>
        <w:t>Washington Post</w:t>
      </w:r>
      <w:r w:rsidR="004555DB">
        <w:rPr>
          <w:rFonts w:ascii="Times New Roman" w:eastAsia="Calibri" w:hAnsi="Times New Roman"/>
          <w:i/>
          <w:noProof/>
          <w:lang w:bidi="ar-SA"/>
        </w:rPr>
        <w:t xml:space="preserve">.  </w:t>
      </w:r>
      <w:r w:rsidRPr="009E6480">
        <w:rPr>
          <w:rFonts w:ascii="Times New Roman" w:eastAsia="Calibri" w:hAnsi="Times New Roman"/>
          <w:noProof/>
          <w:lang w:bidi="ar-SA"/>
        </w:rPr>
        <w:t>14 October, 2007</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A01.</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Roy, Olivier</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2004</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 xml:space="preserve">Globalized Islam: the search for a new </w:t>
      </w:r>
      <w:r w:rsidR="003244AE" w:rsidRPr="009D0132">
        <w:rPr>
          <w:rFonts w:ascii="Times New Roman" w:eastAsia="Calibri" w:hAnsi="Times New Roman"/>
          <w:i/>
          <w:iCs/>
          <w:lang w:bidi="ar-SA"/>
        </w:rPr>
        <w:t>Ummah</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The CERI series in comparative politics and international studies</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New York: Columbia University Press</w:t>
      </w:r>
      <w:r w:rsidR="004555DB">
        <w:rPr>
          <w:rFonts w:ascii="Times New Roman" w:eastAsia="Calibri" w:hAnsi="Times New Roman"/>
          <w:noProof/>
          <w:lang w:bidi="ar-SA"/>
        </w:rPr>
        <w:t xml:space="preserve">.  </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Ruqaiyah, Abu</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“The Islamic Legitimacy of The "Martyrdom Operations."</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Nida'ul Islam Magazine</w:t>
      </w:r>
      <w:r w:rsidR="004555DB">
        <w:rPr>
          <w:rFonts w:ascii="Times New Roman" w:eastAsia="Calibri" w:hAnsi="Times New Roman"/>
          <w:i/>
          <w:iCs/>
          <w:noProof/>
          <w:lang w:bidi="ar-SA"/>
        </w:rPr>
        <w:t xml:space="preserve">.  </w:t>
      </w:r>
      <w:r w:rsidRPr="009E6480">
        <w:rPr>
          <w:rFonts w:ascii="Times New Roman" w:eastAsia="Calibri" w:hAnsi="Times New Roman"/>
          <w:noProof/>
          <w:lang w:bidi="ar-SA"/>
        </w:rPr>
        <w:t>January 1997</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 xml:space="preserve">Online at: </w:t>
      </w:r>
      <w:hyperlink r:id="rId36" w:history="1">
        <w:r w:rsidRPr="009E6480">
          <w:rPr>
            <w:rFonts w:ascii="Times New Roman" w:eastAsia="Calibri" w:hAnsi="Times New Roman"/>
            <w:noProof/>
            <w:color w:val="0000FF"/>
            <w:u w:val="single"/>
            <w:lang w:bidi="ar-SA"/>
          </w:rPr>
          <w:t>http://www.ict.org.il/Article/209/The%20Islamic%20Legitimacy%20of%20The%20Martyrdom%20Operations</w:t>
        </w:r>
      </w:hyperlink>
      <w:r w:rsidR="004555DB">
        <w:rPr>
          <w:rFonts w:ascii="Times New Roman" w:eastAsia="Calibri" w:hAnsi="Times New Roman"/>
          <w:noProof/>
          <w:lang w:bidi="ar-SA"/>
        </w:rPr>
        <w:t xml:space="preserve"> </w:t>
      </w:r>
      <w:r w:rsidRPr="009E6480">
        <w:rPr>
          <w:rFonts w:ascii="Times New Roman" w:eastAsia="Calibri" w:hAnsi="Times New Roman"/>
          <w:noProof/>
          <w:lang w:bidi="ar-SA"/>
        </w:rPr>
        <w:t>(Accessed 2 March 2016)</w:t>
      </w:r>
      <w:r w:rsidR="004555DB">
        <w:rPr>
          <w:rFonts w:ascii="Times New Roman" w:eastAsia="Calibri" w:hAnsi="Times New Roman"/>
          <w:noProof/>
          <w:lang w:bidi="ar-SA"/>
        </w:rPr>
        <w:t xml:space="preserve">.  </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Saad-Ghorayeb, Amal</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Hizbullah: Politics and Religion</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Critical studies on Islam</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London: Pluto Press, 2002.</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Sageman, Marc</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2008</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Leaderless jihad: terror networks in the twenty-first century</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Philadelphia: University of Pennsylvania Press.</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Salameh, Rima</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“Lebanon’s Militia Women Fight and Become Suicide Bomb ‘Martyrs’.”</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Associated Press</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International News</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April 7, 1986</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PM cycle.</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Schofield, Hugh</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“Different aims of Hezbollah, Amal Fuel Fears ‘Brothers’ with Fratricidal Tendencies.”</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The Globe and Mail</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Septebmer 4, 1987</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Lexis Nexis Academic</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(Accessed October 14, 2012).</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iCs/>
          <w:noProof/>
          <w:lang w:bidi="ar-SA"/>
        </w:rPr>
      </w:pPr>
      <w:r w:rsidRPr="009E6480">
        <w:rPr>
          <w:rFonts w:ascii="Times New Roman" w:eastAsia="Calibri" w:hAnsi="Times New Roman"/>
          <w:iCs/>
          <w:noProof/>
          <w:lang w:bidi="ar-SA"/>
        </w:rPr>
        <w:t>Schwartz-Barcott, T.P</w:t>
      </w:r>
      <w:r w:rsidR="004555DB">
        <w:rPr>
          <w:rFonts w:ascii="Times New Roman" w:eastAsia="Calibri" w:hAnsi="Times New Roman"/>
          <w:iCs/>
          <w:noProof/>
          <w:lang w:bidi="ar-SA"/>
        </w:rPr>
        <w:t xml:space="preserve">.  </w:t>
      </w:r>
      <w:r w:rsidRPr="009E6480">
        <w:rPr>
          <w:rFonts w:ascii="Times New Roman" w:eastAsia="Calibri" w:hAnsi="Times New Roman"/>
          <w:i/>
          <w:iCs/>
          <w:noProof/>
          <w:lang w:bidi="ar-SA"/>
        </w:rPr>
        <w:t>War, Terror and Peace in the Qur’an and in Islam: Insights for Military and Government Leaders</w:t>
      </w:r>
      <w:r w:rsidR="004555DB">
        <w:rPr>
          <w:rFonts w:ascii="Times New Roman" w:eastAsia="Calibri" w:hAnsi="Times New Roman"/>
          <w:i/>
          <w:iCs/>
          <w:noProof/>
          <w:lang w:bidi="ar-SA"/>
        </w:rPr>
        <w:t xml:space="preserve">.  </w:t>
      </w:r>
      <w:r w:rsidRPr="009E6480">
        <w:rPr>
          <w:rFonts w:ascii="Times New Roman" w:eastAsia="Calibri" w:hAnsi="Times New Roman"/>
          <w:iCs/>
          <w:noProof/>
          <w:lang w:bidi="ar-SA"/>
        </w:rPr>
        <w:t>Carlisle, PA: Army War College Press; 2004.</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Sciolino, Elaine and Souad Mekhennet</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“Al Qaeda Warrior Uses Internet to Rally Women.”</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The New York Times</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28 May (2008)</w:t>
      </w:r>
      <w:r w:rsidR="004555DB">
        <w:rPr>
          <w:rFonts w:ascii="Times New Roman" w:eastAsia="Calibri" w:hAnsi="Times New Roman"/>
          <w:noProof/>
          <w:lang w:bidi="ar-SA"/>
        </w:rPr>
        <w:t xml:space="preserve">.  </w:t>
      </w:r>
      <w:hyperlink r:id="rId37" w:history="1">
        <w:r w:rsidRPr="009E6480">
          <w:rPr>
            <w:rFonts w:ascii="Times New Roman" w:eastAsia="Calibri" w:hAnsi="Times New Roman"/>
            <w:noProof/>
            <w:color w:val="0000FF"/>
            <w:u w:val="single"/>
            <w:lang w:bidi="ar-SA"/>
          </w:rPr>
          <w:t>http://www.nytimes.com/2008/05/28/world/europe/28terror.html?partner=rssnyt</w:t>
        </w:r>
      </w:hyperlink>
      <w:r w:rsidRPr="009E6480">
        <w:rPr>
          <w:rFonts w:ascii="Times New Roman" w:eastAsia="Calibri" w:hAnsi="Times New Roman"/>
          <w:noProof/>
          <w:lang w:bidi="ar-SA"/>
        </w:rPr>
        <w:t xml:space="preserve"> Accessed 20 October (2008).</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Seale, Patrick, and Maureen McConville</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Asad of Syria: The Struggle for the Middle East</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Berkeley: University of California Press, 1989.</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Sela, Avraham</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"Civil Society, the Military, and National Security: The Case of Israel's Security Zone in South Lebanon." </w:t>
      </w:r>
      <w:r w:rsidRPr="009E6480">
        <w:rPr>
          <w:rFonts w:ascii="Times New Roman" w:eastAsia="Calibri" w:hAnsi="Times New Roman"/>
          <w:i/>
          <w:iCs/>
          <w:noProof/>
          <w:lang w:bidi="ar-SA"/>
        </w:rPr>
        <w:t>Israel Studies</w:t>
      </w:r>
      <w:r w:rsidRPr="009E6480">
        <w:rPr>
          <w:rFonts w:ascii="Times New Roman" w:eastAsia="Calibri" w:hAnsi="Times New Roman"/>
          <w:noProof/>
          <w:lang w:bidi="ar-SA"/>
        </w:rPr>
        <w:t> 12, no</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1 (Spring2007 2007): 53-78</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Historical Abstracts</w:t>
      </w:r>
      <w:r w:rsidRPr="009E6480">
        <w:rPr>
          <w:rFonts w:ascii="Times New Roman" w:eastAsia="Calibri" w:hAnsi="Times New Roman"/>
          <w:noProof/>
          <w:lang w:bidi="ar-SA"/>
        </w:rPr>
        <w:t>, EBSCO</w:t>
      </w:r>
      <w:r w:rsidRPr="009E6480">
        <w:rPr>
          <w:rFonts w:ascii="Times New Roman" w:eastAsia="Calibri" w:hAnsi="Times New Roman"/>
          <w:i/>
          <w:iCs/>
          <w:noProof/>
          <w:lang w:bidi="ar-SA"/>
        </w:rPr>
        <w:t>host</w:t>
      </w:r>
      <w:r w:rsidRPr="009E6480">
        <w:rPr>
          <w:rFonts w:ascii="Times New Roman" w:eastAsia="Calibri" w:hAnsi="Times New Roman"/>
          <w:noProof/>
          <w:lang w:bidi="ar-SA"/>
        </w:rPr>
        <w:t>(accessed October 1, 2012).</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Shay, Shaul</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“Suicide Terrorism in Lebanon,” in Mazal Holocaust Collection, International Policy Institute for Counter-Terrorism (Hertseliyah, Israel), B'nai B'rith, and Interdisciplinary Center (Hertseliyah, Israel).</w:t>
      </w:r>
      <w:r w:rsidRPr="009E6480">
        <w:rPr>
          <w:rFonts w:ascii="Times New Roman" w:eastAsia="Calibri" w:hAnsi="Times New Roman"/>
          <w:i/>
          <w:iCs/>
          <w:noProof/>
          <w:lang w:bidi="ar-SA"/>
        </w:rPr>
        <w:t>Countering Suicide Terrorism</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Herzliya [Israel]: Interdisciplinary Center Projects Pub</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House, 2002</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89-92</w:t>
      </w:r>
      <w:r w:rsidR="004555DB">
        <w:rPr>
          <w:rFonts w:ascii="Times New Roman" w:eastAsia="Calibri" w:hAnsi="Times New Roman"/>
          <w:noProof/>
          <w:lang w:bidi="ar-SA"/>
        </w:rPr>
        <w:t xml:space="preserve">.  </w:t>
      </w:r>
    </w:p>
    <w:p w:rsidR="009E6480" w:rsidRDefault="009E6480" w:rsidP="009E6480">
      <w:pPr>
        <w:spacing w:line="240" w:lineRule="auto"/>
        <w:ind w:right="720"/>
        <w:contextualSpacing/>
        <w:rPr>
          <w:rFonts w:ascii="Times New Roman" w:eastAsia="Calibri" w:hAnsi="Times New Roman"/>
          <w:noProof/>
          <w:lang w:bidi="ar-SA"/>
        </w:rPr>
      </w:pPr>
    </w:p>
    <w:p w:rsidR="00FB048D" w:rsidRDefault="00FB048D" w:rsidP="00FB048D">
      <w:pPr>
        <w:spacing w:line="240" w:lineRule="auto"/>
        <w:ind w:right="720"/>
        <w:contextualSpacing/>
        <w:rPr>
          <w:rFonts w:ascii="Times New Roman" w:eastAsia="Calibri" w:hAnsi="Times New Roman"/>
          <w:noProof/>
        </w:rPr>
      </w:pPr>
      <w:r w:rsidRPr="00FB048D">
        <w:rPr>
          <w:rFonts w:ascii="Times New Roman" w:eastAsia="Calibri" w:hAnsi="Times New Roman"/>
          <w:noProof/>
        </w:rPr>
        <w:t>Sidani, Yusuf M. 2008. "Ibn Khaldun of North Africa: an AD 1377 Theory of Leadership".</w:t>
      </w:r>
      <w:r w:rsidRPr="00FB048D">
        <w:rPr>
          <w:rFonts w:ascii="Times New Roman" w:eastAsia="Calibri" w:hAnsi="Times New Roman"/>
          <w:i/>
          <w:iCs/>
          <w:noProof/>
        </w:rPr>
        <w:t>Journal of Management History. </w:t>
      </w:r>
      <w:r w:rsidRPr="00FB048D">
        <w:rPr>
          <w:rFonts w:ascii="Times New Roman" w:eastAsia="Calibri" w:hAnsi="Times New Roman"/>
          <w:noProof/>
        </w:rPr>
        <w:t xml:space="preserve">14, no. 1: 73-86.  </w:t>
      </w:r>
    </w:p>
    <w:p w:rsidR="00FB048D" w:rsidRPr="009E6480" w:rsidRDefault="00FB048D"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Smith, Graeme</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“Portrait of the enemy:</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They’re ignorant about the outside world, indifferent to who will lead their country, but zealously committed to one objective:</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ensuring Islamism prevails in Afghanistan</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Meet the foot soldiers of the insurgency.”</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The Globe and Mail</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22 March (2008)</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LexisNexis.</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Smith, Doug and Louise Roug</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“130 killed in Iraq bombings;</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Suicide attackers strike near shrine, recruiting center;</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5 GIs among dead.”</w:t>
      </w:r>
      <w:r w:rsidR="004555DB">
        <w:rPr>
          <w:rFonts w:ascii="Times New Roman" w:eastAsia="Calibri" w:hAnsi="Times New Roman"/>
          <w:noProof/>
          <w:lang w:bidi="ar-SA"/>
        </w:rPr>
        <w:t xml:space="preserve"> </w:t>
      </w:r>
      <w:r w:rsidRPr="009E6480">
        <w:rPr>
          <w:rFonts w:ascii="Times New Roman" w:eastAsia="Calibri" w:hAnsi="Times New Roman"/>
          <w:i/>
          <w:noProof/>
          <w:lang w:bidi="ar-SA"/>
        </w:rPr>
        <w:t>Chicago Tribune</w:t>
      </w:r>
      <w:r w:rsidR="004555DB">
        <w:rPr>
          <w:rFonts w:ascii="Times New Roman" w:eastAsia="Calibri" w:hAnsi="Times New Roman"/>
          <w:i/>
          <w:noProof/>
          <w:lang w:bidi="ar-SA"/>
        </w:rPr>
        <w:t xml:space="preserve">.  </w:t>
      </w:r>
      <w:r w:rsidRPr="009E6480">
        <w:rPr>
          <w:rFonts w:ascii="Times New Roman" w:eastAsia="Calibri" w:hAnsi="Times New Roman"/>
          <w:noProof/>
          <w:lang w:bidi="ar-SA"/>
        </w:rPr>
        <w:t>6 January 2006.</w:t>
      </w:r>
    </w:p>
    <w:p w:rsidR="009E6480" w:rsidRDefault="009E6480" w:rsidP="009E6480">
      <w:pPr>
        <w:spacing w:line="240" w:lineRule="auto"/>
        <w:ind w:right="720"/>
        <w:contextualSpacing/>
        <w:rPr>
          <w:rFonts w:ascii="Times New Roman" w:eastAsia="Calibri" w:hAnsi="Times New Roman"/>
          <w:noProof/>
          <w:lang w:bidi="ar-SA"/>
        </w:rPr>
      </w:pPr>
    </w:p>
    <w:p w:rsidR="00B75C88" w:rsidRPr="00B75C88" w:rsidRDefault="00B75C88" w:rsidP="00B75C88">
      <w:pPr>
        <w:spacing w:line="240" w:lineRule="auto"/>
        <w:ind w:right="720"/>
        <w:contextualSpacing/>
        <w:rPr>
          <w:rFonts w:ascii="Times New Roman" w:eastAsia="Calibri" w:hAnsi="Times New Roman"/>
          <w:noProof/>
        </w:rPr>
      </w:pPr>
      <w:r w:rsidRPr="00B75C88">
        <w:rPr>
          <w:rFonts w:ascii="Times New Roman" w:eastAsia="Calibri" w:hAnsi="Times New Roman"/>
          <w:noProof/>
        </w:rPr>
        <w:t xml:space="preserve">Sparrow, Jeff.  “Miranda Devine was Right; Jake Bilardi was Radicalized by the Banality of Life.” </w:t>
      </w:r>
      <w:r w:rsidRPr="00B75C88">
        <w:rPr>
          <w:rFonts w:ascii="Times New Roman" w:eastAsia="Calibri" w:hAnsi="Times New Roman"/>
          <w:i/>
          <w:noProof/>
        </w:rPr>
        <w:t xml:space="preserve">The Guardian.  </w:t>
      </w:r>
      <w:r w:rsidRPr="00B75C88">
        <w:rPr>
          <w:rFonts w:ascii="Times New Roman" w:eastAsia="Calibri" w:hAnsi="Times New Roman"/>
          <w:noProof/>
        </w:rPr>
        <w:t xml:space="preserve">18 March 2015.  </w:t>
      </w:r>
      <w:hyperlink r:id="rId38" w:history="1">
        <w:r w:rsidRPr="00B75C88">
          <w:rPr>
            <w:rStyle w:val="Hyperlink"/>
            <w:rFonts w:ascii="Times New Roman" w:eastAsia="Calibri" w:hAnsi="Times New Roman"/>
            <w:noProof/>
          </w:rPr>
          <w:t>http://www.theguardian.com/commentisfree/2015/mar/18/miranda-devine-is-right-jake-bilardi-was-radicalised-by-the-banality-of-life</w:t>
        </w:r>
      </w:hyperlink>
      <w:r w:rsidRPr="00B75C88">
        <w:rPr>
          <w:rFonts w:ascii="Times New Roman" w:eastAsia="Calibri" w:hAnsi="Times New Roman"/>
          <w:noProof/>
        </w:rPr>
        <w:t xml:space="preserve">  (Accessed 1 May 2016).</w:t>
      </w:r>
    </w:p>
    <w:p w:rsidR="00B75C88" w:rsidRPr="009E6480" w:rsidRDefault="00B75C88"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Speckhard, Anne</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“Understanding Suicide Terrorism:</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 xml:space="preserve">Countering Human Bombs and Their Senders” in </w:t>
      </w:r>
      <w:r w:rsidR="002D40E9">
        <w:rPr>
          <w:rFonts w:ascii="Times New Roman" w:eastAsia="Calibri" w:hAnsi="Times New Roman"/>
          <w:i/>
          <w:noProof/>
          <w:lang w:bidi="ar-SA"/>
        </w:rPr>
        <w:t>Top</w:t>
      </w:r>
      <w:r w:rsidRPr="009E6480">
        <w:rPr>
          <w:rFonts w:ascii="Times New Roman" w:eastAsia="Calibri" w:hAnsi="Times New Roman"/>
          <w:i/>
          <w:noProof/>
          <w:lang w:bidi="ar-SA"/>
        </w:rPr>
        <w:t>i</w:t>
      </w:r>
      <w:r w:rsidR="002D40E9">
        <w:rPr>
          <w:rFonts w:ascii="Times New Roman" w:eastAsia="Calibri" w:hAnsi="Times New Roman"/>
          <w:i/>
          <w:noProof/>
          <w:lang w:bidi="ar-SA"/>
        </w:rPr>
        <w:t>c</w:t>
      </w:r>
      <w:r w:rsidRPr="009E6480">
        <w:rPr>
          <w:rFonts w:ascii="Times New Roman" w:eastAsia="Calibri" w:hAnsi="Times New Roman"/>
          <w:i/>
          <w:noProof/>
          <w:lang w:bidi="ar-SA"/>
        </w:rPr>
        <w:t>s in Terrorism:</w:t>
      </w:r>
      <w:r w:rsidR="004555DB">
        <w:rPr>
          <w:rFonts w:ascii="Times New Roman" w:eastAsia="Calibri" w:hAnsi="Times New Roman"/>
          <w:i/>
          <w:noProof/>
          <w:lang w:bidi="ar-SA"/>
        </w:rPr>
        <w:t xml:space="preserve"> </w:t>
      </w:r>
      <w:r w:rsidRPr="009E6480">
        <w:rPr>
          <w:rFonts w:ascii="Times New Roman" w:eastAsia="Calibri" w:hAnsi="Times New Roman"/>
          <w:i/>
          <w:noProof/>
          <w:lang w:bidi="ar-SA"/>
        </w:rPr>
        <w:t>Toward a Transatlantic Consensus on the Nature of the Threat</w:t>
      </w:r>
      <w:r w:rsidRPr="009E6480">
        <w:rPr>
          <w:rFonts w:ascii="Times New Roman" w:eastAsia="Calibri" w:hAnsi="Times New Roman"/>
          <w:noProof/>
          <w:lang w:bidi="ar-SA"/>
        </w:rPr>
        <w:t>”</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(Volume 1)</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Eds</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Jason S</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Purcell and Joshua D</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 xml:space="preserve">Weintraub </w:t>
      </w:r>
      <w:r w:rsidRPr="009E6480">
        <w:rPr>
          <w:rFonts w:ascii="Times New Roman" w:eastAsia="Calibri" w:hAnsi="Times New Roman"/>
          <w:noProof/>
          <w:u w:val="single"/>
          <w:lang w:bidi="ar-SA"/>
        </w:rPr>
        <w:t>Atlantic Council</w:t>
      </w:r>
      <w:r w:rsidR="004555DB">
        <w:rPr>
          <w:rFonts w:ascii="Times New Roman" w:eastAsia="Calibri" w:hAnsi="Times New Roman"/>
          <w:noProof/>
          <w:u w:val="single"/>
          <w:lang w:bidi="ar-SA"/>
        </w:rPr>
        <w:t xml:space="preserve"> </w:t>
      </w:r>
      <w:r w:rsidRPr="009E6480">
        <w:rPr>
          <w:rFonts w:ascii="Times New Roman" w:eastAsia="Calibri" w:hAnsi="Times New Roman"/>
          <w:noProof/>
          <w:lang w:bidi="ar-SA"/>
        </w:rPr>
        <w:t>Publication 2005.</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lastRenderedPageBreak/>
        <w:t>Springer, Devin R., James L</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Regens, and David N</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Edger</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2009</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Islamic radicalism and global jihad</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Washington, D.C.: Georgetown University Press.</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Straziuso, Jason</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“Many Suicide Strikes Kill Only Attacker; Afghan Police Say the Majority of Attacks Are Poorly Planned and Fail.”</w:t>
      </w:r>
      <w:r w:rsidR="004555DB">
        <w:rPr>
          <w:rFonts w:ascii="Times New Roman" w:eastAsia="Calibri" w:hAnsi="Times New Roman"/>
          <w:noProof/>
          <w:lang w:bidi="ar-SA"/>
        </w:rPr>
        <w:t xml:space="preserve"> </w:t>
      </w:r>
      <w:r w:rsidRPr="009E6480">
        <w:rPr>
          <w:rFonts w:ascii="Times New Roman" w:eastAsia="Calibri" w:hAnsi="Times New Roman"/>
          <w:i/>
          <w:noProof/>
          <w:lang w:bidi="ar-SA"/>
        </w:rPr>
        <w:t>The Houston Chronicle</w:t>
      </w:r>
      <w:r w:rsidR="004555DB">
        <w:rPr>
          <w:rFonts w:ascii="Times New Roman" w:eastAsia="Calibri" w:hAnsi="Times New Roman"/>
          <w:i/>
          <w:noProof/>
          <w:lang w:bidi="ar-SA"/>
        </w:rPr>
        <w:t xml:space="preserve">.  </w:t>
      </w:r>
      <w:r w:rsidRPr="009E6480">
        <w:rPr>
          <w:rFonts w:ascii="Times New Roman" w:eastAsia="Calibri" w:hAnsi="Times New Roman"/>
          <w:noProof/>
          <w:lang w:bidi="ar-SA"/>
        </w:rPr>
        <w:t>23 November, 2006</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Section A, Page 27.</w:t>
      </w:r>
    </w:p>
    <w:p w:rsidR="009E6480" w:rsidRDefault="009E6480" w:rsidP="009E6480">
      <w:pPr>
        <w:spacing w:line="240" w:lineRule="auto"/>
        <w:ind w:right="720"/>
        <w:contextualSpacing/>
        <w:rPr>
          <w:rFonts w:ascii="Times New Roman" w:eastAsia="Calibri" w:hAnsi="Times New Roman"/>
          <w:noProof/>
          <w:u w:val="single"/>
          <w:lang w:bidi="ar-SA"/>
        </w:rPr>
      </w:pPr>
    </w:p>
    <w:p w:rsidR="00EA3EAF" w:rsidRDefault="00EA3EAF" w:rsidP="00EA3EAF">
      <w:pPr>
        <w:spacing w:line="240" w:lineRule="auto"/>
        <w:ind w:right="720"/>
        <w:contextualSpacing/>
        <w:rPr>
          <w:rFonts w:ascii="Times New Roman" w:eastAsia="Calibri" w:hAnsi="Times New Roman"/>
          <w:noProof/>
        </w:rPr>
      </w:pPr>
      <w:r w:rsidRPr="00EA3EAF">
        <w:rPr>
          <w:rFonts w:ascii="Times New Roman" w:eastAsia="Calibri" w:hAnsi="Times New Roman" w:hint="eastAsia"/>
          <w:noProof/>
        </w:rPr>
        <w:t>Tobena A., Vilarroya O., and Vilarroya O</w:t>
      </w:r>
      <w:r w:rsidR="004555DB">
        <w:rPr>
          <w:rFonts w:ascii="Times New Roman" w:eastAsia="Calibri" w:hAnsi="Times New Roman" w:hint="eastAsia"/>
          <w:noProof/>
        </w:rPr>
        <w:t xml:space="preserve">.  </w:t>
      </w:r>
      <w:r w:rsidRPr="00EA3EAF">
        <w:rPr>
          <w:rFonts w:ascii="Times New Roman" w:eastAsia="Calibri" w:hAnsi="Times New Roman" w:hint="eastAsia"/>
          <w:noProof/>
        </w:rPr>
        <w:t>2014</w:t>
      </w:r>
      <w:r w:rsidR="004555DB">
        <w:rPr>
          <w:rFonts w:ascii="Times New Roman" w:eastAsia="Calibri" w:hAnsi="Times New Roman" w:hint="eastAsia"/>
          <w:noProof/>
        </w:rPr>
        <w:t xml:space="preserve">.  </w:t>
      </w:r>
      <w:r w:rsidRPr="00EA3EAF">
        <w:rPr>
          <w:rFonts w:ascii="Times New Roman" w:eastAsia="Calibri" w:hAnsi="Times New Roman" w:hint="eastAsia"/>
          <w:noProof/>
        </w:rPr>
        <w:t>"Normative Seeds for Deadly Martyrdoms"</w:t>
      </w:r>
      <w:r w:rsidR="004555DB">
        <w:rPr>
          <w:rFonts w:ascii="Times New Roman" w:eastAsia="Calibri" w:hAnsi="Times New Roman" w:hint="eastAsia"/>
          <w:noProof/>
        </w:rPr>
        <w:t xml:space="preserve">.  </w:t>
      </w:r>
      <w:r w:rsidRPr="00EA3EAF">
        <w:rPr>
          <w:rFonts w:ascii="Times New Roman" w:eastAsia="Calibri" w:hAnsi="Times New Roman" w:hint="eastAsia"/>
          <w:i/>
          <w:iCs/>
          <w:noProof/>
        </w:rPr>
        <w:t>Behavioral and Brain Sciences</w:t>
      </w:r>
      <w:r w:rsidR="004555DB">
        <w:rPr>
          <w:rFonts w:ascii="Times New Roman" w:eastAsia="Calibri" w:hAnsi="Times New Roman" w:hint="eastAsia"/>
          <w:i/>
          <w:iCs/>
          <w:noProof/>
        </w:rPr>
        <w:t xml:space="preserve">.  </w:t>
      </w:r>
      <w:r w:rsidRPr="00EA3EAF">
        <w:rPr>
          <w:rFonts w:ascii="Times New Roman" w:eastAsia="Calibri" w:hAnsi="Times New Roman" w:hint="eastAsia"/>
          <w:noProof/>
        </w:rPr>
        <w:t>37, no</w:t>
      </w:r>
      <w:r w:rsidR="004555DB">
        <w:rPr>
          <w:rFonts w:ascii="Times New Roman" w:eastAsia="Calibri" w:hAnsi="Times New Roman" w:hint="eastAsia"/>
          <w:noProof/>
        </w:rPr>
        <w:t xml:space="preserve">.  </w:t>
      </w:r>
      <w:r w:rsidRPr="00EA3EAF">
        <w:rPr>
          <w:rFonts w:ascii="Times New Roman" w:eastAsia="Calibri" w:hAnsi="Times New Roman" w:hint="eastAsia"/>
          <w:noProof/>
        </w:rPr>
        <w:t>4: 378-379.</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Tyler, Patrick</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A World of Trouble: The White House and the Middle East--from the Cold War to the War on Terror</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New York: Farrar, Straus and Giroux, 2009.</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color w:val="0000FF"/>
          <w:u w:val="single"/>
          <w:lang w:bidi="ar-SA"/>
        </w:rPr>
      </w:pPr>
      <w:r w:rsidRPr="009E6480">
        <w:rPr>
          <w:rFonts w:ascii="Times New Roman" w:eastAsia="Calibri" w:hAnsi="Times New Roman"/>
          <w:noProof/>
          <w:lang w:bidi="ar-SA"/>
        </w:rPr>
        <w:t>United Nations Assistance Mission to Afghanistan</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Suicide Attacks in Afghanistan (2001-2007)</w:t>
      </w:r>
      <w:r w:rsidR="004555DB">
        <w:rPr>
          <w:rFonts w:ascii="Times New Roman" w:eastAsia="Calibri" w:hAnsi="Times New Roman"/>
          <w:i/>
          <w:iCs/>
          <w:noProof/>
          <w:lang w:bidi="ar-SA"/>
        </w:rPr>
        <w:t xml:space="preserve">.  </w:t>
      </w:r>
      <w:r w:rsidRPr="009E6480">
        <w:rPr>
          <w:rFonts w:ascii="Times New Roman" w:eastAsia="Calibri" w:hAnsi="Times New Roman"/>
          <w:noProof/>
          <w:lang w:bidi="ar-SA"/>
        </w:rPr>
        <w:t>September 1</w:t>
      </w:r>
      <w:r w:rsidRPr="009E6480">
        <w:rPr>
          <w:rFonts w:ascii="Times New Roman" w:eastAsia="Calibri" w:hAnsi="Times New Roman"/>
          <w:noProof/>
          <w:vertAlign w:val="superscript"/>
          <w:lang w:bidi="ar-SA"/>
        </w:rPr>
        <w:t>st</w:t>
      </w:r>
      <w:r w:rsidRPr="009E6480">
        <w:rPr>
          <w:rFonts w:ascii="Times New Roman" w:eastAsia="Calibri" w:hAnsi="Times New Roman"/>
          <w:noProof/>
          <w:lang w:bidi="ar-SA"/>
        </w:rPr>
        <w:t>, 2007</w:t>
      </w:r>
      <w:r w:rsidR="004555DB">
        <w:rPr>
          <w:rFonts w:ascii="Times New Roman" w:eastAsia="Calibri" w:hAnsi="Times New Roman"/>
          <w:noProof/>
          <w:lang w:bidi="ar-SA"/>
        </w:rPr>
        <w:t xml:space="preserve">.  </w:t>
      </w:r>
      <w:hyperlink r:id="rId39" w:history="1">
        <w:r w:rsidRPr="009E6480">
          <w:rPr>
            <w:rFonts w:ascii="Times New Roman" w:eastAsia="Calibri" w:hAnsi="Times New Roman"/>
            <w:noProof/>
            <w:color w:val="0000FF"/>
            <w:u w:val="single"/>
            <w:lang w:bidi="ar-SA"/>
          </w:rPr>
          <w:t>http://www.securitycouncilreport.org/atf/cf/%7B65BFCF9B-6D27-4E9C-8CD3-CF6E4FF96FF9%7D/Afgh%202007SuicideAttacks.pdf</w:t>
        </w:r>
      </w:hyperlink>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United States</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Violent Islamist Extremism, the Internet, and the Homegrown Terrorist Threat Minority and Majority Staff Report ; Joseph Lieberman, Chairman, Susan Collins, Ranking Minority Member</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[Washington, D.C.]: [U.S</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Senate Committee on Homeland Security and Governmental Affairs], 2008</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&lt;http://purl.fdlp.gov/GPO/gpo29862&gt;.</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Uzzell, Lawrence</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“Profile of a Female Suicide Bomber.” Chechnya Weekly</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Volume 5, Issue 6</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February 11, 2004</w:t>
      </w:r>
      <w:r w:rsidR="004555DB">
        <w:rPr>
          <w:rFonts w:ascii="Times New Roman" w:eastAsia="Calibri" w:hAnsi="Times New Roman"/>
          <w:noProof/>
          <w:lang w:bidi="ar-SA"/>
        </w:rPr>
        <w:t xml:space="preserve">.  </w:t>
      </w:r>
      <w:hyperlink r:id="rId40" w:history="1">
        <w:r w:rsidRPr="009E6480">
          <w:rPr>
            <w:rFonts w:ascii="Times New Roman" w:eastAsia="Calibri" w:hAnsi="Times New Roman"/>
            <w:noProof/>
            <w:color w:val="0000FF"/>
            <w:u w:val="single"/>
            <w:lang w:bidi="ar-SA"/>
          </w:rPr>
          <w:t>http://jamestown.org/terrorism/news/article.php?articleid=2371075&amp;printthis=1</w:t>
        </w:r>
      </w:hyperlink>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Vendantam, Shankar</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“The Insurgency’s Psychological Component.”</w:t>
      </w:r>
      <w:r w:rsidR="004555DB">
        <w:rPr>
          <w:rFonts w:ascii="Times New Roman" w:eastAsia="Calibri" w:hAnsi="Times New Roman"/>
          <w:noProof/>
          <w:lang w:bidi="ar-SA"/>
        </w:rPr>
        <w:t xml:space="preserve"> </w:t>
      </w:r>
      <w:r w:rsidRPr="009E6480">
        <w:rPr>
          <w:rFonts w:ascii="Times New Roman" w:eastAsia="Calibri" w:hAnsi="Times New Roman"/>
          <w:i/>
          <w:noProof/>
          <w:lang w:bidi="ar-SA"/>
        </w:rPr>
        <w:t>Washington Post</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3 September, 2007</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A03.</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Waldman, Amy</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“Masters of Suicide Bombing:</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Tamil Guerillas of Sri Lanka.”</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New York Times</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January 14, 2003.</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Weimann, Gabriel</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 xml:space="preserve">“Al Qa’ida’s Extensive Use of the Internet.” </w:t>
      </w:r>
      <w:r w:rsidRPr="009E6480">
        <w:rPr>
          <w:rFonts w:ascii="Times New Roman" w:eastAsia="Calibri" w:hAnsi="Times New Roman"/>
          <w:i/>
          <w:iCs/>
          <w:noProof/>
          <w:lang w:bidi="ar-SA"/>
        </w:rPr>
        <w:t>CTC Sentinel</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Vol 1, Issue 2: January 2008</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6-7.</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Weinraub, Bernard</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“U.S</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Avoids Criticism of Israeli Assault.”</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The New York Times</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June 8, 1982 (Accessed October 13, 2012).</w:t>
      </w:r>
    </w:p>
    <w:p w:rsidR="009E6480" w:rsidRPr="009E6480" w:rsidRDefault="009E6480" w:rsidP="009E6480">
      <w:pPr>
        <w:spacing w:line="240" w:lineRule="auto"/>
        <w:ind w:right="720"/>
        <w:contextualSpacing/>
        <w:rPr>
          <w:rFonts w:ascii="Times New Roman" w:eastAsia="Calibri" w:hAnsi="Times New Roman"/>
          <w:noProof/>
          <w:lang w:bidi="ar-SA"/>
        </w:rPr>
      </w:pPr>
    </w:p>
    <w:p w:rsidR="00311810" w:rsidRDefault="00311810" w:rsidP="009E6480">
      <w:pPr>
        <w:spacing w:line="240" w:lineRule="auto"/>
        <w:ind w:right="720"/>
        <w:contextualSpacing/>
      </w:pPr>
      <w:r>
        <w:t xml:space="preserve">Weiss, Michael.  “How ISIS Picks its Suicide Bombers.”  </w:t>
      </w:r>
      <w:r>
        <w:rPr>
          <w:i/>
        </w:rPr>
        <w:t xml:space="preserve">The Daily Beast.  </w:t>
      </w:r>
      <w:r>
        <w:t xml:space="preserve">16 November 2015.  </w:t>
      </w:r>
      <w:hyperlink r:id="rId41" w:history="1">
        <w:r w:rsidRPr="004A0D85">
          <w:rPr>
            <w:rStyle w:val="Hyperlink"/>
          </w:rPr>
          <w:t>http://www.thedailybeast.com/articles/2015/11/16/how-isis-picks-its-suicide-bombers.html</w:t>
        </w:r>
      </w:hyperlink>
      <w:r>
        <w:t xml:space="preserve"> (Accessed 1 May 2016).</w:t>
      </w:r>
    </w:p>
    <w:p w:rsidR="00311810" w:rsidRDefault="0031181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lastRenderedPageBreak/>
        <w:t>Weiss, Michael; Hassan, Hassan (2015-01-29)</w:t>
      </w:r>
      <w:r w:rsidR="004555DB">
        <w:rPr>
          <w:rFonts w:ascii="Times New Roman" w:eastAsia="Calibri" w:hAnsi="Times New Roman"/>
          <w:noProof/>
          <w:lang w:bidi="ar-SA"/>
        </w:rPr>
        <w:t xml:space="preserve">.  </w:t>
      </w:r>
      <w:r w:rsidRPr="009E6480">
        <w:rPr>
          <w:rFonts w:ascii="Times New Roman" w:eastAsia="Calibri" w:hAnsi="Times New Roman"/>
          <w:i/>
          <w:noProof/>
          <w:lang w:bidi="ar-SA"/>
        </w:rPr>
        <w:t>ISIS: Inside the Army of Terror</w:t>
      </w:r>
      <w:r w:rsidR="004555DB">
        <w:rPr>
          <w:rFonts w:ascii="Times New Roman" w:eastAsia="Calibri" w:hAnsi="Times New Roman"/>
          <w:i/>
          <w:noProof/>
          <w:lang w:bidi="ar-SA"/>
        </w:rPr>
        <w:t xml:space="preserve">.  </w:t>
      </w:r>
      <w:r w:rsidRPr="009E6480">
        <w:rPr>
          <w:rFonts w:ascii="Times New Roman" w:eastAsia="Calibri" w:hAnsi="Times New Roman"/>
          <w:noProof/>
          <w:lang w:bidi="ar-SA"/>
        </w:rPr>
        <w:t>Regan Arts</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Kindle Edition</w:t>
      </w:r>
      <w:r w:rsidR="004555DB">
        <w:rPr>
          <w:rFonts w:ascii="Times New Roman" w:eastAsia="Calibri" w:hAnsi="Times New Roman"/>
          <w:noProof/>
          <w:lang w:bidi="ar-SA"/>
        </w:rPr>
        <w:t xml:space="preserve">.  </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Whitlock, Craig</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“Al Qaeda’s Growing Online Offensive.”</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The Washington Post</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June 24, 2008.</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Williams, Brian Glyn and Cathy Young</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 xml:space="preserve">“Cheney Attack Reveals Taliban Suicide Bombing Patterns.” </w:t>
      </w:r>
      <w:r w:rsidRPr="009E6480">
        <w:rPr>
          <w:rFonts w:ascii="Times New Roman" w:eastAsia="Calibri" w:hAnsi="Times New Roman"/>
          <w:i/>
          <w:noProof/>
          <w:lang w:bidi="ar-SA"/>
        </w:rPr>
        <w:t>Jamestown Foundation</w:t>
      </w:r>
      <w:r w:rsidR="004555DB">
        <w:rPr>
          <w:rFonts w:ascii="Times New Roman" w:eastAsia="Calibri" w:hAnsi="Times New Roman"/>
          <w:i/>
          <w:noProof/>
          <w:lang w:bidi="ar-SA"/>
        </w:rPr>
        <w:t xml:space="preserve">.  </w:t>
      </w:r>
      <w:r w:rsidRPr="009E6480">
        <w:rPr>
          <w:rFonts w:ascii="Times New Roman" w:eastAsia="Calibri" w:hAnsi="Times New Roman"/>
          <w:noProof/>
          <w:lang w:bidi="ar-SA"/>
        </w:rPr>
        <w:t>Terrorism Monitor</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Vol 5, Issue 4</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1 March 2007.</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ind w:right="720"/>
        <w:contextualSpacing/>
        <w:rPr>
          <w:rFonts w:ascii="Times New Roman" w:eastAsia="Calibri" w:hAnsi="Times New Roman"/>
          <w:noProof/>
          <w:lang w:bidi="ar-SA"/>
        </w:rPr>
      </w:pPr>
      <w:r w:rsidRPr="009E6480">
        <w:rPr>
          <w:rFonts w:ascii="Times New Roman" w:eastAsia="Calibri" w:hAnsi="Times New Roman"/>
          <w:noProof/>
          <w:lang w:bidi="ar-SA"/>
        </w:rPr>
        <w:t>Williams, Brian Glyn</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“The Taliban Fedayeen:</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The World’s Worst Suicide Bombers.”</w:t>
      </w:r>
      <w:r w:rsidR="004555DB">
        <w:rPr>
          <w:rFonts w:ascii="Times New Roman" w:eastAsia="Calibri" w:hAnsi="Times New Roman"/>
          <w:noProof/>
          <w:lang w:bidi="ar-SA"/>
        </w:rPr>
        <w:t xml:space="preserve"> </w:t>
      </w:r>
      <w:r w:rsidRPr="009E6480">
        <w:rPr>
          <w:rFonts w:ascii="Times New Roman" w:eastAsia="Calibri" w:hAnsi="Times New Roman"/>
          <w:i/>
          <w:iCs/>
          <w:noProof/>
          <w:lang w:bidi="ar-SA"/>
        </w:rPr>
        <w:t>The Jamestown Foundation - Terrorism Monitor</w:t>
      </w:r>
      <w:r w:rsidR="004555DB">
        <w:rPr>
          <w:rFonts w:ascii="Times New Roman" w:eastAsia="Calibri" w:hAnsi="Times New Roman"/>
          <w:i/>
          <w:iCs/>
          <w:noProof/>
          <w:lang w:bidi="ar-SA"/>
        </w:rPr>
        <w:t xml:space="preserve">.  </w:t>
      </w:r>
      <w:r w:rsidRPr="009E6480">
        <w:rPr>
          <w:rFonts w:ascii="Times New Roman" w:eastAsia="Calibri" w:hAnsi="Times New Roman"/>
          <w:noProof/>
          <w:lang w:bidi="ar-SA"/>
        </w:rPr>
        <w:t>Volume 5, Issue 14</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19 July 2007</w:t>
      </w:r>
      <w:r w:rsidR="004555DB">
        <w:rPr>
          <w:rFonts w:ascii="Times New Roman" w:eastAsia="Calibri" w:hAnsi="Times New Roman"/>
          <w:noProof/>
          <w:lang w:bidi="ar-SA"/>
        </w:rPr>
        <w:t xml:space="preserve">.  </w:t>
      </w:r>
    </w:p>
    <w:p w:rsidR="009E6480" w:rsidRPr="009E6480" w:rsidRDefault="009E6480" w:rsidP="009E6480">
      <w:pPr>
        <w:spacing w:line="240" w:lineRule="auto"/>
        <w:ind w:right="720"/>
        <w:contextualSpacing/>
        <w:rPr>
          <w:rFonts w:ascii="Times New Roman" w:eastAsia="Calibri" w:hAnsi="Times New Roman"/>
          <w:noProof/>
          <w:lang w:bidi="ar-SA"/>
        </w:rPr>
      </w:pPr>
    </w:p>
    <w:p w:rsidR="009E6480" w:rsidRPr="009E6480" w:rsidRDefault="009E6480" w:rsidP="009E6480">
      <w:pPr>
        <w:spacing w:line="240" w:lineRule="auto"/>
        <w:contextualSpacing/>
        <w:rPr>
          <w:rFonts w:ascii="Times New Roman" w:eastAsia="Calibri" w:hAnsi="Times New Roman"/>
          <w:noProof/>
          <w:lang w:bidi="ar-SA"/>
        </w:rPr>
      </w:pPr>
      <w:r w:rsidRPr="009E6480">
        <w:rPr>
          <w:rFonts w:ascii="Times New Roman" w:eastAsia="Calibri" w:hAnsi="Times New Roman"/>
          <w:noProof/>
          <w:lang w:bidi="ar-SA"/>
        </w:rPr>
        <w:t>Wright, Lawrence</w:t>
      </w:r>
      <w:r w:rsidR="004555DB">
        <w:rPr>
          <w:rFonts w:ascii="Times New Roman" w:eastAsia="Calibri" w:hAnsi="Times New Roman"/>
          <w:noProof/>
          <w:lang w:bidi="ar-SA"/>
        </w:rPr>
        <w:t xml:space="preserve">.  </w:t>
      </w:r>
      <w:r w:rsidRPr="009E6480">
        <w:rPr>
          <w:rFonts w:ascii="Times New Roman" w:eastAsia="Calibri" w:hAnsi="Times New Roman"/>
          <w:i/>
          <w:noProof/>
          <w:lang w:bidi="ar-SA"/>
        </w:rPr>
        <w:t>The Looming Tower: Al-Qaeda and the Road to 9/11</w:t>
      </w:r>
      <w:r w:rsidR="004555DB">
        <w:rPr>
          <w:rFonts w:ascii="Times New Roman" w:eastAsia="Calibri" w:hAnsi="Times New Roman"/>
          <w:i/>
          <w:noProof/>
          <w:lang w:bidi="ar-SA"/>
        </w:rPr>
        <w:t xml:space="preserve">.  </w:t>
      </w:r>
      <w:r w:rsidRPr="009E6480">
        <w:rPr>
          <w:rFonts w:ascii="Times New Roman" w:eastAsia="Calibri" w:hAnsi="Times New Roman"/>
          <w:noProof/>
          <w:lang w:bidi="ar-SA"/>
        </w:rPr>
        <w:t>New York: Knopf, 2006.</w:t>
      </w:r>
    </w:p>
    <w:p w:rsidR="009E6480" w:rsidRPr="009E6480" w:rsidRDefault="009E6480" w:rsidP="009E6480">
      <w:pPr>
        <w:spacing w:line="240" w:lineRule="auto"/>
        <w:contextualSpacing/>
        <w:rPr>
          <w:rFonts w:ascii="Times New Roman" w:eastAsia="Calibri" w:hAnsi="Times New Roman"/>
          <w:noProof/>
          <w:lang w:bidi="ar-SA"/>
        </w:rPr>
      </w:pPr>
    </w:p>
    <w:p w:rsidR="009E6480" w:rsidRPr="009E6480" w:rsidRDefault="009E6480" w:rsidP="004409A1">
      <w:pPr>
        <w:spacing w:line="240" w:lineRule="auto"/>
        <w:contextualSpacing/>
        <w:rPr>
          <w:rFonts w:ascii="Times New Roman" w:eastAsia="Calibri" w:hAnsi="Times New Roman"/>
          <w:noProof/>
          <w:lang w:bidi="he-IL"/>
        </w:rPr>
      </w:pPr>
      <w:r w:rsidRPr="009E6480">
        <w:rPr>
          <w:rFonts w:ascii="Times New Roman" w:eastAsia="Calibri" w:hAnsi="Times New Roman"/>
          <w:noProof/>
          <w:lang w:bidi="ar-SA"/>
        </w:rPr>
        <w:t>Yates, Dean and Sean Maguire</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“Foreign militants entering Iraq down 50% - Petreaus.”</w:t>
      </w:r>
      <w:r w:rsidR="004555DB">
        <w:rPr>
          <w:rFonts w:ascii="Times New Roman" w:eastAsia="Calibri" w:hAnsi="Times New Roman"/>
          <w:noProof/>
          <w:lang w:bidi="ar-SA"/>
        </w:rPr>
        <w:t xml:space="preserve"> </w:t>
      </w:r>
      <w:r w:rsidRPr="009E6480">
        <w:rPr>
          <w:rFonts w:ascii="Times New Roman" w:eastAsia="Calibri" w:hAnsi="Times New Roman"/>
          <w:i/>
          <w:noProof/>
          <w:lang w:bidi="ar-SA"/>
        </w:rPr>
        <w:t>Remote Post</w:t>
      </w:r>
      <w:r w:rsidR="004555DB">
        <w:rPr>
          <w:rFonts w:ascii="Times New Roman" w:eastAsia="Calibri" w:hAnsi="Times New Roman"/>
          <w:noProof/>
          <w:lang w:bidi="ar-SA"/>
        </w:rPr>
        <w:t xml:space="preserve">.  </w:t>
      </w:r>
      <w:r w:rsidRPr="009E6480">
        <w:rPr>
          <w:rFonts w:ascii="Times New Roman" w:eastAsia="Calibri" w:hAnsi="Times New Roman"/>
          <w:noProof/>
          <w:lang w:bidi="ar-SA"/>
        </w:rPr>
        <w:t>Feburary 11, 2008.</w:t>
      </w:r>
    </w:p>
    <w:bookmarkEnd w:id="66"/>
    <w:p w:rsidR="00814016" w:rsidRDefault="00814016">
      <w:pPr>
        <w:spacing w:line="240" w:lineRule="auto"/>
        <w:rPr>
          <w:rFonts w:asciiTheme="majorHAnsi" w:hAnsiTheme="majorHAnsi"/>
          <w:b/>
          <w:bCs/>
          <w:sz w:val="28"/>
          <w:szCs w:val="32"/>
          <w:lang w:bidi="he-IL"/>
        </w:rPr>
      </w:pPr>
      <w:r>
        <w:rPr>
          <w:lang w:bidi="he-IL"/>
        </w:rPr>
        <w:br w:type="page"/>
      </w:r>
    </w:p>
    <w:p w:rsidR="009E6480" w:rsidRDefault="004409A1" w:rsidP="00DD0216">
      <w:pPr>
        <w:pStyle w:val="Heading1"/>
        <w:rPr>
          <w:lang w:bidi="he-IL"/>
        </w:rPr>
      </w:pPr>
      <w:bookmarkStart w:id="72" w:name="_Toc450748702"/>
      <w:r>
        <w:rPr>
          <w:lang w:bidi="he-IL"/>
        </w:rPr>
        <w:lastRenderedPageBreak/>
        <w:t>Appendix</w:t>
      </w:r>
      <w:r w:rsidR="008257F6">
        <w:rPr>
          <w:lang w:bidi="he-IL"/>
        </w:rPr>
        <w:t xml:space="preserve"> 1</w:t>
      </w:r>
      <w:r w:rsidR="009E6480" w:rsidRPr="003776BC">
        <w:rPr>
          <w:lang w:bidi="he-IL"/>
        </w:rPr>
        <w:t>:</w:t>
      </w:r>
      <w:r w:rsidR="004555DB">
        <w:rPr>
          <w:lang w:bidi="he-IL"/>
        </w:rPr>
        <w:t xml:space="preserve"> </w:t>
      </w:r>
      <w:r w:rsidR="009E6480">
        <w:rPr>
          <w:lang w:bidi="he-IL"/>
        </w:rPr>
        <w:t xml:space="preserve">Graphs, Number of </w:t>
      </w:r>
      <w:r>
        <w:rPr>
          <w:lang w:bidi="he-IL"/>
        </w:rPr>
        <w:t xml:space="preserve">Suicide </w:t>
      </w:r>
      <w:r w:rsidR="009E6480">
        <w:rPr>
          <w:lang w:bidi="he-IL"/>
        </w:rPr>
        <w:t>Attacks Total</w:t>
      </w:r>
      <w:r w:rsidR="008257F6">
        <w:rPr>
          <w:lang w:bidi="he-IL"/>
        </w:rPr>
        <w:t xml:space="preserve"> by Era</w:t>
      </w:r>
      <w:bookmarkEnd w:id="72"/>
    </w:p>
    <w:p w:rsidR="00814016" w:rsidRPr="00814016" w:rsidRDefault="00814016" w:rsidP="00814016">
      <w:pPr>
        <w:rPr>
          <w:lang w:bidi="he-IL"/>
        </w:rPr>
      </w:pPr>
      <w:r>
        <w:rPr>
          <w:lang w:bidi="he-IL"/>
        </w:rPr>
        <w:t xml:space="preserve">The following graphs are intended to visualize trends in targets by selected countries and eras.  I note the database START or CPOST for each graph.  </w:t>
      </w:r>
    </w:p>
    <w:p w:rsidR="00325DC1" w:rsidRDefault="00325DC1" w:rsidP="00325DC1">
      <w:pPr>
        <w:keepNext/>
        <w:spacing w:line="240" w:lineRule="auto"/>
        <w:jc w:val="center"/>
        <w:rPr>
          <w:bCs/>
        </w:rPr>
      </w:pPr>
      <w:bookmarkStart w:id="73" w:name="_Toc448664220"/>
      <w:bookmarkStart w:id="74" w:name="_Toc450569734"/>
    </w:p>
    <w:p w:rsidR="00325DC1" w:rsidRDefault="00325DC1" w:rsidP="00325DC1">
      <w:pPr>
        <w:keepNext/>
        <w:spacing w:line="240" w:lineRule="auto"/>
        <w:jc w:val="center"/>
        <w:rPr>
          <w:bCs/>
        </w:rPr>
      </w:pPr>
    </w:p>
    <w:p w:rsidR="009E6480" w:rsidRPr="00BF18F8" w:rsidRDefault="009E6480" w:rsidP="00325DC1">
      <w:pPr>
        <w:keepNext/>
        <w:spacing w:line="240" w:lineRule="auto"/>
        <w:jc w:val="center"/>
        <w:rPr>
          <w:bCs/>
        </w:rPr>
      </w:pPr>
      <w:r w:rsidRPr="00BF18F8">
        <w:rPr>
          <w:bCs/>
        </w:rPr>
        <w:t xml:space="preserve">Figure </w:t>
      </w:r>
      <w:r w:rsidR="0015339F">
        <w:rPr>
          <w:bCs/>
        </w:rPr>
        <w:fldChar w:fldCharType="begin"/>
      </w:r>
      <w:r w:rsidR="004409A1">
        <w:rPr>
          <w:bCs/>
        </w:rPr>
        <w:instrText xml:space="preserve"> SEQ Figure \* ARABIC </w:instrText>
      </w:r>
      <w:r w:rsidR="0015339F">
        <w:rPr>
          <w:bCs/>
        </w:rPr>
        <w:fldChar w:fldCharType="separate"/>
      </w:r>
      <w:r w:rsidR="00C962B2">
        <w:rPr>
          <w:bCs/>
          <w:noProof/>
        </w:rPr>
        <w:t>2</w:t>
      </w:r>
      <w:r w:rsidR="0015339F">
        <w:rPr>
          <w:bCs/>
        </w:rPr>
        <w:fldChar w:fldCharType="end"/>
      </w:r>
      <w:r w:rsidRPr="00BF18F8">
        <w:rPr>
          <w:bCs/>
        </w:rPr>
        <w:t xml:space="preserve"> </w:t>
      </w:r>
      <w:r w:rsidR="008257F6">
        <w:rPr>
          <w:bCs/>
        </w:rPr>
        <w:t>–</w:t>
      </w:r>
      <w:r w:rsidRPr="00BF18F8">
        <w:rPr>
          <w:bCs/>
        </w:rPr>
        <w:t xml:space="preserve"> </w:t>
      </w:r>
      <w:bookmarkEnd w:id="73"/>
      <w:r w:rsidR="008257F6">
        <w:rPr>
          <w:bCs/>
        </w:rPr>
        <w:t>START:  Suicide Attacks Total, by Country, by Year</w:t>
      </w:r>
      <w:bookmarkEnd w:id="74"/>
    </w:p>
    <w:p w:rsidR="009E6480" w:rsidRPr="003776BC" w:rsidRDefault="009E6480" w:rsidP="00325DC1">
      <w:pPr>
        <w:spacing w:line="240" w:lineRule="auto"/>
        <w:contextualSpacing/>
        <w:jc w:val="center"/>
        <w:rPr>
          <w:lang w:bidi="he-IL"/>
        </w:rPr>
      </w:pPr>
      <w:r w:rsidRPr="003776BC">
        <w:rPr>
          <w:noProof/>
          <w:lang w:bidi="he-IL"/>
        </w:rPr>
        <w:drawing>
          <wp:inline distT="0" distB="0" distL="0" distR="0" wp14:anchorId="12DE3867" wp14:editId="72267B0A">
            <wp:extent cx="5367847" cy="5528930"/>
            <wp:effectExtent l="0" t="0" r="4445"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9E6480" w:rsidRPr="003776BC" w:rsidRDefault="009E6480" w:rsidP="00325DC1">
      <w:pPr>
        <w:spacing w:line="240" w:lineRule="auto"/>
        <w:contextualSpacing/>
        <w:jc w:val="center"/>
        <w:rPr>
          <w:lang w:bidi="he-IL"/>
        </w:rPr>
      </w:pPr>
    </w:p>
    <w:p w:rsidR="009E6480" w:rsidRPr="00BF18F8" w:rsidRDefault="009E6480" w:rsidP="00325DC1">
      <w:pPr>
        <w:keepNext/>
        <w:spacing w:line="240" w:lineRule="auto"/>
        <w:jc w:val="center"/>
        <w:rPr>
          <w:bCs/>
        </w:rPr>
      </w:pPr>
      <w:bookmarkStart w:id="75" w:name="_Toc448664221"/>
      <w:bookmarkStart w:id="76" w:name="_Toc450569735"/>
      <w:r w:rsidRPr="00BF18F8">
        <w:rPr>
          <w:bCs/>
        </w:rPr>
        <w:lastRenderedPageBreak/>
        <w:t xml:space="preserve">Figure </w:t>
      </w:r>
      <w:r w:rsidR="0015339F">
        <w:rPr>
          <w:bCs/>
        </w:rPr>
        <w:fldChar w:fldCharType="begin"/>
      </w:r>
      <w:r w:rsidR="004409A1">
        <w:rPr>
          <w:bCs/>
        </w:rPr>
        <w:instrText xml:space="preserve"> SEQ Figure \* ARABIC </w:instrText>
      </w:r>
      <w:r w:rsidR="0015339F">
        <w:rPr>
          <w:bCs/>
        </w:rPr>
        <w:fldChar w:fldCharType="separate"/>
      </w:r>
      <w:r w:rsidR="00C962B2">
        <w:rPr>
          <w:bCs/>
          <w:noProof/>
        </w:rPr>
        <w:t>3</w:t>
      </w:r>
      <w:r w:rsidR="0015339F">
        <w:rPr>
          <w:bCs/>
        </w:rPr>
        <w:fldChar w:fldCharType="end"/>
      </w:r>
      <w:r w:rsidRPr="00BF18F8">
        <w:rPr>
          <w:bCs/>
        </w:rPr>
        <w:t xml:space="preserve">- </w:t>
      </w:r>
      <w:bookmarkEnd w:id="75"/>
      <w:r w:rsidR="008257F6">
        <w:rPr>
          <w:bCs/>
        </w:rPr>
        <w:t>CPOST:  Suicide Attacks Total, by Target, by Year</w:t>
      </w:r>
      <w:bookmarkEnd w:id="76"/>
    </w:p>
    <w:p w:rsidR="009E6480" w:rsidRPr="003776BC" w:rsidRDefault="009E6480" w:rsidP="00325DC1">
      <w:pPr>
        <w:spacing w:line="240" w:lineRule="auto"/>
        <w:contextualSpacing/>
        <w:jc w:val="center"/>
        <w:rPr>
          <w:lang w:bidi="he-IL"/>
        </w:rPr>
      </w:pPr>
      <w:r w:rsidRPr="003776BC">
        <w:rPr>
          <w:noProof/>
          <w:lang w:bidi="he-IL"/>
        </w:rPr>
        <w:drawing>
          <wp:inline distT="0" distB="0" distL="0" distR="0" wp14:anchorId="494B349B" wp14:editId="652DEF74">
            <wp:extent cx="5367847" cy="4720856"/>
            <wp:effectExtent l="0" t="0" r="4445" b="381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325DC1" w:rsidRDefault="00325DC1" w:rsidP="00325DC1">
      <w:pPr>
        <w:keepNext/>
        <w:spacing w:line="240" w:lineRule="auto"/>
        <w:jc w:val="center"/>
        <w:rPr>
          <w:bCs/>
        </w:rPr>
      </w:pPr>
      <w:bookmarkStart w:id="77" w:name="_Toc448664222"/>
      <w:bookmarkStart w:id="78" w:name="_Toc450569736"/>
    </w:p>
    <w:p w:rsidR="00325DC1" w:rsidRDefault="00325DC1" w:rsidP="00325DC1">
      <w:pPr>
        <w:keepNext/>
        <w:spacing w:line="240" w:lineRule="auto"/>
        <w:jc w:val="center"/>
        <w:rPr>
          <w:bCs/>
        </w:rPr>
      </w:pPr>
    </w:p>
    <w:p w:rsidR="009E6480" w:rsidRPr="00BF18F8" w:rsidRDefault="009E6480" w:rsidP="00325DC1">
      <w:pPr>
        <w:keepNext/>
        <w:spacing w:line="240" w:lineRule="auto"/>
        <w:jc w:val="center"/>
        <w:rPr>
          <w:bCs/>
        </w:rPr>
      </w:pPr>
      <w:r w:rsidRPr="00BF18F8">
        <w:rPr>
          <w:bCs/>
        </w:rPr>
        <w:t xml:space="preserve">Figure </w:t>
      </w:r>
      <w:r w:rsidR="0015339F">
        <w:rPr>
          <w:bCs/>
        </w:rPr>
        <w:fldChar w:fldCharType="begin"/>
      </w:r>
      <w:r w:rsidR="004409A1">
        <w:rPr>
          <w:bCs/>
        </w:rPr>
        <w:instrText xml:space="preserve"> SEQ Figure \* ARABIC </w:instrText>
      </w:r>
      <w:r w:rsidR="0015339F">
        <w:rPr>
          <w:bCs/>
        </w:rPr>
        <w:fldChar w:fldCharType="separate"/>
      </w:r>
      <w:r w:rsidR="00C962B2">
        <w:rPr>
          <w:bCs/>
          <w:noProof/>
        </w:rPr>
        <w:t>4</w:t>
      </w:r>
      <w:r w:rsidR="0015339F">
        <w:rPr>
          <w:bCs/>
        </w:rPr>
        <w:fldChar w:fldCharType="end"/>
      </w:r>
      <w:r w:rsidRPr="00BF18F8">
        <w:rPr>
          <w:bCs/>
        </w:rPr>
        <w:t xml:space="preserve"> </w:t>
      </w:r>
      <w:r w:rsidR="008257F6">
        <w:rPr>
          <w:bCs/>
        </w:rPr>
        <w:t>–</w:t>
      </w:r>
      <w:r w:rsidRPr="00BF18F8">
        <w:rPr>
          <w:bCs/>
        </w:rPr>
        <w:t xml:space="preserve"> </w:t>
      </w:r>
      <w:bookmarkEnd w:id="77"/>
      <w:r w:rsidR="008257F6">
        <w:rPr>
          <w:bCs/>
        </w:rPr>
        <w:t>CPOST:</w:t>
      </w:r>
      <w:r w:rsidR="00870A1F">
        <w:rPr>
          <w:bCs/>
        </w:rPr>
        <w:t xml:space="preserve">  Suicide Attack Target Breakdown, All Time</w:t>
      </w:r>
      <w:bookmarkEnd w:id="78"/>
    </w:p>
    <w:p w:rsidR="009E6480" w:rsidRPr="003776BC" w:rsidRDefault="009E6480" w:rsidP="0073392A">
      <w:pPr>
        <w:spacing w:line="240" w:lineRule="auto"/>
        <w:contextualSpacing/>
        <w:jc w:val="center"/>
        <w:rPr>
          <w:lang w:bidi="he-IL"/>
        </w:rPr>
      </w:pPr>
      <w:r w:rsidRPr="003776BC">
        <w:rPr>
          <w:noProof/>
          <w:lang w:bidi="he-IL"/>
        </w:rPr>
        <w:drawing>
          <wp:inline distT="0" distB="0" distL="0" distR="0" wp14:anchorId="2E482A7B" wp14:editId="21927565">
            <wp:extent cx="3912782" cy="2296633"/>
            <wp:effectExtent l="0" t="0" r="0" b="889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9E6480" w:rsidRPr="003776BC" w:rsidRDefault="009E6480" w:rsidP="00325DC1">
      <w:pPr>
        <w:spacing w:line="240" w:lineRule="auto"/>
        <w:contextualSpacing/>
        <w:jc w:val="center"/>
        <w:rPr>
          <w:lang w:bidi="he-IL"/>
        </w:rPr>
      </w:pPr>
    </w:p>
    <w:p w:rsidR="009E6480" w:rsidRPr="00BF18F8" w:rsidRDefault="009E6480" w:rsidP="00325DC1">
      <w:pPr>
        <w:keepNext/>
        <w:spacing w:line="240" w:lineRule="auto"/>
        <w:jc w:val="center"/>
        <w:rPr>
          <w:bCs/>
        </w:rPr>
      </w:pPr>
      <w:bookmarkStart w:id="79" w:name="_Toc448664223"/>
      <w:bookmarkStart w:id="80" w:name="_Toc450569737"/>
      <w:r w:rsidRPr="00BF18F8">
        <w:rPr>
          <w:bCs/>
        </w:rPr>
        <w:lastRenderedPageBreak/>
        <w:t xml:space="preserve">Figure </w:t>
      </w:r>
      <w:r w:rsidR="0015339F">
        <w:rPr>
          <w:bCs/>
        </w:rPr>
        <w:fldChar w:fldCharType="begin"/>
      </w:r>
      <w:r w:rsidR="004409A1">
        <w:rPr>
          <w:bCs/>
        </w:rPr>
        <w:instrText xml:space="preserve"> SEQ Figure \* ARABIC </w:instrText>
      </w:r>
      <w:r w:rsidR="0015339F">
        <w:rPr>
          <w:bCs/>
        </w:rPr>
        <w:fldChar w:fldCharType="separate"/>
      </w:r>
      <w:r w:rsidR="00C962B2">
        <w:rPr>
          <w:bCs/>
          <w:noProof/>
        </w:rPr>
        <w:t>5</w:t>
      </w:r>
      <w:r w:rsidR="0015339F">
        <w:rPr>
          <w:bCs/>
        </w:rPr>
        <w:fldChar w:fldCharType="end"/>
      </w:r>
      <w:r w:rsidRPr="00BF18F8">
        <w:rPr>
          <w:bCs/>
        </w:rPr>
        <w:t xml:space="preserve"> </w:t>
      </w:r>
      <w:r w:rsidR="00870A1F">
        <w:rPr>
          <w:bCs/>
        </w:rPr>
        <w:t>–</w:t>
      </w:r>
      <w:r w:rsidRPr="00BF18F8">
        <w:rPr>
          <w:bCs/>
        </w:rPr>
        <w:t xml:space="preserve"> </w:t>
      </w:r>
      <w:bookmarkEnd w:id="79"/>
      <w:r w:rsidR="00870A1F">
        <w:rPr>
          <w:bCs/>
        </w:rPr>
        <w:t>START:  Suicide Attack Target Breakdown, All Time</w:t>
      </w:r>
      <w:bookmarkEnd w:id="80"/>
    </w:p>
    <w:p w:rsidR="009E6480" w:rsidRPr="003776BC" w:rsidRDefault="009E6480" w:rsidP="00325DC1">
      <w:pPr>
        <w:spacing w:line="240" w:lineRule="auto"/>
        <w:contextualSpacing/>
        <w:jc w:val="center"/>
        <w:rPr>
          <w:lang w:bidi="he-IL"/>
        </w:rPr>
      </w:pPr>
      <w:r w:rsidRPr="003776BC">
        <w:rPr>
          <w:noProof/>
          <w:lang w:bidi="he-IL"/>
        </w:rPr>
        <w:drawing>
          <wp:inline distT="0" distB="0" distL="0" distR="0" wp14:anchorId="0AAE6CD3" wp14:editId="609198EB">
            <wp:extent cx="5367847" cy="6815470"/>
            <wp:effectExtent l="0" t="0" r="4445" b="444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9E6480" w:rsidRPr="003776BC" w:rsidRDefault="009E6480" w:rsidP="00325DC1">
      <w:pPr>
        <w:spacing w:line="240" w:lineRule="auto"/>
        <w:contextualSpacing/>
        <w:jc w:val="center"/>
        <w:rPr>
          <w:lang w:bidi="he-IL"/>
        </w:rPr>
      </w:pPr>
    </w:p>
    <w:p w:rsidR="009E6480" w:rsidRPr="003776BC" w:rsidRDefault="009E6480" w:rsidP="00325DC1">
      <w:pPr>
        <w:spacing w:line="240" w:lineRule="auto"/>
        <w:contextualSpacing/>
        <w:jc w:val="center"/>
        <w:rPr>
          <w:lang w:bidi="he-IL"/>
        </w:rPr>
      </w:pPr>
    </w:p>
    <w:p w:rsidR="009E6480" w:rsidRPr="004409A1" w:rsidRDefault="009E6480" w:rsidP="00325DC1">
      <w:pPr>
        <w:keepNext/>
        <w:spacing w:line="240" w:lineRule="auto"/>
        <w:jc w:val="center"/>
      </w:pPr>
      <w:bookmarkStart w:id="81" w:name="_Toc448664225"/>
      <w:bookmarkStart w:id="82" w:name="_Toc450569738"/>
      <w:r w:rsidRPr="004409A1">
        <w:lastRenderedPageBreak/>
        <w:t xml:space="preserve">Figure </w:t>
      </w:r>
      <w:r w:rsidR="00C35D4A">
        <w:fldChar w:fldCharType="begin"/>
      </w:r>
      <w:r w:rsidR="00C35D4A">
        <w:instrText xml:space="preserve"> SEQ Figure \* ARABIC </w:instrText>
      </w:r>
      <w:r w:rsidR="00C35D4A">
        <w:fldChar w:fldCharType="separate"/>
      </w:r>
      <w:r w:rsidR="00C962B2">
        <w:rPr>
          <w:noProof/>
        </w:rPr>
        <w:t>6</w:t>
      </w:r>
      <w:r w:rsidR="00C35D4A">
        <w:rPr>
          <w:noProof/>
        </w:rPr>
        <w:fldChar w:fldCharType="end"/>
      </w:r>
      <w:r w:rsidRPr="004409A1">
        <w:t xml:space="preserve"> </w:t>
      </w:r>
      <w:r w:rsidR="00870A1F">
        <w:t>–</w:t>
      </w:r>
      <w:r w:rsidRPr="004409A1">
        <w:t xml:space="preserve"> </w:t>
      </w:r>
      <w:r w:rsidR="00870A1F">
        <w:t xml:space="preserve">Era of Nationalism </w:t>
      </w:r>
      <w:r w:rsidR="00C32979">
        <w:t xml:space="preserve">(1981-1992), </w:t>
      </w:r>
      <w:r w:rsidR="00870A1F">
        <w:t>Target Breakdown</w:t>
      </w:r>
      <w:bookmarkEnd w:id="81"/>
      <w:bookmarkEnd w:id="82"/>
    </w:p>
    <w:p w:rsidR="008257F6" w:rsidRPr="00870A1F" w:rsidRDefault="00DE0874" w:rsidP="00325DC1">
      <w:pPr>
        <w:keepNext/>
        <w:spacing w:line="240" w:lineRule="auto"/>
        <w:jc w:val="center"/>
      </w:pPr>
      <w:bookmarkStart w:id="83" w:name="_Toc448664226"/>
      <w:r>
        <w:rPr>
          <w:noProof/>
          <w:lang w:bidi="he-IL"/>
        </w:rPr>
        <w:drawing>
          <wp:inline distT="0" distB="0" distL="0" distR="0" wp14:anchorId="4CA44709" wp14:editId="5546120A">
            <wp:extent cx="4067503" cy="2191407"/>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325DC1" w:rsidRDefault="00325DC1" w:rsidP="00325DC1">
      <w:pPr>
        <w:keepNext/>
        <w:spacing w:line="240" w:lineRule="auto"/>
        <w:jc w:val="center"/>
      </w:pPr>
      <w:bookmarkStart w:id="84" w:name="_Toc450569739"/>
      <w:bookmarkStart w:id="85" w:name="_Toc448664229"/>
    </w:p>
    <w:p w:rsidR="00325DC1" w:rsidRDefault="00325DC1" w:rsidP="00325DC1">
      <w:pPr>
        <w:keepNext/>
        <w:spacing w:line="240" w:lineRule="auto"/>
        <w:jc w:val="center"/>
      </w:pPr>
    </w:p>
    <w:p w:rsidR="008257F6" w:rsidRPr="00870A1F" w:rsidRDefault="008257F6" w:rsidP="00325DC1">
      <w:pPr>
        <w:keepNext/>
        <w:spacing w:line="240" w:lineRule="auto"/>
        <w:jc w:val="center"/>
      </w:pPr>
      <w:r w:rsidRPr="00870A1F">
        <w:t xml:space="preserve">Figure </w:t>
      </w:r>
      <w:r w:rsidR="00C35D4A">
        <w:fldChar w:fldCharType="begin"/>
      </w:r>
      <w:r w:rsidR="00C35D4A">
        <w:instrText xml:space="preserve"> SEQ Figure \* ARABIC </w:instrText>
      </w:r>
      <w:r w:rsidR="00C35D4A">
        <w:fldChar w:fldCharType="separate"/>
      </w:r>
      <w:r w:rsidR="00C962B2">
        <w:rPr>
          <w:noProof/>
        </w:rPr>
        <w:t>7</w:t>
      </w:r>
      <w:r w:rsidR="00C35D4A">
        <w:rPr>
          <w:noProof/>
        </w:rPr>
        <w:fldChar w:fldCharType="end"/>
      </w:r>
      <w:r w:rsidRPr="00870A1F">
        <w:t xml:space="preserve"> - Era of Religious Nationalism </w:t>
      </w:r>
      <w:r w:rsidR="0057792A">
        <w:t xml:space="preserve">(1993-2004), </w:t>
      </w:r>
      <w:r w:rsidRPr="00870A1F">
        <w:t>Target Breakdown</w:t>
      </w:r>
      <w:bookmarkEnd w:id="84"/>
      <w:bookmarkEnd w:id="85"/>
    </w:p>
    <w:p w:rsidR="008257F6" w:rsidRPr="00870A1F" w:rsidRDefault="00C32979" w:rsidP="00325DC1">
      <w:pPr>
        <w:spacing w:line="240" w:lineRule="auto"/>
        <w:contextualSpacing/>
        <w:jc w:val="center"/>
      </w:pPr>
      <w:r>
        <w:rPr>
          <w:noProof/>
          <w:lang w:bidi="he-IL"/>
        </w:rPr>
        <w:drawing>
          <wp:inline distT="0" distB="0" distL="0" distR="0" wp14:anchorId="7C2EE771" wp14:editId="2E71C3C7">
            <wp:extent cx="4069080" cy="2194560"/>
            <wp:effectExtent l="0" t="0" r="762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8257F6" w:rsidRPr="00870A1F" w:rsidRDefault="008257F6" w:rsidP="00325DC1">
      <w:pPr>
        <w:spacing w:line="240" w:lineRule="auto"/>
        <w:jc w:val="center"/>
      </w:pPr>
    </w:p>
    <w:p w:rsidR="00325DC1" w:rsidRDefault="00325DC1" w:rsidP="00325DC1">
      <w:pPr>
        <w:keepNext/>
        <w:spacing w:line="240" w:lineRule="auto"/>
        <w:jc w:val="center"/>
      </w:pPr>
      <w:bookmarkStart w:id="86" w:name="_Toc448664230"/>
      <w:bookmarkStart w:id="87" w:name="_Toc450569740"/>
      <w:bookmarkStart w:id="88" w:name="_Toc448664232"/>
    </w:p>
    <w:p w:rsidR="00AF489D" w:rsidRPr="00870A1F" w:rsidRDefault="00AF489D" w:rsidP="00325DC1">
      <w:pPr>
        <w:keepNext/>
        <w:spacing w:line="240" w:lineRule="auto"/>
        <w:jc w:val="center"/>
      </w:pPr>
      <w:r w:rsidRPr="00870A1F">
        <w:t xml:space="preserve">Figure </w:t>
      </w:r>
      <w:r w:rsidR="00C35D4A">
        <w:fldChar w:fldCharType="begin"/>
      </w:r>
      <w:r w:rsidR="00C35D4A">
        <w:instrText xml:space="preserve"> SEQ Figure \* ARABIC </w:instrText>
      </w:r>
      <w:r w:rsidR="00C35D4A">
        <w:fldChar w:fldCharType="separate"/>
      </w:r>
      <w:r>
        <w:rPr>
          <w:noProof/>
        </w:rPr>
        <w:t>8</w:t>
      </w:r>
      <w:r w:rsidR="00C35D4A">
        <w:rPr>
          <w:noProof/>
        </w:rPr>
        <w:fldChar w:fldCharType="end"/>
      </w:r>
      <w:r w:rsidRPr="00870A1F">
        <w:t xml:space="preserve"> – Era of Fitna</w:t>
      </w:r>
      <w:r>
        <w:t xml:space="preserve"> (2005-2014), Target Breakdown</w:t>
      </w:r>
      <w:bookmarkEnd w:id="86"/>
      <w:bookmarkEnd w:id="87"/>
    </w:p>
    <w:p w:rsidR="00AF489D" w:rsidRPr="00870A1F" w:rsidRDefault="00AF489D" w:rsidP="00325DC1">
      <w:pPr>
        <w:spacing w:line="240" w:lineRule="auto"/>
        <w:contextualSpacing/>
        <w:jc w:val="center"/>
      </w:pPr>
      <w:r>
        <w:rPr>
          <w:noProof/>
          <w:lang w:bidi="he-IL"/>
        </w:rPr>
        <w:drawing>
          <wp:inline distT="0" distB="0" distL="0" distR="0" wp14:anchorId="5D706828" wp14:editId="3C58AF95">
            <wp:extent cx="4069080" cy="2194560"/>
            <wp:effectExtent l="0" t="0" r="7620"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bookmarkEnd w:id="88"/>
    <w:p w:rsidR="00325DC1" w:rsidRDefault="00325DC1">
      <w:pPr>
        <w:spacing w:line="240" w:lineRule="auto"/>
        <w:rPr>
          <w:rFonts w:asciiTheme="majorHAnsi" w:hAnsiTheme="majorHAnsi"/>
          <w:b/>
          <w:bCs/>
          <w:sz w:val="28"/>
          <w:szCs w:val="32"/>
          <w:lang w:bidi="he-IL"/>
        </w:rPr>
      </w:pPr>
      <w:r>
        <w:rPr>
          <w:lang w:bidi="he-IL"/>
        </w:rPr>
        <w:br w:type="page"/>
      </w:r>
    </w:p>
    <w:p w:rsidR="008257F6" w:rsidRDefault="008257F6" w:rsidP="00DD0216">
      <w:pPr>
        <w:pStyle w:val="Heading1"/>
        <w:rPr>
          <w:lang w:bidi="he-IL"/>
        </w:rPr>
      </w:pPr>
      <w:bookmarkStart w:id="89" w:name="_Toc450748703"/>
      <w:r>
        <w:rPr>
          <w:lang w:bidi="he-IL"/>
        </w:rPr>
        <w:lastRenderedPageBreak/>
        <w:t>Appendix 2</w:t>
      </w:r>
      <w:r w:rsidRPr="003776BC">
        <w:rPr>
          <w:lang w:bidi="he-IL"/>
        </w:rPr>
        <w:t>:</w:t>
      </w:r>
      <w:r>
        <w:rPr>
          <w:lang w:bidi="he-IL"/>
        </w:rPr>
        <w:t xml:space="preserve"> Graphs, Number of Suicide Attacks by Country</w:t>
      </w:r>
      <w:bookmarkEnd w:id="89"/>
    </w:p>
    <w:p w:rsidR="00325DC1" w:rsidRDefault="00325DC1" w:rsidP="00325DC1">
      <w:pPr>
        <w:pStyle w:val="Caption"/>
        <w:keepNext/>
        <w:jc w:val="center"/>
        <w:rPr>
          <w:b w:val="0"/>
          <w:bCs w:val="0"/>
          <w:szCs w:val="24"/>
        </w:rPr>
      </w:pPr>
      <w:bookmarkStart w:id="90" w:name="_Toc450569741"/>
    </w:p>
    <w:p w:rsidR="009E6480" w:rsidRPr="00870A1F" w:rsidRDefault="009E6480" w:rsidP="00325DC1">
      <w:pPr>
        <w:pStyle w:val="Caption"/>
        <w:keepNext/>
        <w:jc w:val="center"/>
      </w:pPr>
      <w:r w:rsidRPr="00870A1F">
        <w:rPr>
          <w:b w:val="0"/>
          <w:bCs w:val="0"/>
          <w:szCs w:val="24"/>
        </w:rPr>
        <w:t xml:space="preserve">Figure </w:t>
      </w:r>
      <w:r w:rsidR="0015339F" w:rsidRPr="00870A1F">
        <w:rPr>
          <w:b w:val="0"/>
          <w:bCs w:val="0"/>
          <w:szCs w:val="24"/>
        </w:rPr>
        <w:fldChar w:fldCharType="begin"/>
      </w:r>
      <w:r w:rsidR="004409A1" w:rsidRPr="00870A1F">
        <w:rPr>
          <w:b w:val="0"/>
          <w:bCs w:val="0"/>
          <w:szCs w:val="24"/>
        </w:rPr>
        <w:instrText xml:space="preserve"> SEQ Figure \* ARABIC </w:instrText>
      </w:r>
      <w:r w:rsidR="0015339F" w:rsidRPr="00870A1F">
        <w:rPr>
          <w:b w:val="0"/>
          <w:bCs w:val="0"/>
          <w:szCs w:val="24"/>
        </w:rPr>
        <w:fldChar w:fldCharType="separate"/>
      </w:r>
      <w:r w:rsidR="00C962B2">
        <w:rPr>
          <w:b w:val="0"/>
          <w:bCs w:val="0"/>
          <w:noProof/>
          <w:szCs w:val="24"/>
        </w:rPr>
        <w:t>9</w:t>
      </w:r>
      <w:r w:rsidR="0015339F" w:rsidRPr="00870A1F">
        <w:rPr>
          <w:b w:val="0"/>
          <w:bCs w:val="0"/>
          <w:szCs w:val="24"/>
        </w:rPr>
        <w:fldChar w:fldCharType="end"/>
      </w:r>
      <w:r w:rsidRPr="00870A1F">
        <w:rPr>
          <w:b w:val="0"/>
          <w:bCs w:val="0"/>
          <w:szCs w:val="24"/>
        </w:rPr>
        <w:t xml:space="preserve"> </w:t>
      </w:r>
      <w:r w:rsidR="004409A1" w:rsidRPr="00870A1F">
        <w:rPr>
          <w:b w:val="0"/>
          <w:bCs w:val="0"/>
          <w:szCs w:val="24"/>
        </w:rPr>
        <w:t>–</w:t>
      </w:r>
      <w:r w:rsidRPr="00870A1F">
        <w:rPr>
          <w:b w:val="0"/>
          <w:bCs w:val="0"/>
          <w:szCs w:val="24"/>
        </w:rPr>
        <w:t xml:space="preserve"> </w:t>
      </w:r>
      <w:r w:rsidR="004409A1" w:rsidRPr="00870A1F">
        <w:rPr>
          <w:b w:val="0"/>
          <w:bCs w:val="0"/>
          <w:szCs w:val="24"/>
        </w:rPr>
        <w:t>Lebanon, Total Suicide Attacks, By Year, By Target</w:t>
      </w:r>
      <w:bookmarkEnd w:id="83"/>
      <w:bookmarkEnd w:id="90"/>
      <w:r w:rsidR="0057792A">
        <w:rPr>
          <w:noProof/>
          <w:lang w:bidi="he-IL"/>
        </w:rPr>
        <w:drawing>
          <wp:inline distT="0" distB="0" distL="0" distR="0" wp14:anchorId="3154B3EE" wp14:editId="19879245">
            <wp:extent cx="5391807" cy="1986455"/>
            <wp:effectExtent l="0" t="0" r="0" b="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9E6480" w:rsidRPr="00870A1F" w:rsidRDefault="009E6480" w:rsidP="00325DC1">
      <w:pPr>
        <w:spacing w:line="240" w:lineRule="auto"/>
        <w:jc w:val="center"/>
      </w:pPr>
    </w:p>
    <w:p w:rsidR="00325DC1" w:rsidRDefault="00325DC1" w:rsidP="00325DC1">
      <w:pPr>
        <w:pStyle w:val="Caption"/>
        <w:keepNext/>
        <w:jc w:val="center"/>
        <w:rPr>
          <w:b w:val="0"/>
          <w:bCs w:val="0"/>
        </w:rPr>
      </w:pPr>
      <w:bookmarkStart w:id="91" w:name="_Toc450569742"/>
    </w:p>
    <w:p w:rsidR="00325DC1" w:rsidRDefault="00325DC1" w:rsidP="00325DC1">
      <w:pPr>
        <w:pStyle w:val="Caption"/>
        <w:keepNext/>
        <w:jc w:val="center"/>
        <w:rPr>
          <w:b w:val="0"/>
          <w:bCs w:val="0"/>
        </w:rPr>
      </w:pPr>
    </w:p>
    <w:p w:rsidR="00325DC1" w:rsidRDefault="00325DC1" w:rsidP="00325DC1">
      <w:pPr>
        <w:pStyle w:val="Caption"/>
        <w:keepNext/>
        <w:jc w:val="center"/>
        <w:rPr>
          <w:b w:val="0"/>
          <w:bCs w:val="0"/>
        </w:rPr>
      </w:pPr>
    </w:p>
    <w:p w:rsidR="009E6480" w:rsidRPr="00870A1F" w:rsidRDefault="004409A1" w:rsidP="00325DC1">
      <w:pPr>
        <w:pStyle w:val="Caption"/>
        <w:keepNext/>
        <w:jc w:val="center"/>
      </w:pPr>
      <w:r w:rsidRPr="00870A1F">
        <w:rPr>
          <w:b w:val="0"/>
          <w:bCs w:val="0"/>
        </w:rPr>
        <w:t xml:space="preserve">Figure </w:t>
      </w:r>
      <w:r w:rsidR="0015339F" w:rsidRPr="00870A1F">
        <w:rPr>
          <w:b w:val="0"/>
          <w:bCs w:val="0"/>
        </w:rPr>
        <w:fldChar w:fldCharType="begin"/>
      </w:r>
      <w:r w:rsidRPr="00870A1F">
        <w:rPr>
          <w:b w:val="0"/>
          <w:bCs w:val="0"/>
        </w:rPr>
        <w:instrText xml:space="preserve"> SEQ Figure \* ARABIC </w:instrText>
      </w:r>
      <w:r w:rsidR="0015339F" w:rsidRPr="00870A1F">
        <w:rPr>
          <w:b w:val="0"/>
          <w:bCs w:val="0"/>
        </w:rPr>
        <w:fldChar w:fldCharType="separate"/>
      </w:r>
      <w:r w:rsidR="00C962B2">
        <w:rPr>
          <w:b w:val="0"/>
          <w:bCs w:val="0"/>
          <w:noProof/>
        </w:rPr>
        <w:t>10</w:t>
      </w:r>
      <w:r w:rsidR="0015339F" w:rsidRPr="00870A1F">
        <w:rPr>
          <w:b w:val="0"/>
          <w:bCs w:val="0"/>
        </w:rPr>
        <w:fldChar w:fldCharType="end"/>
      </w:r>
      <w:r w:rsidRPr="00870A1F">
        <w:rPr>
          <w:b w:val="0"/>
          <w:bCs w:val="0"/>
          <w:noProof/>
        </w:rPr>
        <w:t xml:space="preserve"> - Sri Lanka, Total Suicide Attacks, By Year, by Target</w:t>
      </w:r>
      <w:bookmarkEnd w:id="91"/>
    </w:p>
    <w:p w:rsidR="009E6480" w:rsidRPr="00870A1F" w:rsidRDefault="00C962B2" w:rsidP="00325DC1">
      <w:pPr>
        <w:spacing w:line="240" w:lineRule="auto"/>
        <w:jc w:val="center"/>
      </w:pPr>
      <w:r>
        <w:rPr>
          <w:noProof/>
          <w:lang w:bidi="he-IL"/>
        </w:rPr>
        <w:drawing>
          <wp:inline distT="0" distB="0" distL="0" distR="0" wp14:anchorId="01032E9F" wp14:editId="72203D29">
            <wp:extent cx="5391807" cy="3058510"/>
            <wp:effectExtent l="0" t="0" r="0" b="889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325DC1" w:rsidRDefault="00325DC1" w:rsidP="00325DC1">
      <w:pPr>
        <w:pStyle w:val="Caption"/>
        <w:keepNext/>
        <w:jc w:val="center"/>
        <w:rPr>
          <w:b w:val="0"/>
          <w:bCs w:val="0"/>
        </w:rPr>
      </w:pPr>
      <w:bookmarkStart w:id="92" w:name="_Toc450569743"/>
    </w:p>
    <w:p w:rsidR="00E41D6B" w:rsidRPr="00870A1F" w:rsidRDefault="00E41D6B" w:rsidP="00325DC1">
      <w:pPr>
        <w:pStyle w:val="Caption"/>
        <w:keepNext/>
        <w:jc w:val="center"/>
        <w:rPr>
          <w:b w:val="0"/>
          <w:bCs w:val="0"/>
        </w:rPr>
      </w:pPr>
      <w:r w:rsidRPr="00870A1F">
        <w:rPr>
          <w:b w:val="0"/>
          <w:bCs w:val="0"/>
        </w:rPr>
        <w:t xml:space="preserve">Figure </w:t>
      </w:r>
      <w:r w:rsidR="0015339F" w:rsidRPr="00870A1F">
        <w:rPr>
          <w:b w:val="0"/>
          <w:bCs w:val="0"/>
        </w:rPr>
        <w:fldChar w:fldCharType="begin"/>
      </w:r>
      <w:r w:rsidRPr="00870A1F">
        <w:rPr>
          <w:b w:val="0"/>
          <w:bCs w:val="0"/>
        </w:rPr>
        <w:instrText xml:space="preserve"> SEQ Figure \* ARABIC </w:instrText>
      </w:r>
      <w:r w:rsidR="0015339F" w:rsidRPr="00870A1F">
        <w:rPr>
          <w:b w:val="0"/>
          <w:bCs w:val="0"/>
        </w:rPr>
        <w:fldChar w:fldCharType="separate"/>
      </w:r>
      <w:r w:rsidR="00C962B2">
        <w:rPr>
          <w:b w:val="0"/>
          <w:bCs w:val="0"/>
          <w:noProof/>
        </w:rPr>
        <w:t>11</w:t>
      </w:r>
      <w:r w:rsidR="0015339F" w:rsidRPr="00870A1F">
        <w:rPr>
          <w:b w:val="0"/>
          <w:bCs w:val="0"/>
        </w:rPr>
        <w:fldChar w:fldCharType="end"/>
      </w:r>
      <w:r w:rsidRPr="00870A1F">
        <w:rPr>
          <w:b w:val="0"/>
          <w:bCs w:val="0"/>
        </w:rPr>
        <w:t xml:space="preserve"> - Turkey, Total Attacks, by Year, by Target</w:t>
      </w:r>
      <w:bookmarkEnd w:id="92"/>
    </w:p>
    <w:p w:rsidR="009E6480" w:rsidRPr="00870A1F" w:rsidRDefault="00C962B2" w:rsidP="00325DC1">
      <w:pPr>
        <w:spacing w:line="240" w:lineRule="auto"/>
        <w:contextualSpacing/>
        <w:jc w:val="center"/>
      </w:pPr>
      <w:r>
        <w:rPr>
          <w:noProof/>
          <w:lang w:bidi="he-IL"/>
        </w:rPr>
        <w:drawing>
          <wp:inline distT="0" distB="0" distL="0" distR="0" wp14:anchorId="59D73EF6" wp14:editId="31974C58">
            <wp:extent cx="5394960" cy="2370094"/>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9E6480" w:rsidRPr="00870A1F" w:rsidRDefault="009E6480" w:rsidP="00325DC1">
      <w:pPr>
        <w:spacing w:line="240" w:lineRule="auto"/>
        <w:jc w:val="center"/>
      </w:pPr>
    </w:p>
    <w:p w:rsidR="00325DC1" w:rsidRDefault="00325DC1" w:rsidP="00325DC1">
      <w:pPr>
        <w:pStyle w:val="Caption"/>
        <w:keepNext/>
        <w:jc w:val="center"/>
        <w:rPr>
          <w:b w:val="0"/>
          <w:bCs w:val="0"/>
        </w:rPr>
      </w:pPr>
      <w:bookmarkStart w:id="93" w:name="_Toc450569744"/>
      <w:bookmarkStart w:id="94" w:name="_Toc448664228"/>
    </w:p>
    <w:p w:rsidR="00325DC1" w:rsidRDefault="00325DC1" w:rsidP="00325DC1">
      <w:pPr>
        <w:pStyle w:val="Caption"/>
        <w:keepNext/>
        <w:jc w:val="center"/>
        <w:rPr>
          <w:b w:val="0"/>
          <w:bCs w:val="0"/>
        </w:rPr>
      </w:pPr>
    </w:p>
    <w:p w:rsidR="00325DC1" w:rsidRDefault="00325DC1" w:rsidP="00325DC1">
      <w:pPr>
        <w:pStyle w:val="Caption"/>
        <w:keepNext/>
        <w:jc w:val="center"/>
        <w:rPr>
          <w:b w:val="0"/>
          <w:bCs w:val="0"/>
        </w:rPr>
      </w:pPr>
    </w:p>
    <w:p w:rsidR="008257F6" w:rsidRPr="00870A1F" w:rsidRDefault="008257F6" w:rsidP="00325DC1">
      <w:pPr>
        <w:pStyle w:val="Caption"/>
        <w:keepNext/>
        <w:jc w:val="center"/>
        <w:rPr>
          <w:b w:val="0"/>
          <w:bCs w:val="0"/>
        </w:rPr>
      </w:pPr>
      <w:r w:rsidRPr="00870A1F">
        <w:rPr>
          <w:b w:val="0"/>
          <w:bCs w:val="0"/>
        </w:rPr>
        <w:t xml:space="preserve">Figure </w:t>
      </w:r>
      <w:r w:rsidR="0015339F" w:rsidRPr="00870A1F">
        <w:rPr>
          <w:b w:val="0"/>
          <w:bCs w:val="0"/>
        </w:rPr>
        <w:fldChar w:fldCharType="begin"/>
      </w:r>
      <w:r w:rsidRPr="00870A1F">
        <w:rPr>
          <w:b w:val="0"/>
          <w:bCs w:val="0"/>
        </w:rPr>
        <w:instrText xml:space="preserve"> SEQ Figure \* ARABIC </w:instrText>
      </w:r>
      <w:r w:rsidR="0015339F" w:rsidRPr="00870A1F">
        <w:rPr>
          <w:b w:val="0"/>
          <w:bCs w:val="0"/>
        </w:rPr>
        <w:fldChar w:fldCharType="separate"/>
      </w:r>
      <w:r w:rsidR="00C962B2">
        <w:rPr>
          <w:b w:val="0"/>
          <w:bCs w:val="0"/>
          <w:noProof/>
        </w:rPr>
        <w:t>12</w:t>
      </w:r>
      <w:r w:rsidR="0015339F" w:rsidRPr="00870A1F">
        <w:rPr>
          <w:b w:val="0"/>
          <w:bCs w:val="0"/>
        </w:rPr>
        <w:fldChar w:fldCharType="end"/>
      </w:r>
      <w:r w:rsidRPr="00870A1F">
        <w:rPr>
          <w:b w:val="0"/>
          <w:bCs w:val="0"/>
        </w:rPr>
        <w:t xml:space="preserve"> - Russia, Total Suicide Attacks, By Year, by Target</w:t>
      </w:r>
      <w:bookmarkEnd w:id="93"/>
    </w:p>
    <w:p w:rsidR="00E41D6B" w:rsidRPr="00870A1F" w:rsidRDefault="0057792A" w:rsidP="00325DC1">
      <w:pPr>
        <w:spacing w:line="240" w:lineRule="auto"/>
        <w:jc w:val="center"/>
      </w:pPr>
      <w:r>
        <w:rPr>
          <w:noProof/>
          <w:lang w:bidi="he-IL"/>
        </w:rPr>
        <w:drawing>
          <wp:inline distT="0" distB="0" distL="0" distR="0" wp14:anchorId="145891CE" wp14:editId="24DE4A67">
            <wp:extent cx="5391807" cy="3058510"/>
            <wp:effectExtent l="0" t="0" r="0" b="889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57792A" w:rsidRDefault="0057792A" w:rsidP="00325DC1">
      <w:pPr>
        <w:pStyle w:val="Caption"/>
        <w:keepNext/>
        <w:jc w:val="center"/>
        <w:rPr>
          <w:b w:val="0"/>
          <w:bCs w:val="0"/>
        </w:rPr>
      </w:pPr>
    </w:p>
    <w:p w:rsidR="00325DC1" w:rsidRDefault="00325DC1" w:rsidP="00325DC1">
      <w:pPr>
        <w:pStyle w:val="Caption"/>
        <w:keepNext/>
        <w:jc w:val="center"/>
        <w:rPr>
          <w:b w:val="0"/>
          <w:bCs w:val="0"/>
        </w:rPr>
      </w:pPr>
      <w:bookmarkStart w:id="95" w:name="_Toc450569745"/>
    </w:p>
    <w:p w:rsidR="00325DC1" w:rsidRDefault="00325DC1" w:rsidP="00325DC1">
      <w:pPr>
        <w:pStyle w:val="Caption"/>
        <w:keepNext/>
        <w:jc w:val="center"/>
        <w:rPr>
          <w:b w:val="0"/>
          <w:bCs w:val="0"/>
        </w:rPr>
      </w:pPr>
    </w:p>
    <w:p w:rsidR="00E41D6B" w:rsidRPr="00870A1F" w:rsidRDefault="00E41D6B" w:rsidP="00325DC1">
      <w:pPr>
        <w:pStyle w:val="Caption"/>
        <w:keepNext/>
        <w:jc w:val="center"/>
        <w:rPr>
          <w:b w:val="0"/>
          <w:bCs w:val="0"/>
        </w:rPr>
      </w:pPr>
      <w:r w:rsidRPr="00870A1F">
        <w:rPr>
          <w:b w:val="0"/>
          <w:bCs w:val="0"/>
        </w:rPr>
        <w:t xml:space="preserve">Figure </w:t>
      </w:r>
      <w:r w:rsidR="0015339F" w:rsidRPr="00870A1F">
        <w:rPr>
          <w:b w:val="0"/>
          <w:bCs w:val="0"/>
        </w:rPr>
        <w:fldChar w:fldCharType="begin"/>
      </w:r>
      <w:r w:rsidRPr="00870A1F">
        <w:rPr>
          <w:b w:val="0"/>
          <w:bCs w:val="0"/>
        </w:rPr>
        <w:instrText xml:space="preserve"> SEQ Figure \* ARABIC </w:instrText>
      </w:r>
      <w:r w:rsidR="0015339F" w:rsidRPr="00870A1F">
        <w:rPr>
          <w:b w:val="0"/>
          <w:bCs w:val="0"/>
        </w:rPr>
        <w:fldChar w:fldCharType="separate"/>
      </w:r>
      <w:r w:rsidR="00C962B2">
        <w:rPr>
          <w:b w:val="0"/>
          <w:bCs w:val="0"/>
          <w:noProof/>
        </w:rPr>
        <w:t>13</w:t>
      </w:r>
      <w:r w:rsidR="0015339F" w:rsidRPr="00870A1F">
        <w:rPr>
          <w:b w:val="0"/>
          <w:bCs w:val="0"/>
        </w:rPr>
        <w:fldChar w:fldCharType="end"/>
      </w:r>
      <w:r w:rsidRPr="00870A1F">
        <w:rPr>
          <w:b w:val="0"/>
          <w:bCs w:val="0"/>
        </w:rPr>
        <w:t xml:space="preserve"> - Israel and Occupied Territories, Total Attacks, By Year, by Target</w:t>
      </w:r>
      <w:bookmarkEnd w:id="95"/>
    </w:p>
    <w:p w:rsidR="00E41D6B" w:rsidRPr="00870A1F" w:rsidRDefault="0057792A" w:rsidP="00325DC1">
      <w:pPr>
        <w:spacing w:line="240" w:lineRule="auto"/>
        <w:jc w:val="center"/>
      </w:pPr>
      <w:r>
        <w:rPr>
          <w:noProof/>
          <w:lang w:bidi="he-IL"/>
        </w:rPr>
        <w:drawing>
          <wp:inline distT="0" distB="0" distL="0" distR="0" wp14:anchorId="7ED91E97" wp14:editId="6A778A81">
            <wp:extent cx="5391807" cy="3878317"/>
            <wp:effectExtent l="0" t="0" r="0" b="8255"/>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r w:rsidR="00E41D6B" w:rsidRPr="00870A1F">
        <w:br w:type="page"/>
      </w:r>
    </w:p>
    <w:p w:rsidR="00325DC1" w:rsidRDefault="00325DC1" w:rsidP="00325DC1">
      <w:pPr>
        <w:pStyle w:val="Caption"/>
        <w:jc w:val="center"/>
        <w:rPr>
          <w:b w:val="0"/>
          <w:bCs w:val="0"/>
          <w:szCs w:val="24"/>
        </w:rPr>
      </w:pPr>
      <w:bookmarkStart w:id="96" w:name="_Toc450569746"/>
    </w:p>
    <w:p w:rsidR="009E6480" w:rsidRPr="00870A1F" w:rsidRDefault="009E6480" w:rsidP="00325DC1">
      <w:pPr>
        <w:pStyle w:val="Caption"/>
        <w:jc w:val="center"/>
        <w:rPr>
          <w:b w:val="0"/>
          <w:bCs w:val="0"/>
          <w:szCs w:val="24"/>
        </w:rPr>
      </w:pPr>
      <w:r w:rsidRPr="00870A1F">
        <w:rPr>
          <w:b w:val="0"/>
          <w:bCs w:val="0"/>
          <w:szCs w:val="24"/>
        </w:rPr>
        <w:t xml:space="preserve">Figure </w:t>
      </w:r>
      <w:r w:rsidR="0015339F" w:rsidRPr="00870A1F">
        <w:rPr>
          <w:b w:val="0"/>
          <w:bCs w:val="0"/>
          <w:szCs w:val="24"/>
        </w:rPr>
        <w:fldChar w:fldCharType="begin"/>
      </w:r>
      <w:r w:rsidR="004409A1" w:rsidRPr="00870A1F">
        <w:rPr>
          <w:b w:val="0"/>
          <w:bCs w:val="0"/>
          <w:szCs w:val="24"/>
        </w:rPr>
        <w:instrText xml:space="preserve"> SEQ Figure \* ARABIC </w:instrText>
      </w:r>
      <w:r w:rsidR="0015339F" w:rsidRPr="00870A1F">
        <w:rPr>
          <w:b w:val="0"/>
          <w:bCs w:val="0"/>
          <w:szCs w:val="24"/>
        </w:rPr>
        <w:fldChar w:fldCharType="separate"/>
      </w:r>
      <w:r w:rsidR="00C962B2">
        <w:rPr>
          <w:b w:val="0"/>
          <w:bCs w:val="0"/>
          <w:noProof/>
          <w:szCs w:val="24"/>
        </w:rPr>
        <w:t>14</w:t>
      </w:r>
      <w:r w:rsidR="0015339F" w:rsidRPr="00870A1F">
        <w:rPr>
          <w:b w:val="0"/>
          <w:bCs w:val="0"/>
          <w:szCs w:val="24"/>
        </w:rPr>
        <w:fldChar w:fldCharType="end"/>
      </w:r>
      <w:r w:rsidRPr="00870A1F">
        <w:rPr>
          <w:b w:val="0"/>
          <w:bCs w:val="0"/>
          <w:szCs w:val="24"/>
        </w:rPr>
        <w:t xml:space="preserve"> - Iraq, Total Attacks, By Target, By</w:t>
      </w:r>
      <w:r w:rsidR="00E41D6B" w:rsidRPr="00870A1F">
        <w:rPr>
          <w:b w:val="0"/>
          <w:bCs w:val="0"/>
          <w:szCs w:val="24"/>
        </w:rPr>
        <w:t xml:space="preserve"> </w:t>
      </w:r>
      <w:r w:rsidRPr="00870A1F">
        <w:rPr>
          <w:b w:val="0"/>
          <w:bCs w:val="0"/>
          <w:szCs w:val="24"/>
        </w:rPr>
        <w:t>Year</w:t>
      </w:r>
      <w:bookmarkEnd w:id="94"/>
      <w:bookmarkEnd w:id="96"/>
    </w:p>
    <w:p w:rsidR="009E6480" w:rsidRPr="00870A1F" w:rsidRDefault="0057792A" w:rsidP="00325DC1">
      <w:pPr>
        <w:keepNext/>
        <w:spacing w:line="240" w:lineRule="auto"/>
        <w:jc w:val="center"/>
      </w:pPr>
      <w:r>
        <w:rPr>
          <w:noProof/>
          <w:lang w:bidi="he-IL"/>
        </w:rPr>
        <w:drawing>
          <wp:inline distT="0" distB="0" distL="0" distR="0" wp14:anchorId="07095640" wp14:editId="0C3E917F">
            <wp:extent cx="5391807" cy="3610304"/>
            <wp:effectExtent l="0" t="0" r="0"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C962B2" w:rsidRDefault="00C962B2" w:rsidP="00325DC1">
      <w:pPr>
        <w:keepNext/>
        <w:spacing w:line="240" w:lineRule="auto"/>
        <w:jc w:val="center"/>
      </w:pPr>
      <w:bookmarkStart w:id="97" w:name="_Toc448664234"/>
    </w:p>
    <w:p w:rsidR="00C962B2" w:rsidRPr="00C962B2" w:rsidRDefault="00C962B2" w:rsidP="00325DC1">
      <w:pPr>
        <w:pStyle w:val="Caption"/>
        <w:keepNext/>
        <w:jc w:val="center"/>
        <w:rPr>
          <w:b w:val="0"/>
          <w:bCs w:val="0"/>
        </w:rPr>
      </w:pPr>
    </w:p>
    <w:p w:rsidR="00325DC1" w:rsidRDefault="00325DC1" w:rsidP="00325DC1">
      <w:pPr>
        <w:pStyle w:val="Caption"/>
        <w:keepNext/>
        <w:jc w:val="center"/>
        <w:rPr>
          <w:b w:val="0"/>
          <w:bCs w:val="0"/>
        </w:rPr>
      </w:pPr>
      <w:bookmarkStart w:id="98" w:name="_Toc450569747"/>
    </w:p>
    <w:p w:rsidR="00325DC1" w:rsidRDefault="00325DC1" w:rsidP="00325DC1">
      <w:pPr>
        <w:pStyle w:val="Caption"/>
        <w:keepNext/>
        <w:jc w:val="center"/>
        <w:rPr>
          <w:b w:val="0"/>
          <w:bCs w:val="0"/>
        </w:rPr>
      </w:pPr>
    </w:p>
    <w:p w:rsidR="00C962B2" w:rsidRPr="00C962B2" w:rsidRDefault="00C962B2" w:rsidP="00325DC1">
      <w:pPr>
        <w:pStyle w:val="Caption"/>
        <w:keepNext/>
        <w:jc w:val="center"/>
        <w:rPr>
          <w:b w:val="0"/>
          <w:bCs w:val="0"/>
        </w:rPr>
      </w:pPr>
      <w:r w:rsidRPr="00C962B2">
        <w:rPr>
          <w:b w:val="0"/>
          <w:bCs w:val="0"/>
        </w:rPr>
        <w:t xml:space="preserve">Figure </w:t>
      </w:r>
      <w:r w:rsidR="0015339F" w:rsidRPr="00C962B2">
        <w:rPr>
          <w:b w:val="0"/>
          <w:bCs w:val="0"/>
        </w:rPr>
        <w:fldChar w:fldCharType="begin"/>
      </w:r>
      <w:r w:rsidRPr="00C962B2">
        <w:rPr>
          <w:b w:val="0"/>
          <w:bCs w:val="0"/>
        </w:rPr>
        <w:instrText xml:space="preserve"> SEQ Figure \* ARABIC </w:instrText>
      </w:r>
      <w:r w:rsidR="0015339F" w:rsidRPr="00C962B2">
        <w:rPr>
          <w:b w:val="0"/>
          <w:bCs w:val="0"/>
        </w:rPr>
        <w:fldChar w:fldCharType="separate"/>
      </w:r>
      <w:r>
        <w:rPr>
          <w:b w:val="0"/>
          <w:bCs w:val="0"/>
          <w:noProof/>
        </w:rPr>
        <w:t>17</w:t>
      </w:r>
      <w:r w:rsidR="0015339F" w:rsidRPr="00C962B2">
        <w:rPr>
          <w:b w:val="0"/>
          <w:bCs w:val="0"/>
        </w:rPr>
        <w:fldChar w:fldCharType="end"/>
      </w:r>
      <w:r w:rsidRPr="00C962B2">
        <w:rPr>
          <w:b w:val="0"/>
          <w:bCs w:val="0"/>
        </w:rPr>
        <w:t xml:space="preserve"> - Syria, Total Attacks, By Target, By Year</w:t>
      </w:r>
      <w:bookmarkEnd w:id="98"/>
    </w:p>
    <w:p w:rsidR="00C962B2" w:rsidRPr="00C962B2" w:rsidRDefault="00C962B2" w:rsidP="00325DC1">
      <w:pPr>
        <w:spacing w:line="240" w:lineRule="auto"/>
        <w:jc w:val="center"/>
      </w:pPr>
      <w:r>
        <w:rPr>
          <w:noProof/>
          <w:lang w:bidi="he-IL"/>
        </w:rPr>
        <w:drawing>
          <wp:inline distT="0" distB="0" distL="0" distR="0" wp14:anchorId="57606A1C" wp14:editId="28D39E1F">
            <wp:extent cx="5394960" cy="2337240"/>
            <wp:effectExtent l="0" t="0" r="0" b="635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325DC1" w:rsidRDefault="00325DC1" w:rsidP="00325DC1">
      <w:pPr>
        <w:keepNext/>
        <w:spacing w:line="240" w:lineRule="auto"/>
        <w:jc w:val="center"/>
      </w:pPr>
      <w:bookmarkStart w:id="99" w:name="_Toc448664235"/>
      <w:bookmarkStart w:id="100" w:name="_Toc450569748"/>
    </w:p>
    <w:p w:rsidR="00AF489D" w:rsidRDefault="00AF489D" w:rsidP="00325DC1">
      <w:pPr>
        <w:keepNext/>
        <w:spacing w:line="240" w:lineRule="auto"/>
        <w:jc w:val="center"/>
      </w:pPr>
      <w:r w:rsidRPr="00870A1F">
        <w:t xml:space="preserve">Figure </w:t>
      </w:r>
      <w:r w:rsidR="00C35D4A">
        <w:fldChar w:fldCharType="begin"/>
      </w:r>
      <w:r w:rsidR="00C35D4A">
        <w:instrText xml:space="preserve"> SEQ Figure \* ARABIC </w:instrText>
      </w:r>
      <w:r w:rsidR="00C35D4A">
        <w:fldChar w:fldCharType="separate"/>
      </w:r>
      <w:r>
        <w:rPr>
          <w:noProof/>
        </w:rPr>
        <w:t>16</w:t>
      </w:r>
      <w:r w:rsidR="00C35D4A">
        <w:rPr>
          <w:noProof/>
        </w:rPr>
        <w:fldChar w:fldCharType="end"/>
      </w:r>
      <w:r w:rsidRPr="00870A1F">
        <w:t xml:space="preserve"> </w:t>
      </w:r>
      <w:r>
        <w:t>–</w:t>
      </w:r>
      <w:r w:rsidRPr="00870A1F">
        <w:t xml:space="preserve"> Pakistan</w:t>
      </w:r>
      <w:bookmarkEnd w:id="99"/>
      <w:r>
        <w:t>, Total Attacks, By Target, By Year</w:t>
      </w:r>
      <w:bookmarkEnd w:id="100"/>
    </w:p>
    <w:p w:rsidR="00AF489D" w:rsidRDefault="00AF489D" w:rsidP="00325DC1">
      <w:pPr>
        <w:keepNext/>
        <w:spacing w:line="240" w:lineRule="auto"/>
        <w:jc w:val="center"/>
      </w:pPr>
      <w:r>
        <w:rPr>
          <w:noProof/>
          <w:lang w:bidi="he-IL"/>
        </w:rPr>
        <w:drawing>
          <wp:inline distT="0" distB="0" distL="0" distR="0" wp14:anchorId="5965DEF5" wp14:editId="342732B9">
            <wp:extent cx="5391807" cy="2601311"/>
            <wp:effectExtent l="0" t="0" r="0" b="889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AF489D" w:rsidRDefault="00AF489D" w:rsidP="00325DC1">
      <w:pPr>
        <w:spacing w:line="240" w:lineRule="auto"/>
        <w:jc w:val="center"/>
        <w:rPr>
          <w:szCs w:val="18"/>
        </w:rPr>
      </w:pPr>
    </w:p>
    <w:p w:rsidR="00325DC1" w:rsidRDefault="00325DC1" w:rsidP="00325DC1">
      <w:pPr>
        <w:keepNext/>
        <w:spacing w:line="240" w:lineRule="auto"/>
        <w:jc w:val="center"/>
      </w:pPr>
      <w:bookmarkStart w:id="101" w:name="_Toc450569749"/>
    </w:p>
    <w:p w:rsidR="00325DC1" w:rsidRDefault="00325DC1" w:rsidP="00325DC1">
      <w:pPr>
        <w:keepNext/>
        <w:spacing w:line="240" w:lineRule="auto"/>
        <w:jc w:val="center"/>
      </w:pPr>
    </w:p>
    <w:p w:rsidR="009E6480" w:rsidRPr="00870A1F" w:rsidRDefault="009E6480" w:rsidP="00325DC1">
      <w:pPr>
        <w:keepNext/>
        <w:spacing w:line="240" w:lineRule="auto"/>
        <w:jc w:val="center"/>
      </w:pPr>
      <w:r w:rsidRPr="00870A1F">
        <w:t xml:space="preserve">Figure </w:t>
      </w:r>
      <w:r w:rsidR="00C35D4A">
        <w:fldChar w:fldCharType="begin"/>
      </w:r>
      <w:r w:rsidR="00C35D4A">
        <w:instrText xml:space="preserve"> SEQ Figure \* ARABIC </w:instrText>
      </w:r>
      <w:r w:rsidR="00C35D4A">
        <w:fldChar w:fldCharType="separate"/>
      </w:r>
      <w:r w:rsidR="00C962B2">
        <w:rPr>
          <w:noProof/>
        </w:rPr>
        <w:t>15</w:t>
      </w:r>
      <w:r w:rsidR="00C35D4A">
        <w:rPr>
          <w:noProof/>
        </w:rPr>
        <w:fldChar w:fldCharType="end"/>
      </w:r>
      <w:r w:rsidRPr="00870A1F">
        <w:t xml:space="preserve"> </w:t>
      </w:r>
      <w:r w:rsidR="0057792A">
        <w:t>–</w:t>
      </w:r>
      <w:r w:rsidRPr="00870A1F">
        <w:t xml:space="preserve"> Afghanistan</w:t>
      </w:r>
      <w:bookmarkEnd w:id="97"/>
      <w:r w:rsidR="0057792A">
        <w:t>, Total Attacks, By Target, By Year</w:t>
      </w:r>
      <w:bookmarkEnd w:id="101"/>
    </w:p>
    <w:p w:rsidR="009E6480" w:rsidRDefault="0057792A" w:rsidP="00325DC1">
      <w:pPr>
        <w:spacing w:line="240" w:lineRule="auto"/>
        <w:jc w:val="center"/>
      </w:pPr>
      <w:r>
        <w:rPr>
          <w:noProof/>
          <w:lang w:bidi="he-IL"/>
        </w:rPr>
        <w:drawing>
          <wp:inline distT="0" distB="0" distL="0" distR="0" wp14:anchorId="5ED1B541" wp14:editId="2E23547C">
            <wp:extent cx="5391807" cy="3909848"/>
            <wp:effectExtent l="0" t="0" r="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AF489D" w:rsidRDefault="00AF489D" w:rsidP="00325DC1">
      <w:pPr>
        <w:keepNext/>
        <w:spacing w:line="240" w:lineRule="auto"/>
        <w:jc w:val="center"/>
        <w:rPr>
          <w:szCs w:val="18"/>
        </w:rPr>
      </w:pPr>
      <w:r>
        <w:rPr>
          <w:b/>
          <w:bCs/>
        </w:rPr>
        <w:br w:type="page"/>
      </w:r>
    </w:p>
    <w:p w:rsidR="00325DC1" w:rsidRDefault="00325DC1" w:rsidP="00325DC1">
      <w:pPr>
        <w:pStyle w:val="Caption"/>
        <w:keepNext/>
        <w:jc w:val="center"/>
        <w:rPr>
          <w:b w:val="0"/>
          <w:bCs w:val="0"/>
        </w:rPr>
      </w:pPr>
      <w:bookmarkStart w:id="102" w:name="_Toc450569750"/>
    </w:p>
    <w:p w:rsidR="00C962B2" w:rsidRPr="00C962B2" w:rsidRDefault="00C962B2" w:rsidP="00325DC1">
      <w:pPr>
        <w:pStyle w:val="Caption"/>
        <w:keepNext/>
        <w:jc w:val="center"/>
        <w:rPr>
          <w:b w:val="0"/>
          <w:bCs w:val="0"/>
        </w:rPr>
      </w:pPr>
      <w:r w:rsidRPr="00C962B2">
        <w:rPr>
          <w:b w:val="0"/>
          <w:bCs w:val="0"/>
        </w:rPr>
        <w:t xml:space="preserve">Figure </w:t>
      </w:r>
      <w:r w:rsidR="0015339F" w:rsidRPr="00C962B2">
        <w:rPr>
          <w:b w:val="0"/>
          <w:bCs w:val="0"/>
        </w:rPr>
        <w:fldChar w:fldCharType="begin"/>
      </w:r>
      <w:r w:rsidRPr="00C962B2">
        <w:rPr>
          <w:b w:val="0"/>
          <w:bCs w:val="0"/>
        </w:rPr>
        <w:instrText xml:space="preserve"> SEQ Figure \* ARABIC </w:instrText>
      </w:r>
      <w:r w:rsidR="0015339F" w:rsidRPr="00C962B2">
        <w:rPr>
          <w:b w:val="0"/>
          <w:bCs w:val="0"/>
        </w:rPr>
        <w:fldChar w:fldCharType="separate"/>
      </w:r>
      <w:r>
        <w:rPr>
          <w:b w:val="0"/>
          <w:bCs w:val="0"/>
          <w:noProof/>
        </w:rPr>
        <w:t>18</w:t>
      </w:r>
      <w:r w:rsidR="0015339F" w:rsidRPr="00C962B2">
        <w:rPr>
          <w:b w:val="0"/>
          <w:bCs w:val="0"/>
        </w:rPr>
        <w:fldChar w:fldCharType="end"/>
      </w:r>
      <w:r w:rsidRPr="00C962B2">
        <w:rPr>
          <w:b w:val="0"/>
          <w:bCs w:val="0"/>
        </w:rPr>
        <w:t xml:space="preserve"> - Somalia, Total Attacks, By Target, By Year</w:t>
      </w:r>
      <w:bookmarkEnd w:id="102"/>
    </w:p>
    <w:p w:rsidR="0057792A" w:rsidRDefault="00C962B2" w:rsidP="00325DC1">
      <w:pPr>
        <w:pStyle w:val="Caption"/>
        <w:keepNext/>
        <w:jc w:val="center"/>
        <w:rPr>
          <w:b w:val="0"/>
          <w:bCs w:val="0"/>
        </w:rPr>
      </w:pPr>
      <w:r>
        <w:rPr>
          <w:noProof/>
          <w:lang w:bidi="he-IL"/>
        </w:rPr>
        <w:drawing>
          <wp:inline distT="0" distB="0" distL="0" distR="0" wp14:anchorId="1C6CD2AB" wp14:editId="15DAB7C0">
            <wp:extent cx="5391807" cy="2286000"/>
            <wp:effectExtent l="0" t="0" r="0" b="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C962B2" w:rsidRDefault="00C962B2" w:rsidP="00325DC1">
      <w:pPr>
        <w:spacing w:line="240" w:lineRule="auto"/>
        <w:jc w:val="center"/>
      </w:pPr>
    </w:p>
    <w:p w:rsidR="00325DC1" w:rsidRDefault="00325DC1" w:rsidP="00325DC1">
      <w:pPr>
        <w:pStyle w:val="Caption"/>
        <w:keepNext/>
        <w:jc w:val="center"/>
        <w:rPr>
          <w:b w:val="0"/>
          <w:bCs w:val="0"/>
        </w:rPr>
      </w:pPr>
      <w:bookmarkStart w:id="103" w:name="_Toc450569751"/>
    </w:p>
    <w:p w:rsidR="00C962B2" w:rsidRPr="0057792A" w:rsidRDefault="00C962B2" w:rsidP="00325DC1">
      <w:pPr>
        <w:pStyle w:val="Caption"/>
        <w:keepNext/>
        <w:jc w:val="center"/>
        <w:rPr>
          <w:b w:val="0"/>
          <w:bCs w:val="0"/>
        </w:rPr>
      </w:pPr>
      <w:r w:rsidRPr="0057792A">
        <w:rPr>
          <w:b w:val="0"/>
          <w:bCs w:val="0"/>
        </w:rPr>
        <w:t xml:space="preserve">Figure </w:t>
      </w:r>
      <w:r w:rsidR="0015339F" w:rsidRPr="0057792A">
        <w:rPr>
          <w:b w:val="0"/>
          <w:bCs w:val="0"/>
        </w:rPr>
        <w:fldChar w:fldCharType="begin"/>
      </w:r>
      <w:r w:rsidRPr="0057792A">
        <w:rPr>
          <w:b w:val="0"/>
          <w:bCs w:val="0"/>
        </w:rPr>
        <w:instrText xml:space="preserve"> SEQ Figure \* ARABIC </w:instrText>
      </w:r>
      <w:r w:rsidR="0015339F" w:rsidRPr="0057792A">
        <w:rPr>
          <w:b w:val="0"/>
          <w:bCs w:val="0"/>
        </w:rPr>
        <w:fldChar w:fldCharType="separate"/>
      </w:r>
      <w:r>
        <w:rPr>
          <w:b w:val="0"/>
          <w:bCs w:val="0"/>
          <w:noProof/>
        </w:rPr>
        <w:t>19</w:t>
      </w:r>
      <w:r w:rsidR="0015339F" w:rsidRPr="0057792A">
        <w:rPr>
          <w:b w:val="0"/>
          <w:bCs w:val="0"/>
        </w:rPr>
        <w:fldChar w:fldCharType="end"/>
      </w:r>
      <w:r w:rsidRPr="0057792A">
        <w:rPr>
          <w:b w:val="0"/>
          <w:bCs w:val="0"/>
        </w:rPr>
        <w:t xml:space="preserve"> - Nigeria, Total Attacks, By Target, By Year</w:t>
      </w:r>
      <w:bookmarkEnd w:id="103"/>
    </w:p>
    <w:p w:rsidR="00C962B2" w:rsidRDefault="00C962B2" w:rsidP="00325DC1">
      <w:pPr>
        <w:spacing w:line="240" w:lineRule="auto"/>
        <w:jc w:val="center"/>
      </w:pPr>
      <w:r>
        <w:rPr>
          <w:noProof/>
          <w:lang w:bidi="he-IL"/>
        </w:rPr>
        <w:drawing>
          <wp:inline distT="0" distB="0" distL="0" distR="0" wp14:anchorId="02C7FB20" wp14:editId="4CF99AD8">
            <wp:extent cx="5394960" cy="2242136"/>
            <wp:effectExtent l="0" t="0" r="0" b="635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325DC1" w:rsidRDefault="00325DC1" w:rsidP="00325DC1">
      <w:pPr>
        <w:pStyle w:val="Caption"/>
        <w:keepNext/>
        <w:jc w:val="center"/>
        <w:rPr>
          <w:b w:val="0"/>
          <w:bCs w:val="0"/>
        </w:rPr>
      </w:pPr>
      <w:bookmarkStart w:id="104" w:name="_Toc450569752"/>
    </w:p>
    <w:p w:rsidR="00325DC1" w:rsidRDefault="00325DC1" w:rsidP="00325DC1">
      <w:pPr>
        <w:pStyle w:val="Caption"/>
        <w:keepNext/>
        <w:jc w:val="center"/>
        <w:rPr>
          <w:b w:val="0"/>
          <w:bCs w:val="0"/>
        </w:rPr>
      </w:pPr>
    </w:p>
    <w:p w:rsidR="00AF489D" w:rsidRPr="00C962B2" w:rsidRDefault="00AF489D" w:rsidP="00325DC1">
      <w:pPr>
        <w:pStyle w:val="Caption"/>
        <w:keepNext/>
        <w:jc w:val="center"/>
        <w:rPr>
          <w:b w:val="0"/>
          <w:bCs w:val="0"/>
        </w:rPr>
      </w:pPr>
      <w:r w:rsidRPr="00C962B2">
        <w:rPr>
          <w:b w:val="0"/>
          <w:bCs w:val="0"/>
        </w:rPr>
        <w:t xml:space="preserve">Figure </w:t>
      </w:r>
      <w:r w:rsidR="0015339F" w:rsidRPr="00C962B2">
        <w:rPr>
          <w:b w:val="0"/>
          <w:bCs w:val="0"/>
        </w:rPr>
        <w:fldChar w:fldCharType="begin"/>
      </w:r>
      <w:r w:rsidRPr="00C962B2">
        <w:rPr>
          <w:b w:val="0"/>
          <w:bCs w:val="0"/>
        </w:rPr>
        <w:instrText xml:space="preserve"> SEQ Figure \* ARABIC </w:instrText>
      </w:r>
      <w:r w:rsidR="0015339F" w:rsidRPr="00C962B2">
        <w:rPr>
          <w:b w:val="0"/>
          <w:bCs w:val="0"/>
        </w:rPr>
        <w:fldChar w:fldCharType="separate"/>
      </w:r>
      <w:r w:rsidRPr="00C962B2">
        <w:rPr>
          <w:b w:val="0"/>
          <w:bCs w:val="0"/>
          <w:noProof/>
        </w:rPr>
        <w:t>20</w:t>
      </w:r>
      <w:r w:rsidR="0015339F" w:rsidRPr="00C962B2">
        <w:rPr>
          <w:b w:val="0"/>
          <w:bCs w:val="0"/>
        </w:rPr>
        <w:fldChar w:fldCharType="end"/>
      </w:r>
      <w:r w:rsidRPr="00C962B2">
        <w:rPr>
          <w:b w:val="0"/>
          <w:bCs w:val="0"/>
        </w:rPr>
        <w:t xml:space="preserve"> - Yemen, Total Attacks, By Target, By Year</w:t>
      </w:r>
      <w:bookmarkEnd w:id="104"/>
    </w:p>
    <w:p w:rsidR="00AF489D" w:rsidRPr="00C962B2" w:rsidRDefault="00AF489D" w:rsidP="00325DC1">
      <w:pPr>
        <w:spacing w:line="240" w:lineRule="auto"/>
        <w:jc w:val="center"/>
      </w:pPr>
      <w:r>
        <w:rPr>
          <w:noProof/>
          <w:lang w:bidi="he-IL"/>
        </w:rPr>
        <w:drawing>
          <wp:inline distT="0" distB="0" distL="0" distR="0" wp14:anchorId="216F84DB" wp14:editId="4E488BFE">
            <wp:extent cx="5391807" cy="2270234"/>
            <wp:effectExtent l="0" t="0" r="0" b="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sectPr w:rsidR="00AF489D" w:rsidRPr="00C962B2" w:rsidSect="00F31958">
      <w:pgSz w:w="12240" w:h="15840" w:code="1"/>
      <w:pgMar w:top="1440" w:right="1440" w:bottom="1440" w:left="2304" w:header="720" w:footer="720" w:gutter="0"/>
      <w:pgNumType w:start="1"/>
      <w:cols w:space="720"/>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D9F9B6E" w15:done="0"/>
  <w15:commentEx w15:paraId="2DA20DF4" w15:done="0"/>
  <w15:commentEx w15:paraId="0C67D45C" w15:done="0"/>
  <w15:commentEx w15:paraId="746D9BA5" w15:done="0"/>
  <w15:commentEx w15:paraId="2BF8FDFB" w15:done="0"/>
  <w15:commentEx w15:paraId="0A345589" w15:done="0"/>
  <w15:commentEx w15:paraId="14C229F6" w15:done="0"/>
  <w15:commentEx w15:paraId="77D076E4" w15:done="0"/>
  <w15:commentEx w15:paraId="136DEF55" w15:done="0"/>
  <w15:commentEx w15:paraId="7B8355EF" w15:done="0"/>
  <w15:commentEx w15:paraId="7884ABA8" w15:done="0"/>
  <w15:commentEx w15:paraId="14BA335C" w15:done="0"/>
  <w15:commentEx w15:paraId="4651167B" w15:done="0"/>
  <w15:commentEx w15:paraId="2FD84028" w15:done="0"/>
  <w15:commentEx w15:paraId="1621FF59" w15:done="0"/>
  <w15:commentEx w15:paraId="314DB161" w15:done="0"/>
  <w15:commentEx w15:paraId="0C9AAAFC" w15:done="0"/>
  <w15:commentEx w15:paraId="249E49BC" w15:done="0"/>
  <w15:commentEx w15:paraId="6CCCDC46" w15:done="0"/>
  <w15:commentEx w15:paraId="0A2B56C1" w15:done="0"/>
  <w15:commentEx w15:paraId="3BABDE30" w15:done="0"/>
  <w15:commentEx w15:paraId="4B77BA7E" w15:done="0"/>
  <w15:commentEx w15:paraId="71C13DB9" w15:done="0"/>
  <w15:commentEx w15:paraId="55DE9897" w15:done="0"/>
  <w15:commentEx w15:paraId="6AAECA0E" w15:done="0"/>
  <w15:commentEx w15:paraId="70C90FA4" w15:done="0"/>
  <w15:commentEx w15:paraId="3FE3273D" w15:done="0"/>
  <w15:commentEx w15:paraId="485B6CEA" w15:done="0"/>
  <w15:commentEx w15:paraId="5783D39A" w15:done="0"/>
  <w15:commentEx w15:paraId="73B3E4DA" w15:done="0"/>
  <w15:commentEx w15:paraId="42961827" w15:done="0"/>
  <w15:commentEx w15:paraId="427CB379" w15:done="0"/>
  <w15:commentEx w15:paraId="6D318A0B" w15:done="0"/>
  <w15:commentEx w15:paraId="363071B3" w15:done="0"/>
  <w15:commentEx w15:paraId="226A1DCC" w15:done="0"/>
  <w15:commentEx w15:paraId="3171C883" w15:done="0"/>
  <w15:commentEx w15:paraId="439A8342" w15:done="0"/>
  <w15:commentEx w15:paraId="55EF771F" w15:done="0"/>
  <w15:commentEx w15:paraId="7AD6AFF5" w15:done="0"/>
  <w15:commentEx w15:paraId="4E32522C" w15:done="0"/>
  <w15:commentEx w15:paraId="6C28C406" w15:done="0"/>
  <w15:commentEx w15:paraId="35A0D497" w15:done="0"/>
  <w15:commentEx w15:paraId="18697266" w15:done="0"/>
  <w15:commentEx w15:paraId="53215C9A" w15:done="0"/>
  <w15:commentEx w15:paraId="1072E729" w15:done="0"/>
  <w15:commentEx w15:paraId="637EAC2A" w15:done="0"/>
  <w15:commentEx w15:paraId="22CB25BD" w15:done="0"/>
  <w15:commentEx w15:paraId="0EDFFF4B" w15:done="0"/>
  <w15:commentEx w15:paraId="796276A6" w15:done="0"/>
  <w15:commentEx w15:paraId="2F62B1EC" w15:done="0"/>
  <w15:commentEx w15:paraId="4B671C0A" w15:done="0"/>
  <w15:commentEx w15:paraId="5AEC1322" w15:done="0"/>
  <w15:commentEx w15:paraId="6EFFD70A" w15:done="0"/>
  <w15:commentEx w15:paraId="3ADD3221" w15:done="0"/>
  <w15:commentEx w15:paraId="19697C4F" w15:done="0"/>
  <w15:commentEx w15:paraId="0C903B35" w15:done="0"/>
  <w15:commentEx w15:paraId="503ACF71" w15:done="0"/>
  <w15:commentEx w15:paraId="2F0EFD1C" w15:done="0"/>
  <w15:commentEx w15:paraId="229CFA47" w15:done="0"/>
  <w15:commentEx w15:paraId="634059D8" w15:done="0"/>
  <w15:commentEx w15:paraId="458A48C6" w15:done="0"/>
  <w15:commentEx w15:paraId="2D5913D5" w15:done="0"/>
  <w15:commentEx w15:paraId="54BBBE42" w15:done="0"/>
  <w15:commentEx w15:paraId="5065B7C0" w15:done="0"/>
  <w15:commentEx w15:paraId="4DA2D5A0" w15:done="0"/>
  <w15:commentEx w15:paraId="59DA53FC" w15:done="0"/>
  <w15:commentEx w15:paraId="1D5A8F9E" w15:done="0"/>
  <w15:commentEx w15:paraId="412F67DE" w15:done="0"/>
  <w15:commentEx w15:paraId="2F3F60C9" w15:done="0"/>
  <w15:commentEx w15:paraId="31D132FA" w15:done="0"/>
  <w15:commentEx w15:paraId="7C4D6F64" w15:done="0"/>
  <w15:commentEx w15:paraId="604ACBB9" w15:done="0"/>
  <w15:commentEx w15:paraId="0A807709" w15:done="0"/>
  <w15:commentEx w15:paraId="06E3579F" w15:done="0"/>
  <w15:commentEx w15:paraId="12206533" w15:done="0"/>
  <w15:commentEx w15:paraId="13DB8C9E" w15:done="0"/>
  <w15:commentEx w15:paraId="1EFA200D" w15:done="0"/>
  <w15:commentEx w15:paraId="281A1B1F" w15:done="0"/>
  <w15:commentEx w15:paraId="3A17281E" w15:done="0"/>
  <w15:commentEx w15:paraId="1D03E56D" w15:done="0"/>
  <w15:commentEx w15:paraId="5948C3F8" w15:done="0"/>
  <w15:commentEx w15:paraId="16A11A33" w15:done="0"/>
  <w15:commentEx w15:paraId="62A3724C" w15:done="0"/>
  <w15:commentEx w15:paraId="148A14E0" w15:done="0"/>
  <w15:commentEx w15:paraId="17AFC4F1" w15:done="0"/>
  <w15:commentEx w15:paraId="49F77461" w15:done="0"/>
  <w15:commentEx w15:paraId="70A3BF98" w15:done="0"/>
  <w15:commentEx w15:paraId="08931B9B" w15:done="0"/>
  <w15:commentEx w15:paraId="4E3C64E7" w15:done="0"/>
  <w15:commentEx w15:paraId="5788DCB6" w15:done="0"/>
  <w15:commentEx w15:paraId="41E8ACEF" w15:done="0"/>
  <w15:commentEx w15:paraId="2536037A" w15:done="0"/>
  <w15:commentEx w15:paraId="15C4E6FE" w15:done="0"/>
  <w15:commentEx w15:paraId="5451ADDF" w15:done="0"/>
  <w15:commentEx w15:paraId="424E1C9C" w15:done="0"/>
  <w15:commentEx w15:paraId="01BEABDC" w15:done="0"/>
  <w15:commentEx w15:paraId="08259F19" w15:done="0"/>
  <w15:commentEx w15:paraId="0DB42C2C" w15:done="0"/>
  <w15:commentEx w15:paraId="6A668C31" w15:done="0"/>
  <w15:commentEx w15:paraId="6F560B1B" w15:done="0"/>
  <w15:commentEx w15:paraId="12543650" w15:done="0"/>
  <w15:commentEx w15:paraId="6F302BC9" w15:done="0"/>
  <w15:commentEx w15:paraId="7092A9E6" w15:done="0"/>
  <w15:commentEx w15:paraId="3608A842" w15:done="0"/>
  <w15:commentEx w15:paraId="7F4FBF40" w15:done="0"/>
  <w15:commentEx w15:paraId="20659826" w15:done="0"/>
  <w15:commentEx w15:paraId="75868596" w15:done="0"/>
  <w15:commentEx w15:paraId="2544F7D8" w15:done="0"/>
  <w15:commentEx w15:paraId="3FCC55E5" w15:done="0"/>
  <w15:commentEx w15:paraId="59A5EF04" w15:done="0"/>
  <w15:commentEx w15:paraId="0F11CC53" w15:done="0"/>
  <w15:commentEx w15:paraId="176725C6" w15:done="0"/>
  <w15:commentEx w15:paraId="3B5CF752" w15:done="0"/>
  <w15:commentEx w15:paraId="2931FE19" w15:done="0"/>
  <w15:commentEx w15:paraId="278BCE42" w15:done="0"/>
  <w15:commentEx w15:paraId="47002FC9" w15:done="0"/>
  <w15:commentEx w15:paraId="5C7712F0" w15:done="0"/>
  <w15:commentEx w15:paraId="75908E1F" w15:done="0"/>
  <w15:commentEx w15:paraId="5A597C99" w15:done="0"/>
  <w15:commentEx w15:paraId="0E35A0E2" w15:done="0"/>
  <w15:commentEx w15:paraId="7E28C5FD" w15:done="0"/>
  <w15:commentEx w15:paraId="3FF9B9DF" w15:done="0"/>
  <w15:commentEx w15:paraId="62AC4B3F" w15:done="0"/>
  <w15:commentEx w15:paraId="2087ABBA" w15:done="0"/>
  <w15:commentEx w15:paraId="77F03431" w15:done="0"/>
  <w15:commentEx w15:paraId="1959219A" w15:done="0"/>
  <w15:commentEx w15:paraId="3DC804A9" w15:done="0"/>
  <w15:commentEx w15:paraId="2E7DEF59" w15:done="0"/>
  <w15:commentEx w15:paraId="55CDAEF6" w15:done="0"/>
  <w15:commentEx w15:paraId="76FBDF76" w15:done="0"/>
  <w15:commentEx w15:paraId="0678E5BE" w15:done="0"/>
  <w15:commentEx w15:paraId="2FE2A235" w15:done="0"/>
  <w15:commentEx w15:paraId="1C5320BB" w15:done="0"/>
  <w15:commentEx w15:paraId="695AC340" w15:done="0"/>
  <w15:commentEx w15:paraId="73555029" w15:done="0"/>
  <w15:commentEx w15:paraId="77C41D9E" w15:done="0"/>
  <w15:commentEx w15:paraId="5243925F" w15:done="0"/>
  <w15:commentEx w15:paraId="6CA6CC7C" w15:done="0"/>
  <w15:commentEx w15:paraId="43C9C811" w15:done="0"/>
  <w15:commentEx w15:paraId="7FFD648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5D4A" w:rsidRDefault="00C35D4A" w:rsidP="008E1C26">
      <w:pPr>
        <w:spacing w:line="240" w:lineRule="auto"/>
      </w:pPr>
      <w:r>
        <w:separator/>
      </w:r>
    </w:p>
  </w:endnote>
  <w:endnote w:type="continuationSeparator" w:id="0">
    <w:p w:rsidR="00C35D4A" w:rsidRDefault="00C35D4A"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630" w:rsidRDefault="00DF4630" w:rsidP="008E1C26">
    <w:pPr>
      <w:pStyle w:val="Footer"/>
      <w:jc w:val="center"/>
    </w:pPr>
    <w:r>
      <w:fldChar w:fldCharType="begin"/>
    </w:r>
    <w:r>
      <w:instrText xml:space="preserve"> PAGE   \* MERGEFORMAT </w:instrText>
    </w:r>
    <w:r>
      <w:fldChar w:fldCharType="separate"/>
    </w:r>
    <w:r w:rsidR="008240DC">
      <w:rPr>
        <w:noProof/>
      </w:rPr>
      <w:t>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5D4A" w:rsidRDefault="00C35D4A" w:rsidP="008E1C26">
      <w:pPr>
        <w:spacing w:line="240" w:lineRule="auto"/>
      </w:pPr>
      <w:r>
        <w:separator/>
      </w:r>
    </w:p>
  </w:footnote>
  <w:footnote w:type="continuationSeparator" w:id="0">
    <w:p w:rsidR="00C35D4A" w:rsidRDefault="00C35D4A" w:rsidP="008E1C26">
      <w:pPr>
        <w:spacing w:line="240" w:lineRule="auto"/>
      </w:pPr>
      <w:r>
        <w:continuationSeparator/>
      </w:r>
    </w:p>
  </w:footnote>
  <w:footnote w:id="1">
    <w:p w:rsidR="00DF4630" w:rsidRPr="00125BA5" w:rsidRDefault="00DF4630" w:rsidP="00365B41">
      <w:pPr>
        <w:spacing w:line="240" w:lineRule="auto"/>
        <w:rPr>
          <w:sz w:val="20"/>
          <w:szCs w:val="20"/>
        </w:rPr>
      </w:pPr>
      <w:r w:rsidRPr="00125BA5">
        <w:rPr>
          <w:rStyle w:val="FootnoteReference"/>
          <w:noProof/>
          <w:sz w:val="20"/>
          <w:szCs w:val="20"/>
        </w:rPr>
        <w:footnoteRef/>
      </w:r>
      <w:r w:rsidRPr="00125BA5">
        <w:rPr>
          <w:sz w:val="20"/>
          <w:szCs w:val="20"/>
        </w:rPr>
        <w:t xml:space="preserve"> Webb, Sam.  “Suicide bomber bursts into tears and is comforted by jihadis before lethal attack in Syria.”  </w:t>
      </w:r>
      <w:r w:rsidRPr="00125BA5">
        <w:rPr>
          <w:i/>
          <w:iCs/>
          <w:sz w:val="20"/>
          <w:szCs w:val="20"/>
        </w:rPr>
        <w:t xml:space="preserve">The Mirror. </w:t>
      </w:r>
      <w:r w:rsidRPr="00125BA5">
        <w:rPr>
          <w:sz w:val="20"/>
          <w:szCs w:val="20"/>
        </w:rPr>
        <w:t xml:space="preserve">23 September 2015. </w:t>
      </w:r>
      <w:hyperlink r:id="rId1" w:history="1">
        <w:r w:rsidRPr="00125BA5">
          <w:rPr>
            <w:rStyle w:val="Hyperlink"/>
            <w:sz w:val="20"/>
            <w:szCs w:val="20"/>
          </w:rPr>
          <w:t>http://www.mirror.co.uk/news/world-news/suicide-bomber-bursts-tears-comforted-6497847</w:t>
        </w:r>
      </w:hyperlink>
      <w:r w:rsidRPr="00125BA5">
        <w:rPr>
          <w:sz w:val="20"/>
          <w:szCs w:val="20"/>
        </w:rPr>
        <w:t xml:space="preserve"> </w:t>
      </w:r>
    </w:p>
  </w:footnote>
  <w:footnote w:id="2">
    <w:p w:rsidR="00DF4630" w:rsidRPr="00125BA5" w:rsidRDefault="00DF4630" w:rsidP="00E527F0">
      <w:pPr>
        <w:spacing w:line="240" w:lineRule="auto"/>
        <w:rPr>
          <w:sz w:val="20"/>
          <w:szCs w:val="20"/>
        </w:rPr>
      </w:pPr>
      <w:r w:rsidRPr="00125BA5">
        <w:rPr>
          <w:rStyle w:val="FootnoteReference"/>
          <w:noProof/>
          <w:sz w:val="20"/>
          <w:szCs w:val="20"/>
        </w:rPr>
        <w:footnoteRef/>
      </w:r>
      <w:r w:rsidRPr="00125BA5">
        <w:rPr>
          <w:sz w:val="20"/>
          <w:szCs w:val="20"/>
        </w:rPr>
        <w:t xml:space="preserve"> Chicago Project on Security and Terrorism (CPOST). 2015. Suicide Attack Database (September 30, 2015 Release). [Data File]. Retrieved from http://cpostdata.uchicago.edu/</w:t>
      </w:r>
    </w:p>
  </w:footnote>
  <w:footnote w:id="3">
    <w:p w:rsidR="00DF4630" w:rsidRPr="00125BA5" w:rsidRDefault="00DF4630" w:rsidP="00E527F0">
      <w:pPr>
        <w:spacing w:line="240" w:lineRule="auto"/>
        <w:rPr>
          <w:sz w:val="20"/>
          <w:szCs w:val="20"/>
        </w:rPr>
      </w:pPr>
      <w:r w:rsidRPr="00125BA5">
        <w:rPr>
          <w:rStyle w:val="FootnoteReference"/>
          <w:noProof/>
          <w:sz w:val="20"/>
          <w:szCs w:val="20"/>
        </w:rPr>
        <w:footnoteRef/>
      </w:r>
      <w:r w:rsidRPr="00125BA5">
        <w:rPr>
          <w:sz w:val="20"/>
          <w:szCs w:val="20"/>
        </w:rPr>
        <w:t xml:space="preserve"> National Consortium for the Study of Terrorism and Responses to Terrorism (START). (2015). Global Terrorism Database [Data file]. Retrieved from http://www.start.umd.edu/gtd</w:t>
      </w:r>
    </w:p>
  </w:footnote>
  <w:footnote w:id="4">
    <w:p w:rsidR="00DF4630" w:rsidRPr="00125BA5" w:rsidRDefault="00DF4630" w:rsidP="00E527F0">
      <w:pPr>
        <w:spacing w:line="240" w:lineRule="auto"/>
        <w:rPr>
          <w:sz w:val="20"/>
          <w:szCs w:val="20"/>
        </w:rPr>
      </w:pPr>
      <w:r w:rsidRPr="00125BA5">
        <w:rPr>
          <w:rStyle w:val="FootnoteReference"/>
          <w:noProof/>
          <w:sz w:val="20"/>
          <w:szCs w:val="20"/>
        </w:rPr>
        <w:footnoteRef/>
      </w:r>
      <w:r w:rsidRPr="00125BA5">
        <w:rPr>
          <w:sz w:val="20"/>
          <w:szCs w:val="20"/>
        </w:rPr>
        <w:t xml:space="preserve"> Schweitzer, Yoram, and Ariel Levin, Eian Yogev.  “Suicide Attacks in 2014:  The Global Picture.”  The Institution for National Security Studies.  INSS Insight No. 653, January 6, 2015.</w:t>
      </w:r>
      <w:r w:rsidRPr="00125BA5">
        <w:rPr>
          <w:i/>
          <w:sz w:val="20"/>
          <w:szCs w:val="20"/>
        </w:rPr>
        <w:t xml:space="preserve">  </w:t>
      </w:r>
      <w:hyperlink r:id="rId2" w:history="1">
        <w:r w:rsidRPr="00125BA5">
          <w:rPr>
            <w:rStyle w:val="Hyperlink"/>
            <w:sz w:val="20"/>
            <w:szCs w:val="20"/>
          </w:rPr>
          <w:t>http://www.inss.org.il/uploadImages/systemFiles/No.%20653%20-%20</w:t>
        </w:r>
      </w:hyperlink>
      <w:r w:rsidRPr="00125BA5">
        <w:rPr>
          <w:sz w:val="20"/>
          <w:szCs w:val="20"/>
        </w:rPr>
        <w:t>Yoram,%20Ariel,%20and%20Einav%20for%20web5222421</w:t>
      </w:r>
      <w:r>
        <w:rPr>
          <w:sz w:val="20"/>
          <w:szCs w:val="20"/>
        </w:rPr>
        <w:t>07.pdf (Accessed 17 October 2015</w:t>
      </w:r>
      <w:r w:rsidRPr="00125BA5">
        <w:rPr>
          <w:sz w:val="20"/>
          <w:szCs w:val="20"/>
        </w:rPr>
        <w:t>).  1.</w:t>
      </w:r>
    </w:p>
  </w:footnote>
  <w:footnote w:id="5">
    <w:p w:rsidR="00DF4630" w:rsidRPr="00991819" w:rsidRDefault="00DF4630" w:rsidP="00CB7F57">
      <w:pPr>
        <w:pStyle w:val="FootnoteText"/>
      </w:pPr>
      <w:r>
        <w:rPr>
          <w:rStyle w:val="FootnoteReference"/>
        </w:rPr>
        <w:footnoteRef/>
      </w:r>
      <w:r>
        <w:t xml:space="preserve"> Dearden, Lizzie.  “ISIS:  Up to 5,000 Jihadists could be in Europe after Returning from Terror Campaigns Abroad.”  </w:t>
      </w:r>
      <w:r>
        <w:rPr>
          <w:i/>
        </w:rPr>
        <w:t xml:space="preserve">The Guardian.  </w:t>
      </w:r>
      <w:r>
        <w:t>20 February 2016.  (Accessed 23 March 2016).</w:t>
      </w:r>
    </w:p>
  </w:footnote>
  <w:footnote w:id="6">
    <w:p w:rsidR="00DF4630" w:rsidRPr="00125BA5" w:rsidRDefault="00DF4630" w:rsidP="006D0608">
      <w:pPr>
        <w:spacing w:line="240" w:lineRule="auto"/>
        <w:rPr>
          <w:sz w:val="20"/>
          <w:szCs w:val="20"/>
        </w:rPr>
      </w:pPr>
      <w:r w:rsidRPr="00125BA5">
        <w:rPr>
          <w:rStyle w:val="FootnoteReference"/>
          <w:noProof/>
          <w:sz w:val="20"/>
          <w:szCs w:val="20"/>
        </w:rPr>
        <w:footnoteRef/>
      </w:r>
      <w:r w:rsidRPr="00125BA5">
        <w:rPr>
          <w:sz w:val="20"/>
          <w:szCs w:val="20"/>
        </w:rPr>
        <w:t xml:space="preserve"> Hafez, Mohammed M. </w:t>
      </w:r>
      <w:r w:rsidRPr="0013281B">
        <w:rPr>
          <w:i/>
          <w:sz w:val="20"/>
          <w:szCs w:val="20"/>
        </w:rPr>
        <w:t>Suicide Bombers in Iraq the Strategy and Ideology of Martyrdom</w:t>
      </w:r>
      <w:r w:rsidRPr="00125BA5">
        <w:rPr>
          <w:sz w:val="20"/>
          <w:szCs w:val="20"/>
        </w:rPr>
        <w:t>.</w:t>
      </w:r>
      <w:r w:rsidRPr="00125BA5">
        <w:rPr>
          <w:spacing w:val="-4"/>
          <w:sz w:val="20"/>
          <w:szCs w:val="20"/>
        </w:rPr>
        <w:t xml:space="preserve"> </w:t>
      </w:r>
      <w:r w:rsidRPr="00125BA5">
        <w:rPr>
          <w:spacing w:val="-16"/>
          <w:sz w:val="20"/>
          <w:szCs w:val="20"/>
        </w:rPr>
        <w:t>W</w:t>
      </w:r>
      <w:r w:rsidRPr="00125BA5">
        <w:rPr>
          <w:sz w:val="20"/>
          <w:szCs w:val="20"/>
        </w:rPr>
        <w:t>ashington, D.C.: United States Institute of Peace Press, 2007. 9</w:t>
      </w:r>
    </w:p>
  </w:footnote>
  <w:footnote w:id="7">
    <w:p w:rsidR="00DF4630" w:rsidRPr="00125BA5" w:rsidRDefault="00DF4630" w:rsidP="004E37F1">
      <w:pPr>
        <w:spacing w:line="240" w:lineRule="auto"/>
        <w:rPr>
          <w:sz w:val="20"/>
          <w:szCs w:val="20"/>
        </w:rPr>
      </w:pPr>
      <w:r w:rsidRPr="00125BA5">
        <w:rPr>
          <w:rStyle w:val="FootnoteReference"/>
          <w:noProof/>
          <w:sz w:val="20"/>
          <w:szCs w:val="20"/>
        </w:rPr>
        <w:footnoteRef/>
      </w:r>
      <w:r w:rsidRPr="00125BA5">
        <w:rPr>
          <w:sz w:val="20"/>
          <w:szCs w:val="20"/>
        </w:rPr>
        <w:t xml:space="preserve"> </w:t>
      </w:r>
      <w:r>
        <w:rPr>
          <w:sz w:val="20"/>
          <w:szCs w:val="20"/>
        </w:rPr>
        <w:t>“</w:t>
      </w:r>
      <w:r w:rsidRPr="00125BA5">
        <w:rPr>
          <w:sz w:val="20"/>
          <w:szCs w:val="20"/>
        </w:rPr>
        <w:t>Part 11 of New Book by Egyptian Islamic Jihad Leader Ayman Al-Zawahiri.”  Open Source Center.  December 12, 2001.  GMP2001121200008.</w:t>
      </w:r>
    </w:p>
  </w:footnote>
  <w:footnote w:id="8">
    <w:p w:rsidR="00DF4630" w:rsidRDefault="00DF4630" w:rsidP="00816574">
      <w:pPr>
        <w:pStyle w:val="FootnoteText"/>
      </w:pPr>
      <w:r>
        <w:rPr>
          <w:rStyle w:val="FootnoteReference"/>
        </w:rPr>
        <w:footnoteRef/>
      </w:r>
      <w:r>
        <w:t xml:space="preserve"> Assaf Moghadam in</w:t>
      </w:r>
      <w:r w:rsidRPr="00125BA5">
        <w:rPr>
          <w:color w:val="000000"/>
          <w:shd w:val="clear" w:color="auto" w:fill="FFFFFF"/>
        </w:rPr>
        <w:t xml:space="preserve"> "Suicide Terrorism, Occupation, and the Globalization of Martyrdom: A Critique of Dying to Win"</w:t>
      </w:r>
      <w:r>
        <w:rPr>
          <w:color w:val="000000"/>
          <w:shd w:val="clear" w:color="auto" w:fill="FFFFFF"/>
        </w:rPr>
        <w:t xml:space="preserve"> (710) describes this tension in the discourse  between suicide attack as an act of war and suicide attack as an act of terrorism.  His discernment between the two is the characteristic of the target.  It is an act in war if the target is a combatant (military target), it is an act of terrorism if the target is a noncombatant (civilian target).  The dilemma in developing a theory for suicide terrorism is that hybrid organizations that have regular formations and terrorist cells operating among the masses use the tacti, and these groups use it to some varying degree against both military targets and civilian targets. The groups using the tactic do not make it easy for outsiders to dileneate between “war” and “terrorism” other than assessing on a group by group basis the varying use against targets.</w:t>
      </w:r>
    </w:p>
  </w:footnote>
  <w:footnote w:id="9">
    <w:p w:rsidR="00DF4630" w:rsidRPr="00125BA5" w:rsidRDefault="00DF4630" w:rsidP="00141FAB">
      <w:pPr>
        <w:spacing w:line="240" w:lineRule="auto"/>
        <w:rPr>
          <w:sz w:val="20"/>
          <w:szCs w:val="20"/>
        </w:rPr>
      </w:pPr>
      <w:r w:rsidRPr="00125BA5">
        <w:rPr>
          <w:rStyle w:val="FootnoteReference"/>
          <w:noProof/>
          <w:sz w:val="20"/>
          <w:szCs w:val="20"/>
        </w:rPr>
        <w:footnoteRef/>
      </w:r>
      <w:r w:rsidRPr="00125BA5">
        <w:rPr>
          <w:sz w:val="20"/>
          <w:szCs w:val="20"/>
        </w:rPr>
        <w:t xml:space="preserve"> Lewis, Jeffrey William. </w:t>
      </w:r>
      <w:r w:rsidRPr="00125BA5">
        <w:rPr>
          <w:i/>
          <w:iCs/>
          <w:sz w:val="20"/>
          <w:szCs w:val="20"/>
        </w:rPr>
        <w:t>The Business of Martyrdom: A History of Suicide Bombing</w:t>
      </w:r>
      <w:r w:rsidRPr="00125BA5">
        <w:rPr>
          <w:sz w:val="20"/>
          <w:szCs w:val="20"/>
        </w:rPr>
        <w:t xml:space="preserve">. Annapolis, </w:t>
      </w:r>
      <w:proofErr w:type="spellStart"/>
      <w:r w:rsidRPr="00125BA5">
        <w:rPr>
          <w:sz w:val="20"/>
          <w:szCs w:val="20"/>
        </w:rPr>
        <w:t>Md</w:t>
      </w:r>
      <w:proofErr w:type="spellEnd"/>
      <w:r w:rsidRPr="00125BA5">
        <w:rPr>
          <w:sz w:val="20"/>
          <w:szCs w:val="20"/>
        </w:rPr>
        <w:t>: Naval Institute Press, 2012.  43.</w:t>
      </w:r>
    </w:p>
  </w:footnote>
  <w:footnote w:id="10">
    <w:p w:rsidR="00DF4630" w:rsidRDefault="00DF4630">
      <w:pPr>
        <w:pStyle w:val="FootnoteText"/>
      </w:pPr>
      <w:r>
        <w:rPr>
          <w:rStyle w:val="FootnoteReference"/>
        </w:rPr>
        <w:footnoteRef/>
      </w:r>
      <w:r>
        <w:t xml:space="preserve"> </w:t>
      </w:r>
      <w:r w:rsidRPr="00C40362">
        <w:t>International Policy Institute for Counter-Terrorism (Israel), and Interdisciplinary Center (Hertseliyah, Israel). Countering Suicide Terrorism An International Conference: February 20-23, 2000, Herzliya, Israel. Herzliya, Israel: International Policy Institute for Counter Terrorism, 2001.</w:t>
      </w:r>
      <w:r>
        <w:t xml:space="preserve">  113.</w:t>
      </w:r>
    </w:p>
  </w:footnote>
  <w:footnote w:id="11">
    <w:p w:rsidR="00DF4630" w:rsidRDefault="00DF4630" w:rsidP="00413BD4">
      <w:pPr>
        <w:pStyle w:val="FootnoteText"/>
      </w:pPr>
      <w:r>
        <w:rPr>
          <w:rStyle w:val="FootnoteReference"/>
        </w:rPr>
        <w:footnoteRef/>
      </w:r>
      <w:r>
        <w:t xml:space="preserve"> Grace, Francie.  “Saddam’s Suicide Bomb Funds.”  </w:t>
      </w:r>
      <w:r>
        <w:rPr>
          <w:i/>
        </w:rPr>
        <w:t xml:space="preserve">CBS News. </w:t>
      </w:r>
      <w:r>
        <w:t>17 November 2004.</w:t>
      </w:r>
      <w:r>
        <w:rPr>
          <w:i/>
        </w:rPr>
        <w:t xml:space="preserve"> </w:t>
      </w:r>
      <w:hyperlink r:id="rId3" w:history="1">
        <w:r w:rsidRPr="004A0D85">
          <w:rPr>
            <w:rStyle w:val="Hyperlink"/>
          </w:rPr>
          <w:t>http://www.cbsnews.com/news/saddams-suicide-bomb-funds/</w:t>
        </w:r>
      </w:hyperlink>
      <w:r>
        <w:t xml:space="preserve"> </w:t>
      </w:r>
    </w:p>
  </w:footnote>
  <w:footnote w:id="12">
    <w:p w:rsidR="00DF4630" w:rsidRDefault="00DF4630">
      <w:pPr>
        <w:pStyle w:val="FootnoteText"/>
      </w:pPr>
      <w:r>
        <w:rPr>
          <w:rStyle w:val="FootnoteReference"/>
        </w:rPr>
        <w:footnoteRef/>
      </w:r>
      <w:r>
        <w:t xml:space="preserve"> </w:t>
      </w:r>
      <w:r w:rsidRPr="004B7320">
        <w:t xml:space="preserve">Reuter, John.  “Chechnya’s Suicide Bombers:  Desperate, Devout, or Deceived?”  </w:t>
      </w:r>
      <w:r w:rsidRPr="004B7320">
        <w:rPr>
          <w:i/>
          <w:iCs/>
        </w:rPr>
        <w:t>The American Committee for Peace in Chechnya</w:t>
      </w:r>
      <w:r w:rsidRPr="004B7320">
        <w:t>.  September 16</w:t>
      </w:r>
      <w:r w:rsidRPr="004B7320">
        <w:rPr>
          <w:vertAlign w:val="superscript"/>
        </w:rPr>
        <w:t>th</w:t>
      </w:r>
      <w:r w:rsidRPr="004B7320">
        <w:t>, 2004.</w:t>
      </w:r>
      <w:r>
        <w:t xml:space="preserve">  11.</w:t>
      </w:r>
    </w:p>
  </w:footnote>
  <w:footnote w:id="13">
    <w:p w:rsidR="00DF4630" w:rsidRDefault="00DF4630" w:rsidP="00257C34">
      <w:pPr>
        <w:pStyle w:val="FootnoteText"/>
      </w:pPr>
      <w:r>
        <w:rPr>
          <w:rStyle w:val="FootnoteReference"/>
        </w:rPr>
        <w:footnoteRef/>
      </w:r>
      <w:r>
        <w:t xml:space="preserve"> </w:t>
      </w:r>
      <w:r w:rsidRPr="00257C34">
        <w:t>Lankford, Adam.  2010.  "Suicide Terrorism as a Socially Approved Form of Suicide".</w:t>
      </w:r>
      <w:r w:rsidRPr="00257C34">
        <w:rPr>
          <w:i/>
          <w:iCs/>
        </w:rPr>
        <w:t xml:space="preserve">Crisis: The Journal of Crisis Intervention and Suicide Prevention.  </w:t>
      </w:r>
      <w:r w:rsidRPr="00257C34">
        <w:t xml:space="preserve">31, no.  </w:t>
      </w:r>
      <w:r>
        <w:t>6: 287-289.</w:t>
      </w:r>
    </w:p>
  </w:footnote>
  <w:footnote w:id="14">
    <w:p w:rsidR="00DF4630" w:rsidRDefault="00DF4630" w:rsidP="00816574">
      <w:pPr>
        <w:pStyle w:val="FootnoteText"/>
      </w:pPr>
      <w:r>
        <w:rPr>
          <w:rStyle w:val="FootnoteReference"/>
        </w:rPr>
        <w:footnoteRef/>
      </w:r>
      <w:r>
        <w:t xml:space="preserve"> </w:t>
      </w:r>
      <w:r w:rsidRPr="00E3324E">
        <w:t xml:space="preserve">I use the term </w:t>
      </w:r>
      <w:r w:rsidRPr="00E3324E">
        <w:rPr>
          <w:iCs/>
        </w:rPr>
        <w:t xml:space="preserve">Qutbism </w:t>
      </w:r>
      <w:r w:rsidRPr="00E3324E">
        <w:t xml:space="preserve">to describe the </w:t>
      </w:r>
      <w:r>
        <w:t>value</w:t>
      </w:r>
      <w:r w:rsidRPr="00E3324E">
        <w:t xml:space="preserve"> of militancy that has defined the use of suicide terrorism since the late 1990s.  Others have called this Islamic militancy, Islamic radicalism, or Salaf-jihadists, but I choose </w:t>
      </w:r>
      <w:r w:rsidRPr="00E3324E">
        <w:rPr>
          <w:i/>
        </w:rPr>
        <w:t>Qutbism</w:t>
      </w:r>
      <w:r w:rsidRPr="00E3324E">
        <w:t xml:space="preserve"> for two reasons:  first, it is not fair to Islam to paint the tactic with such a broad brush, and second, it is not fair to Salafists, many of whom are pacifists and opposed to the antics of Al Qaeda and ISIS.  All Qutbists are Salafists, but not all Salafists are Qutbists.  </w:t>
      </w:r>
    </w:p>
  </w:footnote>
  <w:footnote w:id="15">
    <w:p w:rsidR="00DF4630" w:rsidRPr="00650CFF" w:rsidRDefault="00DF4630" w:rsidP="00A95D10">
      <w:pPr>
        <w:spacing w:line="240" w:lineRule="auto"/>
        <w:rPr>
          <w:sz w:val="20"/>
          <w:szCs w:val="20"/>
        </w:rPr>
      </w:pPr>
      <w:r w:rsidRPr="00650CFF">
        <w:rPr>
          <w:rStyle w:val="FootnoteReference"/>
          <w:noProof/>
          <w:sz w:val="20"/>
          <w:szCs w:val="20"/>
        </w:rPr>
        <w:footnoteRef/>
      </w:r>
      <w:r w:rsidRPr="00650CFF">
        <w:rPr>
          <w:sz w:val="20"/>
          <w:szCs w:val="20"/>
        </w:rPr>
        <w:t xml:space="preserve"> </w:t>
      </w:r>
      <w:r w:rsidRPr="009D7375">
        <w:rPr>
          <w:sz w:val="20"/>
          <w:szCs w:val="20"/>
        </w:rPr>
        <w:t xml:space="preserve">Atran, </w:t>
      </w:r>
      <w:r>
        <w:rPr>
          <w:sz w:val="20"/>
          <w:szCs w:val="20"/>
        </w:rPr>
        <w:t xml:space="preserve">Scott and </w:t>
      </w:r>
      <w:r w:rsidRPr="009D7375">
        <w:rPr>
          <w:sz w:val="20"/>
          <w:szCs w:val="20"/>
        </w:rPr>
        <w:t xml:space="preserve">Robert Axelrod. </w:t>
      </w:r>
      <w:r>
        <w:rPr>
          <w:sz w:val="20"/>
          <w:szCs w:val="20"/>
        </w:rPr>
        <w:t>“</w:t>
      </w:r>
      <w:r w:rsidRPr="009D7375">
        <w:rPr>
          <w:sz w:val="20"/>
          <w:szCs w:val="20"/>
        </w:rPr>
        <w:t>Reframing Sacred Values.</w:t>
      </w:r>
      <w:r>
        <w:rPr>
          <w:sz w:val="20"/>
          <w:szCs w:val="20"/>
        </w:rPr>
        <w:t>”</w:t>
      </w:r>
      <w:r w:rsidRPr="009D7375">
        <w:rPr>
          <w:sz w:val="20"/>
          <w:szCs w:val="20"/>
        </w:rPr>
        <w:t xml:space="preserve"> </w:t>
      </w:r>
      <w:r w:rsidRPr="00A95D10">
        <w:rPr>
          <w:i/>
          <w:iCs/>
          <w:sz w:val="20"/>
          <w:szCs w:val="20"/>
        </w:rPr>
        <w:t>Negotiation Journal</w:t>
      </w:r>
      <w:r w:rsidRPr="009D7375">
        <w:rPr>
          <w:sz w:val="20"/>
          <w:szCs w:val="20"/>
        </w:rPr>
        <w:t xml:space="preserve"> (Harvard), 2008, 24, pp.221-246. </w:t>
      </w:r>
      <w:r>
        <w:rPr>
          <w:sz w:val="20"/>
          <w:szCs w:val="20"/>
        </w:rPr>
        <w:t xml:space="preserve"> 222.  </w:t>
      </w:r>
    </w:p>
  </w:footnote>
  <w:footnote w:id="16">
    <w:p w:rsidR="00DF4630" w:rsidRPr="00A95D10" w:rsidRDefault="00DF4630" w:rsidP="00A95D10">
      <w:pPr>
        <w:spacing w:line="240" w:lineRule="auto"/>
        <w:rPr>
          <w:iCs/>
          <w:sz w:val="20"/>
          <w:szCs w:val="20"/>
        </w:rPr>
      </w:pPr>
      <w:r w:rsidRPr="00650CFF">
        <w:rPr>
          <w:rStyle w:val="FootnoteReference"/>
          <w:noProof/>
          <w:sz w:val="20"/>
          <w:szCs w:val="20"/>
        </w:rPr>
        <w:footnoteRef/>
      </w:r>
      <w:r w:rsidRPr="00650CFF">
        <w:rPr>
          <w:sz w:val="20"/>
          <w:szCs w:val="20"/>
        </w:rPr>
        <w:t xml:space="preserve"> </w:t>
      </w:r>
      <w:r w:rsidRPr="00650CFF">
        <w:rPr>
          <w:iCs/>
          <w:sz w:val="20"/>
          <w:szCs w:val="20"/>
        </w:rPr>
        <w:t>Atran, Scott.  “Moral Imperatives and Democratic Dyn</w:t>
      </w:r>
      <w:r>
        <w:rPr>
          <w:iCs/>
          <w:sz w:val="20"/>
          <w:szCs w:val="20"/>
        </w:rPr>
        <w:t>amics in the Fight Against AQAP.</w:t>
      </w:r>
      <w:r w:rsidRPr="00650CFF">
        <w:rPr>
          <w:iCs/>
          <w:sz w:val="20"/>
          <w:szCs w:val="20"/>
        </w:rPr>
        <w:t xml:space="preserve">” </w:t>
      </w:r>
      <w:r>
        <w:rPr>
          <w:iCs/>
          <w:sz w:val="20"/>
          <w:szCs w:val="20"/>
        </w:rPr>
        <w:t xml:space="preserve"> In </w:t>
      </w:r>
      <w:r w:rsidRPr="00A95D10">
        <w:rPr>
          <w:iCs/>
          <w:sz w:val="20"/>
          <w:szCs w:val="20"/>
        </w:rPr>
        <w:t xml:space="preserve">Chapman, Abigail and Janice Adelman.  </w:t>
      </w:r>
      <w:r w:rsidRPr="00A95D10">
        <w:rPr>
          <w:i/>
          <w:iCs/>
          <w:sz w:val="20"/>
          <w:szCs w:val="20"/>
        </w:rPr>
        <w:t>Influencing Violent Extremist Organizations Pilot Effort: Focus on Al Qaeda in the Arabian Peninsula (AQAP).</w:t>
      </w:r>
      <w:r w:rsidRPr="00A95D10">
        <w:rPr>
          <w:iCs/>
          <w:sz w:val="20"/>
          <w:szCs w:val="20"/>
        </w:rPr>
        <w:t xml:space="preserve">  Strategic Multi-L</w:t>
      </w:r>
      <w:r>
        <w:rPr>
          <w:iCs/>
          <w:sz w:val="20"/>
          <w:szCs w:val="20"/>
        </w:rPr>
        <w:t xml:space="preserve">ayer Assessment Office.  2011.  </w:t>
      </w:r>
      <w:r w:rsidRPr="00650CFF">
        <w:rPr>
          <w:bCs/>
          <w:sz w:val="20"/>
          <w:szCs w:val="20"/>
        </w:rPr>
        <w:t>58.</w:t>
      </w:r>
    </w:p>
  </w:footnote>
  <w:footnote w:id="17">
    <w:p w:rsidR="00DF4630" w:rsidRPr="00650CFF" w:rsidRDefault="00DF4630" w:rsidP="00A95D10">
      <w:pPr>
        <w:spacing w:line="240" w:lineRule="auto"/>
        <w:rPr>
          <w:sz w:val="20"/>
          <w:szCs w:val="20"/>
        </w:rPr>
      </w:pPr>
      <w:r w:rsidRPr="00650CFF">
        <w:rPr>
          <w:rStyle w:val="FootnoteReference"/>
          <w:noProof/>
          <w:sz w:val="20"/>
          <w:szCs w:val="20"/>
        </w:rPr>
        <w:footnoteRef/>
      </w:r>
      <w:r w:rsidRPr="00650CFF">
        <w:rPr>
          <w:sz w:val="20"/>
          <w:szCs w:val="20"/>
        </w:rPr>
        <w:t xml:space="preserve"> </w:t>
      </w:r>
      <w:r>
        <w:rPr>
          <w:sz w:val="20"/>
          <w:szCs w:val="20"/>
        </w:rPr>
        <w:t xml:space="preserve">Atran, Scott and </w:t>
      </w:r>
      <w:r w:rsidRPr="009D7375">
        <w:rPr>
          <w:sz w:val="20"/>
          <w:szCs w:val="20"/>
        </w:rPr>
        <w:t xml:space="preserve">Robert Axelrod. </w:t>
      </w:r>
      <w:r>
        <w:rPr>
          <w:sz w:val="20"/>
          <w:szCs w:val="20"/>
        </w:rPr>
        <w:t xml:space="preserve">224.  </w:t>
      </w:r>
    </w:p>
  </w:footnote>
  <w:footnote w:id="18">
    <w:p w:rsidR="00DF4630" w:rsidRDefault="00DF4630" w:rsidP="00347F16">
      <w:pPr>
        <w:pStyle w:val="FootnoteText"/>
      </w:pPr>
      <w:r>
        <w:rPr>
          <w:rStyle w:val="FootnoteReference"/>
        </w:rPr>
        <w:footnoteRef/>
      </w:r>
      <w:r>
        <w:t xml:space="preserve"> Psycache is one of three components in Shneidman’s cubit model of suicide.  The other two are stress (external pressure) and perturbation (perceived constriction of options for alleviating stress and psychache).  When the individual has high stress, high perturbation, and high psychache, suicidal thought and attempt is likely.  </w:t>
      </w:r>
      <w:r w:rsidRPr="00556F34">
        <w:t>Ellis, Thomas E. </w:t>
      </w:r>
      <w:r w:rsidRPr="00556F34">
        <w:rPr>
          <w:i/>
          <w:iCs/>
        </w:rPr>
        <w:t>Cognition and Suicide: Theory, Research, and Therapy</w:t>
      </w:r>
      <w:r w:rsidRPr="00556F34">
        <w:t>. Washington, DC: American Psychological Association, 2006</w:t>
      </w:r>
      <w:r>
        <w:t>.  41.</w:t>
      </w:r>
    </w:p>
  </w:footnote>
  <w:footnote w:id="19">
    <w:p w:rsidR="00DF4630" w:rsidRPr="00CE1C9B" w:rsidRDefault="00DF4630" w:rsidP="00CE1C9B">
      <w:pPr>
        <w:pStyle w:val="FootnoteText"/>
      </w:pPr>
      <w:r>
        <w:rPr>
          <w:rStyle w:val="FootnoteReference"/>
        </w:rPr>
        <w:footnoteRef/>
      </w:r>
      <w:r>
        <w:t xml:space="preserve"> </w:t>
      </w:r>
      <w:r w:rsidRPr="00CE1C9B">
        <w:t>Hassan, Riaz. </w:t>
      </w:r>
      <w:r w:rsidRPr="00CE1C9B">
        <w:rPr>
          <w:i/>
          <w:iCs/>
        </w:rPr>
        <w:t>Life As a Weapon: The Global Rise of Suicide Bombings</w:t>
      </w:r>
      <w:r w:rsidRPr="00CE1C9B">
        <w:t>. London: Routledge, 2011.</w:t>
      </w:r>
      <w:r>
        <w:t xml:space="preserve">  56.</w:t>
      </w:r>
    </w:p>
    <w:p w:rsidR="00DF4630" w:rsidRDefault="00DF4630">
      <w:pPr>
        <w:pStyle w:val="FootnoteText"/>
      </w:pPr>
    </w:p>
  </w:footnote>
  <w:footnote w:id="20">
    <w:p w:rsidR="00DF4630" w:rsidRDefault="00DF4630">
      <w:pPr>
        <w:pStyle w:val="FootnoteText"/>
      </w:pPr>
      <w:r>
        <w:rPr>
          <w:rStyle w:val="FootnoteReference"/>
        </w:rPr>
        <w:footnoteRef/>
      </w:r>
      <w:r>
        <w:t xml:space="preserve"> Based on START data.  Afghanistan and Pakistan are responsible for 22 and 11 percent respectively, meaning approximately 71% of all suicide attacks have occurred in those three countries.</w:t>
      </w:r>
    </w:p>
  </w:footnote>
  <w:footnote w:id="21">
    <w:p w:rsidR="00DF4630" w:rsidRDefault="00DF4630" w:rsidP="005671E8">
      <w:pPr>
        <w:pStyle w:val="FootnoteText"/>
      </w:pPr>
      <w:r>
        <w:rPr>
          <w:rStyle w:val="FootnoteReference"/>
        </w:rPr>
        <w:footnoteRef/>
      </w:r>
      <w:r>
        <w:t xml:space="preserve"> Anderson, Benedict. </w:t>
      </w:r>
      <w:r>
        <w:rPr>
          <w:i/>
          <w:iCs/>
        </w:rPr>
        <w:t>Imagined Communities: Reflections on the Origin and Spread of Nationalism</w:t>
      </w:r>
      <w:r>
        <w:t>. London: Verso, 2006.  36.</w:t>
      </w:r>
    </w:p>
  </w:footnote>
  <w:footnote w:id="22">
    <w:p w:rsidR="00DF4630" w:rsidRPr="00125BA5" w:rsidRDefault="00DF4630" w:rsidP="003125C8">
      <w:pPr>
        <w:spacing w:line="240" w:lineRule="auto"/>
        <w:rPr>
          <w:sz w:val="20"/>
          <w:szCs w:val="20"/>
        </w:rPr>
      </w:pPr>
      <w:r w:rsidRPr="00125BA5">
        <w:rPr>
          <w:rStyle w:val="FootnoteReference"/>
          <w:sz w:val="20"/>
          <w:szCs w:val="20"/>
        </w:rPr>
        <w:footnoteRef/>
      </w:r>
      <w:r w:rsidRPr="00125BA5">
        <w:rPr>
          <w:sz w:val="20"/>
          <w:szCs w:val="20"/>
        </w:rPr>
        <w:t xml:space="preserve"> </w:t>
      </w:r>
      <w:r>
        <w:rPr>
          <w:sz w:val="20"/>
          <w:szCs w:val="20"/>
        </w:rPr>
        <w:t xml:space="preserve">A thorough review of Barrett’s work is beyond the scope of this paper, as he starts with building blocks of cognition and moves up to types of beliefs.  It is important to note that beliefs need not be religious in nature.  </w:t>
      </w:r>
      <w:r w:rsidRPr="00125BA5">
        <w:rPr>
          <w:sz w:val="20"/>
          <w:szCs w:val="20"/>
        </w:rPr>
        <w:t xml:space="preserve">Barrett, Justin L. (2011-10-01). </w:t>
      </w:r>
      <w:r w:rsidRPr="008E455D">
        <w:rPr>
          <w:i/>
          <w:iCs/>
          <w:sz w:val="20"/>
          <w:szCs w:val="20"/>
        </w:rPr>
        <w:t xml:space="preserve">Cognitive Science, Religion, and Theology: From Human Minds to Divine Minds </w:t>
      </w:r>
      <w:r w:rsidRPr="00125BA5">
        <w:rPr>
          <w:sz w:val="20"/>
          <w:szCs w:val="20"/>
        </w:rPr>
        <w:t>(Templeton Science and Religion Series) (pp. 48-49). Templeton Press. Kindle Edition.</w:t>
      </w:r>
    </w:p>
  </w:footnote>
  <w:footnote w:id="23">
    <w:p w:rsidR="00DF4630" w:rsidRDefault="00DF4630" w:rsidP="003125C8">
      <w:pPr>
        <w:pStyle w:val="FootnoteText"/>
      </w:pPr>
      <w:r>
        <w:rPr>
          <w:rStyle w:val="FootnoteReference"/>
        </w:rPr>
        <w:footnoteRef/>
      </w:r>
      <w:r>
        <w:t xml:space="preserve"> The conclusions may be fallacious or based on poor information, but the conclusion of a reflective belief involves a rational and evaluative process.  The premises of reflective beliefs may be non-reflective beliefs, and non-reflective beliefs may have been a reflective belief at some point.  For example, learning how to drive a car.</w:t>
      </w:r>
    </w:p>
  </w:footnote>
  <w:footnote w:id="24">
    <w:p w:rsidR="00DF4630" w:rsidRDefault="00DF4630">
      <w:pPr>
        <w:pStyle w:val="FootnoteText"/>
      </w:pPr>
      <w:r>
        <w:rPr>
          <w:rStyle w:val="FootnoteReference"/>
        </w:rPr>
        <w:footnoteRef/>
      </w:r>
      <w:r>
        <w:t xml:space="preserve"> </w:t>
      </w:r>
      <w:r>
        <w:rPr>
          <w:rFonts w:eastAsia="Calibri"/>
        </w:rPr>
        <w:t xml:space="preserve">A historic review of suicide terrorism for all groups is beyond the scope of this paper.  This paper reviews the key suicide bombing campaigns that represent ideological influence on the tactic.  </w:t>
      </w:r>
    </w:p>
  </w:footnote>
  <w:footnote w:id="25">
    <w:p w:rsidR="00DF4630" w:rsidRDefault="00DF4630" w:rsidP="00B67F1A">
      <w:pPr>
        <w:spacing w:line="240" w:lineRule="auto"/>
        <w:rPr>
          <w:sz w:val="20"/>
          <w:szCs w:val="20"/>
        </w:rPr>
      </w:pPr>
      <w:r w:rsidRPr="006C5A07">
        <w:rPr>
          <w:rStyle w:val="FootnoteReference"/>
          <w:noProof/>
          <w:sz w:val="20"/>
          <w:szCs w:val="20"/>
        </w:rPr>
        <w:footnoteRef/>
      </w:r>
      <w:r w:rsidRPr="006C5A07">
        <w:rPr>
          <w:sz w:val="20"/>
          <w:szCs w:val="20"/>
        </w:rPr>
        <w:t xml:space="preserve"> Gill, Paul. 2012. "Terrorist Violence and the Contextual, Facilitative and Causal Qualities of Group-Based Behaviors". </w:t>
      </w:r>
      <w:r w:rsidRPr="006C5A07">
        <w:rPr>
          <w:i/>
          <w:iCs/>
          <w:sz w:val="20"/>
          <w:szCs w:val="20"/>
        </w:rPr>
        <w:t>Aggression and Violent Behavior. </w:t>
      </w:r>
      <w:r w:rsidRPr="006C5A07">
        <w:rPr>
          <w:sz w:val="20"/>
          <w:szCs w:val="20"/>
        </w:rPr>
        <w:t>17, no. 6: 565 - 574.  568.</w:t>
      </w:r>
    </w:p>
  </w:footnote>
  <w:footnote w:id="26">
    <w:p w:rsidR="00DF4630" w:rsidRPr="006C5A07" w:rsidRDefault="00DF4630" w:rsidP="001D6233">
      <w:pPr>
        <w:spacing w:line="240" w:lineRule="auto"/>
        <w:rPr>
          <w:sz w:val="20"/>
          <w:szCs w:val="20"/>
        </w:rPr>
      </w:pPr>
      <w:r w:rsidRPr="006C5A07">
        <w:rPr>
          <w:rStyle w:val="FootnoteReference"/>
          <w:noProof/>
          <w:sz w:val="20"/>
          <w:szCs w:val="20"/>
        </w:rPr>
        <w:footnoteRef/>
      </w:r>
      <w:r w:rsidRPr="006C5A07">
        <w:rPr>
          <w:sz w:val="20"/>
          <w:szCs w:val="20"/>
        </w:rPr>
        <w:t xml:space="preserve"> </w:t>
      </w:r>
      <w:r w:rsidRPr="006C5A07">
        <w:rPr>
          <w:color w:val="000000"/>
          <w:sz w:val="20"/>
          <w:szCs w:val="20"/>
          <w:shd w:val="clear" w:color="auto" w:fill="FFFFFF"/>
        </w:rPr>
        <w:t>Brewer MB. 2007. "The Importance of Being We: Human Nature and Intergroup Relations".</w:t>
      </w:r>
      <w:r w:rsidRPr="006C5A07">
        <w:rPr>
          <w:rFonts w:eastAsia="SimSun"/>
          <w:color w:val="000000"/>
          <w:sz w:val="20"/>
          <w:szCs w:val="20"/>
          <w:shd w:val="clear" w:color="auto" w:fill="FFFFFF"/>
        </w:rPr>
        <w:t> </w:t>
      </w:r>
      <w:r w:rsidRPr="006C5A07">
        <w:rPr>
          <w:i/>
          <w:iCs/>
          <w:color w:val="000000"/>
          <w:sz w:val="20"/>
          <w:szCs w:val="20"/>
          <w:shd w:val="clear" w:color="auto" w:fill="FFFFFF"/>
        </w:rPr>
        <w:t>The American Psychologist.</w:t>
      </w:r>
      <w:r w:rsidRPr="006C5A07">
        <w:rPr>
          <w:rFonts w:eastAsia="SimSun"/>
          <w:i/>
          <w:iCs/>
          <w:color w:val="000000"/>
          <w:sz w:val="20"/>
          <w:szCs w:val="20"/>
          <w:shd w:val="clear" w:color="auto" w:fill="FFFFFF"/>
        </w:rPr>
        <w:t> </w:t>
      </w:r>
      <w:r w:rsidRPr="006C5A07">
        <w:rPr>
          <w:color w:val="000000"/>
          <w:sz w:val="20"/>
          <w:szCs w:val="20"/>
          <w:shd w:val="clear" w:color="auto" w:fill="FFFFFF"/>
        </w:rPr>
        <w:t>62, no. 8: 726-38.  732.</w:t>
      </w:r>
    </w:p>
  </w:footnote>
  <w:footnote w:id="27">
    <w:p w:rsidR="00DF4630" w:rsidRPr="006C5A07" w:rsidRDefault="00DF4630" w:rsidP="001D6233">
      <w:pPr>
        <w:spacing w:line="240" w:lineRule="auto"/>
        <w:rPr>
          <w:sz w:val="20"/>
          <w:szCs w:val="20"/>
        </w:rPr>
      </w:pPr>
      <w:r w:rsidRPr="006C5A07">
        <w:rPr>
          <w:rStyle w:val="FootnoteReference"/>
          <w:noProof/>
          <w:sz w:val="20"/>
          <w:szCs w:val="20"/>
        </w:rPr>
        <w:footnoteRef/>
      </w:r>
      <w:r w:rsidRPr="006C5A07">
        <w:rPr>
          <w:sz w:val="20"/>
          <w:szCs w:val="20"/>
        </w:rPr>
        <w:t xml:space="preserve"> Chapman, Abigail and Janice Adelman.  </w:t>
      </w:r>
      <w:r w:rsidRPr="006C5A07">
        <w:rPr>
          <w:i/>
          <w:sz w:val="20"/>
          <w:szCs w:val="20"/>
        </w:rPr>
        <w:t>Influencing Violent Extremist Organizations Pilot Effort: Focus on Al Qaeda in the Arabian Peninsula (AQAP).</w:t>
      </w:r>
      <w:r w:rsidRPr="006C5A07">
        <w:rPr>
          <w:sz w:val="20"/>
          <w:szCs w:val="20"/>
        </w:rPr>
        <w:t xml:space="preserve">  Strategic Multi-Layer Assessment Office.  2011.</w:t>
      </w:r>
      <w:r>
        <w:rPr>
          <w:sz w:val="20"/>
          <w:szCs w:val="20"/>
        </w:rPr>
        <w:t xml:space="preserve">  </w:t>
      </w:r>
      <w:r w:rsidRPr="006C5A07">
        <w:rPr>
          <w:sz w:val="20"/>
          <w:szCs w:val="20"/>
        </w:rPr>
        <w:t>15.</w:t>
      </w:r>
    </w:p>
  </w:footnote>
  <w:footnote w:id="28">
    <w:p w:rsidR="00DF4630" w:rsidRPr="006C5A07" w:rsidRDefault="00DF4630" w:rsidP="001D6233">
      <w:pPr>
        <w:spacing w:line="240" w:lineRule="auto"/>
        <w:rPr>
          <w:color w:val="000000"/>
          <w:sz w:val="20"/>
          <w:szCs w:val="20"/>
          <w:shd w:val="clear" w:color="auto" w:fill="FFFFFF"/>
        </w:rPr>
      </w:pPr>
      <w:r w:rsidRPr="006C5A07">
        <w:rPr>
          <w:rStyle w:val="FootnoteReference"/>
          <w:noProof/>
          <w:sz w:val="20"/>
          <w:szCs w:val="20"/>
        </w:rPr>
        <w:footnoteRef/>
      </w:r>
      <w:r w:rsidRPr="006C5A07">
        <w:rPr>
          <w:sz w:val="20"/>
          <w:szCs w:val="20"/>
        </w:rPr>
        <w:t xml:space="preserve"> </w:t>
      </w:r>
      <w:r w:rsidRPr="006C5A07">
        <w:rPr>
          <w:color w:val="000000"/>
          <w:sz w:val="20"/>
          <w:szCs w:val="20"/>
          <w:shd w:val="clear" w:color="auto" w:fill="FFFFFF"/>
        </w:rPr>
        <w:t>Brewer, 727.</w:t>
      </w:r>
    </w:p>
  </w:footnote>
  <w:footnote w:id="29">
    <w:p w:rsidR="00DF4630" w:rsidRDefault="00DF4630" w:rsidP="001D6233">
      <w:pPr>
        <w:spacing w:line="240" w:lineRule="auto"/>
        <w:rPr>
          <w:color w:val="000000" w:themeColor="text1"/>
          <w:sz w:val="20"/>
          <w:szCs w:val="20"/>
        </w:rPr>
      </w:pPr>
      <w:r w:rsidRPr="006C5A07">
        <w:rPr>
          <w:rStyle w:val="FootnoteReference"/>
          <w:noProof/>
          <w:sz w:val="20"/>
          <w:szCs w:val="20"/>
        </w:rPr>
        <w:footnoteRef/>
      </w:r>
      <w:r w:rsidRPr="006C5A07">
        <w:rPr>
          <w:sz w:val="20"/>
          <w:szCs w:val="20"/>
        </w:rPr>
        <w:t xml:space="preserve"> </w:t>
      </w:r>
      <w:r w:rsidRPr="006C5A07">
        <w:rPr>
          <w:color w:val="000000" w:themeColor="text1"/>
          <w:sz w:val="20"/>
          <w:szCs w:val="20"/>
        </w:rPr>
        <w:t>Chapman, Abigail and Janice Adelman.  9.</w:t>
      </w:r>
      <w:r>
        <w:rPr>
          <w:color w:val="000000" w:themeColor="text1"/>
          <w:sz w:val="20"/>
          <w:szCs w:val="20"/>
        </w:rPr>
        <w:t xml:space="preserve"> </w:t>
      </w:r>
    </w:p>
  </w:footnote>
  <w:footnote w:id="30">
    <w:p w:rsidR="00DF4630" w:rsidRPr="0007639F" w:rsidRDefault="00DF4630" w:rsidP="00385FB3">
      <w:pPr>
        <w:pStyle w:val="FootnoteText"/>
        <w:rPr>
          <w:iCs/>
        </w:rPr>
      </w:pPr>
      <w:r>
        <w:rPr>
          <w:rStyle w:val="FootnoteReference"/>
        </w:rPr>
        <w:footnoteRef/>
      </w:r>
      <w:r>
        <w:t xml:space="preserve"> </w:t>
      </w:r>
      <w:r w:rsidRPr="0007639F">
        <w:rPr>
          <w:iCs/>
        </w:rPr>
        <w:t xml:space="preserve">The Medio Prefrontal Cortex (MPFC) and temporal lobes activate the social cognition evaluative network—it becomes active when people perceive others, and it infers mental states of others. The MPFC associates the value of information into different parts of the brain to induce different emotions in response to the information, depending on the valuation of the information.  For example, when dealing with </w:t>
      </w:r>
      <w:r>
        <w:rPr>
          <w:iCs/>
        </w:rPr>
        <w:t>individuals dehumanized by a narrative</w:t>
      </w:r>
      <w:r w:rsidRPr="0007639F">
        <w:rPr>
          <w:iCs/>
        </w:rPr>
        <w:t xml:space="preserve">, the MPFC </w:t>
      </w:r>
      <w:r>
        <w:rPr>
          <w:iCs/>
        </w:rPr>
        <w:t>processes the individual with</w:t>
      </w:r>
      <w:r w:rsidRPr="0007639F">
        <w:rPr>
          <w:iCs/>
        </w:rPr>
        <w:t xml:space="preserve"> the amygdala, which not only activates the “fight or flight” threat response, but also activates the “disgust” response.  Thus, any narrative absorbed by the individual that has </w:t>
      </w:r>
      <w:r>
        <w:rPr>
          <w:iCs/>
        </w:rPr>
        <w:t>dehumanized an out-group</w:t>
      </w:r>
      <w:r w:rsidRPr="0007639F">
        <w:rPr>
          <w:iCs/>
        </w:rPr>
        <w:t xml:space="preserve"> merely rectifies t</w:t>
      </w:r>
      <w:r>
        <w:rPr>
          <w:iCs/>
        </w:rPr>
        <w:t xml:space="preserve">he emotional fear and disgust when the individual thinks about that group.  See </w:t>
      </w:r>
      <w:r w:rsidRPr="00125BA5">
        <w:rPr>
          <w:bCs/>
          <w:iCs/>
        </w:rPr>
        <w:t xml:space="preserve">Dillard, James Price.  “Use of Narrative in Promoting and Countering Violent Extremism.”  In </w:t>
      </w:r>
      <w:r w:rsidRPr="00125BA5">
        <w:rPr>
          <w:iCs/>
        </w:rPr>
        <w:t xml:space="preserve">Chapman, Abigail and Janice Adelman.  </w:t>
      </w:r>
      <w:r w:rsidRPr="00125BA5">
        <w:rPr>
          <w:i/>
          <w:iCs/>
        </w:rPr>
        <w:t>Influencing Violent Extremist Organizations Pilot Effort: Focus on Al Qaeda in the Arabian Peninsula (AQAP).</w:t>
      </w:r>
      <w:r w:rsidRPr="00125BA5">
        <w:rPr>
          <w:iCs/>
        </w:rPr>
        <w:t xml:space="preserve">  Strategic Multi-Layer Assessment Office.  2011.  </w:t>
      </w:r>
      <w:r>
        <w:rPr>
          <w:iCs/>
        </w:rPr>
        <w:t>213-216.</w:t>
      </w:r>
      <w:r w:rsidRPr="0007639F">
        <w:rPr>
          <w:iCs/>
        </w:rPr>
        <w:t xml:space="preserve"> </w:t>
      </w:r>
    </w:p>
  </w:footnote>
  <w:footnote w:id="31">
    <w:p w:rsidR="00DF4630" w:rsidRPr="007F45D1" w:rsidRDefault="00DF4630" w:rsidP="00090501">
      <w:pPr>
        <w:spacing w:line="240" w:lineRule="auto"/>
        <w:rPr>
          <w:sz w:val="20"/>
          <w:szCs w:val="20"/>
        </w:rPr>
      </w:pPr>
      <w:r w:rsidRPr="007F45D1">
        <w:rPr>
          <w:rStyle w:val="FootnoteReference"/>
          <w:noProof/>
          <w:sz w:val="20"/>
          <w:szCs w:val="20"/>
        </w:rPr>
        <w:footnoteRef/>
      </w:r>
      <w:r>
        <w:rPr>
          <w:sz w:val="20"/>
          <w:szCs w:val="20"/>
        </w:rPr>
        <w:t xml:space="preserve"> </w:t>
      </w:r>
      <w:r w:rsidRPr="006C5A07">
        <w:rPr>
          <w:sz w:val="20"/>
          <w:szCs w:val="20"/>
        </w:rPr>
        <w:t>Carlston, Donal E. </w:t>
      </w:r>
      <w:r w:rsidRPr="006C5A07">
        <w:rPr>
          <w:i/>
          <w:iCs/>
          <w:sz w:val="20"/>
          <w:szCs w:val="20"/>
        </w:rPr>
        <w:t>The Oxford Handbook of Social Cognition</w:t>
      </w:r>
      <w:r w:rsidRPr="006C5A07">
        <w:rPr>
          <w:sz w:val="20"/>
          <w:szCs w:val="20"/>
        </w:rPr>
        <w:t>. 2013</w:t>
      </w:r>
      <w:r>
        <w:rPr>
          <w:sz w:val="20"/>
          <w:szCs w:val="20"/>
        </w:rPr>
        <w:t xml:space="preserve">. </w:t>
      </w:r>
      <w:r w:rsidRPr="007F45D1">
        <w:rPr>
          <w:sz w:val="20"/>
          <w:szCs w:val="20"/>
        </w:rPr>
        <w:t>566.</w:t>
      </w:r>
    </w:p>
  </w:footnote>
  <w:footnote w:id="32">
    <w:p w:rsidR="00DF4630" w:rsidRPr="007F45D1" w:rsidRDefault="00DF4630" w:rsidP="00623418">
      <w:pPr>
        <w:spacing w:line="240" w:lineRule="auto"/>
        <w:rPr>
          <w:sz w:val="20"/>
          <w:szCs w:val="20"/>
        </w:rPr>
      </w:pPr>
      <w:r w:rsidRPr="007F45D1">
        <w:rPr>
          <w:rStyle w:val="FootnoteReference"/>
          <w:noProof/>
          <w:sz w:val="20"/>
          <w:szCs w:val="20"/>
        </w:rPr>
        <w:footnoteRef/>
      </w:r>
      <w:r>
        <w:rPr>
          <w:sz w:val="20"/>
          <w:szCs w:val="20"/>
        </w:rPr>
        <w:t xml:space="preserve"> Carlston,</w:t>
      </w:r>
      <w:r w:rsidRPr="007F45D1">
        <w:rPr>
          <w:sz w:val="20"/>
          <w:szCs w:val="20"/>
        </w:rPr>
        <w:t xml:space="preserve"> 198.</w:t>
      </w:r>
    </w:p>
  </w:footnote>
  <w:footnote w:id="33">
    <w:p w:rsidR="00DF4630" w:rsidRPr="007F45D1" w:rsidRDefault="00DF4630" w:rsidP="001D6233">
      <w:pPr>
        <w:spacing w:line="240" w:lineRule="auto"/>
        <w:rPr>
          <w:sz w:val="20"/>
          <w:szCs w:val="20"/>
        </w:rPr>
      </w:pPr>
      <w:r w:rsidRPr="007F45D1">
        <w:rPr>
          <w:rStyle w:val="FootnoteReference"/>
          <w:noProof/>
          <w:sz w:val="20"/>
          <w:szCs w:val="20"/>
        </w:rPr>
        <w:footnoteRef/>
      </w:r>
      <w:r w:rsidRPr="007F45D1">
        <w:rPr>
          <w:sz w:val="20"/>
          <w:szCs w:val="20"/>
        </w:rPr>
        <w:t xml:space="preserve"> Gill, 568.</w:t>
      </w:r>
    </w:p>
  </w:footnote>
  <w:footnote w:id="34">
    <w:p w:rsidR="00DF4630" w:rsidRPr="0092680A" w:rsidRDefault="00DF4630" w:rsidP="005F4A0F">
      <w:pPr>
        <w:spacing w:line="240" w:lineRule="auto"/>
        <w:rPr>
          <w:sz w:val="20"/>
          <w:szCs w:val="20"/>
        </w:rPr>
      </w:pPr>
      <w:r w:rsidRPr="007F45D1">
        <w:rPr>
          <w:rStyle w:val="FootnoteReference"/>
          <w:noProof/>
          <w:sz w:val="20"/>
          <w:szCs w:val="20"/>
        </w:rPr>
        <w:footnoteRef/>
      </w:r>
      <w:r w:rsidRPr="007F45D1">
        <w:rPr>
          <w:sz w:val="20"/>
          <w:szCs w:val="20"/>
        </w:rPr>
        <w:t xml:space="preserve"> </w:t>
      </w:r>
      <w:r>
        <w:rPr>
          <w:color w:val="000000"/>
          <w:sz w:val="20"/>
          <w:szCs w:val="20"/>
          <w:shd w:val="clear" w:color="auto" w:fill="FFFFFF"/>
        </w:rPr>
        <w:t xml:space="preserve">Group narcissism is often called collective narcissism or ethnocentric narcissism.  They refer to the same underlying concept.  </w:t>
      </w:r>
      <w:r w:rsidRPr="007F45D1">
        <w:rPr>
          <w:sz w:val="20"/>
          <w:szCs w:val="20"/>
          <w:shd w:val="clear" w:color="auto" w:fill="FFFFFF"/>
        </w:rPr>
        <w:t>Fromm, Erich.  “Individual and Social Narcissism.”  From Sadler, William Alan. </w:t>
      </w:r>
      <w:r w:rsidRPr="007F45D1">
        <w:rPr>
          <w:i/>
          <w:sz w:val="20"/>
          <w:szCs w:val="20"/>
          <w:shd w:val="clear" w:color="auto" w:fill="FFFFFF"/>
        </w:rPr>
        <w:t>Personality and Religion; the Role of Religion in Personality Development</w:t>
      </w:r>
      <w:r w:rsidRPr="007F45D1">
        <w:rPr>
          <w:sz w:val="20"/>
          <w:szCs w:val="20"/>
          <w:shd w:val="clear" w:color="auto" w:fill="FFFFFF"/>
        </w:rPr>
        <w:t>. New York: Harper &amp; Row, 1970.  117-134.</w:t>
      </w:r>
      <w:r w:rsidRPr="007F45D1">
        <w:rPr>
          <w:sz w:val="20"/>
          <w:szCs w:val="20"/>
        </w:rPr>
        <w:t xml:space="preserve"> 125.</w:t>
      </w:r>
      <w:r>
        <w:rPr>
          <w:sz w:val="20"/>
          <w:szCs w:val="20"/>
        </w:rPr>
        <w:t xml:space="preserve">  This observation is also found in Ibn Khaldun’s argument on </w:t>
      </w:r>
      <w:r>
        <w:rPr>
          <w:i/>
          <w:sz w:val="20"/>
          <w:szCs w:val="20"/>
        </w:rPr>
        <w:t xml:space="preserve">asabiyya, </w:t>
      </w:r>
      <w:r>
        <w:rPr>
          <w:sz w:val="20"/>
          <w:szCs w:val="20"/>
        </w:rPr>
        <w:t>or “group feeling” on social and political movements.  I discuss Khaldun and “group feeling” in the conclusion.</w:t>
      </w:r>
    </w:p>
  </w:footnote>
  <w:footnote w:id="35">
    <w:p w:rsidR="00DF4630" w:rsidRDefault="00DF4630" w:rsidP="00623418">
      <w:pPr>
        <w:spacing w:line="240" w:lineRule="auto"/>
        <w:rPr>
          <w:sz w:val="20"/>
          <w:szCs w:val="20"/>
        </w:rPr>
      </w:pPr>
      <w:r w:rsidRPr="007F45D1">
        <w:rPr>
          <w:rStyle w:val="FootnoteReference"/>
          <w:noProof/>
          <w:sz w:val="20"/>
          <w:szCs w:val="20"/>
        </w:rPr>
        <w:footnoteRef/>
      </w:r>
      <w:r w:rsidRPr="007F45D1">
        <w:rPr>
          <w:sz w:val="20"/>
          <w:szCs w:val="20"/>
        </w:rPr>
        <w:t xml:space="preserve"> Fromm, 121.</w:t>
      </w:r>
    </w:p>
  </w:footnote>
  <w:footnote w:id="36">
    <w:p w:rsidR="00DF4630" w:rsidRPr="007F45D1" w:rsidRDefault="00DF4630" w:rsidP="00623418">
      <w:pPr>
        <w:spacing w:line="240" w:lineRule="auto"/>
        <w:rPr>
          <w:sz w:val="20"/>
          <w:szCs w:val="20"/>
        </w:rPr>
      </w:pPr>
      <w:r w:rsidRPr="007F45D1">
        <w:rPr>
          <w:rStyle w:val="FootnoteReference"/>
          <w:noProof/>
          <w:sz w:val="20"/>
          <w:szCs w:val="20"/>
        </w:rPr>
        <w:footnoteRef/>
      </w:r>
      <w:r w:rsidRPr="007F45D1">
        <w:rPr>
          <w:sz w:val="20"/>
          <w:szCs w:val="20"/>
        </w:rPr>
        <w:t xml:space="preserve"> </w:t>
      </w:r>
      <w:r w:rsidRPr="007F45D1">
        <w:rPr>
          <w:color w:val="000000"/>
          <w:sz w:val="20"/>
          <w:szCs w:val="20"/>
          <w:shd w:val="clear" w:color="auto" w:fill="FFFFFF"/>
        </w:rPr>
        <w:t>de Zavala AG, A Cichocka, and M Bilewicz. 2013. "The Paradox of in-Group Love: Differentiating Collective Narcissism Advances Understanding of the Relationship between in-Group and Out-Group Attitudes".</w:t>
      </w:r>
      <w:r w:rsidRPr="007F45D1">
        <w:rPr>
          <w:rStyle w:val="apple-converted-space"/>
          <w:rFonts w:eastAsia="SimSun"/>
          <w:color w:val="000000"/>
          <w:sz w:val="20"/>
          <w:szCs w:val="20"/>
          <w:shd w:val="clear" w:color="auto" w:fill="FFFFFF"/>
        </w:rPr>
        <w:t> </w:t>
      </w:r>
      <w:r w:rsidRPr="007F45D1">
        <w:rPr>
          <w:i/>
          <w:iCs/>
          <w:color w:val="000000"/>
          <w:sz w:val="20"/>
          <w:szCs w:val="20"/>
          <w:shd w:val="clear" w:color="auto" w:fill="FFFFFF"/>
        </w:rPr>
        <w:t>Journal of Personality.</w:t>
      </w:r>
      <w:r w:rsidRPr="007F45D1">
        <w:rPr>
          <w:rStyle w:val="apple-converted-space"/>
          <w:rFonts w:eastAsia="SimSun"/>
          <w:i/>
          <w:iCs/>
          <w:color w:val="000000"/>
          <w:sz w:val="20"/>
          <w:szCs w:val="20"/>
          <w:shd w:val="clear" w:color="auto" w:fill="FFFFFF"/>
        </w:rPr>
        <w:t> </w:t>
      </w:r>
      <w:r w:rsidRPr="007F45D1">
        <w:rPr>
          <w:color w:val="000000"/>
          <w:sz w:val="20"/>
          <w:szCs w:val="20"/>
          <w:shd w:val="clear" w:color="auto" w:fill="FFFFFF"/>
        </w:rPr>
        <w:t>81, no. 1: 16-28.  26.</w:t>
      </w:r>
      <w:r>
        <w:rPr>
          <w:color w:val="000000"/>
          <w:sz w:val="20"/>
          <w:szCs w:val="20"/>
          <w:shd w:val="clear" w:color="auto" w:fill="FFFFFF"/>
        </w:rPr>
        <w:t xml:space="preserve">  </w:t>
      </w:r>
    </w:p>
  </w:footnote>
  <w:footnote w:id="37">
    <w:p w:rsidR="00DF4630" w:rsidRPr="007F45D1" w:rsidRDefault="00DF4630" w:rsidP="001D6233">
      <w:pPr>
        <w:spacing w:line="240" w:lineRule="auto"/>
        <w:rPr>
          <w:color w:val="000000"/>
          <w:sz w:val="20"/>
          <w:szCs w:val="20"/>
          <w:shd w:val="clear" w:color="auto" w:fill="FFFFFF"/>
        </w:rPr>
      </w:pPr>
      <w:r w:rsidRPr="007F45D1">
        <w:rPr>
          <w:rStyle w:val="FootnoteReference"/>
          <w:noProof/>
          <w:sz w:val="20"/>
          <w:szCs w:val="20"/>
        </w:rPr>
        <w:footnoteRef/>
      </w:r>
      <w:r w:rsidRPr="007F45D1">
        <w:rPr>
          <w:sz w:val="20"/>
          <w:szCs w:val="20"/>
        </w:rPr>
        <w:t xml:space="preserve"> </w:t>
      </w:r>
      <w:r w:rsidRPr="007F45D1">
        <w:rPr>
          <w:color w:val="000000"/>
          <w:sz w:val="20"/>
          <w:szCs w:val="20"/>
          <w:shd w:val="clear" w:color="auto" w:fill="FFFFFF"/>
        </w:rPr>
        <w:t>Golec de Zavala A, A Cichocka, and I Iskra-Golec. 2013. "Collective Narcissism Moderates the Effect of in-Group Image Threat on Intergroup Hostility".</w:t>
      </w:r>
      <w:r w:rsidRPr="007F45D1">
        <w:rPr>
          <w:rStyle w:val="apple-converted-space"/>
          <w:color w:val="000000"/>
          <w:sz w:val="20"/>
          <w:szCs w:val="20"/>
          <w:shd w:val="clear" w:color="auto" w:fill="FFFFFF"/>
        </w:rPr>
        <w:t> </w:t>
      </w:r>
      <w:r w:rsidRPr="007F45D1">
        <w:rPr>
          <w:i/>
          <w:iCs/>
          <w:color w:val="000000"/>
          <w:sz w:val="20"/>
          <w:szCs w:val="20"/>
          <w:shd w:val="clear" w:color="auto" w:fill="FFFFFF"/>
        </w:rPr>
        <w:t>Journal of Personality and Social Psychology.</w:t>
      </w:r>
      <w:r w:rsidRPr="007F45D1">
        <w:rPr>
          <w:rStyle w:val="apple-converted-space"/>
          <w:i/>
          <w:iCs/>
          <w:color w:val="000000"/>
          <w:sz w:val="20"/>
          <w:szCs w:val="20"/>
          <w:shd w:val="clear" w:color="auto" w:fill="FFFFFF"/>
        </w:rPr>
        <w:t> </w:t>
      </w:r>
      <w:r w:rsidRPr="007F45D1">
        <w:rPr>
          <w:color w:val="000000"/>
          <w:sz w:val="20"/>
          <w:szCs w:val="20"/>
          <w:shd w:val="clear" w:color="auto" w:fill="FFFFFF"/>
        </w:rPr>
        <w:t>104, no. 6: 1019-39.  1019.</w:t>
      </w:r>
      <w:r>
        <w:rPr>
          <w:color w:val="000000"/>
          <w:sz w:val="20"/>
          <w:szCs w:val="20"/>
          <w:shd w:val="clear" w:color="auto" w:fill="FFFFFF"/>
        </w:rPr>
        <w:t xml:space="preserve">  I use collective narcissism or group narcissism depending on the source, but they are interchangeable.</w:t>
      </w:r>
    </w:p>
  </w:footnote>
  <w:footnote w:id="38">
    <w:p w:rsidR="00DF4630" w:rsidRDefault="00DF4630" w:rsidP="001D6233">
      <w:pPr>
        <w:spacing w:line="240" w:lineRule="auto"/>
        <w:rPr>
          <w:sz w:val="20"/>
          <w:szCs w:val="20"/>
        </w:rPr>
      </w:pPr>
      <w:r w:rsidRPr="007F45D1">
        <w:rPr>
          <w:rStyle w:val="FootnoteReference"/>
          <w:noProof/>
          <w:sz w:val="20"/>
          <w:szCs w:val="20"/>
        </w:rPr>
        <w:footnoteRef/>
      </w:r>
      <w:r w:rsidRPr="007F45D1">
        <w:rPr>
          <w:sz w:val="20"/>
          <w:szCs w:val="20"/>
        </w:rPr>
        <w:t xml:space="preserve"> </w:t>
      </w:r>
      <w:r w:rsidRPr="007F45D1">
        <w:rPr>
          <w:color w:val="000000"/>
          <w:sz w:val="20"/>
          <w:szCs w:val="20"/>
          <w:shd w:val="clear" w:color="auto" w:fill="FFFFFF"/>
        </w:rPr>
        <w:t>Golec de Zavala A, 1037.</w:t>
      </w:r>
    </w:p>
  </w:footnote>
  <w:footnote w:id="39">
    <w:p w:rsidR="00DF4630" w:rsidRPr="00125BA5" w:rsidRDefault="00DF4630" w:rsidP="001D6233">
      <w:pPr>
        <w:spacing w:line="240" w:lineRule="auto"/>
        <w:rPr>
          <w:sz w:val="20"/>
          <w:szCs w:val="20"/>
        </w:rPr>
      </w:pPr>
      <w:r w:rsidRPr="00125BA5">
        <w:rPr>
          <w:rStyle w:val="FootnoteReference"/>
          <w:noProof/>
          <w:sz w:val="20"/>
          <w:szCs w:val="20"/>
        </w:rPr>
        <w:footnoteRef/>
      </w:r>
      <w:r w:rsidRPr="00125BA5">
        <w:rPr>
          <w:sz w:val="20"/>
          <w:szCs w:val="20"/>
        </w:rPr>
        <w:t xml:space="preserve"> Goleman, Daniel, Richard E. Boyatzis, and Annie McKee. </w:t>
      </w:r>
      <w:r w:rsidRPr="00125BA5">
        <w:rPr>
          <w:i/>
          <w:iCs/>
          <w:sz w:val="20"/>
          <w:szCs w:val="20"/>
        </w:rPr>
        <w:t>Primal Leadership: Realizing the Power of Emotional Intelligence</w:t>
      </w:r>
      <w:r w:rsidRPr="00125BA5">
        <w:rPr>
          <w:sz w:val="20"/>
          <w:szCs w:val="20"/>
        </w:rPr>
        <w:t>. Boston, Mass: Harvard Business School Press, 2002.  48.</w:t>
      </w:r>
    </w:p>
  </w:footnote>
  <w:footnote w:id="40">
    <w:p w:rsidR="00DF4630" w:rsidRDefault="00DF4630" w:rsidP="001D6233">
      <w:pPr>
        <w:pStyle w:val="FootnoteText"/>
      </w:pPr>
      <w:r>
        <w:rPr>
          <w:rStyle w:val="FootnoteReference"/>
        </w:rPr>
        <w:footnoteRef/>
      </w:r>
      <w:r>
        <w:t xml:space="preserve"> </w:t>
      </w:r>
      <w:r w:rsidRPr="00722241">
        <w:t>De Dreu CK, LL Greer, Van Kleef GA, S Shalvi, and MJ Handgraaf. 2011. "Oxytocin Promotes Human Ethnocentrism". </w:t>
      </w:r>
      <w:r w:rsidRPr="00722241">
        <w:rPr>
          <w:i/>
          <w:iCs/>
        </w:rPr>
        <w:t>Proceedings of the National Academy of Sciences of the United States of America. </w:t>
      </w:r>
      <w:r w:rsidRPr="00722241">
        <w:t>108, no. 4: 1262-6.</w:t>
      </w:r>
      <w:r>
        <w:t xml:space="preserve">  1262.</w:t>
      </w:r>
    </w:p>
  </w:footnote>
  <w:footnote w:id="41">
    <w:p w:rsidR="00DF4630" w:rsidRPr="00DF2709" w:rsidRDefault="00DF4630" w:rsidP="00B007D6">
      <w:pPr>
        <w:spacing w:line="240" w:lineRule="auto"/>
        <w:rPr>
          <w:rStyle w:val="EndnoteCharacters"/>
          <w:sz w:val="20"/>
          <w:szCs w:val="20"/>
        </w:rPr>
      </w:pPr>
      <w:r w:rsidRPr="00DF2709">
        <w:rPr>
          <w:rStyle w:val="EndnoteCharacters"/>
          <w:sz w:val="20"/>
          <w:szCs w:val="20"/>
          <w:vertAlign w:val="superscript"/>
        </w:rPr>
        <w:footnoteRef/>
      </w:r>
      <w:r w:rsidRPr="00DF2709">
        <w:rPr>
          <w:rStyle w:val="EndnoteCharacters"/>
          <w:sz w:val="20"/>
          <w:szCs w:val="20"/>
        </w:rPr>
        <w:t xml:space="preserve"> </w:t>
      </w:r>
      <w:r w:rsidRPr="00DF2709">
        <w:rPr>
          <w:sz w:val="20"/>
          <w:szCs w:val="20"/>
        </w:rPr>
        <w:t xml:space="preserve">O’Rourke, Lindsey.  “The Woman behind the Bomb; Suicide Attacks.”  </w:t>
      </w:r>
      <w:r w:rsidRPr="00DF2709">
        <w:rPr>
          <w:i/>
          <w:iCs/>
          <w:sz w:val="20"/>
          <w:szCs w:val="20"/>
        </w:rPr>
        <w:t>The International Herald Tribune</w:t>
      </w:r>
      <w:r w:rsidRPr="00DF2709">
        <w:rPr>
          <w:sz w:val="20"/>
          <w:szCs w:val="20"/>
        </w:rPr>
        <w:t>.  August 5, 2008.</w:t>
      </w:r>
    </w:p>
  </w:footnote>
  <w:footnote w:id="42">
    <w:p w:rsidR="00DF4630" w:rsidRPr="00DF2709" w:rsidRDefault="00DF4630" w:rsidP="00DF2709">
      <w:pPr>
        <w:spacing w:line="240" w:lineRule="auto"/>
        <w:rPr>
          <w:rStyle w:val="EndnoteCharacters"/>
          <w:sz w:val="20"/>
          <w:szCs w:val="20"/>
        </w:rPr>
      </w:pPr>
      <w:r w:rsidRPr="00DF2709">
        <w:rPr>
          <w:rStyle w:val="EndnoteCharacters"/>
          <w:sz w:val="20"/>
          <w:szCs w:val="20"/>
          <w:vertAlign w:val="superscript"/>
        </w:rPr>
        <w:footnoteRef/>
      </w:r>
      <w:r w:rsidRPr="00DF2709">
        <w:rPr>
          <w:rStyle w:val="EndnoteCharacters"/>
          <w:sz w:val="20"/>
          <w:szCs w:val="20"/>
        </w:rPr>
        <w:t xml:space="preserve"> Regular, </w:t>
      </w:r>
      <w:r>
        <w:rPr>
          <w:rStyle w:val="EndnoteCharacters"/>
          <w:sz w:val="20"/>
          <w:szCs w:val="20"/>
        </w:rPr>
        <w:t xml:space="preserve">Arlon.  </w:t>
      </w:r>
      <w:r w:rsidRPr="00DF2709">
        <w:rPr>
          <w:rStyle w:val="EndnoteCharacters"/>
          <w:sz w:val="20"/>
          <w:szCs w:val="20"/>
        </w:rPr>
        <w:t xml:space="preserve">“Mother of Two Becomes First Female Suicide Bomber of Hamas,” </w:t>
      </w:r>
      <w:r w:rsidRPr="00DF2709">
        <w:rPr>
          <w:rStyle w:val="EndnoteCharacters"/>
          <w:i/>
          <w:iCs/>
          <w:sz w:val="20"/>
          <w:szCs w:val="20"/>
        </w:rPr>
        <w:t>Haaretz</w:t>
      </w:r>
      <w:r>
        <w:rPr>
          <w:rStyle w:val="EndnoteCharacters"/>
          <w:sz w:val="20"/>
          <w:szCs w:val="20"/>
        </w:rPr>
        <w:t>.  15 January 2008.</w:t>
      </w:r>
      <w:r w:rsidRPr="00DF2709">
        <w:rPr>
          <w:rStyle w:val="EndnoteCharacters"/>
          <w:sz w:val="20"/>
          <w:szCs w:val="20"/>
        </w:rPr>
        <w:t xml:space="preserve">  </w:t>
      </w:r>
    </w:p>
  </w:footnote>
  <w:footnote w:id="43">
    <w:p w:rsidR="00DF4630" w:rsidRPr="00DF2709" w:rsidRDefault="00DF4630">
      <w:pPr>
        <w:pStyle w:val="FootnoteText"/>
      </w:pPr>
      <w:r w:rsidRPr="00DF2709">
        <w:rPr>
          <w:rStyle w:val="FootnoteReference"/>
        </w:rPr>
        <w:footnoteRef/>
      </w:r>
      <w:r w:rsidRPr="00DF2709">
        <w:t xml:space="preserve"> Dickey, Christopher.  “Women of Al Qaeda.”  </w:t>
      </w:r>
      <w:r w:rsidRPr="00DF2709">
        <w:rPr>
          <w:i/>
        </w:rPr>
        <w:t>Newsweek</w:t>
      </w:r>
      <w:r w:rsidRPr="00DF2709">
        <w:t>.  December 12, 2005.  Page 26.</w:t>
      </w:r>
    </w:p>
  </w:footnote>
  <w:footnote w:id="44">
    <w:p w:rsidR="00DF4630" w:rsidRPr="00DF2709" w:rsidRDefault="00DF4630" w:rsidP="00B007D6">
      <w:pPr>
        <w:spacing w:line="240" w:lineRule="auto"/>
        <w:rPr>
          <w:sz w:val="20"/>
          <w:szCs w:val="20"/>
        </w:rPr>
      </w:pPr>
      <w:r w:rsidRPr="00DF2709">
        <w:rPr>
          <w:rStyle w:val="FootnoteReference"/>
          <w:noProof/>
          <w:sz w:val="20"/>
          <w:szCs w:val="20"/>
        </w:rPr>
        <w:footnoteRef/>
      </w:r>
      <w:r w:rsidRPr="00DF2709">
        <w:rPr>
          <w:sz w:val="20"/>
          <w:szCs w:val="20"/>
        </w:rPr>
        <w:t xml:space="preserve"> United Nations Assistance Mission to Afghanistan.  </w:t>
      </w:r>
      <w:r w:rsidRPr="00DF2709">
        <w:rPr>
          <w:i/>
          <w:iCs/>
          <w:sz w:val="20"/>
          <w:szCs w:val="20"/>
        </w:rPr>
        <w:t>Suicide Attacks in Afghanistan (2001-2007).</w:t>
      </w:r>
      <w:r w:rsidRPr="00DF2709">
        <w:rPr>
          <w:sz w:val="20"/>
          <w:szCs w:val="20"/>
        </w:rPr>
        <w:t xml:space="preserve">  September 1</w:t>
      </w:r>
      <w:r w:rsidRPr="00DF2709">
        <w:rPr>
          <w:noProof/>
          <w:sz w:val="20"/>
          <w:szCs w:val="20"/>
          <w:vertAlign w:val="superscript"/>
        </w:rPr>
        <w:t>st</w:t>
      </w:r>
      <w:r w:rsidRPr="00DF2709">
        <w:rPr>
          <w:sz w:val="20"/>
          <w:szCs w:val="20"/>
        </w:rPr>
        <w:t xml:space="preserve">, 2007.  </w:t>
      </w:r>
      <w:hyperlink r:id="rId4" w:history="1">
        <w:r w:rsidRPr="00DF2709">
          <w:rPr>
            <w:rStyle w:val="Hyperlink"/>
            <w:sz w:val="20"/>
            <w:szCs w:val="20"/>
          </w:rPr>
          <w:t>http://www.securitycouncilreport.org/atf/cf/%7B65BFCF9B-6D27-4E9C-8CD3-CF6E4FF96FF9%7D/Afgh%202007SuicideAttacks.pdf</w:t>
        </w:r>
      </w:hyperlink>
      <w:r w:rsidRPr="00DF2709">
        <w:rPr>
          <w:sz w:val="20"/>
          <w:szCs w:val="20"/>
        </w:rPr>
        <w:t xml:space="preserve">  30.</w:t>
      </w:r>
    </w:p>
  </w:footnote>
  <w:footnote w:id="45">
    <w:p w:rsidR="00DF4630" w:rsidRPr="00B007D6" w:rsidRDefault="00DF4630" w:rsidP="00B007D6">
      <w:pPr>
        <w:spacing w:line="240" w:lineRule="auto"/>
        <w:rPr>
          <w:sz w:val="20"/>
          <w:szCs w:val="20"/>
        </w:rPr>
      </w:pPr>
      <w:r w:rsidRPr="00DF2709">
        <w:rPr>
          <w:rStyle w:val="FootnoteReference"/>
          <w:noProof/>
          <w:sz w:val="20"/>
          <w:szCs w:val="20"/>
        </w:rPr>
        <w:footnoteRef/>
      </w:r>
      <w:r w:rsidRPr="00DF2709">
        <w:rPr>
          <w:sz w:val="20"/>
          <w:szCs w:val="20"/>
        </w:rPr>
        <w:t xml:space="preserve"> Hafez, Mohammed M. </w:t>
      </w:r>
      <w:r w:rsidRPr="00DF2709">
        <w:rPr>
          <w:i/>
          <w:iCs/>
          <w:sz w:val="20"/>
          <w:szCs w:val="20"/>
        </w:rPr>
        <w:t>Manufacturing Human Bombs</w:t>
      </w:r>
      <w:r w:rsidRPr="00DF2709">
        <w:rPr>
          <w:sz w:val="20"/>
          <w:szCs w:val="20"/>
        </w:rPr>
        <w:t>. Washington, D.C.: United States Institute of Peace Press, 2006.  20.</w:t>
      </w:r>
    </w:p>
  </w:footnote>
  <w:footnote w:id="46">
    <w:p w:rsidR="00DF4630" w:rsidRPr="002B79C4" w:rsidRDefault="00DF4630" w:rsidP="002B79C4">
      <w:pPr>
        <w:pStyle w:val="FootnoteText"/>
      </w:pPr>
      <w:r>
        <w:rPr>
          <w:rStyle w:val="FootnoteReference"/>
        </w:rPr>
        <w:footnoteRef/>
      </w:r>
      <w:r>
        <w:t xml:space="preserve"> The PKK has resumed some suicide attacks since August 2015, however at this stage it is unclear if this is a sustained campaign.  The first incident on August 2</w:t>
      </w:r>
      <w:r w:rsidRPr="002B79C4">
        <w:rPr>
          <w:vertAlign w:val="superscript"/>
        </w:rPr>
        <w:t>nd</w:t>
      </w:r>
      <w:r>
        <w:t xml:space="preserve">, and Turkey has accused the PKK of conducting other attacks in Turkey.  See “Turkish Troops Killed in </w:t>
      </w:r>
      <w:r w:rsidRPr="002B79C4">
        <w:t>Kurdish militant 'suicide attack</w:t>
      </w:r>
      <w:r>
        <w:t>.</w:t>
      </w:r>
      <w:r w:rsidRPr="002B79C4">
        <w:t>'</w:t>
      </w:r>
      <w:r>
        <w:t xml:space="preserve">”  </w:t>
      </w:r>
      <w:r>
        <w:rPr>
          <w:i/>
          <w:iCs/>
        </w:rPr>
        <w:t xml:space="preserve">The Guardian.  </w:t>
      </w:r>
      <w:r>
        <w:t xml:space="preserve">2 August 2015. </w:t>
      </w:r>
    </w:p>
    <w:p w:rsidR="00DF4630" w:rsidRDefault="00C35D4A">
      <w:pPr>
        <w:pStyle w:val="FootnoteText"/>
      </w:pPr>
      <w:hyperlink r:id="rId5" w:history="1">
        <w:r w:rsidR="00DF4630" w:rsidRPr="004E3663">
          <w:rPr>
            <w:rStyle w:val="Hyperlink"/>
          </w:rPr>
          <w:t>http://www.theguardian.com/world/2015/aug/02/turkish-troops-killed-suicide-attack-blamed-on-pkk</w:t>
        </w:r>
      </w:hyperlink>
      <w:r w:rsidR="00DF4630">
        <w:t xml:space="preserve"> (Accessed 3 May 2016).</w:t>
      </w:r>
    </w:p>
  </w:footnote>
  <w:footnote w:id="47">
    <w:p w:rsidR="00DF4630" w:rsidRDefault="00DF4630" w:rsidP="00672E3F">
      <w:pPr>
        <w:pStyle w:val="FootnoteText"/>
      </w:pPr>
      <w:r>
        <w:rPr>
          <w:rStyle w:val="FootnoteReference"/>
        </w:rPr>
        <w:footnoteRef/>
      </w:r>
      <w:r>
        <w:t xml:space="preserve"> The Chechen rebels pulled fighters from neighboring regions, such as Dagestan, and after the defeat of the Chechen insurgency, those groups initiated their own campaigns against Russian targets.  However, the Chechen suicide bombing campaign itself was mollified by the defeat of its leadership.</w:t>
      </w:r>
    </w:p>
  </w:footnote>
  <w:footnote w:id="48">
    <w:p w:rsidR="00DF4630" w:rsidRPr="00125BA5" w:rsidRDefault="00DF4630" w:rsidP="00672E3F">
      <w:pPr>
        <w:spacing w:line="240" w:lineRule="auto"/>
        <w:rPr>
          <w:sz w:val="20"/>
          <w:szCs w:val="20"/>
        </w:rPr>
      </w:pPr>
      <w:r w:rsidRPr="00125BA5">
        <w:rPr>
          <w:rStyle w:val="FootnoteReference"/>
          <w:noProof/>
          <w:sz w:val="20"/>
          <w:szCs w:val="20"/>
        </w:rPr>
        <w:footnoteRef/>
      </w:r>
      <w:r w:rsidRPr="00125BA5">
        <w:rPr>
          <w:sz w:val="20"/>
          <w:szCs w:val="20"/>
        </w:rPr>
        <w:t xml:space="preserve"> Pape, Robert Anthony. </w:t>
      </w:r>
      <w:r w:rsidRPr="00125BA5">
        <w:rPr>
          <w:i/>
          <w:iCs/>
          <w:sz w:val="20"/>
          <w:szCs w:val="20"/>
        </w:rPr>
        <w:t>Dying to Win: The Strategic Logic of Suicide Terrorism</w:t>
      </w:r>
      <w:r w:rsidRPr="00125BA5">
        <w:rPr>
          <w:sz w:val="20"/>
          <w:szCs w:val="20"/>
        </w:rPr>
        <w:t>. New York: Random House, 2005.  4.</w:t>
      </w:r>
    </w:p>
  </w:footnote>
  <w:footnote w:id="49">
    <w:p w:rsidR="00DF4630" w:rsidRDefault="00DF4630">
      <w:pPr>
        <w:pStyle w:val="FootnoteText"/>
      </w:pPr>
      <w:r>
        <w:rPr>
          <w:rStyle w:val="FootnoteReference"/>
        </w:rPr>
        <w:footnoteRef/>
      </w:r>
      <w:r>
        <w:t xml:space="preserve"> There were many reasons with the US and France withdrew from Lebanon, namely the Lebanese President siding with Syria in the conflict over Israel.  The perception however is that the barracks bombing forced the US and France to retreat.</w:t>
      </w:r>
    </w:p>
  </w:footnote>
  <w:footnote w:id="50">
    <w:p w:rsidR="00DF4630" w:rsidRDefault="00DF4630" w:rsidP="00672E3F">
      <w:pPr>
        <w:pStyle w:val="FootnoteText"/>
      </w:pPr>
      <w:r>
        <w:rPr>
          <w:rStyle w:val="FootnoteReference"/>
        </w:rPr>
        <w:footnoteRef/>
      </w:r>
      <w:r>
        <w:t xml:space="preserve"> </w:t>
      </w:r>
      <w:r w:rsidRPr="00125BA5">
        <w:t>Pape, 99.</w:t>
      </w:r>
    </w:p>
  </w:footnote>
  <w:footnote w:id="51">
    <w:p w:rsidR="00DF4630" w:rsidRPr="00C80AD6" w:rsidRDefault="00DF4630" w:rsidP="00377919">
      <w:pPr>
        <w:pStyle w:val="FootnoteText"/>
      </w:pPr>
      <w:r>
        <w:rPr>
          <w:rStyle w:val="FootnoteReference"/>
        </w:rPr>
        <w:footnoteRef/>
      </w:r>
      <w:r>
        <w:t xml:space="preserve"> Pape’s theory has been heavily criticized from different angles since the book’s publication in 2005.  The role of foreign suicide bombers in the Iraq conflict is one of the most visibly cited reasons, as Al Qaeda in Iraq was led by foreigners, who in turn sent foreign-born bombers to kill Iraqi civilians, which leads to questions as to who was the occupier (Mohammed Hafez, </w:t>
      </w:r>
      <w:r>
        <w:rPr>
          <w:i/>
          <w:iCs/>
        </w:rPr>
        <w:t xml:space="preserve">Suicide Bombers in Iraq, </w:t>
      </w:r>
      <w:r>
        <w:t>89).  In Chapter 5, I briefly present some of the criticisms of Pape’s theory.</w:t>
      </w:r>
    </w:p>
  </w:footnote>
  <w:footnote w:id="52">
    <w:p w:rsidR="00DF4630" w:rsidRDefault="00DF4630" w:rsidP="00672E3F">
      <w:pPr>
        <w:spacing w:line="240" w:lineRule="auto"/>
        <w:rPr>
          <w:sz w:val="20"/>
          <w:szCs w:val="20"/>
        </w:rPr>
      </w:pPr>
      <w:r>
        <w:rPr>
          <w:rStyle w:val="FootnoteReference"/>
          <w:noProof/>
          <w:sz w:val="20"/>
          <w:szCs w:val="20"/>
        </w:rPr>
        <w:footnoteRef/>
      </w:r>
      <w:r>
        <w:rPr>
          <w:sz w:val="20"/>
          <w:szCs w:val="20"/>
        </w:rPr>
        <w:t xml:space="preserve"> Lankford A. 2014. "Précis of the Myth of Martyrdom…” 375.  He conducts psychological autopsies of </w:t>
      </w:r>
    </w:p>
  </w:footnote>
  <w:footnote w:id="53">
    <w:p w:rsidR="00DF4630" w:rsidRDefault="00DF4630" w:rsidP="00672E3F">
      <w:pPr>
        <w:spacing w:line="240" w:lineRule="auto"/>
        <w:rPr>
          <w:color w:val="000000" w:themeColor="text1"/>
          <w:sz w:val="20"/>
          <w:szCs w:val="20"/>
        </w:rPr>
      </w:pPr>
      <w:r>
        <w:rPr>
          <w:rStyle w:val="FootnoteReference"/>
          <w:noProof/>
          <w:sz w:val="20"/>
          <w:szCs w:val="20"/>
        </w:rPr>
        <w:footnoteRef/>
      </w:r>
      <w:r>
        <w:rPr>
          <w:sz w:val="20"/>
          <w:szCs w:val="20"/>
        </w:rPr>
        <w:t xml:space="preserve"> </w:t>
      </w:r>
      <w:r>
        <w:rPr>
          <w:color w:val="000000" w:themeColor="text1"/>
          <w:sz w:val="20"/>
          <w:szCs w:val="20"/>
        </w:rPr>
        <w:t>Lankford, Adam. 2012. "A Psychological Autopsy of 9/11 Ringleader Mohamed Atta."  Journal of Police and Criminal Psychology. 27, no. 2.  155.</w:t>
      </w:r>
    </w:p>
  </w:footnote>
  <w:footnote w:id="54">
    <w:p w:rsidR="00DF4630" w:rsidRDefault="00DF4630" w:rsidP="00E57986">
      <w:pPr>
        <w:pStyle w:val="FootnoteText"/>
        <w:rPr>
          <w:lang w:bidi="en-US"/>
        </w:rPr>
      </w:pPr>
      <w:r>
        <w:rPr>
          <w:rStyle w:val="FootnoteReference"/>
        </w:rPr>
        <w:footnoteRef/>
      </w:r>
      <w:r>
        <w:t xml:space="preserve"> </w:t>
      </w:r>
      <w:r w:rsidRPr="00F5770C">
        <w:rPr>
          <w:szCs w:val="24"/>
        </w:rPr>
        <w:t>Adolf Tobeñaa and Oscar Vilarroyaa argue that Lankford uncovered 130 cases that may fulfill criteria of “conventional suicide” due to depressio</w:t>
      </w:r>
      <w:r>
        <w:rPr>
          <w:szCs w:val="24"/>
        </w:rPr>
        <w:t>n, but that  base rate not comp</w:t>
      </w:r>
      <w:r w:rsidRPr="00F5770C">
        <w:rPr>
          <w:szCs w:val="24"/>
        </w:rPr>
        <w:t xml:space="preserve">elling to </w:t>
      </w:r>
      <w:r>
        <w:rPr>
          <w:szCs w:val="24"/>
        </w:rPr>
        <w:t xml:space="preserve">project on </w:t>
      </w:r>
      <w:r w:rsidRPr="00F5770C">
        <w:rPr>
          <w:szCs w:val="24"/>
        </w:rPr>
        <w:t xml:space="preserve">3000+ attacks in the last two decades.  </w:t>
      </w:r>
      <w:r w:rsidRPr="00E57986">
        <w:rPr>
          <w:rFonts w:hint="eastAsia"/>
          <w:lang w:bidi="en-US"/>
        </w:rPr>
        <w:t xml:space="preserve">Tobena A., Vilarroya O., and Vilarroya O.  2014.  "Normative Seeds for Deadly Martyrdoms".  </w:t>
      </w:r>
      <w:r w:rsidRPr="00E57986">
        <w:rPr>
          <w:rFonts w:hint="eastAsia"/>
          <w:i/>
          <w:iCs/>
          <w:lang w:bidi="en-US"/>
        </w:rPr>
        <w:t xml:space="preserve">Behavioral and Brain Sciences.  </w:t>
      </w:r>
      <w:r w:rsidRPr="00E57986">
        <w:rPr>
          <w:rFonts w:hint="eastAsia"/>
          <w:lang w:bidi="en-US"/>
        </w:rPr>
        <w:t>37, no.  4: 378-379.</w:t>
      </w:r>
      <w:r>
        <w:rPr>
          <w:lang w:bidi="en-US"/>
        </w:rPr>
        <w:t xml:space="preserve">  </w:t>
      </w:r>
      <w:r>
        <w:rPr>
          <w:rFonts w:eastAsia="Calibri"/>
          <w:lang w:bidi="en-US"/>
        </w:rPr>
        <w:t>378.</w:t>
      </w:r>
      <w:r w:rsidRPr="00EA3EAF">
        <w:rPr>
          <w:rFonts w:eastAsia="Calibri"/>
          <w:lang w:bidi="en-US"/>
        </w:rPr>
        <w:t> </w:t>
      </w:r>
    </w:p>
  </w:footnote>
  <w:footnote w:id="55">
    <w:p w:rsidR="00DF4630" w:rsidRPr="00125BA5" w:rsidRDefault="00DF4630" w:rsidP="00672E3F">
      <w:pPr>
        <w:spacing w:line="240" w:lineRule="auto"/>
        <w:rPr>
          <w:sz w:val="20"/>
          <w:szCs w:val="20"/>
        </w:rPr>
      </w:pPr>
      <w:r w:rsidRPr="00125BA5">
        <w:rPr>
          <w:rStyle w:val="FootnoteReference"/>
          <w:noProof/>
          <w:sz w:val="20"/>
          <w:szCs w:val="20"/>
        </w:rPr>
        <w:footnoteRef/>
      </w:r>
      <w:r w:rsidRPr="00125BA5">
        <w:rPr>
          <w:sz w:val="20"/>
          <w:szCs w:val="20"/>
        </w:rPr>
        <w:t>Lewis, 15.</w:t>
      </w:r>
    </w:p>
  </w:footnote>
  <w:footnote w:id="56">
    <w:p w:rsidR="00DF4630" w:rsidRPr="00125BA5" w:rsidRDefault="00DF4630" w:rsidP="00E57986">
      <w:pPr>
        <w:spacing w:line="240" w:lineRule="auto"/>
        <w:rPr>
          <w:sz w:val="20"/>
          <w:szCs w:val="20"/>
        </w:rPr>
      </w:pPr>
      <w:r w:rsidRPr="00125BA5">
        <w:rPr>
          <w:rStyle w:val="FootnoteReference"/>
          <w:noProof/>
          <w:sz w:val="20"/>
          <w:szCs w:val="20"/>
        </w:rPr>
        <w:footnoteRef/>
      </w:r>
      <w:r w:rsidRPr="00125BA5">
        <w:rPr>
          <w:sz w:val="20"/>
          <w:szCs w:val="20"/>
        </w:rPr>
        <w:t>Lewis,</w:t>
      </w:r>
      <w:r>
        <w:rPr>
          <w:sz w:val="20"/>
          <w:szCs w:val="20"/>
        </w:rPr>
        <w:t xml:space="preserve"> </w:t>
      </w:r>
      <w:r w:rsidRPr="00125BA5">
        <w:rPr>
          <w:sz w:val="20"/>
          <w:szCs w:val="20"/>
        </w:rPr>
        <w:t>35.</w:t>
      </w:r>
    </w:p>
  </w:footnote>
  <w:footnote w:id="57">
    <w:p w:rsidR="00DF4630" w:rsidRPr="00125BA5" w:rsidRDefault="00DF4630" w:rsidP="00672E3F">
      <w:pPr>
        <w:spacing w:line="240" w:lineRule="auto"/>
        <w:rPr>
          <w:sz w:val="20"/>
          <w:szCs w:val="20"/>
        </w:rPr>
      </w:pPr>
      <w:r w:rsidRPr="00125BA5">
        <w:rPr>
          <w:rStyle w:val="FootnoteReference"/>
          <w:noProof/>
          <w:sz w:val="20"/>
          <w:szCs w:val="20"/>
        </w:rPr>
        <w:footnoteRef/>
      </w:r>
      <w:r w:rsidRPr="00125BA5">
        <w:rPr>
          <w:sz w:val="20"/>
          <w:szCs w:val="20"/>
        </w:rPr>
        <w:t xml:space="preserve"> Lewis, 237.</w:t>
      </w:r>
    </w:p>
  </w:footnote>
  <w:footnote w:id="58">
    <w:p w:rsidR="00DF4630" w:rsidRDefault="00DF4630" w:rsidP="00672E3F">
      <w:pPr>
        <w:pStyle w:val="FootnoteText"/>
      </w:pPr>
      <w:r>
        <w:rPr>
          <w:rStyle w:val="FootnoteReference"/>
        </w:rPr>
        <w:footnoteRef/>
      </w:r>
      <w:r>
        <w:t xml:space="preserve"> </w:t>
      </w:r>
      <w:r w:rsidRPr="00C53E8E">
        <w:t xml:space="preserve">Lewis, </w:t>
      </w:r>
      <w:r>
        <w:t>243.</w:t>
      </w:r>
    </w:p>
  </w:footnote>
  <w:footnote w:id="59">
    <w:p w:rsidR="00DF4630" w:rsidRPr="00B27C7B" w:rsidRDefault="00DF4630" w:rsidP="003C5A9E">
      <w:pPr>
        <w:spacing w:line="240" w:lineRule="auto"/>
        <w:contextualSpacing/>
        <w:rPr>
          <w:sz w:val="20"/>
          <w:szCs w:val="20"/>
          <w:lang w:bidi="he-IL"/>
        </w:rPr>
      </w:pPr>
      <w:r w:rsidRPr="00B27C7B">
        <w:rPr>
          <w:rStyle w:val="FootnoteReference"/>
          <w:noProof/>
          <w:sz w:val="20"/>
          <w:szCs w:val="20"/>
        </w:rPr>
        <w:footnoteRef/>
      </w:r>
      <w:r w:rsidRPr="00B27C7B">
        <w:rPr>
          <w:sz w:val="20"/>
          <w:szCs w:val="20"/>
        </w:rPr>
        <w:t xml:space="preserve"> </w:t>
      </w:r>
      <w:r>
        <w:rPr>
          <w:sz w:val="20"/>
          <w:szCs w:val="20"/>
        </w:rPr>
        <w:t xml:space="preserve">CPOST also codes its attacks in ways that reduces the number of attacks by Al Qaeda and ISIS.  For example, </w:t>
      </w:r>
      <w:r w:rsidRPr="00B27C7B">
        <w:rPr>
          <w:sz w:val="20"/>
          <w:szCs w:val="20"/>
          <w:lang w:bidi="he-IL"/>
        </w:rPr>
        <w:t>CPOST codes the September 11</w:t>
      </w:r>
      <w:r w:rsidRPr="00B27C7B">
        <w:rPr>
          <w:noProof/>
          <w:sz w:val="20"/>
          <w:szCs w:val="20"/>
          <w:vertAlign w:val="superscript"/>
          <w:lang w:bidi="he-IL"/>
        </w:rPr>
        <w:t>th</w:t>
      </w:r>
      <w:r w:rsidRPr="00B27C7B">
        <w:rPr>
          <w:sz w:val="20"/>
          <w:szCs w:val="20"/>
          <w:lang w:bidi="he-IL"/>
        </w:rPr>
        <w:t xml:space="preserve"> attacks as four attacks, </w:t>
      </w:r>
      <w:r>
        <w:rPr>
          <w:sz w:val="20"/>
          <w:szCs w:val="20"/>
          <w:lang w:bidi="he-IL"/>
        </w:rPr>
        <w:t>instead of nineteen attackers</w:t>
      </w:r>
      <w:r w:rsidRPr="00B27C7B">
        <w:rPr>
          <w:sz w:val="20"/>
          <w:szCs w:val="20"/>
          <w:lang w:bidi="he-IL"/>
        </w:rPr>
        <w:t xml:space="preserve">.  This pushes down the number of attacks by the likes of Al Qaeda, who sends multiple suicide attackers at one target, and keeps the attacks by the likes of the Tamil Tigers elevated, who would usually send one suicide attacker to bust open a security checkpoint and follow with conventional attacks.  Thus, Al Qaeda can have nineteen self-selected suicide attackers on September 11st counted as four attacks, the Tamil Tigers can have ten coerced suicide attackers in ten different attacks (and counted as </w:t>
      </w:r>
      <w:r>
        <w:rPr>
          <w:sz w:val="20"/>
          <w:szCs w:val="20"/>
          <w:lang w:bidi="he-IL"/>
        </w:rPr>
        <w:t>ten attacks</w:t>
      </w:r>
      <w:r w:rsidRPr="00B27C7B">
        <w:rPr>
          <w:sz w:val="20"/>
          <w:szCs w:val="20"/>
          <w:lang w:bidi="he-IL"/>
        </w:rPr>
        <w:t>), and the Tigers has the more prolific suicide bombing campaign.  CPOST</w:t>
      </w:r>
      <w:r>
        <w:rPr>
          <w:sz w:val="20"/>
          <w:szCs w:val="20"/>
          <w:lang w:bidi="he-IL"/>
        </w:rPr>
        <w:t xml:space="preserve"> also</w:t>
      </w:r>
      <w:r w:rsidRPr="00B27C7B">
        <w:rPr>
          <w:sz w:val="20"/>
          <w:szCs w:val="20"/>
          <w:lang w:bidi="he-IL"/>
        </w:rPr>
        <w:t xml:space="preserve"> do</w:t>
      </w:r>
      <w:r>
        <w:rPr>
          <w:sz w:val="20"/>
          <w:szCs w:val="20"/>
          <w:lang w:bidi="he-IL"/>
        </w:rPr>
        <w:t>es</w:t>
      </w:r>
      <w:r w:rsidRPr="00B27C7B">
        <w:rPr>
          <w:sz w:val="20"/>
          <w:szCs w:val="20"/>
          <w:lang w:bidi="he-IL"/>
        </w:rPr>
        <w:t xml:space="preserve"> not include failed attacks, whereas the START database does.  When trying to understand and track the hows and whys of suicide terrorism, failed attacks count.  Also, tracking failed attacks may be able to assist security officials to identify which groups have had more successful attacks</w:t>
      </w:r>
      <w:r>
        <w:rPr>
          <w:sz w:val="20"/>
          <w:szCs w:val="20"/>
          <w:lang w:bidi="he-IL"/>
        </w:rPr>
        <w:t xml:space="preserve"> </w:t>
      </w:r>
      <w:r w:rsidRPr="00B27C7B">
        <w:rPr>
          <w:sz w:val="20"/>
          <w:szCs w:val="20"/>
          <w:lang w:bidi="he-IL"/>
        </w:rPr>
        <w:t>compared to others, and what insights that may lead on both the group’s operational effectiveness as well as what it means for the group’s radicalization and resolve skills.</w:t>
      </w:r>
    </w:p>
    <w:p w:rsidR="00DF4630" w:rsidRDefault="00DF4630" w:rsidP="001D6233">
      <w:pPr>
        <w:pStyle w:val="FootnoteText"/>
      </w:pPr>
    </w:p>
  </w:footnote>
  <w:footnote w:id="60">
    <w:p w:rsidR="00DF4630" w:rsidRPr="006C5A07" w:rsidRDefault="00DF4630" w:rsidP="002A6175">
      <w:pPr>
        <w:spacing w:line="240" w:lineRule="auto"/>
        <w:rPr>
          <w:sz w:val="20"/>
          <w:szCs w:val="20"/>
        </w:rPr>
      </w:pPr>
      <w:r w:rsidRPr="006C5A07">
        <w:rPr>
          <w:rStyle w:val="FootnoteReference"/>
          <w:noProof/>
          <w:sz w:val="20"/>
          <w:szCs w:val="20"/>
        </w:rPr>
        <w:footnoteRef/>
      </w:r>
      <w:r w:rsidRPr="006C5A07">
        <w:rPr>
          <w:sz w:val="20"/>
          <w:szCs w:val="20"/>
        </w:rPr>
        <w:t xml:space="preserve"> </w:t>
      </w:r>
      <w:r w:rsidRPr="00125BA5">
        <w:rPr>
          <w:sz w:val="20"/>
          <w:szCs w:val="20"/>
        </w:rPr>
        <w:t xml:space="preserve">Moghadam, Assaf (2011-02-24). </w:t>
      </w:r>
      <w:r w:rsidR="009918F1" w:rsidRPr="00BB7D21">
        <w:rPr>
          <w:i/>
          <w:sz w:val="20"/>
          <w:szCs w:val="20"/>
        </w:rPr>
        <w:t>The Globalization of Martyrdom: Al Qaeda, Salafi Jihad, and the Diff</w:t>
      </w:r>
      <w:r w:rsidR="009918F1">
        <w:rPr>
          <w:i/>
          <w:sz w:val="20"/>
          <w:szCs w:val="20"/>
        </w:rPr>
        <w:t>usion of Suicide Attacks</w:t>
      </w:r>
      <w:r w:rsidR="009918F1" w:rsidRPr="00BB7D21">
        <w:rPr>
          <w:i/>
          <w:sz w:val="20"/>
          <w:szCs w:val="20"/>
        </w:rPr>
        <w:t xml:space="preserve">. </w:t>
      </w:r>
      <w:r w:rsidRPr="00125BA5">
        <w:rPr>
          <w:sz w:val="20"/>
          <w:szCs w:val="20"/>
        </w:rPr>
        <w:t xml:space="preserve">Johns Hopkins University Press. Kindle Edition.  </w:t>
      </w:r>
      <w:r w:rsidRPr="006C5A07">
        <w:rPr>
          <w:sz w:val="20"/>
          <w:szCs w:val="20"/>
        </w:rPr>
        <w:t>183.</w:t>
      </w:r>
    </w:p>
  </w:footnote>
  <w:footnote w:id="61">
    <w:p w:rsidR="00DF4630" w:rsidRPr="00125BA5" w:rsidRDefault="00DF4630" w:rsidP="00F70F3C">
      <w:pPr>
        <w:spacing w:line="240" w:lineRule="auto"/>
        <w:rPr>
          <w:sz w:val="20"/>
          <w:szCs w:val="20"/>
        </w:rPr>
      </w:pPr>
      <w:r w:rsidRPr="002B35FC">
        <w:rPr>
          <w:rStyle w:val="FootnoteReference"/>
          <w:rFonts w:ascii="Times New Roman" w:eastAsia="SimSun" w:hAnsi="Times New Roman"/>
          <w:noProof/>
          <w:sz w:val="20"/>
          <w:szCs w:val="20"/>
          <w:lang w:eastAsia="zh-CN" w:bidi="ar-SA"/>
        </w:rPr>
        <w:footnoteRef/>
      </w:r>
      <w:r w:rsidRPr="002B35FC">
        <w:rPr>
          <w:rStyle w:val="FootnoteReference"/>
          <w:rFonts w:ascii="Times New Roman" w:eastAsia="SimSun" w:hAnsi="Times New Roman"/>
          <w:noProof/>
          <w:lang w:eastAsia="zh-CN" w:bidi="ar-SA"/>
        </w:rPr>
        <w:t xml:space="preserve"> </w:t>
      </w:r>
      <w:r w:rsidRPr="00125BA5">
        <w:rPr>
          <w:sz w:val="20"/>
          <w:szCs w:val="20"/>
        </w:rPr>
        <w:t>Moghadam</w:t>
      </w:r>
      <w:r>
        <w:rPr>
          <w:sz w:val="20"/>
          <w:szCs w:val="20"/>
        </w:rPr>
        <w:t xml:space="preserve">, </w:t>
      </w:r>
      <w:r w:rsidRPr="00F321A7">
        <w:rPr>
          <w:i/>
          <w:sz w:val="20"/>
          <w:szCs w:val="20"/>
        </w:rPr>
        <w:t>The Globalization of Martyrdom</w:t>
      </w:r>
      <w:r>
        <w:rPr>
          <w:sz w:val="20"/>
          <w:szCs w:val="20"/>
        </w:rPr>
        <w:t>, 83.</w:t>
      </w:r>
    </w:p>
  </w:footnote>
  <w:footnote w:id="62">
    <w:p w:rsidR="00DF4630" w:rsidRPr="00125BA5" w:rsidRDefault="00DF4630" w:rsidP="00F70F3C">
      <w:pPr>
        <w:spacing w:line="240" w:lineRule="auto"/>
        <w:rPr>
          <w:sz w:val="20"/>
          <w:szCs w:val="20"/>
        </w:rPr>
      </w:pPr>
      <w:r w:rsidRPr="002B35FC">
        <w:rPr>
          <w:rStyle w:val="FootnoteReference"/>
          <w:rFonts w:ascii="Times New Roman" w:eastAsia="SimSun" w:hAnsi="Times New Roman"/>
          <w:noProof/>
          <w:sz w:val="20"/>
          <w:szCs w:val="20"/>
          <w:lang w:eastAsia="zh-CN" w:bidi="ar-SA"/>
        </w:rPr>
        <w:footnoteRef/>
      </w:r>
      <w:r w:rsidRPr="00125BA5">
        <w:rPr>
          <w:sz w:val="20"/>
          <w:szCs w:val="20"/>
        </w:rPr>
        <w:t xml:space="preserve"> Moghadam</w:t>
      </w:r>
      <w:r>
        <w:rPr>
          <w:sz w:val="20"/>
          <w:szCs w:val="20"/>
        </w:rPr>
        <w:t xml:space="preserve">, </w:t>
      </w:r>
      <w:r w:rsidRPr="00F321A7">
        <w:rPr>
          <w:i/>
          <w:sz w:val="20"/>
          <w:szCs w:val="20"/>
        </w:rPr>
        <w:t>The Globalization of Martyrdom</w:t>
      </w:r>
      <w:r>
        <w:rPr>
          <w:sz w:val="20"/>
          <w:szCs w:val="20"/>
        </w:rPr>
        <w:t xml:space="preserve">, </w:t>
      </w:r>
      <w:r w:rsidRPr="00125BA5">
        <w:rPr>
          <w:sz w:val="20"/>
          <w:szCs w:val="20"/>
        </w:rPr>
        <w:t>57.</w:t>
      </w:r>
    </w:p>
  </w:footnote>
  <w:footnote w:id="63">
    <w:p w:rsidR="00DF4630" w:rsidRPr="005F5C1A" w:rsidRDefault="00DF4630" w:rsidP="0010001E">
      <w:pPr>
        <w:spacing w:line="240" w:lineRule="auto"/>
        <w:rPr>
          <w:sz w:val="20"/>
          <w:szCs w:val="20"/>
        </w:rPr>
      </w:pPr>
      <w:r w:rsidRPr="005F5C1A">
        <w:rPr>
          <w:rStyle w:val="FootnoteReference"/>
          <w:noProof/>
          <w:sz w:val="20"/>
          <w:szCs w:val="20"/>
        </w:rPr>
        <w:footnoteRef/>
      </w:r>
      <w:r w:rsidRPr="005F5C1A">
        <w:rPr>
          <w:sz w:val="20"/>
          <w:szCs w:val="20"/>
        </w:rPr>
        <w:t xml:space="preserve"> </w:t>
      </w:r>
      <w:r w:rsidRPr="005F5C1A">
        <w:rPr>
          <w:color w:val="000000"/>
          <w:sz w:val="20"/>
          <w:szCs w:val="20"/>
        </w:rPr>
        <w:t xml:space="preserve">Firestone, Reuven. </w:t>
      </w:r>
      <w:r w:rsidRPr="005F5C1A">
        <w:rPr>
          <w:i/>
          <w:iCs/>
          <w:color w:val="000000"/>
          <w:sz w:val="20"/>
          <w:szCs w:val="20"/>
        </w:rPr>
        <w:t xml:space="preserve">Jihad: The Origin of Holy War in Islam. </w:t>
      </w:r>
      <w:r w:rsidRPr="005F5C1A">
        <w:rPr>
          <w:color w:val="000000"/>
          <w:sz w:val="20"/>
          <w:szCs w:val="20"/>
        </w:rPr>
        <w:t xml:space="preserve">New York: Oxford University Press, 1999. </w:t>
      </w:r>
      <w:r w:rsidRPr="005F5C1A">
        <w:rPr>
          <w:sz w:val="20"/>
          <w:szCs w:val="20"/>
        </w:rPr>
        <w:t xml:space="preserve"> 16.</w:t>
      </w:r>
    </w:p>
  </w:footnote>
  <w:footnote w:id="64">
    <w:p w:rsidR="00DF4630" w:rsidRPr="005F5C1A" w:rsidRDefault="00DF4630" w:rsidP="0010001E">
      <w:pPr>
        <w:spacing w:line="240" w:lineRule="auto"/>
        <w:rPr>
          <w:iCs/>
          <w:sz w:val="20"/>
          <w:szCs w:val="20"/>
        </w:rPr>
      </w:pPr>
      <w:r w:rsidRPr="005F5C1A">
        <w:rPr>
          <w:rStyle w:val="FootnoteReference"/>
          <w:noProof/>
          <w:sz w:val="20"/>
          <w:szCs w:val="20"/>
        </w:rPr>
        <w:footnoteRef/>
      </w:r>
      <w:r w:rsidRPr="005F5C1A">
        <w:rPr>
          <w:sz w:val="20"/>
          <w:szCs w:val="20"/>
        </w:rPr>
        <w:t xml:space="preserve"> </w:t>
      </w:r>
      <w:r w:rsidRPr="005F5C1A">
        <w:rPr>
          <w:iCs/>
          <w:sz w:val="20"/>
          <w:szCs w:val="20"/>
        </w:rPr>
        <w:t xml:space="preserve">Cook, David.  </w:t>
      </w:r>
      <w:r w:rsidRPr="005F5C1A">
        <w:rPr>
          <w:i/>
          <w:iCs/>
          <w:sz w:val="20"/>
          <w:szCs w:val="20"/>
        </w:rPr>
        <w:t>Martyrdom in Islam.</w:t>
      </w:r>
      <w:r w:rsidRPr="005F5C1A">
        <w:rPr>
          <w:iCs/>
          <w:sz w:val="20"/>
          <w:szCs w:val="20"/>
        </w:rPr>
        <w:t xml:space="preserve">  New York:  Cambridge University Press, 2007.  148.</w:t>
      </w:r>
    </w:p>
  </w:footnote>
  <w:footnote w:id="65">
    <w:p w:rsidR="00DF4630" w:rsidRPr="00125BA5" w:rsidRDefault="00DF4630" w:rsidP="0010001E">
      <w:pPr>
        <w:spacing w:line="240" w:lineRule="auto"/>
        <w:rPr>
          <w:sz w:val="20"/>
          <w:szCs w:val="20"/>
        </w:rPr>
      </w:pPr>
      <w:r w:rsidRPr="005F5C1A">
        <w:rPr>
          <w:rStyle w:val="FootnoteReference"/>
          <w:noProof/>
          <w:sz w:val="20"/>
          <w:szCs w:val="20"/>
        </w:rPr>
        <w:footnoteRef/>
      </w:r>
      <w:r w:rsidRPr="005F5C1A">
        <w:rPr>
          <w:sz w:val="20"/>
          <w:szCs w:val="20"/>
        </w:rPr>
        <w:t xml:space="preserve"> </w:t>
      </w:r>
      <w:r w:rsidRPr="005F5C1A">
        <w:rPr>
          <w:iCs/>
          <w:sz w:val="20"/>
          <w:szCs w:val="20"/>
        </w:rPr>
        <w:t xml:space="preserve">Cook, David. </w:t>
      </w:r>
      <w:r w:rsidRPr="005F5C1A">
        <w:rPr>
          <w:i/>
          <w:sz w:val="20"/>
          <w:szCs w:val="20"/>
        </w:rPr>
        <w:t>Understanding Jihad</w:t>
      </w:r>
      <w:r w:rsidRPr="005F5C1A">
        <w:rPr>
          <w:i/>
          <w:iCs/>
          <w:sz w:val="20"/>
          <w:szCs w:val="20"/>
        </w:rPr>
        <w:t>.</w:t>
      </w:r>
      <w:r w:rsidRPr="005F5C1A">
        <w:rPr>
          <w:iCs/>
          <w:sz w:val="20"/>
          <w:szCs w:val="20"/>
        </w:rPr>
        <w:t xml:space="preserve"> Berkeley: University of California Press, 2005.  34.</w:t>
      </w:r>
    </w:p>
  </w:footnote>
  <w:footnote w:id="66">
    <w:p w:rsidR="00DF4630" w:rsidRPr="005F5C1A" w:rsidRDefault="00DF4630" w:rsidP="0010001E">
      <w:pPr>
        <w:spacing w:line="240" w:lineRule="auto"/>
        <w:rPr>
          <w:sz w:val="20"/>
          <w:szCs w:val="20"/>
        </w:rPr>
      </w:pPr>
      <w:r w:rsidRPr="005F5C1A">
        <w:rPr>
          <w:rStyle w:val="FootnoteReference"/>
          <w:noProof/>
          <w:sz w:val="20"/>
          <w:szCs w:val="20"/>
        </w:rPr>
        <w:footnoteRef/>
      </w:r>
      <w:r w:rsidRPr="005F5C1A">
        <w:rPr>
          <w:sz w:val="20"/>
          <w:szCs w:val="20"/>
        </w:rPr>
        <w:t xml:space="preserve"> Aboul-Enein, Yousef and Sherifa Zuhur.  “Islamic Rulings on Warfare.”  </w:t>
      </w:r>
      <w:r w:rsidRPr="005F5C1A">
        <w:rPr>
          <w:i/>
          <w:iCs/>
          <w:sz w:val="20"/>
          <w:szCs w:val="20"/>
        </w:rPr>
        <w:t xml:space="preserve">Strategic Studies Institute.  </w:t>
      </w:r>
      <w:r w:rsidRPr="005F5C1A">
        <w:rPr>
          <w:sz w:val="20"/>
          <w:szCs w:val="20"/>
        </w:rPr>
        <w:t>Army War College.  October 2004.  3.</w:t>
      </w:r>
    </w:p>
  </w:footnote>
  <w:footnote w:id="67">
    <w:p w:rsidR="00DF4630" w:rsidRPr="005F5C1A" w:rsidRDefault="00DF4630" w:rsidP="0010001E">
      <w:pPr>
        <w:spacing w:line="240" w:lineRule="auto"/>
        <w:rPr>
          <w:sz w:val="20"/>
          <w:szCs w:val="20"/>
        </w:rPr>
      </w:pPr>
      <w:r w:rsidRPr="005F5C1A">
        <w:rPr>
          <w:rStyle w:val="FootnoteReference"/>
          <w:noProof/>
          <w:sz w:val="20"/>
          <w:szCs w:val="20"/>
        </w:rPr>
        <w:footnoteRef/>
      </w:r>
      <w:r w:rsidRPr="005F5C1A">
        <w:rPr>
          <w:sz w:val="20"/>
          <w:szCs w:val="20"/>
        </w:rPr>
        <w:t xml:space="preserve"> Lewis, 206.</w:t>
      </w:r>
    </w:p>
  </w:footnote>
  <w:footnote w:id="68">
    <w:p w:rsidR="00DF4630" w:rsidRPr="00F7783B" w:rsidRDefault="00DF4630" w:rsidP="00F7783B">
      <w:pPr>
        <w:spacing w:line="240" w:lineRule="auto"/>
        <w:rPr>
          <w:iCs/>
          <w:sz w:val="20"/>
          <w:szCs w:val="20"/>
        </w:rPr>
      </w:pPr>
      <w:r w:rsidRPr="005F5C1A">
        <w:rPr>
          <w:rStyle w:val="FootnoteReference"/>
          <w:noProof/>
          <w:sz w:val="20"/>
          <w:szCs w:val="20"/>
        </w:rPr>
        <w:footnoteRef/>
      </w:r>
      <w:r w:rsidRPr="005F5C1A">
        <w:rPr>
          <w:sz w:val="20"/>
          <w:szCs w:val="20"/>
        </w:rPr>
        <w:t xml:space="preserve"> Quoted in </w:t>
      </w:r>
      <w:r w:rsidRPr="00F7783B">
        <w:rPr>
          <w:iCs/>
          <w:sz w:val="20"/>
          <w:szCs w:val="20"/>
        </w:rPr>
        <w:t xml:space="preserve">Kennedy, Hugh.  </w:t>
      </w:r>
      <w:r w:rsidRPr="00F7783B">
        <w:rPr>
          <w:i/>
          <w:iCs/>
          <w:sz w:val="20"/>
          <w:szCs w:val="20"/>
        </w:rPr>
        <w:t xml:space="preserve">The Armies of the Caliphs Military and Society in the Early Islamic State.  Warfare and history.  </w:t>
      </w:r>
      <w:r w:rsidRPr="00F7783B">
        <w:rPr>
          <w:iCs/>
          <w:sz w:val="20"/>
          <w:szCs w:val="20"/>
        </w:rPr>
        <w:t>London: Routledge, 2001.</w:t>
      </w:r>
      <w:r>
        <w:rPr>
          <w:iCs/>
          <w:sz w:val="20"/>
          <w:szCs w:val="20"/>
        </w:rPr>
        <w:t xml:space="preserve">  </w:t>
      </w:r>
      <w:r w:rsidRPr="005F5C1A">
        <w:rPr>
          <w:sz w:val="20"/>
          <w:szCs w:val="20"/>
        </w:rPr>
        <w:t>113.  Sayyid Qutb refers to this incident in Milestones, 129.</w:t>
      </w:r>
    </w:p>
  </w:footnote>
  <w:footnote w:id="69">
    <w:p w:rsidR="00DF4630" w:rsidRPr="00F44E9E" w:rsidRDefault="00DF4630" w:rsidP="0010001E">
      <w:pPr>
        <w:pStyle w:val="FootnoteText"/>
        <w:rPr>
          <w:b/>
        </w:rPr>
      </w:pPr>
      <w:r w:rsidRPr="005F5C1A">
        <w:rPr>
          <w:rStyle w:val="FootnoteReference"/>
        </w:rPr>
        <w:footnoteRef/>
      </w:r>
      <w:r w:rsidRPr="005F5C1A">
        <w:t xml:space="preserve"> Historian of religion Reuven Firestone, in </w:t>
      </w:r>
      <w:r w:rsidRPr="005F5C1A">
        <w:rPr>
          <w:i/>
          <w:iCs/>
          <w:color w:val="000000"/>
        </w:rPr>
        <w:t xml:space="preserve">Jihad: The Origin of Holy War in Islam, </w:t>
      </w:r>
      <w:r w:rsidRPr="005F5C1A">
        <w:rPr>
          <w:iCs/>
          <w:color w:val="000000"/>
        </w:rPr>
        <w:t xml:space="preserve">argues that jihad in the Qur’an never meant personal striving, but in fact warfare. </w:t>
      </w:r>
      <w:r w:rsidRPr="005F5C1A">
        <w:rPr>
          <w:lang w:bidi="he-IL"/>
        </w:rPr>
        <w:t xml:space="preserve">Because the Qur’an provides no chronological and historical context for its own message, it is difficult to present a case for any one interpretation of jihad from the Qur’an (Firestone 70).  He performed a chronological exegesis from Qur’anic verses regarding jihad, using language and context to order the veres.  From this, he argues that there is evolution of pacifism to warfare against unbelievers and the People of the Book.  If one was to infer what the “final word” would be on jihad, this approach suggests the final word on jihad is warfare (Firestone 64).  The aggressive stances such as Surah 9:29 (“Fight those who believe not in Allah…”) are </w:t>
      </w:r>
      <w:r w:rsidRPr="00F44E9E">
        <w:rPr>
          <w:lang w:bidi="he-IL"/>
        </w:rPr>
        <w:t xml:space="preserve">late revelations in the Qur’an.  This is not to discuss the veracity of what jihad means or does not mean, but, in addition to the straight out bypass of jurisprudence by militants, Firestone may tap into </w:t>
      </w:r>
      <w:r w:rsidRPr="00F44E9E">
        <w:rPr>
          <w:i/>
          <w:lang w:bidi="he-IL"/>
        </w:rPr>
        <w:t xml:space="preserve">how </w:t>
      </w:r>
      <w:r w:rsidRPr="00F44E9E">
        <w:rPr>
          <w:lang w:bidi="he-IL"/>
        </w:rPr>
        <w:t>Qutbists infer from their holy text what the strategic posture one should take towards the out-group.</w:t>
      </w:r>
    </w:p>
  </w:footnote>
  <w:footnote w:id="70">
    <w:p w:rsidR="00DF4630" w:rsidRPr="00F44E9E" w:rsidRDefault="00DF4630" w:rsidP="0010001E">
      <w:pPr>
        <w:spacing w:line="240" w:lineRule="auto"/>
        <w:rPr>
          <w:sz w:val="20"/>
          <w:szCs w:val="20"/>
        </w:rPr>
      </w:pPr>
      <w:r w:rsidRPr="00F44E9E">
        <w:rPr>
          <w:rStyle w:val="FootnoteReference"/>
          <w:noProof/>
          <w:sz w:val="20"/>
          <w:szCs w:val="20"/>
        </w:rPr>
        <w:footnoteRef/>
      </w:r>
      <w:r w:rsidRPr="00F44E9E">
        <w:rPr>
          <w:sz w:val="20"/>
          <w:szCs w:val="20"/>
        </w:rPr>
        <w:t xml:space="preserve"> Moghadam, Assaf.  “Mayhem, Myths, and Martyrdom:  The Shi’a Conception of Jihad.” </w:t>
      </w:r>
      <w:r w:rsidRPr="00F44E9E">
        <w:rPr>
          <w:i/>
          <w:iCs/>
          <w:sz w:val="20"/>
          <w:szCs w:val="20"/>
        </w:rPr>
        <w:t>Terrorism and Political Violence</w:t>
      </w:r>
      <w:r w:rsidRPr="00F44E9E">
        <w:rPr>
          <w:sz w:val="20"/>
          <w:szCs w:val="20"/>
        </w:rPr>
        <w:t>.  Volume 19; 2007:  125-143.  128.</w:t>
      </w:r>
    </w:p>
  </w:footnote>
  <w:footnote w:id="71">
    <w:p w:rsidR="00DF4630" w:rsidRPr="005F5C1A" w:rsidRDefault="00DF4630" w:rsidP="007E0A5E">
      <w:pPr>
        <w:spacing w:line="240" w:lineRule="auto"/>
        <w:rPr>
          <w:sz w:val="20"/>
          <w:szCs w:val="20"/>
        </w:rPr>
      </w:pPr>
      <w:r w:rsidRPr="00F44E9E">
        <w:rPr>
          <w:rStyle w:val="FootnoteReference"/>
          <w:noProof/>
          <w:sz w:val="20"/>
          <w:szCs w:val="20"/>
        </w:rPr>
        <w:footnoteRef/>
      </w:r>
      <w:r w:rsidRPr="00F44E9E">
        <w:rPr>
          <w:sz w:val="20"/>
          <w:szCs w:val="20"/>
        </w:rPr>
        <w:t xml:space="preserve"> Moghadam, </w:t>
      </w:r>
      <w:r w:rsidRPr="00F44E9E">
        <w:rPr>
          <w:i/>
          <w:sz w:val="20"/>
          <w:szCs w:val="20"/>
        </w:rPr>
        <w:t>The Globalization of Martyrdom</w:t>
      </w:r>
      <w:r w:rsidRPr="00F44E9E">
        <w:rPr>
          <w:sz w:val="20"/>
          <w:szCs w:val="20"/>
        </w:rPr>
        <w:t>, 78.</w:t>
      </w:r>
    </w:p>
  </w:footnote>
  <w:footnote w:id="72">
    <w:p w:rsidR="00DF4630" w:rsidRPr="00125BA5" w:rsidRDefault="00DF4630" w:rsidP="00F44E9E">
      <w:pPr>
        <w:spacing w:line="240" w:lineRule="auto"/>
        <w:rPr>
          <w:sz w:val="20"/>
          <w:szCs w:val="20"/>
        </w:rPr>
      </w:pPr>
      <w:r w:rsidRPr="005F5C1A">
        <w:rPr>
          <w:rStyle w:val="FootnoteReference"/>
          <w:noProof/>
          <w:sz w:val="20"/>
          <w:szCs w:val="20"/>
        </w:rPr>
        <w:footnoteRef/>
      </w:r>
      <w:r w:rsidRPr="005F5C1A">
        <w:rPr>
          <w:sz w:val="20"/>
          <w:szCs w:val="20"/>
        </w:rPr>
        <w:t xml:space="preserve"> </w:t>
      </w:r>
      <w:r>
        <w:rPr>
          <w:sz w:val="20"/>
          <w:szCs w:val="20"/>
        </w:rPr>
        <w:t xml:space="preserve">Moghadam, </w:t>
      </w:r>
      <w:r>
        <w:rPr>
          <w:i/>
          <w:iCs/>
          <w:sz w:val="20"/>
          <w:szCs w:val="20"/>
        </w:rPr>
        <w:t>The Globalization of Martyrdom</w:t>
      </w:r>
      <w:r>
        <w:rPr>
          <w:sz w:val="20"/>
          <w:szCs w:val="20"/>
        </w:rPr>
        <w:t>,</w:t>
      </w:r>
      <w:r w:rsidRPr="005F5C1A">
        <w:rPr>
          <w:sz w:val="20"/>
          <w:szCs w:val="20"/>
        </w:rPr>
        <w:t xml:space="preserve"> 72.</w:t>
      </w:r>
    </w:p>
  </w:footnote>
  <w:footnote w:id="73">
    <w:p w:rsidR="00DF4630" w:rsidRPr="005F5C1A" w:rsidRDefault="00DF4630" w:rsidP="0010001E">
      <w:pPr>
        <w:spacing w:line="240" w:lineRule="auto"/>
        <w:rPr>
          <w:sz w:val="20"/>
          <w:szCs w:val="20"/>
        </w:rPr>
      </w:pPr>
      <w:r w:rsidRPr="005F5C1A">
        <w:rPr>
          <w:rStyle w:val="FootnoteReference"/>
          <w:noProof/>
          <w:sz w:val="20"/>
          <w:szCs w:val="20"/>
        </w:rPr>
        <w:footnoteRef/>
      </w:r>
      <w:r w:rsidRPr="005F5C1A">
        <w:rPr>
          <w:sz w:val="20"/>
          <w:szCs w:val="20"/>
        </w:rPr>
        <w:t xml:space="preserve"> Wright, Lawrence. </w:t>
      </w:r>
      <w:r w:rsidRPr="005F5C1A">
        <w:rPr>
          <w:i/>
          <w:sz w:val="20"/>
          <w:szCs w:val="20"/>
        </w:rPr>
        <w:t xml:space="preserve">The Looming Tower: Al-Qaeda and the Road to 9/11. </w:t>
      </w:r>
      <w:r w:rsidRPr="005F5C1A">
        <w:rPr>
          <w:sz w:val="20"/>
          <w:szCs w:val="20"/>
        </w:rPr>
        <w:t>New York: Knopf, 2006.  19.</w:t>
      </w:r>
    </w:p>
  </w:footnote>
  <w:footnote w:id="74">
    <w:p w:rsidR="00DF4630" w:rsidRPr="005F5C1A" w:rsidRDefault="00DF4630" w:rsidP="0010001E">
      <w:pPr>
        <w:spacing w:line="240" w:lineRule="auto"/>
        <w:rPr>
          <w:sz w:val="20"/>
          <w:szCs w:val="20"/>
        </w:rPr>
      </w:pPr>
      <w:r w:rsidRPr="005F5C1A">
        <w:rPr>
          <w:rStyle w:val="FootnoteReference"/>
          <w:noProof/>
          <w:sz w:val="20"/>
          <w:szCs w:val="20"/>
        </w:rPr>
        <w:footnoteRef/>
      </w:r>
      <w:r w:rsidRPr="005F5C1A">
        <w:rPr>
          <w:sz w:val="20"/>
          <w:szCs w:val="20"/>
        </w:rPr>
        <w:t xml:space="preserve"> Wright, 22.</w:t>
      </w:r>
    </w:p>
  </w:footnote>
  <w:footnote w:id="75">
    <w:p w:rsidR="00DF4630" w:rsidRPr="00125BA5" w:rsidRDefault="00DF4630" w:rsidP="0010001E">
      <w:pPr>
        <w:spacing w:line="240" w:lineRule="auto"/>
        <w:rPr>
          <w:sz w:val="20"/>
          <w:szCs w:val="20"/>
        </w:rPr>
      </w:pPr>
      <w:r w:rsidRPr="005F5C1A">
        <w:rPr>
          <w:rStyle w:val="FootnoteReference"/>
          <w:noProof/>
          <w:sz w:val="20"/>
          <w:szCs w:val="20"/>
        </w:rPr>
        <w:footnoteRef/>
      </w:r>
      <w:r w:rsidRPr="005F5C1A">
        <w:rPr>
          <w:sz w:val="20"/>
          <w:szCs w:val="20"/>
        </w:rPr>
        <w:t xml:space="preserve"> Cook, Understanding Jihad 103.</w:t>
      </w:r>
    </w:p>
  </w:footnote>
  <w:footnote w:id="76">
    <w:p w:rsidR="00DF4630" w:rsidRPr="005F5C1A" w:rsidRDefault="00DF4630" w:rsidP="0010001E">
      <w:pPr>
        <w:spacing w:line="240" w:lineRule="auto"/>
        <w:rPr>
          <w:sz w:val="20"/>
          <w:szCs w:val="20"/>
        </w:rPr>
      </w:pPr>
      <w:r w:rsidRPr="005F5C1A">
        <w:rPr>
          <w:rStyle w:val="FootnoteReference"/>
          <w:noProof/>
          <w:sz w:val="20"/>
          <w:szCs w:val="20"/>
        </w:rPr>
        <w:footnoteRef/>
      </w:r>
      <w:r w:rsidRPr="005F5C1A">
        <w:rPr>
          <w:sz w:val="20"/>
          <w:szCs w:val="20"/>
        </w:rPr>
        <w:t xml:space="preserve"> Wright</w:t>
      </w:r>
      <w:r w:rsidR="009918F1" w:rsidRPr="005F5C1A">
        <w:rPr>
          <w:sz w:val="20"/>
          <w:szCs w:val="20"/>
        </w:rPr>
        <w:t>, 31</w:t>
      </w:r>
      <w:r w:rsidRPr="005F5C1A">
        <w:rPr>
          <w:sz w:val="20"/>
          <w:szCs w:val="20"/>
        </w:rPr>
        <w:t>.</w:t>
      </w:r>
    </w:p>
  </w:footnote>
  <w:footnote w:id="77">
    <w:p w:rsidR="00DF4630" w:rsidRPr="005F5C1A" w:rsidRDefault="00DF4630" w:rsidP="00F44E9E">
      <w:pPr>
        <w:spacing w:line="240" w:lineRule="auto"/>
        <w:rPr>
          <w:sz w:val="20"/>
          <w:szCs w:val="20"/>
        </w:rPr>
      </w:pPr>
      <w:r w:rsidRPr="005F5C1A">
        <w:rPr>
          <w:rStyle w:val="FootnoteReference"/>
          <w:noProof/>
          <w:sz w:val="20"/>
          <w:szCs w:val="20"/>
        </w:rPr>
        <w:footnoteRef/>
      </w:r>
      <w:r w:rsidRPr="005F5C1A">
        <w:rPr>
          <w:sz w:val="20"/>
          <w:szCs w:val="20"/>
        </w:rPr>
        <w:t xml:space="preserve"> </w:t>
      </w:r>
      <w:r w:rsidRPr="00F44E9E">
        <w:rPr>
          <w:sz w:val="20"/>
          <w:szCs w:val="20"/>
        </w:rPr>
        <w:t xml:space="preserve">Qutb, Sayyid.  </w:t>
      </w:r>
      <w:r w:rsidRPr="00F44E9E">
        <w:rPr>
          <w:i/>
          <w:sz w:val="20"/>
          <w:szCs w:val="20"/>
        </w:rPr>
        <w:t xml:space="preserve">Milestones.  </w:t>
      </w:r>
      <w:r w:rsidRPr="00F44E9E">
        <w:rPr>
          <w:sz w:val="20"/>
          <w:szCs w:val="20"/>
        </w:rPr>
        <w:t>International Islamic Federation of Student Organizations.  1978.</w:t>
      </w:r>
      <w:r w:rsidRPr="005F5C1A">
        <w:rPr>
          <w:sz w:val="20"/>
          <w:szCs w:val="20"/>
        </w:rPr>
        <w:t xml:space="preserve"> 7.</w:t>
      </w:r>
      <w:r>
        <w:rPr>
          <w:sz w:val="20"/>
          <w:szCs w:val="20"/>
        </w:rPr>
        <w:t xml:space="preserve">  See also 11, 14-15, and 21 </w:t>
      </w:r>
    </w:p>
  </w:footnote>
  <w:footnote w:id="78">
    <w:p w:rsidR="00DF4630" w:rsidRPr="00F44E9E" w:rsidRDefault="00DF4630" w:rsidP="00B135C6">
      <w:pPr>
        <w:spacing w:line="240" w:lineRule="auto"/>
        <w:rPr>
          <w:sz w:val="20"/>
          <w:szCs w:val="20"/>
        </w:rPr>
      </w:pPr>
      <w:r w:rsidRPr="00F44E9E">
        <w:rPr>
          <w:rStyle w:val="FootnoteReference"/>
          <w:noProof/>
          <w:sz w:val="20"/>
          <w:szCs w:val="20"/>
        </w:rPr>
        <w:footnoteRef/>
      </w:r>
      <w:r w:rsidRPr="00F44E9E">
        <w:rPr>
          <w:sz w:val="20"/>
          <w:szCs w:val="20"/>
        </w:rPr>
        <w:t xml:space="preserve"> Qutb, 15.</w:t>
      </w:r>
    </w:p>
  </w:footnote>
  <w:footnote w:id="79">
    <w:p w:rsidR="00DF4630" w:rsidRPr="00F44E9E" w:rsidRDefault="00DF4630" w:rsidP="0010001E">
      <w:pPr>
        <w:spacing w:line="240" w:lineRule="auto"/>
        <w:rPr>
          <w:sz w:val="20"/>
          <w:szCs w:val="20"/>
        </w:rPr>
      </w:pPr>
      <w:r w:rsidRPr="00F44E9E">
        <w:rPr>
          <w:rStyle w:val="FootnoteReference"/>
          <w:noProof/>
          <w:sz w:val="20"/>
          <w:szCs w:val="20"/>
        </w:rPr>
        <w:footnoteRef/>
      </w:r>
      <w:r w:rsidRPr="00F44E9E">
        <w:rPr>
          <w:sz w:val="20"/>
          <w:szCs w:val="20"/>
        </w:rPr>
        <w:t xml:space="preserve"> Qutb, 32.</w:t>
      </w:r>
    </w:p>
  </w:footnote>
  <w:footnote w:id="80">
    <w:p w:rsidR="00DF4630" w:rsidRPr="00F44E9E" w:rsidRDefault="00DF4630" w:rsidP="0010001E">
      <w:pPr>
        <w:spacing w:line="240" w:lineRule="auto"/>
        <w:rPr>
          <w:sz w:val="20"/>
          <w:szCs w:val="20"/>
        </w:rPr>
      </w:pPr>
      <w:r w:rsidRPr="00F44E9E">
        <w:rPr>
          <w:rStyle w:val="FootnoteReference"/>
          <w:noProof/>
          <w:sz w:val="20"/>
          <w:szCs w:val="20"/>
        </w:rPr>
        <w:footnoteRef/>
      </w:r>
      <w:r w:rsidRPr="00F44E9E">
        <w:rPr>
          <w:sz w:val="20"/>
          <w:szCs w:val="20"/>
        </w:rPr>
        <w:t xml:space="preserve"> Moghadam, Assaf.  “Mayhem, Myths, and Martyrdom:  The Shi’a Conception of Jihad.” 128.</w:t>
      </w:r>
    </w:p>
  </w:footnote>
  <w:footnote w:id="81">
    <w:p w:rsidR="00DF4630" w:rsidRPr="00125BA5" w:rsidRDefault="00DF4630" w:rsidP="00685297">
      <w:pPr>
        <w:spacing w:line="240" w:lineRule="auto"/>
        <w:rPr>
          <w:sz w:val="20"/>
          <w:szCs w:val="20"/>
        </w:rPr>
      </w:pPr>
      <w:r w:rsidRPr="00F44E9E">
        <w:rPr>
          <w:rStyle w:val="FootnoteReference"/>
          <w:noProof/>
          <w:sz w:val="20"/>
          <w:szCs w:val="20"/>
        </w:rPr>
        <w:footnoteRef/>
      </w:r>
      <w:r w:rsidRPr="00F44E9E">
        <w:rPr>
          <w:sz w:val="20"/>
          <w:szCs w:val="20"/>
        </w:rPr>
        <w:t xml:space="preserve"> Qutb, 236.</w:t>
      </w:r>
    </w:p>
  </w:footnote>
  <w:footnote w:id="82">
    <w:p w:rsidR="00DF4630" w:rsidRPr="00F44E9E" w:rsidRDefault="00DF4630" w:rsidP="0010001E">
      <w:pPr>
        <w:spacing w:line="240" w:lineRule="auto"/>
        <w:rPr>
          <w:sz w:val="20"/>
          <w:szCs w:val="20"/>
        </w:rPr>
      </w:pPr>
      <w:r w:rsidRPr="00F44E9E">
        <w:rPr>
          <w:rStyle w:val="FootnoteReference"/>
          <w:noProof/>
          <w:sz w:val="20"/>
          <w:szCs w:val="20"/>
        </w:rPr>
        <w:footnoteRef/>
      </w:r>
      <w:r w:rsidRPr="00F44E9E">
        <w:rPr>
          <w:sz w:val="20"/>
          <w:szCs w:val="20"/>
        </w:rPr>
        <w:t xml:space="preserve"> Qutb, Milestones 114. And Cook, Understanding Jihad 104</w:t>
      </w:r>
    </w:p>
  </w:footnote>
  <w:footnote w:id="83">
    <w:p w:rsidR="00DF4630" w:rsidRPr="00F44E9E" w:rsidRDefault="00DF4630" w:rsidP="0010001E">
      <w:pPr>
        <w:spacing w:line="240" w:lineRule="auto"/>
        <w:rPr>
          <w:sz w:val="20"/>
          <w:szCs w:val="20"/>
        </w:rPr>
      </w:pPr>
      <w:r w:rsidRPr="00F44E9E">
        <w:rPr>
          <w:rStyle w:val="FootnoteReference"/>
          <w:noProof/>
          <w:sz w:val="20"/>
          <w:szCs w:val="20"/>
        </w:rPr>
        <w:footnoteRef/>
      </w:r>
      <w:r w:rsidRPr="00F44E9E">
        <w:rPr>
          <w:sz w:val="20"/>
          <w:szCs w:val="20"/>
        </w:rPr>
        <w:t xml:space="preserve"> Qutb, 127.</w:t>
      </w:r>
    </w:p>
  </w:footnote>
  <w:footnote w:id="84">
    <w:p w:rsidR="00DF4630" w:rsidRPr="00125BA5" w:rsidRDefault="00DF4630" w:rsidP="00685297">
      <w:pPr>
        <w:spacing w:line="240" w:lineRule="auto"/>
        <w:rPr>
          <w:sz w:val="20"/>
          <w:szCs w:val="20"/>
        </w:rPr>
      </w:pPr>
      <w:r w:rsidRPr="00125BA5">
        <w:rPr>
          <w:rStyle w:val="FootnoteReference"/>
          <w:noProof/>
        </w:rPr>
        <w:footnoteRef/>
      </w:r>
      <w:r w:rsidRPr="00125BA5">
        <w:rPr>
          <w:sz w:val="20"/>
          <w:szCs w:val="20"/>
        </w:rPr>
        <w:t xml:space="preserve"> Qutb, 127.</w:t>
      </w:r>
    </w:p>
  </w:footnote>
  <w:footnote w:id="85">
    <w:p w:rsidR="00DF4630" w:rsidRPr="00125BA5" w:rsidRDefault="00DF4630" w:rsidP="006D7816">
      <w:pPr>
        <w:spacing w:line="240" w:lineRule="auto"/>
        <w:rPr>
          <w:sz w:val="20"/>
          <w:szCs w:val="20"/>
        </w:rPr>
      </w:pPr>
      <w:r w:rsidRPr="00125BA5">
        <w:rPr>
          <w:rStyle w:val="FootnoteReference"/>
          <w:noProof/>
          <w:sz w:val="20"/>
          <w:szCs w:val="20"/>
        </w:rPr>
        <w:footnoteRef/>
      </w:r>
      <w:r w:rsidRPr="00125BA5">
        <w:rPr>
          <w:sz w:val="20"/>
          <w:szCs w:val="20"/>
        </w:rPr>
        <w:t xml:space="preserve"> Wright, 79.</w:t>
      </w:r>
    </w:p>
  </w:footnote>
  <w:footnote w:id="86">
    <w:p w:rsidR="00DF4630" w:rsidRPr="006C5A07" w:rsidRDefault="00DF4630" w:rsidP="00685297">
      <w:pPr>
        <w:spacing w:line="240" w:lineRule="auto"/>
        <w:rPr>
          <w:sz w:val="20"/>
          <w:szCs w:val="20"/>
        </w:rPr>
      </w:pPr>
      <w:r w:rsidRPr="006C5A07">
        <w:rPr>
          <w:rStyle w:val="FootnoteReference"/>
          <w:noProof/>
          <w:sz w:val="20"/>
          <w:szCs w:val="20"/>
        </w:rPr>
        <w:footnoteRef/>
      </w:r>
      <w:r w:rsidRPr="006C5A07">
        <w:rPr>
          <w:sz w:val="20"/>
          <w:szCs w:val="20"/>
        </w:rPr>
        <w:t xml:space="preserve"> Wright, 301.</w:t>
      </w:r>
    </w:p>
  </w:footnote>
  <w:footnote w:id="87">
    <w:p w:rsidR="00DF4630" w:rsidRPr="006C5A07" w:rsidRDefault="00DF4630" w:rsidP="007E65CF">
      <w:pPr>
        <w:spacing w:line="240" w:lineRule="auto"/>
        <w:rPr>
          <w:sz w:val="20"/>
          <w:szCs w:val="20"/>
        </w:rPr>
      </w:pPr>
      <w:r w:rsidRPr="006C5A07">
        <w:rPr>
          <w:rStyle w:val="FootnoteReference"/>
          <w:noProof/>
          <w:sz w:val="20"/>
          <w:szCs w:val="20"/>
        </w:rPr>
        <w:footnoteRef/>
      </w:r>
      <w:r w:rsidRPr="006C5A07">
        <w:rPr>
          <w:sz w:val="20"/>
          <w:szCs w:val="20"/>
        </w:rPr>
        <w:t xml:space="preserve"> Sageman, Marc. 2008. </w:t>
      </w:r>
      <w:r w:rsidRPr="006C5A07">
        <w:rPr>
          <w:i/>
          <w:iCs/>
          <w:sz w:val="20"/>
          <w:szCs w:val="20"/>
        </w:rPr>
        <w:t>Leaderless jihad: terror networks in the twenty-first century</w:t>
      </w:r>
      <w:r w:rsidRPr="006C5A07">
        <w:rPr>
          <w:sz w:val="20"/>
          <w:szCs w:val="20"/>
        </w:rPr>
        <w:t>. Philadelphia: University of Pennsylvania Press. 51.</w:t>
      </w:r>
    </w:p>
  </w:footnote>
  <w:footnote w:id="88">
    <w:p w:rsidR="00DF4630" w:rsidRPr="006C5A07" w:rsidRDefault="00DF4630" w:rsidP="007E65CF">
      <w:pPr>
        <w:spacing w:line="240" w:lineRule="auto"/>
        <w:rPr>
          <w:sz w:val="20"/>
          <w:szCs w:val="20"/>
        </w:rPr>
      </w:pPr>
      <w:r w:rsidRPr="006C5A07">
        <w:rPr>
          <w:rStyle w:val="FootnoteReference"/>
          <w:noProof/>
          <w:sz w:val="20"/>
          <w:szCs w:val="20"/>
        </w:rPr>
        <w:footnoteRef/>
      </w:r>
      <w:r w:rsidRPr="006C5A07">
        <w:rPr>
          <w:sz w:val="20"/>
          <w:szCs w:val="20"/>
        </w:rPr>
        <w:t xml:space="preserve"> Sageman, 58, 62, and 65.</w:t>
      </w:r>
      <w:r>
        <w:rPr>
          <w:sz w:val="20"/>
          <w:szCs w:val="20"/>
        </w:rPr>
        <w:t xml:space="preserve">  </w:t>
      </w:r>
    </w:p>
  </w:footnote>
  <w:footnote w:id="89">
    <w:p w:rsidR="00DF4630" w:rsidRPr="00125BA5" w:rsidRDefault="00DF4630" w:rsidP="007E65CF">
      <w:pPr>
        <w:spacing w:line="240" w:lineRule="auto"/>
        <w:rPr>
          <w:sz w:val="20"/>
          <w:szCs w:val="20"/>
        </w:rPr>
      </w:pPr>
      <w:r w:rsidRPr="006C5A07">
        <w:rPr>
          <w:rStyle w:val="FootnoteReference"/>
          <w:noProof/>
          <w:sz w:val="20"/>
          <w:szCs w:val="20"/>
        </w:rPr>
        <w:footnoteRef/>
      </w:r>
      <w:r w:rsidRPr="006C5A07">
        <w:rPr>
          <w:sz w:val="20"/>
          <w:szCs w:val="20"/>
        </w:rPr>
        <w:t xml:space="preserve"> Curcio, Sharon.  “Generational Differences in Waging Jihad.”  </w:t>
      </w:r>
      <w:r w:rsidRPr="006C5A07">
        <w:rPr>
          <w:i/>
          <w:sz w:val="20"/>
          <w:szCs w:val="20"/>
        </w:rPr>
        <w:t>Military Review.</w:t>
      </w:r>
      <w:r w:rsidRPr="006C5A07">
        <w:rPr>
          <w:sz w:val="20"/>
          <w:szCs w:val="20"/>
        </w:rPr>
        <w:t xml:space="preserve">  July-August 2005.</w:t>
      </w:r>
    </w:p>
  </w:footnote>
  <w:footnote w:id="90">
    <w:p w:rsidR="00DF4630" w:rsidRDefault="00DF4630" w:rsidP="00B860AA">
      <w:pPr>
        <w:spacing w:line="240" w:lineRule="auto"/>
        <w:rPr>
          <w:sz w:val="20"/>
          <w:szCs w:val="20"/>
        </w:rPr>
      </w:pPr>
      <w:r>
        <w:rPr>
          <w:rStyle w:val="FootnoteReference"/>
          <w:noProof/>
          <w:sz w:val="20"/>
          <w:szCs w:val="20"/>
        </w:rPr>
        <w:footnoteRef/>
      </w:r>
      <w:r>
        <w:rPr>
          <w:sz w:val="20"/>
          <w:szCs w:val="20"/>
        </w:rPr>
        <w:t xml:space="preserve"> Merari, Ariel, Ilan Diamant, Arie Bibi, Yoav Broshi, and Giora Zakin. 2009. "Personality Characteristics of Self Martyrs/Suicide Bombers and Organizers of Suicide Attacks."  </w:t>
      </w:r>
      <w:r>
        <w:rPr>
          <w:i/>
          <w:iCs/>
          <w:sz w:val="20"/>
          <w:szCs w:val="20"/>
        </w:rPr>
        <w:t>Terrorism and Political Violence. </w:t>
      </w:r>
      <w:r>
        <w:rPr>
          <w:sz w:val="20"/>
          <w:szCs w:val="20"/>
        </w:rPr>
        <w:t xml:space="preserve">22, no. 1: 87.  94.  See also </w:t>
      </w:r>
      <w:r w:rsidRPr="00B860AA">
        <w:rPr>
          <w:sz w:val="20"/>
          <w:szCs w:val="20"/>
        </w:rPr>
        <w:t xml:space="preserve">Merari, Ariel.  </w:t>
      </w:r>
      <w:r w:rsidRPr="00B860AA">
        <w:rPr>
          <w:i/>
          <w:sz w:val="20"/>
          <w:szCs w:val="20"/>
        </w:rPr>
        <w:t xml:space="preserve">Driven to Death: Psychological and Social Aspects of Suicide Terrorism.  </w:t>
      </w:r>
      <w:r w:rsidRPr="00B860AA">
        <w:rPr>
          <w:sz w:val="20"/>
          <w:szCs w:val="20"/>
        </w:rPr>
        <w:t>New York: Oxford University Press, 2010.</w:t>
      </w:r>
      <w:r>
        <w:rPr>
          <w:sz w:val="20"/>
          <w:szCs w:val="20"/>
        </w:rPr>
        <w:t xml:space="preserve">  There are two objections with this research—first, failed suicide bombers may exhibit depression because they failed and were captured, instead of experiencing depression before the desire to be a martyr.  Second, contemplating martyrdom is a form of suicide ideation, which may have led to noticeable suicidal tendencies once captured.  However, Merari’s data gives reason to believe depression does drive a certain number of suicide bombers.</w:t>
      </w:r>
    </w:p>
  </w:footnote>
  <w:footnote w:id="91">
    <w:p w:rsidR="00DF4630" w:rsidRPr="00125BA5" w:rsidRDefault="00DF4630" w:rsidP="00B860AA">
      <w:pPr>
        <w:spacing w:line="240" w:lineRule="auto"/>
        <w:rPr>
          <w:sz w:val="20"/>
          <w:szCs w:val="20"/>
        </w:rPr>
      </w:pPr>
      <w:r w:rsidRPr="00125BA5">
        <w:rPr>
          <w:rStyle w:val="FootnoteReference"/>
          <w:noProof/>
          <w:sz w:val="20"/>
          <w:szCs w:val="20"/>
        </w:rPr>
        <w:footnoteRef/>
      </w:r>
      <w:r w:rsidRPr="00125BA5">
        <w:rPr>
          <w:sz w:val="20"/>
          <w:szCs w:val="20"/>
        </w:rPr>
        <w:t xml:space="preserve"> Weimann, Gabriel.  “Al Qaida’s Extensive Use of the Internet.” </w:t>
      </w:r>
      <w:r w:rsidRPr="00125BA5">
        <w:rPr>
          <w:i/>
          <w:iCs/>
          <w:sz w:val="20"/>
          <w:szCs w:val="20"/>
        </w:rPr>
        <w:t>CTC Sentinel</w:t>
      </w:r>
      <w:r w:rsidRPr="00125BA5">
        <w:rPr>
          <w:sz w:val="20"/>
          <w:szCs w:val="20"/>
        </w:rPr>
        <w:t xml:space="preserve">. Vol 1, Issue 2: January 2008.  6-7. </w:t>
      </w:r>
    </w:p>
  </w:footnote>
  <w:footnote w:id="92">
    <w:p w:rsidR="00DF4630" w:rsidRDefault="00DF4630" w:rsidP="00B860AA">
      <w:pPr>
        <w:pStyle w:val="FootnoteText"/>
      </w:pPr>
      <w:r>
        <w:rPr>
          <w:rStyle w:val="FootnoteReference"/>
        </w:rPr>
        <w:footnoteRef/>
      </w:r>
      <w:r>
        <w:t xml:space="preserve"> </w:t>
      </w:r>
      <w:r w:rsidRPr="0046369F">
        <w:t xml:space="preserve">Pelley, Scott.  “Jihad.com;  Jihadists using Internet to Recruit and Train Warriors, Suicide Bombers.”  </w:t>
      </w:r>
      <w:r w:rsidRPr="0046369F">
        <w:rPr>
          <w:i/>
          <w:iCs/>
        </w:rPr>
        <w:t>CBS News Transcripts</w:t>
      </w:r>
      <w:r w:rsidRPr="0046369F">
        <w:t>.  4 March (2007).  LexisNexi</w:t>
      </w:r>
      <w:r>
        <w:t>s.  Accessed 15 January (2009).</w:t>
      </w:r>
    </w:p>
  </w:footnote>
  <w:footnote w:id="93">
    <w:p w:rsidR="00DF4630" w:rsidRDefault="00DF4630" w:rsidP="007E65CF">
      <w:pPr>
        <w:pStyle w:val="FootnoteText"/>
      </w:pPr>
      <w:r>
        <w:rPr>
          <w:rStyle w:val="FootnoteReference"/>
        </w:rPr>
        <w:footnoteRef/>
      </w:r>
      <w:r>
        <w:t xml:space="preserve"> </w:t>
      </w:r>
      <w:r w:rsidRPr="00EB2E30">
        <w:t>United States. </w:t>
      </w:r>
      <w:r w:rsidRPr="00EB2E30">
        <w:rPr>
          <w:i/>
          <w:iCs/>
        </w:rPr>
        <w:t>Violent Islamist Extremism, the Internet, and the Homegrown Terrorist Threat Minority and Majority Staff Report ; Joseph Lieberman, Chairman, Susan Collins, Ranking Minority Member</w:t>
      </w:r>
      <w:r w:rsidRPr="00EB2E30">
        <w:t xml:space="preserve">. [Washington, D.C.]: [U.S. Senate Committee on Homeland Security and Governmental Affairs], 2008. &lt;http://purl.fdlp.gov/GPO/gpo29862&gt;.  </w:t>
      </w:r>
      <w:r>
        <w:t>13.</w:t>
      </w:r>
    </w:p>
  </w:footnote>
  <w:footnote w:id="94">
    <w:p w:rsidR="00DF4630" w:rsidRPr="00125BA5" w:rsidRDefault="00DF4630" w:rsidP="00B860AA">
      <w:pPr>
        <w:spacing w:line="240" w:lineRule="auto"/>
        <w:rPr>
          <w:sz w:val="20"/>
          <w:szCs w:val="20"/>
        </w:rPr>
      </w:pPr>
      <w:r w:rsidRPr="00125BA5">
        <w:rPr>
          <w:rStyle w:val="FootnoteReference"/>
          <w:noProof/>
          <w:sz w:val="20"/>
          <w:szCs w:val="20"/>
        </w:rPr>
        <w:footnoteRef/>
      </w:r>
      <w:r w:rsidRPr="00125BA5">
        <w:rPr>
          <w:sz w:val="20"/>
          <w:szCs w:val="20"/>
        </w:rPr>
        <w:t xml:space="preserve"> </w:t>
      </w:r>
      <w:r w:rsidRPr="00B860AA">
        <w:rPr>
          <w:sz w:val="20"/>
          <w:szCs w:val="20"/>
        </w:rPr>
        <w:t xml:space="preserve">Perl, Raphael.  </w:t>
      </w:r>
      <w:r w:rsidRPr="00B860AA">
        <w:rPr>
          <w:i/>
          <w:iCs/>
          <w:sz w:val="20"/>
          <w:szCs w:val="20"/>
        </w:rPr>
        <w:t>Trends in Terrorism: 2006</w:t>
      </w:r>
      <w:r w:rsidRPr="00B860AA">
        <w:rPr>
          <w:sz w:val="20"/>
          <w:szCs w:val="20"/>
        </w:rPr>
        <w:t>.  [Washington, D.C.]: Congressional Research Service, Library of Congress, 2006</w:t>
      </w:r>
      <w:r>
        <w:rPr>
          <w:sz w:val="20"/>
          <w:szCs w:val="20"/>
        </w:rPr>
        <w:t xml:space="preserve">. </w:t>
      </w:r>
      <w:r w:rsidRPr="00125BA5">
        <w:rPr>
          <w:sz w:val="20"/>
          <w:szCs w:val="20"/>
        </w:rPr>
        <w:t>5.</w:t>
      </w:r>
    </w:p>
  </w:footnote>
  <w:footnote w:id="95">
    <w:p w:rsidR="00DF4630" w:rsidRPr="00125BA5" w:rsidRDefault="00DF4630" w:rsidP="007E65CF">
      <w:pPr>
        <w:spacing w:line="240" w:lineRule="auto"/>
        <w:rPr>
          <w:sz w:val="20"/>
          <w:szCs w:val="20"/>
        </w:rPr>
      </w:pPr>
      <w:r w:rsidRPr="00125BA5">
        <w:rPr>
          <w:rStyle w:val="FootnoteReference"/>
          <w:noProof/>
          <w:sz w:val="20"/>
          <w:szCs w:val="20"/>
        </w:rPr>
        <w:footnoteRef/>
      </w:r>
      <w:r w:rsidRPr="00125BA5">
        <w:rPr>
          <w:sz w:val="20"/>
          <w:szCs w:val="20"/>
        </w:rPr>
        <w:t xml:space="preserve"> Speckhard, Anne.  “Understanding Suicide Terrorism:  Countering Human Bombs and Their Senders” in </w:t>
      </w:r>
      <w:r w:rsidRPr="00125BA5">
        <w:rPr>
          <w:i/>
          <w:sz w:val="20"/>
          <w:szCs w:val="20"/>
        </w:rPr>
        <w:t>Topics in Terrorism:  Toward a Transatlantic Consensus on the Nature of the Threat</w:t>
      </w:r>
      <w:r w:rsidR="009918F1" w:rsidRPr="00125BA5">
        <w:rPr>
          <w:sz w:val="20"/>
          <w:szCs w:val="20"/>
        </w:rPr>
        <w:t>” (</w:t>
      </w:r>
      <w:r w:rsidRPr="00125BA5">
        <w:rPr>
          <w:sz w:val="20"/>
          <w:szCs w:val="20"/>
        </w:rPr>
        <w:t xml:space="preserve">Volume 1)  Eds.  Jason S. Purcell and Joshua D. Weintraub </w:t>
      </w:r>
      <w:r w:rsidRPr="00125BA5">
        <w:rPr>
          <w:sz w:val="20"/>
          <w:szCs w:val="20"/>
          <w:u w:val="single"/>
        </w:rPr>
        <w:t xml:space="preserve">Atlantic </w:t>
      </w:r>
      <w:r w:rsidR="009918F1" w:rsidRPr="00125BA5">
        <w:rPr>
          <w:sz w:val="20"/>
          <w:szCs w:val="20"/>
          <w:u w:val="single"/>
        </w:rPr>
        <w:t xml:space="preserve">Council </w:t>
      </w:r>
      <w:r w:rsidR="009918F1" w:rsidRPr="00125BA5">
        <w:rPr>
          <w:sz w:val="20"/>
          <w:szCs w:val="20"/>
        </w:rPr>
        <w:t>Publication</w:t>
      </w:r>
      <w:r w:rsidRPr="00125BA5">
        <w:rPr>
          <w:sz w:val="20"/>
          <w:szCs w:val="20"/>
        </w:rPr>
        <w:t xml:space="preserve"> 2005.</w:t>
      </w:r>
    </w:p>
  </w:footnote>
  <w:footnote w:id="96">
    <w:p w:rsidR="00DF4630" w:rsidRPr="00125BA5" w:rsidRDefault="00DF4630" w:rsidP="007E65CF">
      <w:pPr>
        <w:spacing w:line="240" w:lineRule="auto"/>
        <w:rPr>
          <w:sz w:val="20"/>
          <w:szCs w:val="20"/>
        </w:rPr>
      </w:pPr>
      <w:r w:rsidRPr="00125BA5">
        <w:rPr>
          <w:rStyle w:val="FootnoteReference"/>
          <w:noProof/>
          <w:sz w:val="20"/>
          <w:szCs w:val="20"/>
        </w:rPr>
        <w:footnoteRef/>
      </w:r>
      <w:r w:rsidRPr="00125BA5">
        <w:rPr>
          <w:sz w:val="20"/>
          <w:szCs w:val="20"/>
        </w:rPr>
        <w:t xml:space="preserve"> Sageman, 114.</w:t>
      </w:r>
    </w:p>
  </w:footnote>
  <w:footnote w:id="97">
    <w:p w:rsidR="00DF4630" w:rsidRDefault="00DF4630" w:rsidP="006A721C">
      <w:pPr>
        <w:pStyle w:val="FootnoteText"/>
      </w:pPr>
      <w:r>
        <w:rPr>
          <w:rStyle w:val="FootnoteReference"/>
        </w:rPr>
        <w:footnoteRef/>
      </w:r>
      <w:r>
        <w:t xml:space="preserve"> </w:t>
      </w:r>
      <w:r w:rsidRPr="006A721C">
        <w:t xml:space="preserve">Weiss, Michael; Hassan, Hassan (2015-01-29).  </w:t>
      </w:r>
      <w:r w:rsidRPr="006A721C">
        <w:rPr>
          <w:i/>
        </w:rPr>
        <w:t xml:space="preserve">ISIS: Inside the Army of Terror.  </w:t>
      </w:r>
      <w:r w:rsidRPr="006A721C">
        <w:t>Regan Arts.  Kindle Edition</w:t>
      </w:r>
      <w:r>
        <w:t>.</w:t>
      </w:r>
      <w:r w:rsidRPr="002D6485">
        <w:t xml:space="preserve"> </w:t>
      </w:r>
      <w:r>
        <w:t>2.</w:t>
      </w:r>
    </w:p>
  </w:footnote>
  <w:footnote w:id="98">
    <w:p w:rsidR="00DF4630" w:rsidRPr="00125BA5" w:rsidRDefault="00DF4630" w:rsidP="006A721C">
      <w:pPr>
        <w:spacing w:line="240" w:lineRule="auto"/>
        <w:rPr>
          <w:sz w:val="20"/>
          <w:szCs w:val="20"/>
        </w:rPr>
      </w:pPr>
      <w:r w:rsidRPr="00125BA5">
        <w:rPr>
          <w:rStyle w:val="FootnoteReference"/>
          <w:noProof/>
          <w:sz w:val="20"/>
          <w:szCs w:val="20"/>
        </w:rPr>
        <w:footnoteRef/>
      </w:r>
      <w:r w:rsidRPr="00125BA5">
        <w:rPr>
          <w:sz w:val="20"/>
          <w:szCs w:val="20"/>
        </w:rPr>
        <w:t xml:space="preserve"> Maher, Shiraz.  “The roots of radicalization?  It’s identity, stupid.”  </w:t>
      </w:r>
      <w:r w:rsidRPr="00125BA5">
        <w:rPr>
          <w:i/>
          <w:sz w:val="20"/>
          <w:szCs w:val="20"/>
        </w:rPr>
        <w:t xml:space="preserve">The Guardian. </w:t>
      </w:r>
      <w:r w:rsidRPr="00125BA5">
        <w:rPr>
          <w:sz w:val="20"/>
          <w:szCs w:val="20"/>
        </w:rPr>
        <w:t xml:space="preserve"> 17 June 2015.</w:t>
      </w:r>
    </w:p>
  </w:footnote>
  <w:footnote w:id="99">
    <w:p w:rsidR="00DF4630" w:rsidRPr="00125BA5" w:rsidRDefault="00DF4630" w:rsidP="007E65CF">
      <w:pPr>
        <w:spacing w:line="240" w:lineRule="auto"/>
        <w:rPr>
          <w:sz w:val="20"/>
          <w:szCs w:val="20"/>
        </w:rPr>
      </w:pPr>
      <w:r w:rsidRPr="00125BA5">
        <w:rPr>
          <w:rStyle w:val="FootnoteReference"/>
          <w:noProof/>
          <w:sz w:val="20"/>
          <w:szCs w:val="20"/>
        </w:rPr>
        <w:footnoteRef/>
      </w:r>
      <w:r w:rsidRPr="00125BA5">
        <w:rPr>
          <w:sz w:val="20"/>
          <w:szCs w:val="20"/>
        </w:rPr>
        <w:t xml:space="preserve"> Sinno, Sarah.  “The defectors’ handbook to destroying the Islamic State.”  </w:t>
      </w:r>
      <w:r w:rsidRPr="00125BA5">
        <w:rPr>
          <w:i/>
          <w:sz w:val="20"/>
          <w:szCs w:val="20"/>
        </w:rPr>
        <w:t xml:space="preserve">Daily Telegraph.  </w:t>
      </w:r>
      <w:r w:rsidRPr="00125BA5">
        <w:rPr>
          <w:sz w:val="20"/>
          <w:szCs w:val="20"/>
        </w:rPr>
        <w:t xml:space="preserve">23 September 2015.  </w:t>
      </w:r>
    </w:p>
  </w:footnote>
  <w:footnote w:id="100">
    <w:p w:rsidR="00DF4630" w:rsidRPr="00125BA5" w:rsidRDefault="00DF4630" w:rsidP="007E65CF">
      <w:pPr>
        <w:spacing w:line="240" w:lineRule="auto"/>
        <w:rPr>
          <w:sz w:val="20"/>
          <w:szCs w:val="20"/>
        </w:rPr>
      </w:pPr>
      <w:r w:rsidRPr="00125BA5">
        <w:rPr>
          <w:rStyle w:val="FootnoteReference"/>
          <w:noProof/>
          <w:sz w:val="20"/>
          <w:szCs w:val="20"/>
        </w:rPr>
        <w:footnoteRef/>
      </w:r>
      <w:r w:rsidRPr="00125BA5">
        <w:rPr>
          <w:sz w:val="20"/>
          <w:szCs w:val="20"/>
        </w:rPr>
        <w:t xml:space="preserve"> Sageman, 117.</w:t>
      </w:r>
    </w:p>
  </w:footnote>
  <w:footnote w:id="101">
    <w:p w:rsidR="00DF4630" w:rsidRPr="006C5A07" w:rsidRDefault="00DF4630" w:rsidP="007E65CF">
      <w:pPr>
        <w:spacing w:line="240" w:lineRule="auto"/>
        <w:rPr>
          <w:sz w:val="20"/>
          <w:szCs w:val="20"/>
        </w:rPr>
      </w:pPr>
      <w:r w:rsidRPr="006C5A07">
        <w:rPr>
          <w:rStyle w:val="FootnoteReference"/>
          <w:noProof/>
          <w:sz w:val="20"/>
          <w:szCs w:val="20"/>
        </w:rPr>
        <w:footnoteRef/>
      </w:r>
      <w:r w:rsidRPr="006C5A07">
        <w:rPr>
          <w:sz w:val="20"/>
          <w:szCs w:val="20"/>
        </w:rPr>
        <w:t xml:space="preserve"> Roy, Olivier. 2004. </w:t>
      </w:r>
      <w:r w:rsidRPr="006C5A07">
        <w:rPr>
          <w:i/>
          <w:iCs/>
          <w:sz w:val="20"/>
          <w:szCs w:val="20"/>
        </w:rPr>
        <w:t xml:space="preserve">Globalized Islam: the search for a new </w:t>
      </w:r>
      <w:r w:rsidRPr="009D0132">
        <w:rPr>
          <w:i/>
          <w:iCs/>
          <w:sz w:val="20"/>
          <w:szCs w:val="20"/>
        </w:rPr>
        <w:t>Ummah</w:t>
      </w:r>
      <w:r w:rsidRPr="006C5A07">
        <w:rPr>
          <w:sz w:val="20"/>
          <w:szCs w:val="20"/>
        </w:rPr>
        <w:t>. The CERI series in comparative politics and international studies. New York: Columbia University Press.  4.</w:t>
      </w:r>
      <w:r>
        <w:rPr>
          <w:sz w:val="20"/>
          <w:szCs w:val="20"/>
        </w:rPr>
        <w:t xml:space="preserve">  18.</w:t>
      </w:r>
    </w:p>
  </w:footnote>
  <w:footnote w:id="102">
    <w:p w:rsidR="00DF4630" w:rsidRPr="006C5A07" w:rsidRDefault="00DF4630" w:rsidP="000645BF">
      <w:pPr>
        <w:spacing w:line="240" w:lineRule="auto"/>
        <w:rPr>
          <w:sz w:val="20"/>
          <w:szCs w:val="20"/>
        </w:rPr>
      </w:pPr>
      <w:r w:rsidRPr="006C5A07">
        <w:rPr>
          <w:rStyle w:val="FootnoteReference"/>
          <w:noProof/>
          <w:sz w:val="20"/>
          <w:szCs w:val="20"/>
        </w:rPr>
        <w:footnoteRef/>
      </w:r>
      <w:r w:rsidRPr="006C5A07">
        <w:rPr>
          <w:sz w:val="20"/>
          <w:szCs w:val="20"/>
        </w:rPr>
        <w:t xml:space="preserve"> Moghadam, </w:t>
      </w:r>
      <w:r w:rsidRPr="006C5A07">
        <w:rPr>
          <w:i/>
          <w:sz w:val="20"/>
          <w:szCs w:val="20"/>
        </w:rPr>
        <w:t xml:space="preserve">The Globalization of Martyrdom, </w:t>
      </w:r>
      <w:r w:rsidRPr="006C5A07">
        <w:rPr>
          <w:sz w:val="20"/>
          <w:szCs w:val="20"/>
        </w:rPr>
        <w:t>8</w:t>
      </w:r>
      <w:r>
        <w:rPr>
          <w:sz w:val="20"/>
          <w:szCs w:val="20"/>
        </w:rPr>
        <w:t>0-83.</w:t>
      </w:r>
    </w:p>
  </w:footnote>
  <w:footnote w:id="103">
    <w:p w:rsidR="00DF4630" w:rsidRDefault="00DF4630" w:rsidP="007E65CF">
      <w:pPr>
        <w:spacing w:line="240" w:lineRule="auto"/>
        <w:rPr>
          <w:sz w:val="20"/>
          <w:szCs w:val="20"/>
        </w:rPr>
      </w:pPr>
      <w:r w:rsidRPr="006C5A07">
        <w:rPr>
          <w:rStyle w:val="FootnoteReference"/>
          <w:noProof/>
          <w:sz w:val="20"/>
          <w:szCs w:val="20"/>
        </w:rPr>
        <w:footnoteRef/>
      </w:r>
      <w:r w:rsidRPr="006C5A07">
        <w:rPr>
          <w:sz w:val="20"/>
          <w:szCs w:val="20"/>
        </w:rPr>
        <w:t xml:space="preserve"> Roy, 68.</w:t>
      </w:r>
    </w:p>
  </w:footnote>
  <w:footnote w:id="104">
    <w:p w:rsidR="00DF4630" w:rsidRPr="006C5A07" w:rsidRDefault="00DF4630" w:rsidP="007E65CF">
      <w:pPr>
        <w:spacing w:line="240" w:lineRule="auto"/>
        <w:rPr>
          <w:sz w:val="20"/>
          <w:szCs w:val="20"/>
        </w:rPr>
      </w:pPr>
      <w:r w:rsidRPr="006C5A07">
        <w:rPr>
          <w:rStyle w:val="FootnoteReference"/>
          <w:noProof/>
          <w:sz w:val="20"/>
          <w:szCs w:val="20"/>
        </w:rPr>
        <w:footnoteRef/>
      </w:r>
      <w:r w:rsidRPr="006C5A07">
        <w:rPr>
          <w:sz w:val="20"/>
          <w:szCs w:val="20"/>
        </w:rPr>
        <w:t xml:space="preserve"> Roy, 59.</w:t>
      </w:r>
    </w:p>
  </w:footnote>
  <w:footnote w:id="105">
    <w:p w:rsidR="00DF4630" w:rsidRPr="006C5A07" w:rsidRDefault="00DF4630" w:rsidP="007E65CF">
      <w:pPr>
        <w:spacing w:line="240" w:lineRule="auto"/>
        <w:rPr>
          <w:sz w:val="20"/>
          <w:szCs w:val="20"/>
        </w:rPr>
      </w:pPr>
      <w:r w:rsidRPr="006C5A07">
        <w:rPr>
          <w:rStyle w:val="FootnoteReference"/>
          <w:noProof/>
          <w:sz w:val="20"/>
          <w:szCs w:val="20"/>
        </w:rPr>
        <w:footnoteRef/>
      </w:r>
      <w:r w:rsidRPr="006C5A07">
        <w:rPr>
          <w:sz w:val="20"/>
          <w:szCs w:val="20"/>
        </w:rPr>
        <w:t xml:space="preserve"> Kramer, Martin.  “Suicide Terrorism:  Origins and Responses.”  </w:t>
      </w:r>
      <w:r w:rsidRPr="006C5A07">
        <w:rPr>
          <w:i/>
          <w:sz w:val="20"/>
          <w:szCs w:val="20"/>
        </w:rPr>
        <w:t xml:space="preserve">The Washington Institute for Near East Policy.  </w:t>
      </w:r>
      <w:hyperlink r:id="rId6" w:history="1">
        <w:r w:rsidRPr="006C5A07">
          <w:rPr>
            <w:rStyle w:val="Hyperlink"/>
            <w:sz w:val="20"/>
            <w:szCs w:val="20"/>
          </w:rPr>
          <w:t>http://www.geocities.com/martinkramerorg/PapeKramer.htm</w:t>
        </w:r>
      </w:hyperlink>
    </w:p>
  </w:footnote>
  <w:footnote w:id="106">
    <w:p w:rsidR="00DF4630" w:rsidRDefault="00DF4630" w:rsidP="000645BF">
      <w:pPr>
        <w:pStyle w:val="FootnoteText"/>
      </w:pPr>
      <w:r>
        <w:rPr>
          <w:rStyle w:val="FootnoteReference"/>
        </w:rPr>
        <w:footnoteRef/>
      </w:r>
      <w:r>
        <w:t xml:space="preserve"> Data on number of suicide attacks per year are taken from the </w:t>
      </w:r>
      <w:r w:rsidRPr="00125BA5">
        <w:t xml:space="preserve">National Consortium for the Study of Terrorism and Responses to Terrorism (START). (2015). Global Terrorism Database [Data file]. Retrieved from </w:t>
      </w:r>
      <w:hyperlink r:id="rId7" w:history="1">
        <w:r w:rsidRPr="005F7ACE">
          <w:rPr>
            <w:rStyle w:val="Hyperlink"/>
          </w:rPr>
          <w:t>http://www.start.umd.edu/gtd</w:t>
        </w:r>
      </w:hyperlink>
      <w:r>
        <w:t xml:space="preserve">  Appendices 1 and 2 present graphs on suicide attacks by country, year, and target.</w:t>
      </w:r>
    </w:p>
  </w:footnote>
  <w:footnote w:id="107">
    <w:p w:rsidR="00DF4630" w:rsidRDefault="00DF4630" w:rsidP="000645BF">
      <w:pPr>
        <w:pStyle w:val="FootnoteText"/>
      </w:pPr>
      <w:r>
        <w:rPr>
          <w:rStyle w:val="FootnoteReference"/>
        </w:rPr>
        <w:footnoteRef/>
      </w:r>
      <w:r>
        <w:t xml:space="preserve"> Unfortunately, the START database has no data for 1993, and to be consistent with the data source, I do not include 1993 in these assessment.  The CPOST database has 6 attacks for 1993.</w:t>
      </w:r>
    </w:p>
  </w:footnote>
  <w:footnote w:id="108">
    <w:p w:rsidR="00DF4630" w:rsidRDefault="00DF4630" w:rsidP="006046BF">
      <w:pPr>
        <w:pStyle w:val="FootnoteText"/>
      </w:pPr>
      <w:r>
        <w:rPr>
          <w:rStyle w:val="FootnoteReference"/>
        </w:rPr>
        <w:footnoteRef/>
      </w:r>
      <w:r>
        <w:t xml:space="preserve"> </w:t>
      </w:r>
      <w:r w:rsidRPr="00C53E8E">
        <w:t xml:space="preserve">Lewis, </w:t>
      </w:r>
      <w:r>
        <w:t>60.</w:t>
      </w:r>
    </w:p>
  </w:footnote>
  <w:footnote w:id="109">
    <w:p w:rsidR="00DF4630" w:rsidRPr="00C12E09" w:rsidRDefault="00DF4630" w:rsidP="007E6BD7">
      <w:pPr>
        <w:spacing w:line="240" w:lineRule="auto"/>
        <w:rPr>
          <w:rFonts w:asciiTheme="majorBidi" w:eastAsia="Arial Unicode MS" w:hAnsiTheme="majorBidi" w:cstheme="majorBidi"/>
          <w:color w:val="000000"/>
          <w:sz w:val="20"/>
          <w:szCs w:val="20"/>
          <w:shd w:val="clear" w:color="auto" w:fill="FFFFFF"/>
        </w:rPr>
      </w:pPr>
      <w:r w:rsidRPr="00C12E09">
        <w:rPr>
          <w:rStyle w:val="FootnoteReference"/>
          <w:rFonts w:asciiTheme="majorBidi" w:hAnsiTheme="majorBidi" w:cstheme="majorBidi"/>
          <w:noProof/>
          <w:sz w:val="20"/>
          <w:szCs w:val="20"/>
        </w:rPr>
        <w:footnoteRef/>
      </w:r>
      <w:r w:rsidRPr="00C12E09">
        <w:rPr>
          <w:rFonts w:asciiTheme="majorBidi" w:hAnsiTheme="majorBidi" w:cstheme="majorBidi"/>
          <w:sz w:val="20"/>
          <w:szCs w:val="20"/>
        </w:rPr>
        <w:t xml:space="preserve"> </w:t>
      </w:r>
      <w:r w:rsidRPr="00C12E09">
        <w:rPr>
          <w:rFonts w:asciiTheme="majorBidi" w:eastAsia="Arial Unicode MS" w:hAnsiTheme="majorBidi" w:cstheme="majorBidi"/>
          <w:color w:val="000000"/>
          <w:sz w:val="20"/>
          <w:szCs w:val="20"/>
          <w:shd w:val="clear" w:color="auto" w:fill="FFFFFF"/>
        </w:rPr>
        <w:t>Macdonald, Andrew.</w:t>
      </w:r>
      <w:r w:rsidRPr="00C12E09">
        <w:rPr>
          <w:rStyle w:val="apple-converted-space"/>
          <w:rFonts w:asciiTheme="majorBidi" w:eastAsia="Arial Unicode MS" w:hAnsiTheme="majorBidi" w:cstheme="majorBidi"/>
          <w:color w:val="000000"/>
          <w:sz w:val="20"/>
          <w:szCs w:val="20"/>
          <w:shd w:val="clear" w:color="auto" w:fill="FFFFFF"/>
        </w:rPr>
        <w:t> </w:t>
      </w:r>
      <w:r w:rsidRPr="00C12E09">
        <w:rPr>
          <w:rFonts w:asciiTheme="majorBidi" w:eastAsia="Arial Unicode MS" w:hAnsiTheme="majorBidi" w:cstheme="majorBidi"/>
          <w:i/>
          <w:iCs/>
          <w:color w:val="000000"/>
          <w:sz w:val="20"/>
          <w:szCs w:val="20"/>
          <w:shd w:val="clear" w:color="auto" w:fill="FFFFFF"/>
        </w:rPr>
        <w:t>The Turner Diaries</w:t>
      </w:r>
      <w:r w:rsidRPr="00C12E09">
        <w:rPr>
          <w:rFonts w:asciiTheme="majorBidi" w:eastAsia="Arial Unicode MS" w:hAnsiTheme="majorBidi" w:cstheme="majorBidi"/>
          <w:color w:val="000000"/>
          <w:sz w:val="20"/>
          <w:szCs w:val="20"/>
          <w:shd w:val="clear" w:color="auto" w:fill="FFFFFF"/>
        </w:rPr>
        <w:t>. New York: Barricade Books Inc, 1996.  204.</w:t>
      </w:r>
    </w:p>
  </w:footnote>
  <w:footnote w:id="110">
    <w:p w:rsidR="00DF4630" w:rsidRPr="00046318" w:rsidRDefault="00DF4630" w:rsidP="007E6BD7">
      <w:pPr>
        <w:pStyle w:val="FootnoteText"/>
        <w:rPr>
          <w:rFonts w:asciiTheme="majorBidi" w:hAnsiTheme="majorBidi"/>
        </w:rPr>
      </w:pPr>
      <w:r w:rsidRPr="00046318">
        <w:rPr>
          <w:rStyle w:val="FootnoteReference"/>
          <w:rFonts w:asciiTheme="majorBidi" w:hAnsiTheme="majorBidi"/>
        </w:rPr>
        <w:footnoteRef/>
      </w:r>
      <w:r w:rsidRPr="00046318">
        <w:rPr>
          <w:rFonts w:asciiTheme="majorBidi" w:hAnsiTheme="majorBidi"/>
        </w:rPr>
        <w:t xml:space="preserve"> O’Brien, Miles and Susan Candiotti, Jim Polk, and Ed Lavandera.  “McVeigh’s Comments Published in Buffalo Paper.”  </w:t>
      </w:r>
      <w:r w:rsidRPr="00046318">
        <w:rPr>
          <w:rFonts w:asciiTheme="majorBidi" w:hAnsiTheme="majorBidi"/>
          <w:i/>
          <w:iCs/>
        </w:rPr>
        <w:t xml:space="preserve">CNN Sunday Morning. </w:t>
      </w:r>
      <w:r w:rsidRPr="00046318">
        <w:rPr>
          <w:rFonts w:asciiTheme="majorBidi" w:hAnsiTheme="majorBidi"/>
        </w:rPr>
        <w:t>June 10, 2001.  Lexis Nexis.  Retrieved March 18</w:t>
      </w:r>
      <w:r w:rsidRPr="00046318">
        <w:rPr>
          <w:rFonts w:asciiTheme="majorBidi" w:hAnsiTheme="majorBidi"/>
          <w:vertAlign w:val="superscript"/>
        </w:rPr>
        <w:t>th</w:t>
      </w:r>
      <w:r w:rsidRPr="00046318">
        <w:rPr>
          <w:rFonts w:asciiTheme="majorBidi" w:hAnsiTheme="majorBidi"/>
        </w:rPr>
        <w:t>, 2008.</w:t>
      </w:r>
    </w:p>
  </w:footnote>
  <w:footnote w:id="111">
    <w:p w:rsidR="00DF4630" w:rsidRPr="00125BA5" w:rsidRDefault="00DF4630" w:rsidP="00EC41DA">
      <w:pPr>
        <w:spacing w:line="240" w:lineRule="auto"/>
        <w:rPr>
          <w:sz w:val="20"/>
          <w:szCs w:val="20"/>
        </w:rPr>
      </w:pPr>
      <w:r w:rsidRPr="00125BA5">
        <w:rPr>
          <w:rStyle w:val="FootnoteReference"/>
          <w:noProof/>
          <w:sz w:val="20"/>
          <w:szCs w:val="20"/>
        </w:rPr>
        <w:footnoteRef/>
      </w:r>
      <w:r w:rsidRPr="00125BA5">
        <w:rPr>
          <w:sz w:val="20"/>
          <w:szCs w:val="20"/>
        </w:rPr>
        <w:t xml:space="preserve"> Reuter, Christoph. </w:t>
      </w:r>
      <w:r w:rsidRPr="00125BA5">
        <w:rPr>
          <w:i/>
          <w:sz w:val="20"/>
          <w:szCs w:val="20"/>
        </w:rPr>
        <w:t xml:space="preserve">My life is a weapon a modern history of suicide bombing. </w:t>
      </w:r>
      <w:r w:rsidRPr="00125BA5">
        <w:rPr>
          <w:sz w:val="20"/>
          <w:szCs w:val="20"/>
        </w:rPr>
        <w:t>Princeton, NJ: Princeton University Press, 2004. 57.</w:t>
      </w:r>
    </w:p>
  </w:footnote>
  <w:footnote w:id="112">
    <w:p w:rsidR="00DF4630" w:rsidRPr="00125BA5" w:rsidRDefault="00DF4630" w:rsidP="00EC41DA">
      <w:pPr>
        <w:spacing w:line="240" w:lineRule="auto"/>
        <w:rPr>
          <w:sz w:val="20"/>
          <w:szCs w:val="20"/>
        </w:rPr>
      </w:pPr>
      <w:r w:rsidRPr="00125BA5">
        <w:rPr>
          <w:rStyle w:val="FootnoteReference"/>
          <w:noProof/>
          <w:sz w:val="20"/>
          <w:szCs w:val="20"/>
        </w:rPr>
        <w:footnoteRef/>
      </w:r>
      <w:r w:rsidRPr="00125BA5">
        <w:rPr>
          <w:sz w:val="20"/>
          <w:szCs w:val="20"/>
        </w:rPr>
        <w:t xml:space="preserve"> Pedazhur, Ami.  </w:t>
      </w:r>
      <w:r w:rsidRPr="00125BA5">
        <w:rPr>
          <w:i/>
          <w:iCs/>
          <w:sz w:val="20"/>
          <w:szCs w:val="20"/>
        </w:rPr>
        <w:t>Suicide Terrorism</w:t>
      </w:r>
      <w:r w:rsidRPr="00125BA5">
        <w:rPr>
          <w:sz w:val="20"/>
          <w:szCs w:val="20"/>
        </w:rPr>
        <w:t>.  Malden, MA; Policy Press, 2005.  44.</w:t>
      </w:r>
    </w:p>
  </w:footnote>
  <w:footnote w:id="113">
    <w:p w:rsidR="00DF4630" w:rsidRPr="00125BA5" w:rsidRDefault="00DF4630" w:rsidP="002A6175">
      <w:pPr>
        <w:spacing w:line="240" w:lineRule="auto"/>
        <w:rPr>
          <w:sz w:val="20"/>
          <w:szCs w:val="20"/>
        </w:rPr>
      </w:pPr>
      <w:r w:rsidRPr="00125BA5">
        <w:rPr>
          <w:rStyle w:val="FootnoteReference"/>
          <w:noProof/>
          <w:sz w:val="20"/>
          <w:szCs w:val="20"/>
        </w:rPr>
        <w:footnoteRef/>
      </w:r>
      <w:r>
        <w:rPr>
          <w:sz w:val="20"/>
          <w:szCs w:val="20"/>
        </w:rPr>
        <w:t xml:space="preserve"> Moghadam,</w:t>
      </w:r>
      <w:r w:rsidRPr="00125BA5">
        <w:rPr>
          <w:sz w:val="20"/>
          <w:szCs w:val="20"/>
        </w:rPr>
        <w:t xml:space="preserve"> </w:t>
      </w:r>
      <w:r>
        <w:rPr>
          <w:i/>
          <w:sz w:val="20"/>
          <w:szCs w:val="20"/>
        </w:rPr>
        <w:t xml:space="preserve">The Globalization of Martyrdom.  </w:t>
      </w:r>
      <w:r w:rsidRPr="00125BA5">
        <w:rPr>
          <w:sz w:val="20"/>
          <w:szCs w:val="20"/>
        </w:rPr>
        <w:t>Location 554.</w:t>
      </w:r>
    </w:p>
  </w:footnote>
  <w:footnote w:id="114">
    <w:p w:rsidR="00DF4630" w:rsidRPr="00125BA5" w:rsidRDefault="00DF4630" w:rsidP="00090501">
      <w:pPr>
        <w:spacing w:line="240" w:lineRule="auto"/>
        <w:rPr>
          <w:sz w:val="20"/>
          <w:szCs w:val="20"/>
        </w:rPr>
      </w:pPr>
      <w:r w:rsidRPr="00125BA5">
        <w:rPr>
          <w:rStyle w:val="FootnoteReference"/>
          <w:noProof/>
          <w:sz w:val="20"/>
          <w:szCs w:val="20"/>
        </w:rPr>
        <w:footnoteRef/>
      </w:r>
      <w:r w:rsidRPr="00090501">
        <w:rPr>
          <w:sz w:val="20"/>
          <w:szCs w:val="20"/>
        </w:rPr>
        <w:t xml:space="preserve">Tyler, Patrick.  </w:t>
      </w:r>
      <w:r w:rsidRPr="00090501">
        <w:rPr>
          <w:i/>
          <w:iCs/>
          <w:sz w:val="20"/>
          <w:szCs w:val="20"/>
        </w:rPr>
        <w:t>A World of Trouble: The White House and the Middle East--from the Cold War to the War on Terror</w:t>
      </w:r>
      <w:r w:rsidRPr="00090501">
        <w:rPr>
          <w:sz w:val="20"/>
          <w:szCs w:val="20"/>
        </w:rPr>
        <w:t>.  New York: Farrar, Straus and Giroux, 2009.</w:t>
      </w:r>
      <w:r w:rsidRPr="00125BA5">
        <w:rPr>
          <w:sz w:val="20"/>
          <w:szCs w:val="20"/>
        </w:rPr>
        <w:t xml:space="preserve"> </w:t>
      </w:r>
      <w:r>
        <w:rPr>
          <w:sz w:val="20"/>
          <w:szCs w:val="20"/>
        </w:rPr>
        <w:t xml:space="preserve"> </w:t>
      </w:r>
      <w:r w:rsidRPr="00125BA5">
        <w:rPr>
          <w:sz w:val="20"/>
          <w:szCs w:val="20"/>
        </w:rPr>
        <w:t>298.</w:t>
      </w:r>
    </w:p>
  </w:footnote>
  <w:footnote w:id="115">
    <w:p w:rsidR="00DF4630" w:rsidRPr="00125BA5" w:rsidRDefault="00DF4630" w:rsidP="00EC41DA">
      <w:pPr>
        <w:spacing w:line="240" w:lineRule="auto"/>
        <w:rPr>
          <w:sz w:val="20"/>
          <w:szCs w:val="20"/>
        </w:rPr>
      </w:pPr>
      <w:r w:rsidRPr="00125BA5">
        <w:rPr>
          <w:rStyle w:val="FootnoteReference"/>
          <w:noProof/>
          <w:sz w:val="20"/>
          <w:szCs w:val="20"/>
        </w:rPr>
        <w:footnoteRef/>
      </w:r>
      <w:r w:rsidRPr="00125BA5">
        <w:rPr>
          <w:sz w:val="20"/>
          <w:szCs w:val="20"/>
        </w:rPr>
        <w:t xml:space="preserve"> Saad-Ghorayeb, Amal. </w:t>
      </w:r>
      <w:r w:rsidRPr="00125BA5">
        <w:rPr>
          <w:i/>
          <w:sz w:val="20"/>
          <w:szCs w:val="20"/>
        </w:rPr>
        <w:t>Hizbullah: Politics and Religion</w:t>
      </w:r>
      <w:r w:rsidRPr="00125BA5">
        <w:rPr>
          <w:sz w:val="20"/>
          <w:szCs w:val="20"/>
        </w:rPr>
        <w:t>. London: Pluto Press, 2002. 16.</w:t>
      </w:r>
    </w:p>
  </w:footnote>
  <w:footnote w:id="116">
    <w:p w:rsidR="00DF4630" w:rsidRPr="00125BA5" w:rsidRDefault="00DF4630" w:rsidP="00EC41DA">
      <w:pPr>
        <w:spacing w:line="240" w:lineRule="auto"/>
        <w:rPr>
          <w:sz w:val="20"/>
          <w:szCs w:val="20"/>
        </w:rPr>
      </w:pPr>
      <w:r w:rsidRPr="00125BA5">
        <w:rPr>
          <w:rStyle w:val="FootnoteReference"/>
          <w:noProof/>
          <w:sz w:val="20"/>
          <w:szCs w:val="20"/>
        </w:rPr>
        <w:footnoteRef/>
      </w:r>
      <w:r w:rsidRPr="00125BA5">
        <w:rPr>
          <w:sz w:val="20"/>
          <w:szCs w:val="20"/>
        </w:rPr>
        <w:t xml:space="preserve"> Nasr, Seyyed Vali Reza. </w:t>
      </w:r>
      <w:r w:rsidRPr="005673BE">
        <w:rPr>
          <w:i/>
          <w:sz w:val="20"/>
          <w:szCs w:val="20"/>
        </w:rPr>
        <w:t>The Shia Revival How Conflicts Within Islam Will Shape the Future.</w:t>
      </w:r>
      <w:r w:rsidRPr="00125BA5">
        <w:rPr>
          <w:sz w:val="20"/>
          <w:szCs w:val="20"/>
        </w:rPr>
        <w:t xml:space="preserve"> New York: Norton, 2006.</w:t>
      </w:r>
    </w:p>
  </w:footnote>
  <w:footnote w:id="117">
    <w:p w:rsidR="00DF4630" w:rsidRPr="00125BA5" w:rsidRDefault="00DF4630" w:rsidP="00EC41DA">
      <w:pPr>
        <w:spacing w:line="240" w:lineRule="auto"/>
        <w:contextualSpacing/>
        <w:rPr>
          <w:sz w:val="20"/>
          <w:szCs w:val="20"/>
        </w:rPr>
      </w:pPr>
      <w:r w:rsidRPr="00125BA5">
        <w:rPr>
          <w:rStyle w:val="FootnoteReference"/>
          <w:noProof/>
          <w:sz w:val="20"/>
          <w:szCs w:val="20"/>
        </w:rPr>
        <w:footnoteRef/>
      </w:r>
      <w:r w:rsidRPr="00125BA5">
        <w:rPr>
          <w:sz w:val="20"/>
          <w:szCs w:val="20"/>
        </w:rPr>
        <w:t xml:space="preserve"> Moghadam, </w:t>
      </w:r>
      <w:r>
        <w:rPr>
          <w:i/>
          <w:sz w:val="20"/>
          <w:szCs w:val="20"/>
        </w:rPr>
        <w:t xml:space="preserve">The Globalization of Islam, </w:t>
      </w:r>
      <w:r>
        <w:rPr>
          <w:sz w:val="20"/>
          <w:szCs w:val="20"/>
        </w:rPr>
        <w:t xml:space="preserve">Kindle </w:t>
      </w:r>
      <w:r w:rsidRPr="00125BA5">
        <w:rPr>
          <w:sz w:val="20"/>
          <w:szCs w:val="20"/>
        </w:rPr>
        <w:t>Location 568.</w:t>
      </w:r>
    </w:p>
  </w:footnote>
  <w:footnote w:id="118">
    <w:p w:rsidR="00DF4630" w:rsidRPr="005673BE" w:rsidRDefault="00DF4630" w:rsidP="00D16F3E">
      <w:pPr>
        <w:spacing w:line="240" w:lineRule="auto"/>
        <w:ind w:right="720"/>
        <w:contextualSpacing/>
        <w:rPr>
          <w:lang w:bidi="he-IL"/>
        </w:rPr>
      </w:pPr>
      <w:r w:rsidRPr="00125BA5">
        <w:rPr>
          <w:rStyle w:val="FootnoteReference"/>
          <w:noProof/>
          <w:sz w:val="20"/>
          <w:szCs w:val="20"/>
        </w:rPr>
        <w:footnoteRef/>
      </w:r>
      <w:r w:rsidRPr="00125BA5">
        <w:rPr>
          <w:sz w:val="20"/>
          <w:szCs w:val="20"/>
        </w:rPr>
        <w:t xml:space="preserve"> </w:t>
      </w:r>
      <w:r>
        <w:rPr>
          <w:sz w:val="20"/>
          <w:szCs w:val="20"/>
        </w:rPr>
        <w:t xml:space="preserve">Quoted in </w:t>
      </w:r>
      <w:r w:rsidRPr="005673BE">
        <w:rPr>
          <w:sz w:val="20"/>
          <w:szCs w:val="20"/>
          <w:lang w:bidi="he-IL"/>
        </w:rPr>
        <w:t>Pape, 31</w:t>
      </w:r>
      <w:r w:rsidRPr="005673BE">
        <w:rPr>
          <w:sz w:val="20"/>
          <w:szCs w:val="20"/>
        </w:rPr>
        <w:t>.</w:t>
      </w:r>
    </w:p>
  </w:footnote>
  <w:footnote w:id="119">
    <w:p w:rsidR="00DF4630" w:rsidRPr="00125BA5" w:rsidRDefault="00DF4630" w:rsidP="00EC41DA">
      <w:pPr>
        <w:spacing w:line="240" w:lineRule="auto"/>
        <w:contextualSpacing/>
        <w:rPr>
          <w:sz w:val="20"/>
          <w:szCs w:val="20"/>
        </w:rPr>
      </w:pPr>
      <w:r w:rsidRPr="00125BA5">
        <w:rPr>
          <w:rStyle w:val="FootnoteReference"/>
          <w:noProof/>
          <w:sz w:val="20"/>
          <w:szCs w:val="20"/>
        </w:rPr>
        <w:footnoteRef/>
      </w:r>
      <w:r w:rsidRPr="00125BA5">
        <w:rPr>
          <w:sz w:val="20"/>
          <w:szCs w:val="20"/>
        </w:rPr>
        <w:t xml:space="preserve"> </w:t>
      </w:r>
      <w:r>
        <w:rPr>
          <w:sz w:val="20"/>
          <w:szCs w:val="20"/>
        </w:rPr>
        <w:t xml:space="preserve">Quoted in </w:t>
      </w:r>
      <w:r w:rsidRPr="00125BA5">
        <w:rPr>
          <w:iCs/>
          <w:sz w:val="20"/>
          <w:szCs w:val="20"/>
        </w:rPr>
        <w:t>Martin Kramer, “Sacrifice and ‘Self-Martyrdom’ in Shi’ite Lebanon,”</w:t>
      </w:r>
      <w:r w:rsidRPr="00125BA5">
        <w:rPr>
          <w:sz w:val="20"/>
          <w:szCs w:val="20"/>
        </w:rPr>
        <w:t> </w:t>
      </w:r>
      <w:r w:rsidRPr="00D16F3E">
        <w:rPr>
          <w:i/>
          <w:iCs/>
          <w:sz w:val="20"/>
          <w:szCs w:val="20"/>
        </w:rPr>
        <w:t>Terrorism and Political Violence</w:t>
      </w:r>
      <w:r w:rsidRPr="00125BA5">
        <w:rPr>
          <w:sz w:val="20"/>
          <w:szCs w:val="20"/>
        </w:rPr>
        <w:t>, </w:t>
      </w:r>
      <w:r w:rsidRPr="00125BA5">
        <w:rPr>
          <w:iCs/>
          <w:sz w:val="20"/>
          <w:szCs w:val="20"/>
        </w:rPr>
        <w:t>vol. 3, no. 3 (Autumn 1991), pp. 30-47.</w:t>
      </w:r>
      <w:r>
        <w:rPr>
          <w:iCs/>
          <w:sz w:val="20"/>
          <w:szCs w:val="20"/>
        </w:rPr>
        <w:t xml:space="preserve">  </w:t>
      </w:r>
      <w:r w:rsidRPr="00125BA5">
        <w:rPr>
          <w:iCs/>
          <w:sz w:val="20"/>
          <w:szCs w:val="20"/>
        </w:rPr>
        <w:t>40.</w:t>
      </w:r>
      <w:r>
        <w:rPr>
          <w:iCs/>
          <w:sz w:val="20"/>
          <w:szCs w:val="20"/>
        </w:rPr>
        <w:t xml:space="preserve">  </w:t>
      </w:r>
    </w:p>
  </w:footnote>
  <w:footnote w:id="120">
    <w:p w:rsidR="00DF4630" w:rsidRDefault="00DF4630" w:rsidP="00EC41DA">
      <w:pPr>
        <w:pStyle w:val="FootnoteText"/>
        <w:contextualSpacing/>
      </w:pPr>
      <w:r>
        <w:rPr>
          <w:rStyle w:val="FootnoteReference"/>
        </w:rPr>
        <w:footnoteRef/>
      </w:r>
      <w:r>
        <w:t xml:space="preserve"> Using START data, however, START does not attribute suicide attacks to Hezbollah that they did not take credit for.  Other researchers—Moghadam, Helmer, and Reuter, for example—attribute many unclaimed attacks in Lebanon to Hezbollah based on the identities of the bombers and tactical similarity.</w:t>
      </w:r>
    </w:p>
  </w:footnote>
  <w:footnote w:id="121">
    <w:p w:rsidR="00DF4630" w:rsidRPr="00125BA5" w:rsidRDefault="00DF4630" w:rsidP="00EC41DA">
      <w:pPr>
        <w:spacing w:line="240" w:lineRule="auto"/>
        <w:contextualSpacing/>
        <w:rPr>
          <w:sz w:val="20"/>
          <w:szCs w:val="20"/>
        </w:rPr>
      </w:pPr>
      <w:r w:rsidRPr="00125BA5">
        <w:rPr>
          <w:rStyle w:val="FootnoteReference"/>
          <w:noProof/>
          <w:sz w:val="20"/>
          <w:szCs w:val="20"/>
        </w:rPr>
        <w:footnoteRef/>
      </w:r>
      <w:r w:rsidRPr="00125BA5">
        <w:rPr>
          <w:sz w:val="20"/>
          <w:szCs w:val="20"/>
        </w:rPr>
        <w:t xml:space="preserve"> Reuter, 66.</w:t>
      </w:r>
    </w:p>
  </w:footnote>
  <w:footnote w:id="122">
    <w:p w:rsidR="00DF4630" w:rsidRPr="00125BA5" w:rsidRDefault="00DF4630" w:rsidP="00AF55E2">
      <w:pPr>
        <w:spacing w:line="240" w:lineRule="auto"/>
        <w:rPr>
          <w:sz w:val="20"/>
          <w:szCs w:val="20"/>
        </w:rPr>
      </w:pPr>
      <w:r w:rsidRPr="00125BA5">
        <w:rPr>
          <w:rStyle w:val="FootnoteReference"/>
          <w:noProof/>
          <w:sz w:val="20"/>
          <w:szCs w:val="20"/>
        </w:rPr>
        <w:footnoteRef/>
      </w:r>
      <w:r>
        <w:rPr>
          <w:sz w:val="20"/>
          <w:szCs w:val="20"/>
        </w:rPr>
        <w:t xml:space="preserve"> Reuter</w:t>
      </w:r>
      <w:r w:rsidRPr="00125BA5">
        <w:rPr>
          <w:sz w:val="20"/>
          <w:szCs w:val="20"/>
        </w:rPr>
        <w:t>, 66.</w:t>
      </w:r>
    </w:p>
  </w:footnote>
  <w:footnote w:id="123">
    <w:p w:rsidR="00DF4630" w:rsidRPr="00125BA5" w:rsidRDefault="00DF4630" w:rsidP="00E2576C">
      <w:pPr>
        <w:spacing w:line="240" w:lineRule="auto"/>
        <w:rPr>
          <w:sz w:val="20"/>
          <w:szCs w:val="20"/>
        </w:rPr>
      </w:pPr>
      <w:r w:rsidRPr="00125BA5">
        <w:rPr>
          <w:rStyle w:val="FootnoteReference"/>
          <w:noProof/>
          <w:sz w:val="20"/>
          <w:szCs w:val="20"/>
        </w:rPr>
        <w:footnoteRef/>
      </w:r>
      <w:r w:rsidRPr="00125BA5">
        <w:rPr>
          <w:sz w:val="20"/>
          <w:szCs w:val="20"/>
        </w:rPr>
        <w:t xml:space="preserve"> </w:t>
      </w:r>
      <w:r w:rsidRPr="002D1D0A">
        <w:rPr>
          <w:sz w:val="20"/>
          <w:szCs w:val="20"/>
        </w:rPr>
        <w:t>Moghadam, Globalization of Martyrdom, Kindle Location</w:t>
      </w:r>
      <w:r w:rsidRPr="00125BA5">
        <w:rPr>
          <w:sz w:val="20"/>
          <w:szCs w:val="20"/>
        </w:rPr>
        <w:t xml:space="preserve"> 568.</w:t>
      </w:r>
    </w:p>
  </w:footnote>
  <w:footnote w:id="124">
    <w:p w:rsidR="00DF4630" w:rsidRPr="00125BA5" w:rsidRDefault="00DF4630" w:rsidP="00E2576C">
      <w:pPr>
        <w:spacing w:line="240" w:lineRule="auto"/>
        <w:rPr>
          <w:sz w:val="20"/>
          <w:szCs w:val="20"/>
        </w:rPr>
      </w:pPr>
      <w:r w:rsidRPr="00125BA5">
        <w:rPr>
          <w:rStyle w:val="FootnoteReference"/>
          <w:noProof/>
          <w:sz w:val="20"/>
          <w:szCs w:val="20"/>
        </w:rPr>
        <w:footnoteRef/>
      </w:r>
      <w:r>
        <w:rPr>
          <w:sz w:val="20"/>
          <w:szCs w:val="20"/>
        </w:rPr>
        <w:t xml:space="preserve"> Pape, </w:t>
      </w:r>
      <w:r w:rsidRPr="00125BA5">
        <w:rPr>
          <w:sz w:val="20"/>
          <w:szCs w:val="20"/>
        </w:rPr>
        <w:t xml:space="preserve">205.  </w:t>
      </w:r>
    </w:p>
  </w:footnote>
  <w:footnote w:id="125">
    <w:p w:rsidR="00DF4630" w:rsidRPr="00125BA5" w:rsidRDefault="00DF4630" w:rsidP="00E2576C">
      <w:pPr>
        <w:spacing w:line="240" w:lineRule="auto"/>
        <w:rPr>
          <w:sz w:val="20"/>
          <w:szCs w:val="20"/>
        </w:rPr>
      </w:pPr>
      <w:r w:rsidRPr="00125BA5">
        <w:rPr>
          <w:rStyle w:val="FootnoteReference"/>
          <w:noProof/>
          <w:sz w:val="20"/>
          <w:szCs w:val="20"/>
        </w:rPr>
        <w:footnoteRef/>
      </w:r>
      <w:r w:rsidRPr="00125BA5">
        <w:rPr>
          <w:sz w:val="20"/>
          <w:szCs w:val="20"/>
        </w:rPr>
        <w:t xml:space="preserve"> Gambetta, Diego. </w:t>
      </w:r>
      <w:r w:rsidRPr="00125BA5">
        <w:rPr>
          <w:i/>
          <w:iCs/>
          <w:sz w:val="20"/>
          <w:szCs w:val="20"/>
        </w:rPr>
        <w:t>Making Sense of Suicide Missions</w:t>
      </w:r>
      <w:r w:rsidRPr="00125BA5">
        <w:rPr>
          <w:sz w:val="20"/>
          <w:szCs w:val="20"/>
        </w:rPr>
        <w:t>. Oxford: Oxford University Press, 2005.  80.</w:t>
      </w:r>
    </w:p>
  </w:footnote>
  <w:footnote w:id="126">
    <w:p w:rsidR="00DF4630" w:rsidRPr="00125BA5" w:rsidRDefault="00DF4630" w:rsidP="00E2576C">
      <w:pPr>
        <w:spacing w:line="240" w:lineRule="auto"/>
        <w:rPr>
          <w:sz w:val="20"/>
          <w:szCs w:val="20"/>
        </w:rPr>
      </w:pPr>
      <w:r w:rsidRPr="00125BA5">
        <w:rPr>
          <w:rStyle w:val="FootnoteReference"/>
          <w:noProof/>
          <w:sz w:val="20"/>
          <w:szCs w:val="20"/>
        </w:rPr>
        <w:footnoteRef/>
      </w:r>
      <w:r w:rsidRPr="00125BA5">
        <w:rPr>
          <w:sz w:val="20"/>
          <w:szCs w:val="20"/>
        </w:rPr>
        <w:t xml:space="preserve"> Khosrokhavar, Farhad, and David Macey. </w:t>
      </w:r>
      <w:r w:rsidRPr="00125BA5">
        <w:rPr>
          <w:i/>
          <w:iCs/>
          <w:sz w:val="20"/>
          <w:szCs w:val="20"/>
        </w:rPr>
        <w:t xml:space="preserve">Suicide Bombers Allah's New Martyrs. </w:t>
      </w:r>
      <w:r w:rsidRPr="00125BA5">
        <w:rPr>
          <w:sz w:val="20"/>
          <w:szCs w:val="20"/>
        </w:rPr>
        <w:t>London: Pluto Press, 2005.  147.</w:t>
      </w:r>
    </w:p>
  </w:footnote>
  <w:footnote w:id="127">
    <w:p w:rsidR="00DF4630" w:rsidRPr="00125BA5" w:rsidRDefault="00DF4630" w:rsidP="00EC41DA">
      <w:pPr>
        <w:spacing w:line="240" w:lineRule="auto"/>
        <w:rPr>
          <w:rStyle w:val="EndnoteCharacters"/>
          <w:sz w:val="20"/>
          <w:szCs w:val="20"/>
        </w:rPr>
      </w:pPr>
      <w:r w:rsidRPr="00AD3ABF">
        <w:rPr>
          <w:rStyle w:val="FootnoteReference"/>
          <w:noProof/>
          <w:sz w:val="20"/>
          <w:szCs w:val="20"/>
        </w:rPr>
        <w:footnoteRef/>
      </w:r>
      <w:r w:rsidRPr="00125BA5">
        <w:rPr>
          <w:rStyle w:val="EndnoteCharacters"/>
          <w:sz w:val="20"/>
          <w:szCs w:val="20"/>
        </w:rPr>
        <w:t>Faramarzi,</w:t>
      </w:r>
      <w:r w:rsidRPr="005673BE">
        <w:rPr>
          <w:rStyle w:val="EndnoteCharacters"/>
          <w:sz w:val="20"/>
          <w:szCs w:val="20"/>
        </w:rPr>
        <w:t xml:space="preserve"> </w:t>
      </w:r>
      <w:r w:rsidR="009918F1" w:rsidRPr="00125BA5">
        <w:rPr>
          <w:rStyle w:val="EndnoteCharacters"/>
          <w:sz w:val="20"/>
          <w:szCs w:val="20"/>
        </w:rPr>
        <w:t>Scheherazade</w:t>
      </w:r>
      <w:r>
        <w:rPr>
          <w:rStyle w:val="EndnoteCharacters"/>
          <w:sz w:val="20"/>
          <w:szCs w:val="20"/>
        </w:rPr>
        <w:t xml:space="preserve">.  </w:t>
      </w:r>
      <w:r w:rsidRPr="00125BA5">
        <w:rPr>
          <w:rStyle w:val="EndnoteCharacters"/>
          <w:sz w:val="20"/>
          <w:szCs w:val="20"/>
        </w:rPr>
        <w:t xml:space="preserve">“Girl Who Drove Car Bomb First Sent Mother Present.” The Associated Press, (International News, April 12, 1985). </w:t>
      </w:r>
    </w:p>
  </w:footnote>
  <w:footnote w:id="128">
    <w:p w:rsidR="00DF4630" w:rsidRPr="00125BA5" w:rsidRDefault="00DF4630" w:rsidP="00EC41DA">
      <w:pPr>
        <w:spacing w:line="240" w:lineRule="auto"/>
        <w:rPr>
          <w:rStyle w:val="EndnoteCharacters"/>
          <w:sz w:val="20"/>
          <w:szCs w:val="20"/>
        </w:rPr>
      </w:pPr>
      <w:r w:rsidRPr="00AD3ABF">
        <w:rPr>
          <w:rStyle w:val="FootnoteReference"/>
          <w:noProof/>
          <w:sz w:val="20"/>
          <w:szCs w:val="20"/>
        </w:rPr>
        <w:footnoteRef/>
      </w:r>
      <w:r w:rsidRPr="00AD3ABF">
        <w:rPr>
          <w:rStyle w:val="FootnoteReference"/>
          <w:noProof/>
        </w:rPr>
        <w:t xml:space="preserve"> </w:t>
      </w:r>
      <w:r>
        <w:rPr>
          <w:rStyle w:val="EndnoteCharacters"/>
          <w:sz w:val="20"/>
          <w:szCs w:val="20"/>
        </w:rPr>
        <w:t>Pedazhur,</w:t>
      </w:r>
      <w:r w:rsidRPr="00125BA5">
        <w:rPr>
          <w:rStyle w:val="EndnoteCharacters"/>
          <w:sz w:val="20"/>
          <w:szCs w:val="20"/>
        </w:rPr>
        <w:t xml:space="preserve"> 142. </w:t>
      </w:r>
    </w:p>
  </w:footnote>
  <w:footnote w:id="129">
    <w:p w:rsidR="00DF4630" w:rsidRPr="00125BA5" w:rsidRDefault="00DF4630" w:rsidP="00EC41DA">
      <w:pPr>
        <w:spacing w:line="240" w:lineRule="auto"/>
        <w:rPr>
          <w:sz w:val="20"/>
          <w:szCs w:val="20"/>
        </w:rPr>
      </w:pPr>
      <w:r w:rsidRPr="00125BA5">
        <w:rPr>
          <w:rStyle w:val="FootnoteReference"/>
          <w:noProof/>
          <w:sz w:val="20"/>
          <w:szCs w:val="20"/>
        </w:rPr>
        <w:footnoteRef/>
      </w:r>
      <w:r w:rsidRPr="00125BA5">
        <w:rPr>
          <w:sz w:val="20"/>
          <w:szCs w:val="20"/>
        </w:rPr>
        <w:t xml:space="preserve"> Faramarzi</w:t>
      </w:r>
      <w:r>
        <w:rPr>
          <w:sz w:val="20"/>
          <w:szCs w:val="20"/>
        </w:rPr>
        <w:t>.  Subsequent quotes are from this article.</w:t>
      </w:r>
    </w:p>
  </w:footnote>
  <w:footnote w:id="130">
    <w:p w:rsidR="00DF4630" w:rsidRPr="00125BA5" w:rsidRDefault="00DF4630" w:rsidP="00EC41DA">
      <w:pPr>
        <w:spacing w:line="240" w:lineRule="auto"/>
        <w:rPr>
          <w:sz w:val="20"/>
          <w:szCs w:val="20"/>
        </w:rPr>
      </w:pPr>
      <w:r w:rsidRPr="00125BA5">
        <w:rPr>
          <w:rStyle w:val="FootnoteReference"/>
          <w:noProof/>
          <w:sz w:val="20"/>
          <w:szCs w:val="20"/>
        </w:rPr>
        <w:footnoteRef/>
      </w:r>
      <w:r w:rsidRPr="00125BA5">
        <w:rPr>
          <w:sz w:val="20"/>
          <w:szCs w:val="20"/>
        </w:rPr>
        <w:t xml:space="preserve"> Cronin, Audrey Kurth. </w:t>
      </w:r>
      <w:r w:rsidRPr="00125BA5">
        <w:rPr>
          <w:i/>
          <w:iCs/>
          <w:sz w:val="20"/>
          <w:szCs w:val="20"/>
        </w:rPr>
        <w:t>Terrorists and Suicide Attacks</w:t>
      </w:r>
      <w:r w:rsidRPr="00125BA5">
        <w:rPr>
          <w:sz w:val="20"/>
          <w:szCs w:val="20"/>
        </w:rPr>
        <w:t>. [Washington, D.C.]: Congressional Research Service, Library of Congress, 2003.  5.</w:t>
      </w:r>
      <w:r>
        <w:rPr>
          <w:sz w:val="20"/>
          <w:szCs w:val="20"/>
        </w:rPr>
        <w:t xml:space="preserve">  And </w:t>
      </w:r>
      <w:r w:rsidRPr="00B043EF">
        <w:rPr>
          <w:sz w:val="20"/>
          <w:szCs w:val="20"/>
        </w:rPr>
        <w:t xml:space="preserve">Fair, C. Christine. </w:t>
      </w:r>
      <w:r w:rsidRPr="00B043EF">
        <w:rPr>
          <w:i/>
          <w:iCs/>
          <w:sz w:val="20"/>
          <w:szCs w:val="20"/>
        </w:rPr>
        <w:t xml:space="preserve">Urban Battle Fields of South Asia Lessons Learned from Sri Lanka, India, and Pakistan. </w:t>
      </w:r>
      <w:r w:rsidRPr="00B043EF">
        <w:rPr>
          <w:sz w:val="20"/>
          <w:szCs w:val="20"/>
        </w:rPr>
        <w:t xml:space="preserve">Santa </w:t>
      </w:r>
      <w:r>
        <w:rPr>
          <w:sz w:val="20"/>
          <w:szCs w:val="20"/>
        </w:rPr>
        <w:t>Monica, CA: Rand, 2004.  38.</w:t>
      </w:r>
    </w:p>
  </w:footnote>
  <w:footnote w:id="131">
    <w:p w:rsidR="00DF4630" w:rsidRPr="002D1D0A" w:rsidRDefault="00DF4630" w:rsidP="00EC41DA">
      <w:pPr>
        <w:spacing w:line="240" w:lineRule="auto"/>
        <w:rPr>
          <w:sz w:val="20"/>
          <w:szCs w:val="20"/>
        </w:rPr>
      </w:pPr>
      <w:r w:rsidRPr="002D1D0A">
        <w:rPr>
          <w:rStyle w:val="FootnoteReference"/>
          <w:noProof/>
          <w:sz w:val="20"/>
          <w:szCs w:val="20"/>
        </w:rPr>
        <w:footnoteRef/>
      </w:r>
      <w:r w:rsidRPr="002D1D0A">
        <w:rPr>
          <w:sz w:val="20"/>
          <w:szCs w:val="20"/>
        </w:rPr>
        <w:t xml:space="preserve"> Fair,</w:t>
      </w:r>
      <w:r>
        <w:rPr>
          <w:sz w:val="20"/>
          <w:szCs w:val="20"/>
        </w:rPr>
        <w:t xml:space="preserve"> </w:t>
      </w:r>
      <w:r w:rsidRPr="002D1D0A">
        <w:rPr>
          <w:sz w:val="20"/>
          <w:szCs w:val="20"/>
        </w:rPr>
        <w:t xml:space="preserve">C. Christine. </w:t>
      </w:r>
      <w:r w:rsidRPr="002D1D0A">
        <w:rPr>
          <w:i/>
          <w:iCs/>
          <w:sz w:val="20"/>
          <w:szCs w:val="20"/>
        </w:rPr>
        <w:t xml:space="preserve">Urban Battle Fields of South Asia Lessons Learned from Sri Lanka, India, and Pakistan. </w:t>
      </w:r>
      <w:r w:rsidRPr="002D1D0A">
        <w:rPr>
          <w:sz w:val="20"/>
          <w:szCs w:val="20"/>
        </w:rPr>
        <w:t>Santa Monica, CA: Rand, 2004.</w:t>
      </w:r>
      <w:r>
        <w:rPr>
          <w:sz w:val="20"/>
          <w:szCs w:val="20"/>
        </w:rPr>
        <w:t xml:space="preserve">  </w:t>
      </w:r>
      <w:r w:rsidRPr="002D1D0A">
        <w:rPr>
          <w:sz w:val="20"/>
          <w:szCs w:val="20"/>
        </w:rPr>
        <w:t>24.</w:t>
      </w:r>
    </w:p>
  </w:footnote>
  <w:footnote w:id="132">
    <w:p w:rsidR="00DF4630" w:rsidRPr="002D1D0A" w:rsidRDefault="00DF4630" w:rsidP="00EC41DA">
      <w:pPr>
        <w:spacing w:line="240" w:lineRule="auto"/>
        <w:rPr>
          <w:sz w:val="20"/>
          <w:szCs w:val="20"/>
        </w:rPr>
      </w:pPr>
      <w:r w:rsidRPr="002D1D0A">
        <w:rPr>
          <w:rStyle w:val="FootnoteReference"/>
          <w:noProof/>
          <w:sz w:val="20"/>
          <w:szCs w:val="20"/>
        </w:rPr>
        <w:footnoteRef/>
      </w:r>
      <w:r w:rsidRPr="002D1D0A">
        <w:rPr>
          <w:sz w:val="20"/>
          <w:szCs w:val="20"/>
        </w:rPr>
        <w:t xml:space="preserve"> Waldman, Amy.  “Masters of Suicide Bombing:  Tamil Guerillas of Sri Lanka.”  </w:t>
      </w:r>
      <w:r w:rsidRPr="002D1D0A">
        <w:rPr>
          <w:i/>
          <w:sz w:val="20"/>
          <w:szCs w:val="20"/>
        </w:rPr>
        <w:t>New York Times.</w:t>
      </w:r>
      <w:r w:rsidRPr="002D1D0A">
        <w:rPr>
          <w:sz w:val="20"/>
          <w:szCs w:val="20"/>
        </w:rPr>
        <w:t xml:space="preserve">  January 14, 2003.</w:t>
      </w:r>
    </w:p>
  </w:footnote>
  <w:footnote w:id="133">
    <w:p w:rsidR="00DF4630" w:rsidRPr="002D1D0A" w:rsidRDefault="00DF4630" w:rsidP="00143038">
      <w:pPr>
        <w:spacing w:line="240" w:lineRule="auto"/>
        <w:rPr>
          <w:sz w:val="20"/>
          <w:szCs w:val="20"/>
        </w:rPr>
      </w:pPr>
      <w:r w:rsidRPr="002D1D0A">
        <w:rPr>
          <w:rStyle w:val="FootnoteReference"/>
          <w:noProof/>
          <w:sz w:val="20"/>
          <w:szCs w:val="20"/>
        </w:rPr>
        <w:footnoteRef/>
      </w:r>
      <w:r w:rsidRPr="002D1D0A">
        <w:rPr>
          <w:sz w:val="20"/>
          <w:szCs w:val="20"/>
        </w:rPr>
        <w:t xml:space="preserve"> Hassan, Riaz.  161.</w:t>
      </w:r>
    </w:p>
  </w:footnote>
  <w:footnote w:id="134">
    <w:p w:rsidR="00DF4630" w:rsidRPr="00125BA5" w:rsidRDefault="00DF4630" w:rsidP="00EC41DA">
      <w:pPr>
        <w:spacing w:line="240" w:lineRule="auto"/>
        <w:rPr>
          <w:sz w:val="20"/>
          <w:szCs w:val="20"/>
        </w:rPr>
      </w:pPr>
      <w:r w:rsidRPr="002D1D0A">
        <w:rPr>
          <w:rStyle w:val="FootnoteReference"/>
          <w:noProof/>
          <w:sz w:val="20"/>
          <w:szCs w:val="20"/>
        </w:rPr>
        <w:footnoteRef/>
      </w:r>
      <w:r w:rsidRPr="002D1D0A">
        <w:rPr>
          <w:sz w:val="20"/>
          <w:szCs w:val="20"/>
        </w:rPr>
        <w:t xml:space="preserve"> Fair, 37.</w:t>
      </w:r>
    </w:p>
  </w:footnote>
  <w:footnote w:id="135">
    <w:p w:rsidR="00DF4630" w:rsidRPr="00125BA5" w:rsidRDefault="00DF4630" w:rsidP="00EC41DA">
      <w:pPr>
        <w:spacing w:line="240" w:lineRule="auto"/>
        <w:rPr>
          <w:sz w:val="20"/>
          <w:szCs w:val="20"/>
        </w:rPr>
      </w:pPr>
      <w:r w:rsidRPr="00125BA5">
        <w:rPr>
          <w:rStyle w:val="FootnoteReference"/>
          <w:noProof/>
          <w:sz w:val="20"/>
          <w:szCs w:val="20"/>
        </w:rPr>
        <w:footnoteRef/>
      </w:r>
      <w:r w:rsidRPr="00125BA5">
        <w:rPr>
          <w:sz w:val="20"/>
          <w:szCs w:val="20"/>
        </w:rPr>
        <w:t xml:space="preserve"> Ramasubramanian, R.  “Suicide Terrorism in Sri Lanka.”  </w:t>
      </w:r>
      <w:r w:rsidRPr="00E72D97">
        <w:rPr>
          <w:i/>
          <w:sz w:val="20"/>
          <w:szCs w:val="20"/>
        </w:rPr>
        <w:t>Institute of Peace and Conflict Studies.</w:t>
      </w:r>
      <w:r w:rsidRPr="00125BA5">
        <w:rPr>
          <w:sz w:val="20"/>
          <w:szCs w:val="20"/>
        </w:rPr>
        <w:t xml:space="preserve">  New Delhi, India.  August 2004.  </w:t>
      </w:r>
      <w:hyperlink r:id="rId8" w:history="1">
        <w:r w:rsidRPr="00125BA5">
          <w:rPr>
            <w:rStyle w:val="Hyperlink"/>
            <w:sz w:val="20"/>
            <w:szCs w:val="20"/>
          </w:rPr>
          <w:t>http://www.ipcs.org/IRP05.pdf</w:t>
        </w:r>
      </w:hyperlink>
      <w:r w:rsidRPr="00125BA5">
        <w:rPr>
          <w:sz w:val="20"/>
          <w:szCs w:val="20"/>
        </w:rPr>
        <w:t xml:space="preserve">  10.</w:t>
      </w:r>
      <w:r>
        <w:rPr>
          <w:sz w:val="20"/>
          <w:szCs w:val="20"/>
        </w:rPr>
        <w:t xml:space="preserve">  And </w:t>
      </w:r>
      <w:r w:rsidRPr="00125BA5">
        <w:rPr>
          <w:sz w:val="20"/>
          <w:szCs w:val="20"/>
        </w:rPr>
        <w:t xml:space="preserve">Waldman, Amy.  “Masters of Suicide Bombing:  Tamil Guerillas of Sri Lanka.”  </w:t>
      </w:r>
      <w:r w:rsidRPr="00912A23">
        <w:rPr>
          <w:i/>
          <w:sz w:val="20"/>
          <w:szCs w:val="20"/>
        </w:rPr>
        <w:t>New York Times.</w:t>
      </w:r>
      <w:r w:rsidRPr="00125BA5">
        <w:rPr>
          <w:sz w:val="20"/>
          <w:szCs w:val="20"/>
        </w:rPr>
        <w:t xml:space="preserve">  January 14, 2003.</w:t>
      </w:r>
    </w:p>
  </w:footnote>
  <w:footnote w:id="136">
    <w:p w:rsidR="00DF4630" w:rsidRPr="00125BA5" w:rsidRDefault="00DF4630" w:rsidP="00EC41DA">
      <w:pPr>
        <w:spacing w:line="240" w:lineRule="auto"/>
        <w:rPr>
          <w:sz w:val="20"/>
          <w:szCs w:val="20"/>
        </w:rPr>
      </w:pPr>
      <w:r w:rsidRPr="00125BA5">
        <w:rPr>
          <w:rStyle w:val="FootnoteReference"/>
          <w:noProof/>
          <w:sz w:val="20"/>
          <w:szCs w:val="20"/>
        </w:rPr>
        <w:footnoteRef/>
      </w:r>
      <w:r w:rsidRPr="00125BA5">
        <w:rPr>
          <w:sz w:val="20"/>
          <w:szCs w:val="20"/>
        </w:rPr>
        <w:t xml:space="preserve"> Atran, Scott. 2006. "The Moral Logic and Growth of Suicide Terrorism". </w:t>
      </w:r>
      <w:r w:rsidRPr="00125BA5">
        <w:rPr>
          <w:i/>
          <w:iCs/>
          <w:sz w:val="20"/>
          <w:szCs w:val="20"/>
        </w:rPr>
        <w:t>Washington Quarterly. </w:t>
      </w:r>
      <w:r w:rsidRPr="00125BA5">
        <w:rPr>
          <w:sz w:val="20"/>
          <w:szCs w:val="20"/>
        </w:rPr>
        <w:t>29, no. 2: 127-147.  131.</w:t>
      </w:r>
    </w:p>
  </w:footnote>
  <w:footnote w:id="137">
    <w:p w:rsidR="00DF4630" w:rsidRPr="00125BA5" w:rsidRDefault="00DF4630" w:rsidP="00EC41DA">
      <w:pPr>
        <w:spacing w:line="240" w:lineRule="auto"/>
        <w:rPr>
          <w:sz w:val="20"/>
          <w:szCs w:val="20"/>
        </w:rPr>
      </w:pPr>
      <w:r w:rsidRPr="00125BA5">
        <w:rPr>
          <w:rStyle w:val="FootnoteReference"/>
          <w:noProof/>
          <w:sz w:val="20"/>
          <w:szCs w:val="20"/>
        </w:rPr>
        <w:footnoteRef/>
      </w:r>
      <w:r w:rsidRPr="00125BA5">
        <w:rPr>
          <w:sz w:val="20"/>
          <w:szCs w:val="20"/>
        </w:rPr>
        <w:t xml:space="preserve"> Mehta, Raj K. </w:t>
      </w:r>
      <w:r w:rsidRPr="00125BA5">
        <w:rPr>
          <w:i/>
          <w:iCs/>
          <w:sz w:val="20"/>
          <w:szCs w:val="20"/>
        </w:rPr>
        <w:t>Lost Victory: The Rise &amp; Fall of LTTE Supremo, V. Prabhakaran</w:t>
      </w:r>
      <w:r w:rsidRPr="00125BA5">
        <w:rPr>
          <w:sz w:val="20"/>
          <w:szCs w:val="20"/>
        </w:rPr>
        <w:t>. New Delhi: Pentagon Security International, 2010.  68.</w:t>
      </w:r>
    </w:p>
  </w:footnote>
  <w:footnote w:id="138">
    <w:p w:rsidR="00DF4630" w:rsidRPr="00125BA5" w:rsidRDefault="00DF4630" w:rsidP="00EC41DA">
      <w:pPr>
        <w:spacing w:line="240" w:lineRule="auto"/>
        <w:rPr>
          <w:sz w:val="20"/>
          <w:szCs w:val="20"/>
        </w:rPr>
      </w:pPr>
      <w:r w:rsidRPr="00125BA5">
        <w:rPr>
          <w:rStyle w:val="FootnoteReference"/>
          <w:noProof/>
          <w:sz w:val="20"/>
          <w:szCs w:val="20"/>
        </w:rPr>
        <w:footnoteRef/>
      </w:r>
      <w:r w:rsidRPr="00125BA5">
        <w:rPr>
          <w:sz w:val="20"/>
          <w:szCs w:val="20"/>
        </w:rPr>
        <w:t xml:space="preserve"> </w:t>
      </w:r>
      <w:r w:rsidRPr="00125BA5">
        <w:rPr>
          <w:bCs/>
          <w:iCs/>
          <w:sz w:val="20"/>
          <w:szCs w:val="20"/>
        </w:rPr>
        <w:t>Braun, R., and M. Genkin. 2014. "Cultural Resonance and the Diffusion of Suicide Bombings: The Role of Collectivism". </w:t>
      </w:r>
      <w:r w:rsidRPr="00125BA5">
        <w:rPr>
          <w:bCs/>
          <w:i/>
          <w:sz w:val="20"/>
          <w:szCs w:val="20"/>
        </w:rPr>
        <w:t>Journal of Conflict Resolution.</w:t>
      </w:r>
      <w:r w:rsidRPr="00125BA5">
        <w:rPr>
          <w:bCs/>
          <w:sz w:val="20"/>
          <w:szCs w:val="20"/>
        </w:rPr>
        <w:t> </w:t>
      </w:r>
      <w:r w:rsidRPr="00125BA5">
        <w:rPr>
          <w:bCs/>
          <w:iCs/>
          <w:sz w:val="20"/>
          <w:szCs w:val="20"/>
        </w:rPr>
        <w:t>58, no. 7: 1258-1284.  1264.</w:t>
      </w:r>
    </w:p>
  </w:footnote>
  <w:footnote w:id="139">
    <w:p w:rsidR="00DF4630" w:rsidRPr="00125BA5" w:rsidRDefault="00DF4630" w:rsidP="00EC41DA">
      <w:pPr>
        <w:spacing w:line="240" w:lineRule="auto"/>
        <w:rPr>
          <w:sz w:val="20"/>
          <w:szCs w:val="20"/>
        </w:rPr>
      </w:pPr>
      <w:r w:rsidRPr="00125BA5">
        <w:rPr>
          <w:rStyle w:val="FootnoteReference"/>
          <w:noProof/>
          <w:sz w:val="20"/>
          <w:szCs w:val="20"/>
        </w:rPr>
        <w:footnoteRef/>
      </w:r>
      <w:r w:rsidRPr="00125BA5">
        <w:rPr>
          <w:sz w:val="20"/>
          <w:szCs w:val="20"/>
        </w:rPr>
        <w:t xml:space="preserve"> </w:t>
      </w:r>
      <w:r w:rsidRPr="002D1D0A">
        <w:rPr>
          <w:sz w:val="20"/>
          <w:szCs w:val="20"/>
        </w:rPr>
        <w:t>Moghadam, Globalization of Martyrdom, Kindle Location</w:t>
      </w:r>
      <w:r w:rsidRPr="00125BA5">
        <w:rPr>
          <w:sz w:val="20"/>
          <w:szCs w:val="20"/>
        </w:rPr>
        <w:t xml:space="preserve"> 605.</w:t>
      </w:r>
    </w:p>
  </w:footnote>
  <w:footnote w:id="140">
    <w:p w:rsidR="00DF4630" w:rsidRPr="00125BA5" w:rsidRDefault="00DF4630" w:rsidP="00EC41DA">
      <w:pPr>
        <w:spacing w:line="240" w:lineRule="auto"/>
        <w:rPr>
          <w:sz w:val="20"/>
          <w:szCs w:val="20"/>
        </w:rPr>
      </w:pPr>
      <w:r w:rsidRPr="00125BA5">
        <w:rPr>
          <w:rStyle w:val="FootnoteReference"/>
          <w:noProof/>
          <w:sz w:val="20"/>
          <w:szCs w:val="20"/>
        </w:rPr>
        <w:footnoteRef/>
      </w:r>
      <w:r w:rsidRPr="00125BA5">
        <w:rPr>
          <w:sz w:val="20"/>
          <w:szCs w:val="20"/>
        </w:rPr>
        <w:t xml:space="preserve"> Lewis, 105.</w:t>
      </w:r>
    </w:p>
  </w:footnote>
  <w:footnote w:id="141">
    <w:p w:rsidR="00DF4630" w:rsidRPr="00125BA5" w:rsidRDefault="00DF4630" w:rsidP="00143038">
      <w:pPr>
        <w:spacing w:line="240" w:lineRule="auto"/>
        <w:rPr>
          <w:sz w:val="20"/>
          <w:szCs w:val="20"/>
        </w:rPr>
      </w:pPr>
      <w:r w:rsidRPr="00125BA5">
        <w:rPr>
          <w:rStyle w:val="FootnoteReference"/>
          <w:noProof/>
          <w:sz w:val="20"/>
          <w:szCs w:val="20"/>
        </w:rPr>
        <w:footnoteRef/>
      </w:r>
      <w:r w:rsidRPr="00125BA5">
        <w:rPr>
          <w:sz w:val="20"/>
          <w:szCs w:val="20"/>
        </w:rPr>
        <w:t xml:space="preserve"> Waldman, Amy.  </w:t>
      </w:r>
    </w:p>
  </w:footnote>
  <w:footnote w:id="142">
    <w:p w:rsidR="00DF4630" w:rsidRPr="00125BA5" w:rsidRDefault="00DF4630" w:rsidP="00EC41DA">
      <w:pPr>
        <w:spacing w:line="240" w:lineRule="auto"/>
        <w:rPr>
          <w:sz w:val="20"/>
          <w:szCs w:val="20"/>
        </w:rPr>
      </w:pPr>
      <w:r w:rsidRPr="00125BA5">
        <w:rPr>
          <w:rStyle w:val="FootnoteReference"/>
          <w:noProof/>
          <w:sz w:val="20"/>
          <w:szCs w:val="20"/>
        </w:rPr>
        <w:footnoteRef/>
      </w:r>
      <w:r w:rsidRPr="00125BA5">
        <w:rPr>
          <w:sz w:val="20"/>
          <w:szCs w:val="20"/>
        </w:rPr>
        <w:t xml:space="preserve"> Bloom, </w:t>
      </w:r>
      <w:r w:rsidRPr="00125BA5">
        <w:rPr>
          <w:i/>
          <w:iCs/>
          <w:sz w:val="20"/>
          <w:szCs w:val="20"/>
        </w:rPr>
        <w:t>Dying to Kill</w:t>
      </w:r>
      <w:r>
        <w:rPr>
          <w:i/>
          <w:iCs/>
          <w:sz w:val="20"/>
          <w:szCs w:val="20"/>
        </w:rPr>
        <w:t xml:space="preserve">.  </w:t>
      </w:r>
      <w:r w:rsidRPr="00125BA5">
        <w:rPr>
          <w:sz w:val="20"/>
          <w:szCs w:val="20"/>
        </w:rPr>
        <w:t>64.</w:t>
      </w:r>
    </w:p>
  </w:footnote>
  <w:footnote w:id="143">
    <w:p w:rsidR="00DF4630" w:rsidRPr="00125BA5" w:rsidRDefault="00DF4630" w:rsidP="00143038">
      <w:pPr>
        <w:spacing w:line="240" w:lineRule="auto"/>
        <w:rPr>
          <w:sz w:val="20"/>
          <w:szCs w:val="20"/>
        </w:rPr>
      </w:pPr>
      <w:r w:rsidRPr="00125BA5">
        <w:rPr>
          <w:rStyle w:val="FootnoteReference"/>
          <w:noProof/>
          <w:sz w:val="20"/>
          <w:szCs w:val="20"/>
        </w:rPr>
        <w:footnoteRef/>
      </w:r>
      <w:r w:rsidRPr="00125BA5">
        <w:rPr>
          <w:sz w:val="20"/>
          <w:szCs w:val="20"/>
        </w:rPr>
        <w:t xml:space="preserve"> Hassan, Riaz. </w:t>
      </w:r>
      <w:r w:rsidRPr="00BC0A0F">
        <w:rPr>
          <w:sz w:val="20"/>
          <w:szCs w:val="20"/>
        </w:rPr>
        <w:t>169.  And</w:t>
      </w:r>
      <w:r>
        <w:rPr>
          <w:b/>
          <w:sz w:val="20"/>
          <w:szCs w:val="20"/>
        </w:rPr>
        <w:t xml:space="preserve"> </w:t>
      </w:r>
      <w:r w:rsidRPr="00125BA5">
        <w:rPr>
          <w:sz w:val="20"/>
          <w:szCs w:val="20"/>
        </w:rPr>
        <w:t>Lewis, 103.</w:t>
      </w:r>
    </w:p>
  </w:footnote>
  <w:footnote w:id="144">
    <w:p w:rsidR="00DF4630" w:rsidRPr="00125BA5" w:rsidRDefault="00DF4630" w:rsidP="00EC41DA">
      <w:pPr>
        <w:spacing w:line="240" w:lineRule="auto"/>
        <w:rPr>
          <w:sz w:val="20"/>
          <w:szCs w:val="20"/>
        </w:rPr>
      </w:pPr>
      <w:r w:rsidRPr="00125BA5">
        <w:rPr>
          <w:rStyle w:val="FootnoteReference"/>
          <w:noProof/>
          <w:sz w:val="20"/>
          <w:szCs w:val="20"/>
        </w:rPr>
        <w:footnoteRef/>
      </w:r>
      <w:r w:rsidRPr="00125BA5">
        <w:rPr>
          <w:sz w:val="20"/>
          <w:szCs w:val="20"/>
        </w:rPr>
        <w:t xml:space="preserve"> Pratap, Anita. </w:t>
      </w:r>
      <w:r w:rsidRPr="00125BA5">
        <w:rPr>
          <w:i/>
          <w:iCs/>
          <w:sz w:val="20"/>
          <w:szCs w:val="20"/>
        </w:rPr>
        <w:t xml:space="preserve">Island of Blood Frontline Reports from Sri Lanka, Afghanistan and Other South Asian Flashpoints. </w:t>
      </w:r>
      <w:r w:rsidRPr="00125BA5">
        <w:rPr>
          <w:sz w:val="20"/>
          <w:szCs w:val="20"/>
        </w:rPr>
        <w:t>New York: Penguin Books, 2003.  103.</w:t>
      </w:r>
      <w:r>
        <w:rPr>
          <w:sz w:val="20"/>
          <w:szCs w:val="20"/>
        </w:rPr>
        <w:t xml:space="preserve">  Subsequent quotes are from the same citation.</w:t>
      </w:r>
    </w:p>
  </w:footnote>
  <w:footnote w:id="145">
    <w:p w:rsidR="00DF4630" w:rsidRPr="00125BA5" w:rsidRDefault="00DF4630" w:rsidP="008520B9">
      <w:pPr>
        <w:spacing w:line="240" w:lineRule="auto"/>
        <w:rPr>
          <w:sz w:val="20"/>
          <w:szCs w:val="20"/>
        </w:rPr>
      </w:pPr>
      <w:r w:rsidRPr="00125BA5">
        <w:rPr>
          <w:rStyle w:val="FootnoteReference"/>
          <w:noProof/>
          <w:sz w:val="20"/>
          <w:szCs w:val="20"/>
        </w:rPr>
        <w:footnoteRef/>
      </w:r>
      <w:r w:rsidRPr="00125BA5">
        <w:rPr>
          <w:sz w:val="20"/>
          <w:szCs w:val="20"/>
        </w:rPr>
        <w:t xml:space="preserve"> Lewis, 147.</w:t>
      </w:r>
    </w:p>
  </w:footnote>
  <w:footnote w:id="146">
    <w:p w:rsidR="00DF4630" w:rsidRPr="00125BA5" w:rsidRDefault="00DF4630" w:rsidP="0081557D">
      <w:pPr>
        <w:spacing w:line="240" w:lineRule="auto"/>
        <w:rPr>
          <w:sz w:val="20"/>
          <w:szCs w:val="20"/>
        </w:rPr>
      </w:pPr>
      <w:r w:rsidRPr="00125BA5">
        <w:rPr>
          <w:rStyle w:val="FootnoteReference"/>
          <w:noProof/>
          <w:sz w:val="20"/>
          <w:szCs w:val="20"/>
        </w:rPr>
        <w:footnoteRef/>
      </w:r>
      <w:r w:rsidRPr="00125BA5">
        <w:rPr>
          <w:sz w:val="20"/>
          <w:szCs w:val="20"/>
        </w:rPr>
        <w:t xml:space="preserve"> Masters, Jonathan.  “Council on Foreign Relations Backgrounder:  What is Hamas?”  </w:t>
      </w:r>
      <w:r w:rsidRPr="00125BA5">
        <w:rPr>
          <w:i/>
          <w:iCs/>
          <w:sz w:val="20"/>
          <w:szCs w:val="20"/>
        </w:rPr>
        <w:t>PBS.org</w:t>
      </w:r>
      <w:r w:rsidR="009918F1" w:rsidRPr="00125BA5">
        <w:rPr>
          <w:i/>
          <w:iCs/>
          <w:sz w:val="20"/>
          <w:szCs w:val="20"/>
        </w:rPr>
        <w:t>. 20</w:t>
      </w:r>
      <w:r w:rsidRPr="00125BA5">
        <w:rPr>
          <w:sz w:val="20"/>
          <w:szCs w:val="20"/>
        </w:rPr>
        <w:t xml:space="preserve"> November 2012.  </w:t>
      </w:r>
      <w:hyperlink r:id="rId9" w:history="1">
        <w:r w:rsidRPr="00125BA5">
          <w:rPr>
            <w:rStyle w:val="Hyperlink"/>
            <w:sz w:val="20"/>
            <w:szCs w:val="20"/>
          </w:rPr>
          <w:t>http://www.pbs.org/newshour/rundown/hamas-backgrounder/</w:t>
        </w:r>
      </w:hyperlink>
      <w:r w:rsidRPr="00125BA5">
        <w:rPr>
          <w:sz w:val="20"/>
          <w:szCs w:val="20"/>
        </w:rPr>
        <w:t xml:space="preserve"> (Accessed 22 October 2015).</w:t>
      </w:r>
    </w:p>
  </w:footnote>
  <w:footnote w:id="147">
    <w:p w:rsidR="00DF4630" w:rsidRPr="00125BA5" w:rsidRDefault="00DF4630" w:rsidP="0081557D">
      <w:pPr>
        <w:spacing w:line="240" w:lineRule="auto"/>
        <w:rPr>
          <w:sz w:val="20"/>
          <w:szCs w:val="20"/>
        </w:rPr>
      </w:pPr>
      <w:r w:rsidRPr="00125BA5">
        <w:rPr>
          <w:rStyle w:val="FootnoteReference"/>
          <w:noProof/>
          <w:sz w:val="20"/>
          <w:szCs w:val="20"/>
        </w:rPr>
        <w:footnoteRef/>
      </w:r>
      <w:r w:rsidRPr="00125BA5">
        <w:rPr>
          <w:sz w:val="20"/>
          <w:szCs w:val="20"/>
        </w:rPr>
        <w:t xml:space="preserve"> Lewis, 146.</w:t>
      </w:r>
    </w:p>
  </w:footnote>
  <w:footnote w:id="148">
    <w:p w:rsidR="00DF4630" w:rsidRPr="00125BA5" w:rsidRDefault="00DF4630" w:rsidP="0081557D">
      <w:pPr>
        <w:spacing w:line="240" w:lineRule="auto"/>
        <w:rPr>
          <w:sz w:val="20"/>
          <w:szCs w:val="20"/>
        </w:rPr>
      </w:pPr>
      <w:r w:rsidRPr="00125BA5">
        <w:rPr>
          <w:rStyle w:val="FootnoteReference"/>
          <w:noProof/>
          <w:sz w:val="20"/>
          <w:szCs w:val="20"/>
        </w:rPr>
        <w:footnoteRef/>
      </w:r>
      <w:r w:rsidRPr="00125BA5">
        <w:rPr>
          <w:sz w:val="20"/>
          <w:szCs w:val="20"/>
        </w:rPr>
        <w:t xml:space="preserve"> Masters, Jonathan.  </w:t>
      </w:r>
    </w:p>
  </w:footnote>
  <w:footnote w:id="149">
    <w:p w:rsidR="00DF4630" w:rsidRPr="00125BA5" w:rsidRDefault="00DF4630" w:rsidP="0081557D">
      <w:pPr>
        <w:spacing w:line="240" w:lineRule="auto"/>
        <w:rPr>
          <w:sz w:val="20"/>
          <w:szCs w:val="20"/>
        </w:rPr>
      </w:pPr>
      <w:r w:rsidRPr="00125BA5">
        <w:rPr>
          <w:rStyle w:val="FootnoteReference"/>
          <w:noProof/>
          <w:sz w:val="20"/>
          <w:szCs w:val="20"/>
        </w:rPr>
        <w:footnoteRef/>
      </w:r>
      <w:r w:rsidRPr="00125BA5">
        <w:rPr>
          <w:sz w:val="20"/>
          <w:szCs w:val="20"/>
        </w:rPr>
        <w:t xml:space="preserve"> Fisk, Robert.  “Obituary:  Dr. Fathi Shaqiqi.”  </w:t>
      </w:r>
      <w:r w:rsidRPr="00125BA5">
        <w:rPr>
          <w:i/>
          <w:iCs/>
          <w:sz w:val="20"/>
          <w:szCs w:val="20"/>
        </w:rPr>
        <w:t xml:space="preserve">The Independent.  </w:t>
      </w:r>
      <w:r w:rsidRPr="00125BA5">
        <w:rPr>
          <w:sz w:val="20"/>
          <w:szCs w:val="20"/>
        </w:rPr>
        <w:t xml:space="preserve">22 October 2011.  </w:t>
      </w:r>
      <w:hyperlink r:id="rId10" w:history="1">
        <w:r w:rsidRPr="00125BA5">
          <w:rPr>
            <w:rStyle w:val="Hyperlink"/>
            <w:sz w:val="20"/>
            <w:szCs w:val="20"/>
          </w:rPr>
          <w:t>http://www.independent.co.uk/news/people/obituary-dr-fathi-shkaki-1580289.html</w:t>
        </w:r>
      </w:hyperlink>
      <w:r w:rsidRPr="00125BA5">
        <w:rPr>
          <w:sz w:val="20"/>
          <w:szCs w:val="20"/>
        </w:rPr>
        <w:t xml:space="preserve"> (Accessed 16 November 2015).</w:t>
      </w:r>
    </w:p>
  </w:footnote>
  <w:footnote w:id="150">
    <w:p w:rsidR="00DF4630" w:rsidRPr="00125BA5" w:rsidRDefault="00DF4630" w:rsidP="0081557D">
      <w:pPr>
        <w:spacing w:line="240" w:lineRule="auto"/>
        <w:rPr>
          <w:sz w:val="20"/>
          <w:szCs w:val="20"/>
        </w:rPr>
      </w:pPr>
      <w:r w:rsidRPr="00125BA5">
        <w:rPr>
          <w:rStyle w:val="FootnoteReference"/>
          <w:noProof/>
          <w:sz w:val="20"/>
          <w:szCs w:val="20"/>
        </w:rPr>
        <w:footnoteRef/>
      </w:r>
      <w:r w:rsidRPr="00125BA5">
        <w:rPr>
          <w:sz w:val="20"/>
          <w:szCs w:val="20"/>
        </w:rPr>
        <w:t xml:space="preserve"> Hassan, Nasra.  “An Arsenal of Believers</w:t>
      </w:r>
      <w:r w:rsidR="009918F1" w:rsidRPr="00125BA5">
        <w:rPr>
          <w:sz w:val="20"/>
          <w:szCs w:val="20"/>
        </w:rPr>
        <w:t>” The</w:t>
      </w:r>
      <w:r w:rsidRPr="00125BA5">
        <w:rPr>
          <w:i/>
          <w:sz w:val="20"/>
          <w:szCs w:val="20"/>
        </w:rPr>
        <w:t xml:space="preserve"> New Yorker.</w:t>
      </w:r>
      <w:r w:rsidRPr="00125BA5">
        <w:rPr>
          <w:sz w:val="20"/>
          <w:szCs w:val="20"/>
        </w:rPr>
        <w:t xml:space="preserve">  November 19</w:t>
      </w:r>
      <w:r w:rsidRPr="00125BA5">
        <w:rPr>
          <w:noProof/>
          <w:sz w:val="20"/>
          <w:szCs w:val="20"/>
          <w:vertAlign w:val="superscript"/>
        </w:rPr>
        <w:t>th</w:t>
      </w:r>
      <w:r w:rsidRPr="00125BA5">
        <w:rPr>
          <w:sz w:val="20"/>
          <w:szCs w:val="20"/>
        </w:rPr>
        <w:t xml:space="preserve">, 2001. </w:t>
      </w:r>
      <w:hyperlink r:id="rId11" w:history="1">
        <w:r w:rsidRPr="00125BA5">
          <w:rPr>
            <w:rStyle w:val="Hyperlink"/>
            <w:sz w:val="20"/>
            <w:szCs w:val="20"/>
          </w:rPr>
          <w:t>http://www.newyorker.com/magazine/2001/11/19/an-arsenal-of-believers</w:t>
        </w:r>
      </w:hyperlink>
      <w:r w:rsidRPr="00125BA5">
        <w:rPr>
          <w:sz w:val="20"/>
          <w:szCs w:val="20"/>
        </w:rPr>
        <w:t xml:space="preserve"> (Accessed 16 November 2015).</w:t>
      </w:r>
    </w:p>
  </w:footnote>
  <w:footnote w:id="151">
    <w:p w:rsidR="00DF4630" w:rsidRPr="00125BA5" w:rsidRDefault="00DF4630" w:rsidP="0081557D">
      <w:pPr>
        <w:spacing w:line="240" w:lineRule="auto"/>
        <w:rPr>
          <w:sz w:val="20"/>
          <w:szCs w:val="20"/>
        </w:rPr>
      </w:pPr>
      <w:r w:rsidRPr="00125BA5">
        <w:rPr>
          <w:rStyle w:val="FootnoteReference"/>
          <w:noProof/>
          <w:sz w:val="20"/>
          <w:szCs w:val="20"/>
        </w:rPr>
        <w:footnoteRef/>
      </w:r>
      <w:r w:rsidRPr="00125BA5">
        <w:rPr>
          <w:sz w:val="20"/>
          <w:szCs w:val="20"/>
        </w:rPr>
        <w:t xml:space="preserve"> Abū ʻAmr, Ziyād. 1994. </w:t>
      </w:r>
      <w:r w:rsidRPr="00125BA5">
        <w:rPr>
          <w:i/>
          <w:iCs/>
          <w:sz w:val="20"/>
          <w:szCs w:val="20"/>
        </w:rPr>
        <w:t>Islamic fundamentalism in the West Bank and Gaza: Muslim Brotherhood and Islamic Jihad</w:t>
      </w:r>
      <w:r w:rsidRPr="00125BA5">
        <w:rPr>
          <w:sz w:val="20"/>
          <w:szCs w:val="20"/>
        </w:rPr>
        <w:t>. Indiana series in Arab and Islamic studies. Bloomington: Indiana University Press.  82.</w:t>
      </w:r>
    </w:p>
  </w:footnote>
  <w:footnote w:id="152">
    <w:p w:rsidR="00DF4630" w:rsidRPr="00125BA5" w:rsidRDefault="00DF4630" w:rsidP="0081557D">
      <w:pPr>
        <w:spacing w:line="240" w:lineRule="auto"/>
        <w:rPr>
          <w:sz w:val="20"/>
          <w:szCs w:val="20"/>
        </w:rPr>
      </w:pPr>
      <w:r w:rsidRPr="00125BA5">
        <w:rPr>
          <w:rStyle w:val="FootnoteReference"/>
          <w:noProof/>
          <w:sz w:val="20"/>
          <w:szCs w:val="20"/>
        </w:rPr>
        <w:footnoteRef/>
      </w:r>
      <w:r w:rsidRPr="00125BA5">
        <w:rPr>
          <w:sz w:val="20"/>
          <w:szCs w:val="20"/>
        </w:rPr>
        <w:t xml:space="preserve"> Fletcher, Holly.  “Backgrounder:  Palestinian Islamic Jihad.”  </w:t>
      </w:r>
      <w:r w:rsidRPr="00125BA5">
        <w:rPr>
          <w:i/>
          <w:iCs/>
          <w:sz w:val="20"/>
          <w:szCs w:val="20"/>
        </w:rPr>
        <w:t xml:space="preserve">Council on Foreign Relations.  </w:t>
      </w:r>
      <w:hyperlink r:id="rId12" w:history="1">
        <w:r w:rsidRPr="00125BA5">
          <w:rPr>
            <w:rStyle w:val="Hyperlink"/>
            <w:i/>
            <w:iCs/>
            <w:sz w:val="20"/>
            <w:szCs w:val="20"/>
          </w:rPr>
          <w:t>http://www.cfr.org/israel/palestinian-islamic-jihad/p15984</w:t>
        </w:r>
      </w:hyperlink>
      <w:r w:rsidRPr="00125BA5">
        <w:rPr>
          <w:i/>
          <w:iCs/>
          <w:sz w:val="20"/>
          <w:szCs w:val="20"/>
        </w:rPr>
        <w:t xml:space="preserve">  </w:t>
      </w:r>
      <w:r w:rsidRPr="00125BA5">
        <w:rPr>
          <w:sz w:val="20"/>
          <w:szCs w:val="20"/>
        </w:rPr>
        <w:t>(Accessed 16 November 2015).</w:t>
      </w:r>
    </w:p>
  </w:footnote>
  <w:footnote w:id="153">
    <w:p w:rsidR="00DF4630" w:rsidRPr="00125BA5" w:rsidRDefault="00DF4630" w:rsidP="0081557D">
      <w:pPr>
        <w:spacing w:line="240" w:lineRule="auto"/>
        <w:rPr>
          <w:sz w:val="20"/>
          <w:szCs w:val="20"/>
        </w:rPr>
      </w:pPr>
      <w:r w:rsidRPr="00125BA5">
        <w:rPr>
          <w:rStyle w:val="FootnoteReference"/>
          <w:noProof/>
          <w:sz w:val="20"/>
          <w:szCs w:val="20"/>
        </w:rPr>
        <w:footnoteRef/>
      </w:r>
      <w:r w:rsidRPr="00125BA5">
        <w:rPr>
          <w:sz w:val="20"/>
          <w:szCs w:val="20"/>
        </w:rPr>
        <w:t xml:space="preserve"> Hafez, </w:t>
      </w:r>
      <w:r w:rsidRPr="00125BA5">
        <w:rPr>
          <w:i/>
          <w:iCs/>
          <w:sz w:val="20"/>
          <w:szCs w:val="20"/>
        </w:rPr>
        <w:t>Manufacturing Human Bombs</w:t>
      </w:r>
      <w:r w:rsidRPr="00125BA5">
        <w:rPr>
          <w:sz w:val="20"/>
          <w:szCs w:val="20"/>
        </w:rPr>
        <w:t xml:space="preserve">. </w:t>
      </w:r>
      <w:r>
        <w:rPr>
          <w:sz w:val="20"/>
          <w:szCs w:val="20"/>
        </w:rPr>
        <w:t xml:space="preserve"> </w:t>
      </w:r>
      <w:r w:rsidRPr="00125BA5">
        <w:rPr>
          <w:sz w:val="20"/>
          <w:szCs w:val="20"/>
        </w:rPr>
        <w:t>18</w:t>
      </w:r>
      <w:r>
        <w:rPr>
          <w:sz w:val="20"/>
          <w:szCs w:val="20"/>
        </w:rPr>
        <w:t xml:space="preserve">.  And </w:t>
      </w:r>
      <w:r w:rsidRPr="00125BA5">
        <w:rPr>
          <w:sz w:val="20"/>
          <w:szCs w:val="20"/>
        </w:rPr>
        <w:t>Lewis, 149.</w:t>
      </w:r>
    </w:p>
  </w:footnote>
  <w:footnote w:id="154">
    <w:p w:rsidR="00DF4630" w:rsidRPr="00125BA5" w:rsidRDefault="00DF4630" w:rsidP="0081557D">
      <w:pPr>
        <w:spacing w:line="240" w:lineRule="auto"/>
        <w:rPr>
          <w:sz w:val="20"/>
          <w:szCs w:val="20"/>
        </w:rPr>
      </w:pPr>
      <w:r w:rsidRPr="00125BA5">
        <w:rPr>
          <w:rStyle w:val="FootnoteReference"/>
          <w:noProof/>
          <w:sz w:val="20"/>
          <w:szCs w:val="20"/>
        </w:rPr>
        <w:footnoteRef/>
      </w:r>
      <w:r w:rsidRPr="00125BA5">
        <w:rPr>
          <w:sz w:val="20"/>
          <w:szCs w:val="20"/>
        </w:rPr>
        <w:t xml:space="preserve"> Lewis, 158.</w:t>
      </w:r>
    </w:p>
  </w:footnote>
  <w:footnote w:id="155">
    <w:p w:rsidR="00DF4630" w:rsidRPr="00125BA5" w:rsidRDefault="00DF4630" w:rsidP="0081557D">
      <w:pPr>
        <w:spacing w:line="240" w:lineRule="auto"/>
        <w:rPr>
          <w:sz w:val="20"/>
          <w:szCs w:val="20"/>
        </w:rPr>
      </w:pPr>
      <w:r w:rsidRPr="00125BA5">
        <w:rPr>
          <w:rStyle w:val="FootnoteReference"/>
          <w:noProof/>
          <w:sz w:val="20"/>
          <w:szCs w:val="20"/>
        </w:rPr>
        <w:footnoteRef/>
      </w:r>
      <w:r w:rsidRPr="00125BA5">
        <w:rPr>
          <w:sz w:val="20"/>
          <w:szCs w:val="20"/>
        </w:rPr>
        <w:t xml:space="preserve"> Hassan, Nasra. </w:t>
      </w:r>
    </w:p>
  </w:footnote>
  <w:footnote w:id="156">
    <w:p w:rsidR="00DF4630" w:rsidRPr="00125BA5" w:rsidRDefault="00DF4630" w:rsidP="0081557D">
      <w:pPr>
        <w:spacing w:line="240" w:lineRule="auto"/>
        <w:rPr>
          <w:sz w:val="20"/>
          <w:szCs w:val="20"/>
        </w:rPr>
      </w:pPr>
      <w:r w:rsidRPr="00125BA5">
        <w:rPr>
          <w:rStyle w:val="FootnoteReference"/>
          <w:noProof/>
          <w:sz w:val="20"/>
          <w:szCs w:val="20"/>
        </w:rPr>
        <w:footnoteRef/>
      </w:r>
      <w:r w:rsidRPr="00125BA5">
        <w:rPr>
          <w:sz w:val="20"/>
          <w:szCs w:val="20"/>
        </w:rPr>
        <w:t xml:space="preserve"> See Hassan, “An Arsenal of Believers”, and Urquhart, Conal “Hamas in C</w:t>
      </w:r>
      <w:r>
        <w:rPr>
          <w:sz w:val="20"/>
          <w:szCs w:val="20"/>
        </w:rPr>
        <w:t xml:space="preserve">all to End Suicide Bombings” </w:t>
      </w:r>
      <w:r>
        <w:rPr>
          <w:i/>
          <w:sz w:val="20"/>
          <w:szCs w:val="20"/>
        </w:rPr>
        <w:t xml:space="preserve">The Guardian.  </w:t>
      </w:r>
      <w:r w:rsidRPr="00125BA5">
        <w:rPr>
          <w:sz w:val="20"/>
          <w:szCs w:val="20"/>
        </w:rPr>
        <w:t>April 9, 2006.</w:t>
      </w:r>
      <w:r>
        <w:rPr>
          <w:sz w:val="20"/>
          <w:szCs w:val="20"/>
        </w:rPr>
        <w:t xml:space="preserve">  </w:t>
      </w:r>
      <w:hyperlink r:id="rId13" w:history="1">
        <w:r w:rsidRPr="00E5265D">
          <w:rPr>
            <w:rStyle w:val="Hyperlink"/>
            <w:sz w:val="20"/>
            <w:szCs w:val="20"/>
          </w:rPr>
          <w:t>http://www.theguardian.com/world/2006/apr/09/israel</w:t>
        </w:r>
      </w:hyperlink>
      <w:r>
        <w:rPr>
          <w:sz w:val="20"/>
          <w:szCs w:val="20"/>
        </w:rPr>
        <w:t xml:space="preserve"> (Accessed 17 April 2006).</w:t>
      </w:r>
    </w:p>
  </w:footnote>
  <w:footnote w:id="157">
    <w:p w:rsidR="00DF4630" w:rsidRPr="00125BA5" w:rsidRDefault="00DF4630" w:rsidP="0081557D">
      <w:pPr>
        <w:spacing w:line="240" w:lineRule="auto"/>
        <w:rPr>
          <w:sz w:val="20"/>
          <w:szCs w:val="20"/>
        </w:rPr>
      </w:pPr>
      <w:r w:rsidRPr="00125BA5">
        <w:rPr>
          <w:rStyle w:val="FootnoteReference"/>
          <w:noProof/>
          <w:sz w:val="20"/>
          <w:szCs w:val="20"/>
        </w:rPr>
        <w:footnoteRef/>
      </w:r>
      <w:r w:rsidRPr="00125BA5">
        <w:rPr>
          <w:sz w:val="20"/>
          <w:szCs w:val="20"/>
        </w:rPr>
        <w:t xml:space="preserve"> </w:t>
      </w:r>
      <w:r w:rsidRPr="002D1D0A">
        <w:rPr>
          <w:sz w:val="20"/>
          <w:szCs w:val="20"/>
        </w:rPr>
        <w:t xml:space="preserve">Moghadam, </w:t>
      </w:r>
      <w:r w:rsidRPr="00253058">
        <w:rPr>
          <w:i/>
          <w:iCs/>
          <w:sz w:val="20"/>
          <w:szCs w:val="20"/>
        </w:rPr>
        <w:t>Globalization of Martyrdom</w:t>
      </w:r>
      <w:r w:rsidRPr="002D1D0A">
        <w:rPr>
          <w:sz w:val="20"/>
          <w:szCs w:val="20"/>
        </w:rPr>
        <w:t>, Kindle Location</w:t>
      </w:r>
      <w:r w:rsidRPr="00125BA5">
        <w:rPr>
          <w:sz w:val="20"/>
          <w:szCs w:val="20"/>
        </w:rPr>
        <w:t xml:space="preserve"> 620.</w:t>
      </w:r>
    </w:p>
  </w:footnote>
  <w:footnote w:id="158">
    <w:p w:rsidR="00DF4630" w:rsidRPr="00253058" w:rsidRDefault="00DF4630" w:rsidP="00253058">
      <w:pPr>
        <w:pStyle w:val="FootnoteText"/>
      </w:pPr>
      <w:r>
        <w:rPr>
          <w:rStyle w:val="FootnoteReference"/>
        </w:rPr>
        <w:footnoteRef/>
      </w:r>
      <w:r>
        <w:t xml:space="preserve"> The Chechen rebels pushed propaganda that Muslims were descendants of Adam and Eve, but Russians were descendants of Darwin’s monkeys.  </w:t>
      </w:r>
      <w:r w:rsidRPr="00253058">
        <w:t xml:space="preserve">Dolnik, Adam. </w:t>
      </w:r>
      <w:r w:rsidRPr="00253058">
        <w:rPr>
          <w:i/>
          <w:iCs/>
        </w:rPr>
        <w:t>Understanding Terrorist Innovation Technology, Tactics and Global Trends</w:t>
      </w:r>
      <w:r w:rsidRPr="00253058">
        <w:t>. Contemporary terrorism series. London: Routledge, 2007.</w:t>
      </w:r>
      <w:r>
        <w:t xml:space="preserve">  117.</w:t>
      </w:r>
    </w:p>
    <w:p w:rsidR="00DF4630" w:rsidRDefault="00DF4630">
      <w:pPr>
        <w:pStyle w:val="FootnoteText"/>
      </w:pPr>
    </w:p>
  </w:footnote>
  <w:footnote w:id="159">
    <w:p w:rsidR="00DF4630" w:rsidRPr="00125BA5" w:rsidRDefault="00DF4630" w:rsidP="001C601E">
      <w:pPr>
        <w:spacing w:line="240" w:lineRule="auto"/>
        <w:rPr>
          <w:sz w:val="20"/>
          <w:szCs w:val="20"/>
        </w:rPr>
      </w:pPr>
      <w:r w:rsidRPr="00125BA5">
        <w:rPr>
          <w:rStyle w:val="FootnoteReference"/>
          <w:noProof/>
          <w:sz w:val="20"/>
          <w:szCs w:val="20"/>
        </w:rPr>
        <w:footnoteRef/>
      </w:r>
      <w:r w:rsidRPr="00125BA5">
        <w:rPr>
          <w:sz w:val="20"/>
          <w:szCs w:val="20"/>
        </w:rPr>
        <w:t xml:space="preserve"> Cook</w:t>
      </w:r>
      <w:r>
        <w:rPr>
          <w:sz w:val="20"/>
          <w:szCs w:val="20"/>
        </w:rPr>
        <w:t>,</w:t>
      </w:r>
      <w:r w:rsidRPr="00125BA5">
        <w:rPr>
          <w:sz w:val="20"/>
          <w:szCs w:val="20"/>
        </w:rPr>
        <w:t xml:space="preserve"> Understanding and Addressing… 55-56</w:t>
      </w:r>
    </w:p>
  </w:footnote>
  <w:footnote w:id="160">
    <w:p w:rsidR="00DF4630" w:rsidRPr="00125BA5" w:rsidRDefault="00DF4630" w:rsidP="0081557D">
      <w:pPr>
        <w:spacing w:line="240" w:lineRule="auto"/>
        <w:rPr>
          <w:sz w:val="20"/>
          <w:szCs w:val="20"/>
        </w:rPr>
      </w:pPr>
      <w:r w:rsidRPr="00125BA5">
        <w:rPr>
          <w:rStyle w:val="FootnoteReference"/>
          <w:noProof/>
          <w:sz w:val="20"/>
          <w:szCs w:val="20"/>
        </w:rPr>
        <w:footnoteRef/>
      </w:r>
      <w:r w:rsidRPr="00125BA5">
        <w:rPr>
          <w:sz w:val="20"/>
          <w:szCs w:val="20"/>
        </w:rPr>
        <w:t xml:space="preserve"> Lewis, 164.</w:t>
      </w:r>
    </w:p>
  </w:footnote>
  <w:footnote w:id="161">
    <w:p w:rsidR="00DF4630" w:rsidRPr="00125BA5" w:rsidRDefault="00DF4630" w:rsidP="0081557D">
      <w:pPr>
        <w:spacing w:line="240" w:lineRule="auto"/>
        <w:rPr>
          <w:sz w:val="20"/>
          <w:szCs w:val="20"/>
        </w:rPr>
      </w:pPr>
      <w:r w:rsidRPr="00125BA5">
        <w:rPr>
          <w:rStyle w:val="FootnoteReference"/>
          <w:noProof/>
          <w:sz w:val="20"/>
          <w:szCs w:val="20"/>
        </w:rPr>
        <w:footnoteRef/>
      </w:r>
      <w:r w:rsidRPr="00125BA5">
        <w:rPr>
          <w:sz w:val="20"/>
          <w:szCs w:val="20"/>
        </w:rPr>
        <w:t xml:space="preserve"> Lewis, 171.</w:t>
      </w:r>
    </w:p>
  </w:footnote>
  <w:footnote w:id="162">
    <w:p w:rsidR="00DF4630" w:rsidRPr="00125BA5" w:rsidRDefault="00DF4630" w:rsidP="00BC5F61">
      <w:pPr>
        <w:spacing w:line="240" w:lineRule="auto"/>
        <w:rPr>
          <w:sz w:val="20"/>
          <w:szCs w:val="20"/>
        </w:rPr>
      </w:pPr>
      <w:r w:rsidRPr="00125BA5">
        <w:rPr>
          <w:rStyle w:val="FootnoteReference"/>
          <w:rFonts w:eastAsiaTheme="majorEastAsia"/>
          <w:noProof/>
          <w:sz w:val="20"/>
          <w:szCs w:val="20"/>
        </w:rPr>
        <w:footnoteRef/>
      </w:r>
      <w:r w:rsidRPr="00125BA5">
        <w:rPr>
          <w:sz w:val="20"/>
          <w:szCs w:val="20"/>
        </w:rPr>
        <w:t xml:space="preserve"> </w:t>
      </w:r>
      <w:r w:rsidRPr="00BC5F61">
        <w:rPr>
          <w:sz w:val="20"/>
          <w:szCs w:val="20"/>
        </w:rPr>
        <w:t xml:space="preserve">Bloom, Mia.  2004.  "Palestinian Suicide Bombing: Public Support, Market Share, and Outbidding".  </w:t>
      </w:r>
      <w:r w:rsidRPr="00BC5F61">
        <w:rPr>
          <w:i/>
          <w:iCs/>
          <w:sz w:val="20"/>
          <w:szCs w:val="20"/>
        </w:rPr>
        <w:t xml:space="preserve">Political Science Quarterly.  </w:t>
      </w:r>
      <w:r w:rsidRPr="00BC5F61">
        <w:rPr>
          <w:sz w:val="20"/>
          <w:szCs w:val="20"/>
        </w:rPr>
        <w:t>119, no.  1: 61-88.</w:t>
      </w:r>
      <w:r>
        <w:rPr>
          <w:sz w:val="20"/>
          <w:szCs w:val="20"/>
        </w:rPr>
        <w:t xml:space="preserve">  </w:t>
      </w:r>
      <w:r w:rsidRPr="00125BA5">
        <w:rPr>
          <w:sz w:val="20"/>
          <w:szCs w:val="20"/>
        </w:rPr>
        <w:t>79.</w:t>
      </w:r>
    </w:p>
  </w:footnote>
  <w:footnote w:id="163">
    <w:p w:rsidR="00DF4630" w:rsidRPr="00125BA5" w:rsidRDefault="00DF4630" w:rsidP="00AA6554">
      <w:pPr>
        <w:spacing w:line="240" w:lineRule="auto"/>
        <w:rPr>
          <w:sz w:val="20"/>
          <w:szCs w:val="20"/>
        </w:rPr>
      </w:pPr>
      <w:r w:rsidRPr="00125BA5">
        <w:rPr>
          <w:rStyle w:val="FootnoteReference"/>
          <w:noProof/>
          <w:sz w:val="20"/>
          <w:szCs w:val="20"/>
        </w:rPr>
        <w:footnoteRef/>
      </w:r>
      <w:r w:rsidRPr="00125BA5">
        <w:rPr>
          <w:sz w:val="20"/>
          <w:szCs w:val="20"/>
        </w:rPr>
        <w:t xml:space="preserve"> Merari, Ariel. </w:t>
      </w:r>
      <w:r w:rsidRPr="00125BA5">
        <w:rPr>
          <w:i/>
          <w:iCs/>
          <w:sz w:val="20"/>
          <w:szCs w:val="20"/>
        </w:rPr>
        <w:t>Driven to Death: Psychological and Social Aspects of Suicide Terrorism</w:t>
      </w:r>
      <w:r w:rsidRPr="00125BA5">
        <w:rPr>
          <w:sz w:val="20"/>
          <w:szCs w:val="20"/>
        </w:rPr>
        <w:t>. New York: Oxford University Press, 2010.  174.</w:t>
      </w:r>
    </w:p>
  </w:footnote>
  <w:footnote w:id="164">
    <w:p w:rsidR="00DF4630" w:rsidRPr="00125BA5" w:rsidRDefault="00DF4630" w:rsidP="0081557D">
      <w:pPr>
        <w:spacing w:line="240" w:lineRule="auto"/>
        <w:rPr>
          <w:sz w:val="20"/>
          <w:szCs w:val="20"/>
        </w:rPr>
      </w:pPr>
      <w:r w:rsidRPr="00125BA5">
        <w:rPr>
          <w:rStyle w:val="FootnoteReference"/>
          <w:rFonts w:eastAsiaTheme="majorEastAsia"/>
          <w:noProof/>
          <w:sz w:val="20"/>
          <w:szCs w:val="20"/>
        </w:rPr>
        <w:footnoteRef/>
      </w:r>
      <w:r w:rsidRPr="00125BA5">
        <w:rPr>
          <w:sz w:val="20"/>
          <w:szCs w:val="20"/>
        </w:rPr>
        <w:t xml:space="preserve"> Bloom, Mia.  “Palestinian Suicide Bombing: Public Support, Market Share, and Outbidding</w:t>
      </w:r>
      <w:r w:rsidRPr="00125BA5">
        <w:rPr>
          <w:i/>
          <w:iCs/>
          <w:sz w:val="20"/>
          <w:szCs w:val="20"/>
        </w:rPr>
        <w:t>.</w:t>
      </w:r>
      <w:r w:rsidRPr="00125BA5">
        <w:rPr>
          <w:sz w:val="20"/>
          <w:szCs w:val="20"/>
        </w:rPr>
        <w:t>”  65.</w:t>
      </w:r>
    </w:p>
  </w:footnote>
  <w:footnote w:id="165">
    <w:p w:rsidR="00DF4630" w:rsidRPr="00125BA5" w:rsidRDefault="00DF4630" w:rsidP="00551D66">
      <w:pPr>
        <w:spacing w:line="240" w:lineRule="auto"/>
        <w:rPr>
          <w:sz w:val="20"/>
          <w:szCs w:val="20"/>
        </w:rPr>
      </w:pPr>
      <w:r w:rsidRPr="00125BA5">
        <w:rPr>
          <w:rStyle w:val="FootnoteReference"/>
          <w:rFonts w:eastAsiaTheme="majorEastAsia"/>
          <w:noProof/>
          <w:sz w:val="20"/>
          <w:szCs w:val="20"/>
        </w:rPr>
        <w:footnoteRef/>
      </w:r>
      <w:r w:rsidRPr="00125BA5">
        <w:rPr>
          <w:sz w:val="20"/>
          <w:szCs w:val="20"/>
        </w:rPr>
        <w:t xml:space="preserve"> </w:t>
      </w:r>
      <w:r>
        <w:rPr>
          <w:sz w:val="20"/>
          <w:szCs w:val="20"/>
        </w:rPr>
        <w:t xml:space="preserve">See </w:t>
      </w:r>
      <w:r w:rsidRPr="00551D66">
        <w:rPr>
          <w:sz w:val="20"/>
          <w:szCs w:val="20"/>
        </w:rPr>
        <w:t xml:space="preserve">Bloom, Mia.  </w:t>
      </w:r>
      <w:r w:rsidRPr="00551D66">
        <w:rPr>
          <w:i/>
          <w:iCs/>
          <w:sz w:val="20"/>
          <w:szCs w:val="20"/>
        </w:rPr>
        <w:t>Dying to Kill: The Allure of Suicide Terror</w:t>
      </w:r>
      <w:r w:rsidRPr="00551D66">
        <w:rPr>
          <w:sz w:val="20"/>
          <w:szCs w:val="20"/>
        </w:rPr>
        <w:t>.  New York: Columbia University Press, 2005.</w:t>
      </w:r>
      <w:r>
        <w:rPr>
          <w:sz w:val="20"/>
          <w:szCs w:val="20"/>
        </w:rPr>
        <w:t xml:space="preserve">  Whereas Pape’s thesis argues that the organization conducts suicide attacks to influence an external audience, Bloom’s thesis is that organizations conduct suicide attacks to compete for influence to an internal audience.</w:t>
      </w:r>
    </w:p>
  </w:footnote>
  <w:footnote w:id="166">
    <w:p w:rsidR="00DF4630" w:rsidRPr="00125BA5" w:rsidRDefault="00DF4630" w:rsidP="0081557D">
      <w:pPr>
        <w:spacing w:line="240" w:lineRule="auto"/>
        <w:rPr>
          <w:sz w:val="20"/>
          <w:szCs w:val="20"/>
        </w:rPr>
      </w:pPr>
      <w:r w:rsidRPr="00125BA5">
        <w:rPr>
          <w:rStyle w:val="FootnoteReference"/>
          <w:noProof/>
          <w:sz w:val="20"/>
          <w:szCs w:val="20"/>
        </w:rPr>
        <w:footnoteRef/>
      </w:r>
      <w:r w:rsidRPr="00125BA5">
        <w:rPr>
          <w:sz w:val="20"/>
          <w:szCs w:val="20"/>
        </w:rPr>
        <w:t xml:space="preserve"> Moghadam</w:t>
      </w:r>
      <w:r w:rsidR="009918F1" w:rsidRPr="00125BA5">
        <w:rPr>
          <w:sz w:val="20"/>
          <w:szCs w:val="20"/>
        </w:rPr>
        <w:t xml:space="preserve">, </w:t>
      </w:r>
      <w:r w:rsidR="009918F1">
        <w:rPr>
          <w:sz w:val="20"/>
          <w:szCs w:val="20"/>
        </w:rPr>
        <w:t>Globalization</w:t>
      </w:r>
      <w:r>
        <w:rPr>
          <w:i/>
          <w:sz w:val="20"/>
          <w:szCs w:val="20"/>
        </w:rPr>
        <w:t xml:space="preserve"> of Martyrdom, </w:t>
      </w:r>
      <w:r>
        <w:rPr>
          <w:sz w:val="20"/>
          <w:szCs w:val="20"/>
        </w:rPr>
        <w:t>Kindle</w:t>
      </w:r>
      <w:r w:rsidRPr="00125BA5">
        <w:rPr>
          <w:sz w:val="20"/>
          <w:szCs w:val="20"/>
        </w:rPr>
        <w:t xml:space="preserve"> Location 635.</w:t>
      </w:r>
    </w:p>
  </w:footnote>
  <w:footnote w:id="167">
    <w:p w:rsidR="00DF4630" w:rsidRPr="00125BA5" w:rsidRDefault="00DF4630" w:rsidP="0081557D">
      <w:pPr>
        <w:spacing w:line="240" w:lineRule="auto"/>
        <w:rPr>
          <w:sz w:val="20"/>
          <w:szCs w:val="20"/>
        </w:rPr>
      </w:pPr>
      <w:r w:rsidRPr="00125BA5">
        <w:rPr>
          <w:rStyle w:val="FootnoteReference"/>
          <w:rFonts w:eastAsiaTheme="majorEastAsia"/>
          <w:noProof/>
          <w:sz w:val="20"/>
          <w:szCs w:val="20"/>
        </w:rPr>
        <w:footnoteRef/>
      </w:r>
      <w:r w:rsidRPr="00125BA5">
        <w:rPr>
          <w:sz w:val="20"/>
          <w:szCs w:val="20"/>
        </w:rPr>
        <w:t xml:space="preserve"> Bloom, Mia.  “Palestinian Suicide Bombing: Public Support, Market Share, and Outbidding</w:t>
      </w:r>
      <w:r w:rsidRPr="00125BA5">
        <w:rPr>
          <w:i/>
          <w:iCs/>
          <w:sz w:val="20"/>
          <w:szCs w:val="20"/>
        </w:rPr>
        <w:t>.</w:t>
      </w:r>
      <w:r>
        <w:rPr>
          <w:sz w:val="20"/>
          <w:szCs w:val="20"/>
        </w:rPr>
        <w:t>”  65, 73, 74, 75.</w:t>
      </w:r>
    </w:p>
  </w:footnote>
  <w:footnote w:id="168">
    <w:p w:rsidR="00DF4630" w:rsidRPr="00125BA5" w:rsidRDefault="00DF4630" w:rsidP="0081557D">
      <w:pPr>
        <w:spacing w:line="240" w:lineRule="auto"/>
        <w:rPr>
          <w:sz w:val="20"/>
          <w:szCs w:val="20"/>
        </w:rPr>
      </w:pPr>
      <w:r w:rsidRPr="00BB0CB3">
        <w:rPr>
          <w:rStyle w:val="FootnoteReference"/>
          <w:rFonts w:eastAsiaTheme="majorEastAsia"/>
          <w:noProof/>
          <w:sz w:val="20"/>
          <w:szCs w:val="20"/>
        </w:rPr>
        <w:footnoteRef/>
      </w:r>
      <w:r w:rsidRPr="00BB0CB3">
        <w:rPr>
          <w:rStyle w:val="FootnoteReference"/>
          <w:rFonts w:eastAsiaTheme="majorEastAsia"/>
          <w:noProof/>
        </w:rPr>
        <w:t xml:space="preserve"> </w:t>
      </w:r>
      <w:r w:rsidRPr="00125BA5">
        <w:rPr>
          <w:rFonts w:eastAsia="Arial Unicode MS"/>
          <w:sz w:val="20"/>
          <w:szCs w:val="20"/>
        </w:rPr>
        <w:t>Pedazhur, Ami, and Ariel Perliger. 2006. "The Changing Nature of Suicide Attacks: A Social Network Perspective". </w:t>
      </w:r>
      <w:r w:rsidRPr="00125BA5">
        <w:rPr>
          <w:rFonts w:eastAsia="Arial Unicode MS"/>
          <w:i/>
          <w:iCs/>
          <w:sz w:val="20"/>
          <w:szCs w:val="20"/>
        </w:rPr>
        <w:t>Social Forces. </w:t>
      </w:r>
      <w:r w:rsidRPr="00125BA5">
        <w:rPr>
          <w:rFonts w:eastAsia="Arial Unicode MS"/>
          <w:sz w:val="20"/>
          <w:szCs w:val="20"/>
        </w:rPr>
        <w:t>84, no. 4: 1987-2008.</w:t>
      </w:r>
      <w:r w:rsidRPr="00125BA5">
        <w:rPr>
          <w:sz w:val="20"/>
          <w:szCs w:val="20"/>
        </w:rPr>
        <w:t xml:space="preserve">  1988</w:t>
      </w:r>
      <w:r>
        <w:rPr>
          <w:sz w:val="20"/>
          <w:szCs w:val="20"/>
        </w:rPr>
        <w:t>, 1994</w:t>
      </w:r>
      <w:r w:rsidRPr="00125BA5">
        <w:rPr>
          <w:sz w:val="20"/>
          <w:szCs w:val="20"/>
        </w:rPr>
        <w:t>.</w:t>
      </w:r>
    </w:p>
  </w:footnote>
  <w:footnote w:id="169">
    <w:p w:rsidR="00DF4630" w:rsidRDefault="00DF4630" w:rsidP="0081557D">
      <w:pPr>
        <w:pStyle w:val="FootnoteText"/>
      </w:pPr>
      <w:r>
        <w:rPr>
          <w:rStyle w:val="FootnoteReference"/>
        </w:rPr>
        <w:footnoteRef/>
      </w:r>
      <w:r>
        <w:t xml:space="preserve"> Levitt, Matthew. 2006. </w:t>
      </w:r>
      <w:r>
        <w:rPr>
          <w:i/>
          <w:iCs/>
        </w:rPr>
        <w:t>Hamas: politics, charity, and terrorism in the service of jihad</w:t>
      </w:r>
      <w:r>
        <w:t>. New Haven: Yale University Press.  224.</w:t>
      </w:r>
    </w:p>
  </w:footnote>
  <w:footnote w:id="170">
    <w:p w:rsidR="00DF4630" w:rsidRPr="00125BA5" w:rsidRDefault="00DF4630" w:rsidP="0081557D">
      <w:pPr>
        <w:spacing w:line="240" w:lineRule="auto"/>
        <w:rPr>
          <w:sz w:val="20"/>
          <w:szCs w:val="20"/>
        </w:rPr>
      </w:pPr>
      <w:r w:rsidRPr="00125BA5">
        <w:rPr>
          <w:rStyle w:val="FootnoteReference"/>
          <w:rFonts w:eastAsiaTheme="majorEastAsia"/>
          <w:noProof/>
          <w:sz w:val="20"/>
          <w:szCs w:val="20"/>
        </w:rPr>
        <w:footnoteRef/>
      </w:r>
      <w:r w:rsidRPr="00125BA5">
        <w:rPr>
          <w:sz w:val="20"/>
          <w:szCs w:val="20"/>
        </w:rPr>
        <w:t xml:space="preserve"> </w:t>
      </w:r>
      <w:r w:rsidRPr="00125BA5">
        <w:rPr>
          <w:rFonts w:eastAsia="Arial Unicode MS"/>
          <w:sz w:val="20"/>
          <w:szCs w:val="20"/>
        </w:rPr>
        <w:t>Brym, Robert J., and Bader Araj. 2006. "Suicide Bombing As Strategy and Interaction: The Case of the Second Intifada". </w:t>
      </w:r>
      <w:r w:rsidRPr="00125BA5">
        <w:rPr>
          <w:rFonts w:eastAsia="Arial Unicode MS"/>
          <w:i/>
          <w:iCs/>
          <w:sz w:val="20"/>
          <w:szCs w:val="20"/>
        </w:rPr>
        <w:t>Social Forces. </w:t>
      </w:r>
      <w:r w:rsidRPr="00125BA5">
        <w:rPr>
          <w:rFonts w:eastAsia="Arial Unicode MS"/>
          <w:sz w:val="20"/>
          <w:szCs w:val="20"/>
        </w:rPr>
        <w:t>84, no. 4: 1969-1986.</w:t>
      </w:r>
      <w:r w:rsidRPr="00125BA5">
        <w:rPr>
          <w:sz w:val="20"/>
          <w:szCs w:val="20"/>
        </w:rPr>
        <w:t xml:space="preserve">  1971.</w:t>
      </w:r>
    </w:p>
  </w:footnote>
  <w:footnote w:id="171">
    <w:p w:rsidR="00DF4630" w:rsidRPr="00125BA5" w:rsidRDefault="00DF4630" w:rsidP="0081557D">
      <w:pPr>
        <w:spacing w:line="240" w:lineRule="auto"/>
        <w:rPr>
          <w:sz w:val="20"/>
          <w:szCs w:val="20"/>
        </w:rPr>
      </w:pPr>
      <w:r w:rsidRPr="00125BA5">
        <w:rPr>
          <w:rStyle w:val="FootnoteReference"/>
          <w:rFonts w:eastAsiaTheme="majorEastAsia"/>
          <w:noProof/>
          <w:sz w:val="20"/>
          <w:szCs w:val="20"/>
        </w:rPr>
        <w:footnoteRef/>
      </w:r>
      <w:r w:rsidRPr="00125BA5">
        <w:rPr>
          <w:sz w:val="20"/>
          <w:szCs w:val="20"/>
        </w:rPr>
        <w:t xml:space="preserve"> Bloom, Mia.  “Palestinian Suicide Bombing: Public Support, Market Share, and Outbidding</w:t>
      </w:r>
      <w:r w:rsidRPr="00125BA5">
        <w:rPr>
          <w:i/>
          <w:iCs/>
          <w:sz w:val="20"/>
          <w:szCs w:val="20"/>
        </w:rPr>
        <w:t>.</w:t>
      </w:r>
      <w:r w:rsidRPr="00125BA5">
        <w:rPr>
          <w:sz w:val="20"/>
          <w:szCs w:val="20"/>
        </w:rPr>
        <w:t xml:space="preserve">”  </w:t>
      </w:r>
      <w:r>
        <w:rPr>
          <w:sz w:val="20"/>
          <w:szCs w:val="20"/>
        </w:rPr>
        <w:t>81</w:t>
      </w:r>
      <w:r w:rsidRPr="00125BA5">
        <w:rPr>
          <w:sz w:val="20"/>
          <w:szCs w:val="20"/>
        </w:rPr>
        <w:t>.</w:t>
      </w:r>
    </w:p>
  </w:footnote>
  <w:footnote w:id="172">
    <w:p w:rsidR="00DF4630" w:rsidRDefault="00DF4630" w:rsidP="0081557D">
      <w:pPr>
        <w:pStyle w:val="FootnoteText"/>
      </w:pPr>
      <w:r>
        <w:rPr>
          <w:rStyle w:val="FootnoteReference"/>
        </w:rPr>
        <w:footnoteRef/>
      </w:r>
      <w:r>
        <w:t xml:space="preserve"> One such depressed suicide bomber may by the first female suicide bomber, Wafa Idris.  She was delivering bomb materiel to another cell, yet the bag detonated in public.  It is unclear if it was intentional or not.  However, she was recently divorced and unable to conceive children.  Adam Lankford cites her example as evidence that many suicide bombers actually are depressed individuals looking for a socially acceptable form of suicide.</w:t>
      </w:r>
    </w:p>
  </w:footnote>
  <w:footnote w:id="173">
    <w:p w:rsidR="00DF4630" w:rsidRPr="00125BA5" w:rsidRDefault="00DF4630" w:rsidP="0081557D">
      <w:pPr>
        <w:spacing w:line="240" w:lineRule="auto"/>
        <w:rPr>
          <w:sz w:val="20"/>
          <w:szCs w:val="20"/>
        </w:rPr>
      </w:pPr>
      <w:r w:rsidRPr="00125BA5">
        <w:rPr>
          <w:rStyle w:val="FootnoteReference"/>
          <w:noProof/>
          <w:sz w:val="20"/>
          <w:szCs w:val="20"/>
        </w:rPr>
        <w:footnoteRef/>
      </w:r>
      <w:r w:rsidRPr="00125BA5">
        <w:rPr>
          <w:sz w:val="20"/>
          <w:szCs w:val="20"/>
        </w:rPr>
        <w:t xml:space="preserve"> Hassan, </w:t>
      </w:r>
      <w:r>
        <w:rPr>
          <w:sz w:val="20"/>
          <w:szCs w:val="20"/>
        </w:rPr>
        <w:t>Nasra.</w:t>
      </w:r>
    </w:p>
  </w:footnote>
  <w:footnote w:id="174">
    <w:p w:rsidR="00DF4630" w:rsidRPr="00125BA5" w:rsidRDefault="00DF4630" w:rsidP="0081557D">
      <w:pPr>
        <w:spacing w:line="240" w:lineRule="auto"/>
        <w:rPr>
          <w:sz w:val="20"/>
          <w:szCs w:val="20"/>
        </w:rPr>
      </w:pPr>
      <w:r w:rsidRPr="00125BA5">
        <w:rPr>
          <w:rStyle w:val="FootnoteReference"/>
          <w:noProof/>
          <w:sz w:val="20"/>
          <w:szCs w:val="20"/>
        </w:rPr>
        <w:footnoteRef/>
      </w:r>
      <w:r w:rsidRPr="00125BA5">
        <w:rPr>
          <w:sz w:val="20"/>
          <w:szCs w:val="20"/>
        </w:rPr>
        <w:t xml:space="preserve"> Hafez, Mohammed M. </w:t>
      </w:r>
      <w:r w:rsidRPr="00125BA5">
        <w:rPr>
          <w:i/>
          <w:iCs/>
          <w:sz w:val="20"/>
          <w:szCs w:val="20"/>
        </w:rPr>
        <w:t>Manufacturing Human Bombs</w:t>
      </w:r>
      <w:r>
        <w:rPr>
          <w:sz w:val="20"/>
          <w:szCs w:val="20"/>
        </w:rPr>
        <w:t xml:space="preserve">. </w:t>
      </w:r>
      <w:r w:rsidRPr="00125BA5">
        <w:rPr>
          <w:sz w:val="20"/>
          <w:szCs w:val="20"/>
        </w:rPr>
        <w:t>24.</w:t>
      </w:r>
    </w:p>
  </w:footnote>
  <w:footnote w:id="175">
    <w:p w:rsidR="00DF4630" w:rsidRPr="00125BA5" w:rsidRDefault="00DF4630" w:rsidP="0081557D">
      <w:pPr>
        <w:spacing w:line="240" w:lineRule="auto"/>
        <w:rPr>
          <w:sz w:val="20"/>
          <w:szCs w:val="20"/>
        </w:rPr>
      </w:pPr>
      <w:r w:rsidRPr="00125BA5">
        <w:rPr>
          <w:rStyle w:val="FootnoteReference"/>
          <w:noProof/>
          <w:sz w:val="20"/>
          <w:szCs w:val="20"/>
        </w:rPr>
        <w:footnoteRef/>
      </w:r>
      <w:r w:rsidRPr="00125BA5">
        <w:rPr>
          <w:sz w:val="20"/>
          <w:szCs w:val="20"/>
        </w:rPr>
        <w:t xml:space="preserve"> Hassan, Nasra.  “An Arsenal of Believers</w:t>
      </w:r>
      <w:r w:rsidR="009918F1" w:rsidRPr="00125BA5">
        <w:rPr>
          <w:sz w:val="20"/>
          <w:szCs w:val="20"/>
        </w:rPr>
        <w:t>” The</w:t>
      </w:r>
      <w:r w:rsidRPr="00125BA5">
        <w:rPr>
          <w:i/>
          <w:sz w:val="20"/>
          <w:szCs w:val="20"/>
        </w:rPr>
        <w:t xml:space="preserve"> New Yorker.</w:t>
      </w:r>
      <w:r w:rsidRPr="00125BA5">
        <w:rPr>
          <w:sz w:val="20"/>
          <w:szCs w:val="20"/>
        </w:rPr>
        <w:t xml:space="preserve">  November 19</w:t>
      </w:r>
      <w:r w:rsidRPr="00125BA5">
        <w:rPr>
          <w:noProof/>
          <w:sz w:val="20"/>
          <w:szCs w:val="20"/>
          <w:vertAlign w:val="superscript"/>
        </w:rPr>
        <w:t>th</w:t>
      </w:r>
      <w:r w:rsidRPr="00125BA5">
        <w:rPr>
          <w:sz w:val="20"/>
          <w:szCs w:val="20"/>
        </w:rPr>
        <w:t xml:space="preserve">, 2001. </w:t>
      </w:r>
      <w:hyperlink r:id="rId14" w:history="1">
        <w:r w:rsidRPr="00125BA5">
          <w:rPr>
            <w:rStyle w:val="Hyperlink"/>
            <w:sz w:val="20"/>
            <w:szCs w:val="20"/>
          </w:rPr>
          <w:t>http://www.newyorker.com/magazine/2001/11/19/an-arsenal-of-believers</w:t>
        </w:r>
      </w:hyperlink>
      <w:r w:rsidRPr="00125BA5">
        <w:rPr>
          <w:sz w:val="20"/>
          <w:szCs w:val="20"/>
        </w:rPr>
        <w:t xml:space="preserve"> (Accessed 16 November 2015).</w:t>
      </w:r>
    </w:p>
  </w:footnote>
  <w:footnote w:id="176">
    <w:p w:rsidR="00DF4630" w:rsidRPr="009A54D5" w:rsidRDefault="00DF4630" w:rsidP="0081557D">
      <w:pPr>
        <w:pStyle w:val="FootnoteText"/>
      </w:pPr>
      <w:r>
        <w:rPr>
          <w:rStyle w:val="FootnoteReference"/>
        </w:rPr>
        <w:footnoteRef/>
      </w:r>
      <w:r>
        <w:t xml:space="preserve"> </w:t>
      </w:r>
      <w:r w:rsidRPr="009A54D5">
        <w:t>Hoffman, Bruce. </w:t>
      </w:r>
      <w:r w:rsidRPr="009A54D5">
        <w:rPr>
          <w:i/>
          <w:iCs/>
        </w:rPr>
        <w:t>Inside Terrorism</w:t>
      </w:r>
      <w:r w:rsidRPr="009A54D5">
        <w:t>. New York, N.Y.: Columbia University press, 2006.</w:t>
      </w:r>
    </w:p>
    <w:p w:rsidR="00DF4630" w:rsidRDefault="00DF4630" w:rsidP="0081557D">
      <w:pPr>
        <w:pStyle w:val="FootnoteText"/>
      </w:pPr>
      <w:r>
        <w:t>161.</w:t>
      </w:r>
    </w:p>
  </w:footnote>
  <w:footnote w:id="177">
    <w:p w:rsidR="00DF4630" w:rsidRPr="00125BA5" w:rsidRDefault="00DF4630" w:rsidP="0081557D">
      <w:pPr>
        <w:spacing w:line="240" w:lineRule="auto"/>
        <w:rPr>
          <w:sz w:val="20"/>
          <w:szCs w:val="20"/>
        </w:rPr>
      </w:pPr>
      <w:r w:rsidRPr="00125BA5">
        <w:rPr>
          <w:rStyle w:val="FootnoteReference"/>
          <w:noProof/>
          <w:sz w:val="20"/>
          <w:szCs w:val="20"/>
        </w:rPr>
        <w:footnoteRef/>
      </w:r>
      <w:r w:rsidRPr="00125BA5">
        <w:rPr>
          <w:sz w:val="20"/>
          <w:szCs w:val="20"/>
        </w:rPr>
        <w:t xml:space="preserve"> Forest, James J. F. </w:t>
      </w:r>
      <w:r w:rsidRPr="00125BA5">
        <w:rPr>
          <w:i/>
          <w:sz w:val="20"/>
          <w:szCs w:val="20"/>
        </w:rPr>
        <w:t>The Making of a Terrorist Recruitment, Training, and Root Causes.</w:t>
      </w:r>
      <w:r w:rsidRPr="00125BA5">
        <w:rPr>
          <w:sz w:val="20"/>
          <w:szCs w:val="20"/>
        </w:rPr>
        <w:t xml:space="preserve"> Westport, Conn: Praeger Security International, 2006. 157.</w:t>
      </w:r>
    </w:p>
  </w:footnote>
  <w:footnote w:id="178">
    <w:p w:rsidR="00DF4630" w:rsidRPr="00125BA5" w:rsidRDefault="00DF4630" w:rsidP="0081557D">
      <w:pPr>
        <w:spacing w:line="240" w:lineRule="auto"/>
        <w:rPr>
          <w:sz w:val="20"/>
          <w:szCs w:val="20"/>
        </w:rPr>
      </w:pPr>
      <w:r w:rsidRPr="00125BA5">
        <w:rPr>
          <w:rStyle w:val="FootnoteReference"/>
          <w:noProof/>
          <w:sz w:val="20"/>
          <w:szCs w:val="20"/>
        </w:rPr>
        <w:footnoteRef/>
      </w:r>
      <w:r w:rsidRPr="00125BA5">
        <w:rPr>
          <w:sz w:val="20"/>
          <w:szCs w:val="20"/>
        </w:rPr>
        <w:t xml:space="preserve"> Hassan, Nasra.  </w:t>
      </w:r>
    </w:p>
  </w:footnote>
  <w:footnote w:id="179">
    <w:p w:rsidR="00DF4630" w:rsidRPr="00125BA5" w:rsidRDefault="00DF4630" w:rsidP="001761E0">
      <w:pPr>
        <w:spacing w:line="240" w:lineRule="auto"/>
        <w:rPr>
          <w:sz w:val="20"/>
          <w:szCs w:val="20"/>
        </w:rPr>
      </w:pPr>
      <w:r w:rsidRPr="00125BA5">
        <w:rPr>
          <w:rStyle w:val="FootnoteReference"/>
          <w:noProof/>
          <w:sz w:val="20"/>
          <w:szCs w:val="20"/>
        </w:rPr>
        <w:footnoteRef/>
      </w:r>
      <w:r w:rsidRPr="00125BA5">
        <w:rPr>
          <w:sz w:val="20"/>
          <w:szCs w:val="20"/>
        </w:rPr>
        <w:t xml:space="preserve"> Hassan, Nasra.  </w:t>
      </w:r>
      <w:r>
        <w:rPr>
          <w:sz w:val="20"/>
          <w:szCs w:val="20"/>
        </w:rPr>
        <w:t>All Hamas quotes in this section are from Hassan’s article.</w:t>
      </w:r>
    </w:p>
  </w:footnote>
  <w:footnote w:id="180">
    <w:p w:rsidR="00DF4630" w:rsidRPr="00125BA5" w:rsidRDefault="00DF4630" w:rsidP="0081557D">
      <w:pPr>
        <w:spacing w:line="240" w:lineRule="auto"/>
        <w:rPr>
          <w:sz w:val="20"/>
          <w:szCs w:val="20"/>
        </w:rPr>
      </w:pPr>
      <w:r w:rsidRPr="00125BA5">
        <w:rPr>
          <w:rStyle w:val="FootnoteReference"/>
          <w:noProof/>
          <w:sz w:val="20"/>
          <w:szCs w:val="20"/>
        </w:rPr>
        <w:footnoteRef/>
      </w:r>
      <w:r w:rsidRPr="00125BA5">
        <w:rPr>
          <w:sz w:val="20"/>
          <w:szCs w:val="20"/>
        </w:rPr>
        <w:t xml:space="preserve"> Cook, David, and Olivia Allison.  </w:t>
      </w:r>
      <w:r w:rsidRPr="00125BA5">
        <w:rPr>
          <w:i/>
          <w:sz w:val="20"/>
          <w:szCs w:val="20"/>
        </w:rPr>
        <w:t>Understanding and Addressing Suicide Attacks:  The Faith and politics of Martyrdom Operations</w:t>
      </w:r>
      <w:r w:rsidRPr="00125BA5">
        <w:rPr>
          <w:sz w:val="20"/>
          <w:szCs w:val="20"/>
        </w:rPr>
        <w:t xml:space="preserve">.  Westport, CT; Praeger </w:t>
      </w:r>
      <w:r>
        <w:rPr>
          <w:sz w:val="20"/>
          <w:szCs w:val="20"/>
        </w:rPr>
        <w:t xml:space="preserve">Security International, 2007.  </w:t>
      </w:r>
    </w:p>
  </w:footnote>
  <w:footnote w:id="181">
    <w:p w:rsidR="00DF4630" w:rsidRPr="00125BA5" w:rsidRDefault="00DF4630" w:rsidP="0081557D">
      <w:pPr>
        <w:spacing w:line="240" w:lineRule="auto"/>
        <w:rPr>
          <w:sz w:val="20"/>
          <w:szCs w:val="20"/>
        </w:rPr>
      </w:pPr>
      <w:r w:rsidRPr="00125BA5">
        <w:rPr>
          <w:rStyle w:val="FootnoteReference"/>
          <w:noProof/>
          <w:sz w:val="20"/>
          <w:szCs w:val="20"/>
        </w:rPr>
        <w:footnoteRef/>
      </w:r>
      <w:r w:rsidRPr="00125BA5">
        <w:rPr>
          <w:sz w:val="20"/>
          <w:szCs w:val="20"/>
        </w:rPr>
        <w:t xml:space="preserve"> Hafez, Mohammed M. </w:t>
      </w:r>
      <w:r w:rsidRPr="00125BA5">
        <w:rPr>
          <w:i/>
          <w:iCs/>
          <w:sz w:val="20"/>
          <w:szCs w:val="20"/>
        </w:rPr>
        <w:t>Manufacturing Human Bombs</w:t>
      </w:r>
      <w:r w:rsidRPr="00125BA5">
        <w:rPr>
          <w:sz w:val="20"/>
          <w:szCs w:val="20"/>
        </w:rPr>
        <w:t>. 44.</w:t>
      </w:r>
    </w:p>
  </w:footnote>
  <w:footnote w:id="182">
    <w:p w:rsidR="00DF4630" w:rsidRPr="00125BA5" w:rsidRDefault="00DF4630" w:rsidP="0081557D">
      <w:pPr>
        <w:spacing w:line="240" w:lineRule="auto"/>
        <w:rPr>
          <w:sz w:val="20"/>
          <w:szCs w:val="20"/>
        </w:rPr>
      </w:pPr>
      <w:r w:rsidRPr="00125BA5">
        <w:rPr>
          <w:rStyle w:val="FootnoteReference"/>
          <w:noProof/>
          <w:sz w:val="20"/>
          <w:szCs w:val="20"/>
        </w:rPr>
        <w:footnoteRef/>
      </w:r>
      <w:r w:rsidRPr="00125BA5">
        <w:rPr>
          <w:sz w:val="20"/>
          <w:szCs w:val="20"/>
        </w:rPr>
        <w:t xml:space="preserve"> Lewis, 158.</w:t>
      </w:r>
    </w:p>
  </w:footnote>
  <w:footnote w:id="183">
    <w:p w:rsidR="00DF4630" w:rsidRPr="00125BA5" w:rsidRDefault="00DF4630" w:rsidP="0081557D">
      <w:pPr>
        <w:spacing w:line="240" w:lineRule="auto"/>
        <w:rPr>
          <w:sz w:val="20"/>
          <w:szCs w:val="20"/>
        </w:rPr>
      </w:pPr>
      <w:r w:rsidRPr="00125BA5">
        <w:rPr>
          <w:rStyle w:val="FootnoteReference"/>
          <w:noProof/>
          <w:sz w:val="20"/>
          <w:szCs w:val="20"/>
        </w:rPr>
        <w:footnoteRef/>
      </w:r>
      <w:r w:rsidRPr="00125BA5">
        <w:rPr>
          <w:sz w:val="20"/>
          <w:szCs w:val="20"/>
        </w:rPr>
        <w:t xml:space="preserve"> Hassan, Nasra.  </w:t>
      </w:r>
    </w:p>
  </w:footnote>
  <w:footnote w:id="184">
    <w:p w:rsidR="00DF4630" w:rsidRPr="00125BA5" w:rsidRDefault="00DF4630" w:rsidP="0081557D">
      <w:pPr>
        <w:spacing w:line="240" w:lineRule="auto"/>
        <w:rPr>
          <w:sz w:val="20"/>
          <w:szCs w:val="20"/>
        </w:rPr>
      </w:pPr>
      <w:r w:rsidRPr="00125BA5">
        <w:rPr>
          <w:rStyle w:val="FootnoteReference"/>
          <w:noProof/>
          <w:sz w:val="20"/>
          <w:szCs w:val="20"/>
        </w:rPr>
        <w:footnoteRef/>
      </w:r>
      <w:r w:rsidRPr="00125BA5">
        <w:rPr>
          <w:sz w:val="20"/>
          <w:szCs w:val="20"/>
        </w:rPr>
        <w:t xml:space="preserve"> Kullberg, Anssi.  “The Background of Chechen Independence Movement.” </w:t>
      </w:r>
      <w:r>
        <w:rPr>
          <w:sz w:val="20"/>
          <w:szCs w:val="20"/>
        </w:rPr>
        <w:t xml:space="preserve">The Eurasian Politician.  1 Oct </w:t>
      </w:r>
      <w:r w:rsidRPr="00125BA5">
        <w:rPr>
          <w:sz w:val="20"/>
          <w:szCs w:val="20"/>
        </w:rPr>
        <w:t>2003.  &lt;</w:t>
      </w:r>
      <w:hyperlink r:id="rId15">
        <w:r w:rsidRPr="00125BA5">
          <w:rPr>
            <w:rStyle w:val="Hyperlink"/>
            <w:sz w:val="20"/>
            <w:szCs w:val="20"/>
          </w:rPr>
          <w:t>http://users.jyu.fi</w:t>
        </w:r>
      </w:hyperlink>
      <w:r w:rsidRPr="00125BA5">
        <w:rPr>
          <w:sz w:val="20"/>
          <w:szCs w:val="20"/>
        </w:rPr>
        <w:t>&gt;. Accessed 10 July 2008.  2.</w:t>
      </w:r>
    </w:p>
  </w:footnote>
  <w:footnote w:id="185">
    <w:p w:rsidR="00DF4630" w:rsidRPr="00CC5062" w:rsidRDefault="00DF4630" w:rsidP="0081557D">
      <w:pPr>
        <w:pStyle w:val="FootnoteText"/>
      </w:pPr>
      <w:r>
        <w:rPr>
          <w:rStyle w:val="FootnoteReference"/>
        </w:rPr>
        <w:footnoteRef/>
      </w:r>
      <w:r>
        <w:t xml:space="preserve"> </w:t>
      </w:r>
      <w:r w:rsidRPr="00CC5062">
        <w:t xml:space="preserve">Hughes, James. </w:t>
      </w:r>
      <w:r w:rsidRPr="00CC5062">
        <w:rPr>
          <w:i/>
          <w:iCs/>
        </w:rPr>
        <w:t xml:space="preserve">Chechnya From Nationalism to Jihad. </w:t>
      </w:r>
      <w:r w:rsidRPr="00CC5062">
        <w:t>[National and ethnic conflict in the 21st century]. Philadelphia: University of Pe</w:t>
      </w:r>
      <w:r>
        <w:t>nnsylvania Press, 2007.</w:t>
      </w:r>
    </w:p>
  </w:footnote>
  <w:footnote w:id="186">
    <w:p w:rsidR="00DF4630" w:rsidRPr="00125BA5" w:rsidRDefault="00DF4630" w:rsidP="0081557D">
      <w:pPr>
        <w:spacing w:line="240" w:lineRule="auto"/>
        <w:rPr>
          <w:sz w:val="20"/>
          <w:szCs w:val="20"/>
        </w:rPr>
      </w:pPr>
      <w:r w:rsidRPr="00125BA5">
        <w:rPr>
          <w:rStyle w:val="FootnoteReference"/>
          <w:noProof/>
          <w:sz w:val="20"/>
          <w:szCs w:val="20"/>
        </w:rPr>
        <w:footnoteRef/>
      </w:r>
      <w:r w:rsidRPr="00125BA5">
        <w:rPr>
          <w:sz w:val="20"/>
          <w:szCs w:val="20"/>
        </w:rPr>
        <w:t xml:space="preserve"> Speckhard, Anne and Khapta Akhmedova. 25</w:t>
      </w:r>
    </w:p>
  </w:footnote>
  <w:footnote w:id="187">
    <w:p w:rsidR="00DF4630" w:rsidRDefault="00DF4630" w:rsidP="0081557D">
      <w:pPr>
        <w:pStyle w:val="FootnoteText"/>
      </w:pPr>
      <w:r>
        <w:rPr>
          <w:rStyle w:val="FootnoteReference"/>
        </w:rPr>
        <w:footnoteRef/>
      </w:r>
      <w:r>
        <w:t xml:space="preserve"> </w:t>
      </w:r>
      <w:r w:rsidRPr="00491396">
        <w:t xml:space="preserve">Napoleoni, Loretta.  “Chechnya’s Terror Economy is Booming and its Bloody Trade is Being Exported.”  </w:t>
      </w:r>
      <w:r w:rsidRPr="00491396">
        <w:rPr>
          <w:i/>
        </w:rPr>
        <w:t>The London Times</w:t>
      </w:r>
      <w:r>
        <w:t>.  Sept 9, 2004.</w:t>
      </w:r>
    </w:p>
  </w:footnote>
  <w:footnote w:id="188">
    <w:p w:rsidR="00DF4630" w:rsidRDefault="00DF4630" w:rsidP="0081557D">
      <w:pPr>
        <w:pStyle w:val="FootnoteText"/>
      </w:pPr>
      <w:r>
        <w:rPr>
          <w:rStyle w:val="FootnoteReference"/>
        </w:rPr>
        <w:footnoteRef/>
      </w:r>
      <w:r>
        <w:t xml:space="preserve"> </w:t>
      </w:r>
      <w:r w:rsidRPr="00E92FCD">
        <w:t xml:space="preserve">Darling, Dan.  “Special Analysis:  Al-Qaeda in Chechnya”.  Winds of Change.NET.  April 22, 2004.  </w:t>
      </w:r>
      <w:hyperlink r:id="rId16" w:history="1">
        <w:r w:rsidRPr="00E92FCD">
          <w:rPr>
            <w:rStyle w:val="Hyperlink"/>
          </w:rPr>
          <w:t>http://www.windsofchange.net/archives/special_analysis_alqaeda_in_chechnya-print.php</w:t>
        </w:r>
      </w:hyperlink>
    </w:p>
  </w:footnote>
  <w:footnote w:id="189">
    <w:p w:rsidR="00DF4630" w:rsidRPr="00125BA5" w:rsidRDefault="00DF4630" w:rsidP="0081557D">
      <w:pPr>
        <w:spacing w:line="240" w:lineRule="auto"/>
        <w:rPr>
          <w:sz w:val="20"/>
          <w:szCs w:val="20"/>
        </w:rPr>
      </w:pPr>
      <w:r w:rsidRPr="00125BA5">
        <w:rPr>
          <w:rStyle w:val="FootnoteReference"/>
          <w:noProof/>
          <w:sz w:val="20"/>
          <w:szCs w:val="20"/>
        </w:rPr>
        <w:footnoteRef/>
      </w:r>
      <w:r w:rsidRPr="00125BA5">
        <w:rPr>
          <w:sz w:val="20"/>
          <w:szCs w:val="20"/>
        </w:rPr>
        <w:t xml:space="preserve"> Chivers, C.J. and Steven Lee Myers. “Chechen Rebels More Nationalistic then Islamist.” The International</w:t>
      </w:r>
      <w:r>
        <w:rPr>
          <w:sz w:val="20"/>
          <w:szCs w:val="20"/>
        </w:rPr>
        <w:t xml:space="preserve"> </w:t>
      </w:r>
      <w:r w:rsidRPr="00125BA5">
        <w:rPr>
          <w:sz w:val="20"/>
          <w:szCs w:val="20"/>
        </w:rPr>
        <w:t>Herald Tribune. 13 Sept. 2004.</w:t>
      </w:r>
      <w:r>
        <w:rPr>
          <w:sz w:val="20"/>
          <w:szCs w:val="20"/>
        </w:rPr>
        <w:t xml:space="preserve"> Accessed</w:t>
      </w:r>
      <w:r w:rsidRPr="00125BA5">
        <w:rPr>
          <w:sz w:val="20"/>
          <w:szCs w:val="20"/>
        </w:rPr>
        <w:t xml:space="preserve"> 8 July 2008. 2.</w:t>
      </w:r>
    </w:p>
  </w:footnote>
  <w:footnote w:id="190">
    <w:p w:rsidR="00DF4630" w:rsidRPr="002B35FC" w:rsidRDefault="00DF4630" w:rsidP="0081557D">
      <w:pPr>
        <w:spacing w:line="240" w:lineRule="auto"/>
        <w:rPr>
          <w:sz w:val="20"/>
          <w:szCs w:val="20"/>
        </w:rPr>
      </w:pPr>
      <w:r w:rsidRPr="00125BA5">
        <w:rPr>
          <w:rStyle w:val="FootnoteReference"/>
          <w:noProof/>
          <w:sz w:val="20"/>
          <w:szCs w:val="20"/>
        </w:rPr>
        <w:footnoteRef/>
      </w:r>
      <w:r w:rsidRPr="00125BA5">
        <w:rPr>
          <w:sz w:val="20"/>
          <w:szCs w:val="20"/>
        </w:rPr>
        <w:t xml:space="preserve"> </w:t>
      </w:r>
      <w:r w:rsidRPr="002B35FC">
        <w:rPr>
          <w:sz w:val="20"/>
          <w:szCs w:val="20"/>
        </w:rPr>
        <w:t>Vidino, Lorenzo.  “How Chechnya Became a Breeding Ground for Terror.” The Middle East Quarterly.</w:t>
      </w:r>
    </w:p>
    <w:p w:rsidR="00DF4630" w:rsidRPr="00125BA5" w:rsidRDefault="00C35D4A" w:rsidP="0081557D">
      <w:pPr>
        <w:spacing w:line="240" w:lineRule="auto"/>
        <w:rPr>
          <w:sz w:val="20"/>
          <w:szCs w:val="20"/>
        </w:rPr>
      </w:pPr>
      <w:hyperlink r:id="rId17">
        <w:r w:rsidR="00DF4630" w:rsidRPr="002B35FC">
          <w:rPr>
            <w:rStyle w:val="Hyperlink"/>
            <w:sz w:val="20"/>
            <w:szCs w:val="20"/>
          </w:rPr>
          <w:t>Summer 2005.  &lt;www.meforum.or</w:t>
        </w:r>
      </w:hyperlink>
      <w:r w:rsidR="00DF4630" w:rsidRPr="002B35FC">
        <w:rPr>
          <w:sz w:val="20"/>
          <w:szCs w:val="20"/>
        </w:rPr>
        <w:t>g&gt;. Accessed 12 June 2008. 2.</w:t>
      </w:r>
      <w:r w:rsidR="00DF4630">
        <w:rPr>
          <w:sz w:val="20"/>
          <w:szCs w:val="20"/>
        </w:rPr>
        <w:t xml:space="preserve"> </w:t>
      </w:r>
    </w:p>
  </w:footnote>
  <w:footnote w:id="191">
    <w:p w:rsidR="00DF4630" w:rsidRPr="004C4181" w:rsidRDefault="00DF4630" w:rsidP="0081557D">
      <w:pPr>
        <w:spacing w:line="240" w:lineRule="auto"/>
        <w:rPr>
          <w:sz w:val="20"/>
          <w:szCs w:val="20"/>
        </w:rPr>
      </w:pPr>
      <w:r w:rsidRPr="00125BA5">
        <w:rPr>
          <w:rStyle w:val="FootnoteReference"/>
          <w:noProof/>
          <w:sz w:val="20"/>
          <w:szCs w:val="20"/>
        </w:rPr>
        <w:footnoteRef/>
      </w:r>
      <w:r w:rsidRPr="00125BA5">
        <w:rPr>
          <w:sz w:val="20"/>
          <w:szCs w:val="20"/>
        </w:rPr>
        <w:t xml:space="preserve"> Moghadam, </w:t>
      </w:r>
      <w:r>
        <w:rPr>
          <w:i/>
          <w:sz w:val="20"/>
          <w:szCs w:val="20"/>
        </w:rPr>
        <w:t xml:space="preserve">The Globalization of Martyrdom, </w:t>
      </w:r>
      <w:r>
        <w:rPr>
          <w:sz w:val="20"/>
          <w:szCs w:val="20"/>
        </w:rPr>
        <w:t>84.</w:t>
      </w:r>
    </w:p>
  </w:footnote>
  <w:footnote w:id="192">
    <w:p w:rsidR="00DF4630" w:rsidRPr="00125BA5" w:rsidRDefault="00DF4630" w:rsidP="0081557D">
      <w:pPr>
        <w:spacing w:line="240" w:lineRule="auto"/>
        <w:rPr>
          <w:sz w:val="20"/>
          <w:szCs w:val="20"/>
        </w:rPr>
      </w:pPr>
      <w:r w:rsidRPr="00125BA5">
        <w:rPr>
          <w:rStyle w:val="FootnoteReference"/>
          <w:noProof/>
          <w:sz w:val="20"/>
          <w:szCs w:val="20"/>
        </w:rPr>
        <w:footnoteRef/>
      </w:r>
      <w:r w:rsidRPr="00125BA5">
        <w:rPr>
          <w:sz w:val="20"/>
          <w:szCs w:val="20"/>
        </w:rPr>
        <w:t xml:space="preserve"> Wright, 115.</w:t>
      </w:r>
    </w:p>
  </w:footnote>
  <w:footnote w:id="193">
    <w:p w:rsidR="00DF4630" w:rsidRDefault="00DF4630" w:rsidP="0081557D">
      <w:pPr>
        <w:pStyle w:val="FootnoteText"/>
      </w:pPr>
      <w:r>
        <w:rPr>
          <w:rStyle w:val="FootnoteReference"/>
        </w:rPr>
        <w:footnoteRef/>
      </w:r>
      <w:r>
        <w:t xml:space="preserve"> </w:t>
      </w:r>
      <w:r w:rsidRPr="00685E0C">
        <w:t xml:space="preserve">Lia, Brynjar.  “Doctrines of Jihadi Terrorist Training.”  </w:t>
      </w:r>
      <w:r w:rsidRPr="00685E0C">
        <w:rPr>
          <w:i/>
          <w:iCs/>
        </w:rPr>
        <w:t xml:space="preserve">Terrorism and Political Violence.  </w:t>
      </w:r>
      <w:r w:rsidRPr="00685E0C">
        <w:t xml:space="preserve">Vol 20, No. 4;  </w:t>
      </w:r>
      <w:r>
        <w:t>October (2008).</w:t>
      </w:r>
    </w:p>
  </w:footnote>
  <w:footnote w:id="194">
    <w:p w:rsidR="00DF4630" w:rsidRPr="00125BA5" w:rsidRDefault="00DF4630" w:rsidP="0081557D">
      <w:pPr>
        <w:spacing w:line="240" w:lineRule="auto"/>
        <w:rPr>
          <w:sz w:val="20"/>
          <w:szCs w:val="20"/>
        </w:rPr>
      </w:pPr>
      <w:r w:rsidRPr="00125BA5">
        <w:rPr>
          <w:rStyle w:val="FootnoteReference"/>
          <w:noProof/>
          <w:sz w:val="20"/>
          <w:szCs w:val="20"/>
        </w:rPr>
        <w:footnoteRef/>
      </w:r>
      <w:r w:rsidRPr="00125BA5">
        <w:rPr>
          <w:sz w:val="20"/>
          <w:szCs w:val="20"/>
        </w:rPr>
        <w:t xml:space="preserve"> Moghadam, </w:t>
      </w:r>
      <w:r>
        <w:rPr>
          <w:i/>
          <w:sz w:val="20"/>
          <w:szCs w:val="20"/>
        </w:rPr>
        <w:t xml:space="preserve">The Globalization of Martyrdom, </w:t>
      </w:r>
      <w:r w:rsidRPr="00125BA5">
        <w:rPr>
          <w:sz w:val="20"/>
          <w:szCs w:val="20"/>
        </w:rPr>
        <w:t>41.</w:t>
      </w:r>
    </w:p>
  </w:footnote>
  <w:footnote w:id="195">
    <w:p w:rsidR="00DF4630" w:rsidRDefault="00DF4630" w:rsidP="005D6DE9">
      <w:pPr>
        <w:pStyle w:val="FootnoteText"/>
      </w:pPr>
      <w:r>
        <w:rPr>
          <w:rStyle w:val="FootnoteReference"/>
        </w:rPr>
        <w:footnoteRef/>
      </w:r>
      <w:r>
        <w:t xml:space="preserve"> Kuffar are unbelievers, takfir the act of accusing someone as an unbeliever.  Much like the concept of jihad, Qutbists do not monopolize the phrase of takfir.  There are Muslims who call Al Qaeda and ISIS takfir, however Al Qaeda and ISIS are so synonomous with its usage that I use it to refer to Qutbist definition of kuffar as anyone who is not a Salafi practicing offensive jihad.</w:t>
      </w:r>
    </w:p>
  </w:footnote>
  <w:footnote w:id="196">
    <w:p w:rsidR="00DF4630" w:rsidRPr="00125BA5" w:rsidRDefault="00DF4630" w:rsidP="0081557D">
      <w:pPr>
        <w:spacing w:line="240" w:lineRule="auto"/>
        <w:rPr>
          <w:sz w:val="20"/>
          <w:szCs w:val="20"/>
        </w:rPr>
      </w:pPr>
      <w:r w:rsidRPr="00125BA5">
        <w:rPr>
          <w:rStyle w:val="FootnoteReference"/>
          <w:noProof/>
          <w:sz w:val="20"/>
          <w:szCs w:val="20"/>
        </w:rPr>
        <w:footnoteRef/>
      </w:r>
      <w:r w:rsidRPr="00125BA5">
        <w:rPr>
          <w:sz w:val="20"/>
          <w:szCs w:val="20"/>
        </w:rPr>
        <w:t xml:space="preserve"> Moghadam, </w:t>
      </w:r>
      <w:r>
        <w:rPr>
          <w:i/>
          <w:sz w:val="20"/>
          <w:szCs w:val="20"/>
        </w:rPr>
        <w:t xml:space="preserve">The Globalization of Martyrdom, </w:t>
      </w:r>
      <w:r w:rsidRPr="00125BA5">
        <w:rPr>
          <w:sz w:val="20"/>
          <w:szCs w:val="20"/>
        </w:rPr>
        <w:t>28.</w:t>
      </w:r>
      <w:r>
        <w:rPr>
          <w:sz w:val="20"/>
          <w:szCs w:val="20"/>
        </w:rPr>
        <w:t xml:space="preserve">  42.</w:t>
      </w:r>
    </w:p>
  </w:footnote>
  <w:footnote w:id="197">
    <w:p w:rsidR="00DF4630" w:rsidRPr="005F5C1A" w:rsidRDefault="00DF4630" w:rsidP="0081557D">
      <w:pPr>
        <w:spacing w:line="240" w:lineRule="auto"/>
        <w:rPr>
          <w:sz w:val="20"/>
          <w:szCs w:val="20"/>
        </w:rPr>
      </w:pPr>
      <w:r w:rsidRPr="005F5C1A">
        <w:rPr>
          <w:rStyle w:val="FootnoteReference"/>
          <w:rFonts w:eastAsiaTheme="majorEastAsia"/>
          <w:noProof/>
          <w:sz w:val="20"/>
          <w:szCs w:val="20"/>
        </w:rPr>
        <w:footnoteRef/>
      </w:r>
      <w:r w:rsidRPr="005F5C1A">
        <w:rPr>
          <w:sz w:val="20"/>
          <w:szCs w:val="20"/>
        </w:rPr>
        <w:t xml:space="preserve"> Horowitz M.C. 2010. "Nonstate Actors and the Diffusion of Innovations: The Case of Suicide Terrorism". </w:t>
      </w:r>
      <w:r w:rsidRPr="005F5C1A">
        <w:rPr>
          <w:i/>
          <w:iCs/>
          <w:sz w:val="20"/>
          <w:szCs w:val="20"/>
        </w:rPr>
        <w:t>International Organization. </w:t>
      </w:r>
      <w:r w:rsidRPr="005F5C1A">
        <w:rPr>
          <w:sz w:val="20"/>
          <w:szCs w:val="20"/>
        </w:rPr>
        <w:t>64, no. 1: 33-64.  34.</w:t>
      </w:r>
    </w:p>
  </w:footnote>
  <w:footnote w:id="198">
    <w:p w:rsidR="00DF4630" w:rsidRPr="005F5C1A" w:rsidRDefault="00DF4630" w:rsidP="0081557D">
      <w:pPr>
        <w:pStyle w:val="FootnoteText"/>
      </w:pPr>
      <w:r w:rsidRPr="005F5C1A">
        <w:rPr>
          <w:rStyle w:val="FootnoteReference"/>
        </w:rPr>
        <w:footnoteRef/>
      </w:r>
      <w:r w:rsidRPr="005F5C1A">
        <w:t xml:space="preserve"> United States v. Ali Mohamed, No. S(7) 98 Cr. 1023 (S.D.N.Y.), 20 October 2000.  addition, according  to Rohan Gunaratna, Bin Laden reached out to Iran, as Iran received 10% of Osama’s outgoing calls from Afghanistan from 1996-98.  (See Gunaratna, Rohan. 2002. </w:t>
      </w:r>
      <w:r w:rsidRPr="005F5C1A">
        <w:rPr>
          <w:i/>
          <w:iCs/>
        </w:rPr>
        <w:t>Inside Al Qaeda: global network of terror</w:t>
      </w:r>
      <w:r w:rsidRPr="005F5C1A">
        <w:t>. New York: Columbia University Press.  10.)</w:t>
      </w:r>
    </w:p>
  </w:footnote>
  <w:footnote w:id="199">
    <w:p w:rsidR="00DF4630" w:rsidRPr="005F5C1A" w:rsidRDefault="00DF4630" w:rsidP="0081557D">
      <w:pPr>
        <w:spacing w:line="240" w:lineRule="auto"/>
        <w:rPr>
          <w:sz w:val="20"/>
          <w:szCs w:val="20"/>
        </w:rPr>
      </w:pPr>
      <w:r w:rsidRPr="005F5C1A">
        <w:rPr>
          <w:rStyle w:val="FootnoteReference"/>
          <w:noProof/>
          <w:sz w:val="20"/>
          <w:szCs w:val="20"/>
        </w:rPr>
        <w:footnoteRef/>
      </w:r>
      <w:r w:rsidRPr="005F5C1A">
        <w:rPr>
          <w:sz w:val="20"/>
          <w:szCs w:val="20"/>
        </w:rPr>
        <w:t xml:space="preserve"> </w:t>
      </w:r>
      <w:r w:rsidRPr="005F5C1A">
        <w:rPr>
          <w:rFonts w:eastAsia="Arial Unicode MS"/>
          <w:color w:val="000000"/>
          <w:sz w:val="20"/>
          <w:szCs w:val="20"/>
          <w:shd w:val="clear" w:color="auto" w:fill="FFFFFF"/>
        </w:rPr>
        <w:t>Juergensmeyer, Mark.</w:t>
      </w:r>
      <w:r w:rsidRPr="005F5C1A">
        <w:rPr>
          <w:rStyle w:val="apple-converted-space"/>
          <w:rFonts w:eastAsia="Arial Unicode MS"/>
          <w:color w:val="000000"/>
          <w:sz w:val="20"/>
          <w:szCs w:val="20"/>
          <w:shd w:val="clear" w:color="auto" w:fill="FFFFFF"/>
        </w:rPr>
        <w:t> </w:t>
      </w:r>
      <w:r w:rsidRPr="005F5C1A">
        <w:rPr>
          <w:rFonts w:eastAsia="Arial Unicode MS"/>
          <w:i/>
          <w:iCs/>
          <w:color w:val="000000"/>
          <w:sz w:val="20"/>
          <w:szCs w:val="20"/>
          <w:shd w:val="clear" w:color="auto" w:fill="FFFFFF"/>
        </w:rPr>
        <w:t>Global Rebellion: Religious Challenges to the Secular State, from Christian Militias to Al Qaeda</w:t>
      </w:r>
      <w:r w:rsidRPr="005F5C1A">
        <w:rPr>
          <w:rFonts w:eastAsia="Arial Unicode MS"/>
          <w:color w:val="000000"/>
          <w:sz w:val="20"/>
          <w:szCs w:val="20"/>
          <w:shd w:val="clear" w:color="auto" w:fill="FFFFFF"/>
        </w:rPr>
        <w:t>. Berkeley: University of California Press, 2008.  202.</w:t>
      </w:r>
    </w:p>
  </w:footnote>
  <w:footnote w:id="200">
    <w:p w:rsidR="00DF4630" w:rsidRPr="00AD2EF4" w:rsidRDefault="00DF4630" w:rsidP="0081557D">
      <w:pPr>
        <w:spacing w:line="240" w:lineRule="auto"/>
        <w:rPr>
          <w:sz w:val="20"/>
          <w:szCs w:val="20"/>
        </w:rPr>
      </w:pPr>
      <w:r w:rsidRPr="00AD2EF4">
        <w:rPr>
          <w:rStyle w:val="FootnoteReference"/>
          <w:noProof/>
          <w:sz w:val="20"/>
          <w:szCs w:val="20"/>
        </w:rPr>
        <w:footnoteRef/>
      </w:r>
      <w:r w:rsidRPr="00AD2EF4">
        <w:rPr>
          <w:sz w:val="20"/>
          <w:szCs w:val="20"/>
        </w:rPr>
        <w:t xml:space="preserve"> Moghadam, </w:t>
      </w:r>
      <w:r w:rsidRPr="00AD2EF4">
        <w:rPr>
          <w:i/>
          <w:sz w:val="20"/>
          <w:szCs w:val="20"/>
        </w:rPr>
        <w:t xml:space="preserve">The Globalization of Martyrdom, </w:t>
      </w:r>
      <w:r w:rsidRPr="00AD2EF4">
        <w:rPr>
          <w:sz w:val="20"/>
          <w:szCs w:val="20"/>
        </w:rPr>
        <w:t>95.</w:t>
      </w:r>
    </w:p>
  </w:footnote>
  <w:footnote w:id="201">
    <w:p w:rsidR="00DF4630" w:rsidRPr="00AD2EF4" w:rsidRDefault="00DF4630" w:rsidP="0081557D">
      <w:pPr>
        <w:spacing w:line="240" w:lineRule="auto"/>
        <w:rPr>
          <w:sz w:val="20"/>
          <w:szCs w:val="20"/>
        </w:rPr>
      </w:pPr>
      <w:r w:rsidRPr="00AD2EF4">
        <w:rPr>
          <w:rStyle w:val="FootnoteReference"/>
          <w:noProof/>
          <w:sz w:val="20"/>
          <w:szCs w:val="20"/>
        </w:rPr>
        <w:footnoteRef/>
      </w:r>
      <w:r w:rsidRPr="00AD2EF4">
        <w:rPr>
          <w:sz w:val="20"/>
          <w:szCs w:val="20"/>
        </w:rPr>
        <w:t xml:space="preserve"> “World Islamic Front Statement of Jihad against Jews and Crusaders,” 23 February 1998. </w:t>
      </w:r>
      <w:hyperlink r:id="rId18" w:history="1">
        <w:r w:rsidRPr="00AD2EF4">
          <w:rPr>
            <w:rStyle w:val="Hyperlink"/>
            <w:sz w:val="20"/>
            <w:szCs w:val="20"/>
          </w:rPr>
          <w:t>www.fas.org/irp/world/para/docs/980223-fatwa.htm</w:t>
        </w:r>
      </w:hyperlink>
      <w:r w:rsidRPr="00AD2EF4">
        <w:rPr>
          <w:sz w:val="20"/>
          <w:szCs w:val="20"/>
        </w:rPr>
        <w:t xml:space="preserve">  (Accessed 13 April 13, 2016). </w:t>
      </w:r>
    </w:p>
  </w:footnote>
  <w:footnote w:id="202">
    <w:p w:rsidR="00DF4630" w:rsidRPr="00AD2EF4" w:rsidRDefault="00DF4630" w:rsidP="0081557D">
      <w:pPr>
        <w:spacing w:line="240" w:lineRule="auto"/>
        <w:rPr>
          <w:sz w:val="20"/>
          <w:szCs w:val="20"/>
        </w:rPr>
      </w:pPr>
      <w:r w:rsidRPr="00AD2EF4">
        <w:rPr>
          <w:rStyle w:val="FootnoteReference"/>
          <w:noProof/>
          <w:sz w:val="20"/>
          <w:szCs w:val="20"/>
        </w:rPr>
        <w:footnoteRef/>
      </w:r>
      <w:r w:rsidRPr="00AD2EF4">
        <w:rPr>
          <w:sz w:val="20"/>
          <w:szCs w:val="20"/>
        </w:rPr>
        <w:t xml:space="preserve"> Moghadam, </w:t>
      </w:r>
      <w:r w:rsidRPr="00AD2EF4">
        <w:rPr>
          <w:i/>
          <w:sz w:val="20"/>
          <w:szCs w:val="20"/>
        </w:rPr>
        <w:t>The Globalization of Martyrdom,</w:t>
      </w:r>
      <w:r w:rsidRPr="00AD2EF4">
        <w:rPr>
          <w:sz w:val="20"/>
          <w:szCs w:val="20"/>
        </w:rPr>
        <w:t xml:space="preserve"> 65.</w:t>
      </w:r>
    </w:p>
  </w:footnote>
  <w:footnote w:id="203">
    <w:p w:rsidR="00DF4630" w:rsidRPr="00AD2EF4" w:rsidRDefault="00DF4630" w:rsidP="0081557D">
      <w:pPr>
        <w:spacing w:line="240" w:lineRule="auto"/>
        <w:rPr>
          <w:sz w:val="20"/>
          <w:szCs w:val="20"/>
        </w:rPr>
      </w:pPr>
      <w:r w:rsidRPr="00AD2EF4">
        <w:rPr>
          <w:rStyle w:val="FootnoteReference"/>
          <w:noProof/>
          <w:sz w:val="20"/>
          <w:szCs w:val="20"/>
        </w:rPr>
        <w:footnoteRef/>
      </w:r>
      <w:r w:rsidRPr="00AD2EF4">
        <w:rPr>
          <w:sz w:val="20"/>
          <w:szCs w:val="20"/>
        </w:rPr>
        <w:t xml:space="preserve"> Moghadam, </w:t>
      </w:r>
      <w:r w:rsidRPr="00AD2EF4">
        <w:rPr>
          <w:i/>
          <w:sz w:val="20"/>
          <w:szCs w:val="20"/>
        </w:rPr>
        <w:t xml:space="preserve">The Globalization of Martyrdom, </w:t>
      </w:r>
      <w:r w:rsidRPr="00AD2EF4">
        <w:rPr>
          <w:sz w:val="20"/>
          <w:szCs w:val="20"/>
        </w:rPr>
        <w:t>6-7.</w:t>
      </w:r>
    </w:p>
  </w:footnote>
  <w:footnote w:id="204">
    <w:p w:rsidR="00DF4630" w:rsidRPr="005F5C1A" w:rsidRDefault="00DF4630" w:rsidP="0081557D">
      <w:pPr>
        <w:spacing w:line="240" w:lineRule="auto"/>
        <w:rPr>
          <w:sz w:val="20"/>
          <w:szCs w:val="20"/>
        </w:rPr>
      </w:pPr>
      <w:r w:rsidRPr="00AD2EF4">
        <w:rPr>
          <w:rStyle w:val="FootnoteReference"/>
          <w:noProof/>
          <w:sz w:val="20"/>
          <w:szCs w:val="20"/>
        </w:rPr>
        <w:footnoteRef/>
      </w:r>
      <w:r w:rsidRPr="00AD2EF4">
        <w:rPr>
          <w:sz w:val="20"/>
          <w:szCs w:val="20"/>
        </w:rPr>
        <w:t xml:space="preserve"> Lewis, 197</w:t>
      </w:r>
      <w:r w:rsidRPr="005F5C1A">
        <w:rPr>
          <w:sz w:val="20"/>
          <w:szCs w:val="20"/>
        </w:rPr>
        <w:t>.</w:t>
      </w:r>
    </w:p>
  </w:footnote>
  <w:footnote w:id="205">
    <w:p w:rsidR="00DF4630" w:rsidRPr="005F5C1A" w:rsidRDefault="00DF4630" w:rsidP="0081557D">
      <w:pPr>
        <w:spacing w:line="240" w:lineRule="auto"/>
        <w:rPr>
          <w:sz w:val="20"/>
          <w:szCs w:val="20"/>
        </w:rPr>
      </w:pPr>
      <w:r w:rsidRPr="005F5C1A">
        <w:rPr>
          <w:rStyle w:val="FootnoteReference"/>
          <w:noProof/>
          <w:sz w:val="20"/>
          <w:szCs w:val="20"/>
        </w:rPr>
        <w:footnoteRef/>
      </w:r>
      <w:r w:rsidRPr="005F5C1A">
        <w:rPr>
          <w:sz w:val="20"/>
          <w:szCs w:val="20"/>
        </w:rPr>
        <w:t xml:space="preserve"> Dobrot, Lawrence Andrew.  “The Global War on Terrorism:  A Religious War?”  </w:t>
      </w:r>
      <w:r w:rsidRPr="005F5C1A">
        <w:rPr>
          <w:i/>
          <w:sz w:val="20"/>
          <w:szCs w:val="20"/>
        </w:rPr>
        <w:t>Carlisle Paper in Security Strategy</w:t>
      </w:r>
      <w:r w:rsidRPr="005F5C1A">
        <w:rPr>
          <w:sz w:val="20"/>
          <w:szCs w:val="20"/>
        </w:rPr>
        <w:t xml:space="preserve">.  Nov 29, 2007.  </w:t>
      </w:r>
    </w:p>
    <w:p w:rsidR="00DF4630" w:rsidRPr="005F5C1A" w:rsidRDefault="00C35D4A" w:rsidP="0081557D">
      <w:pPr>
        <w:spacing w:line="240" w:lineRule="auto"/>
        <w:rPr>
          <w:sz w:val="20"/>
          <w:szCs w:val="20"/>
        </w:rPr>
      </w:pPr>
      <w:hyperlink r:id="rId19" w:history="1">
        <w:r w:rsidR="00DF4630" w:rsidRPr="005F5C1A">
          <w:rPr>
            <w:rStyle w:val="Hyperlink"/>
            <w:bCs/>
            <w:sz w:val="20"/>
            <w:szCs w:val="20"/>
          </w:rPr>
          <w:t>http://www.strategicstudiesinstitute.army.mil/pdffiles/pub822.pdf</w:t>
        </w:r>
      </w:hyperlink>
      <w:r w:rsidR="00DF4630" w:rsidRPr="005F5C1A">
        <w:rPr>
          <w:sz w:val="20"/>
          <w:szCs w:val="20"/>
        </w:rPr>
        <w:t xml:space="preserve"> .  9.</w:t>
      </w:r>
    </w:p>
  </w:footnote>
  <w:footnote w:id="206">
    <w:p w:rsidR="00DF4630" w:rsidRPr="00125BA5" w:rsidRDefault="00DF4630" w:rsidP="0081557D">
      <w:pPr>
        <w:spacing w:line="240" w:lineRule="auto"/>
        <w:rPr>
          <w:sz w:val="20"/>
          <w:szCs w:val="20"/>
        </w:rPr>
      </w:pPr>
      <w:r w:rsidRPr="005F5C1A">
        <w:rPr>
          <w:rStyle w:val="FootnoteReference"/>
          <w:noProof/>
          <w:sz w:val="20"/>
          <w:szCs w:val="20"/>
        </w:rPr>
        <w:footnoteRef/>
      </w:r>
      <w:r w:rsidRPr="005F5C1A">
        <w:rPr>
          <w:sz w:val="20"/>
          <w:szCs w:val="20"/>
        </w:rPr>
        <w:t xml:space="preserve"> Moghadam, </w:t>
      </w:r>
      <w:r w:rsidRPr="005F5C1A">
        <w:rPr>
          <w:i/>
          <w:sz w:val="20"/>
          <w:szCs w:val="20"/>
        </w:rPr>
        <w:t xml:space="preserve">The Globalization of Martyrdom, </w:t>
      </w:r>
      <w:r w:rsidRPr="005F5C1A">
        <w:rPr>
          <w:sz w:val="20"/>
          <w:szCs w:val="20"/>
        </w:rPr>
        <w:t>38.</w:t>
      </w:r>
    </w:p>
  </w:footnote>
  <w:footnote w:id="207">
    <w:p w:rsidR="00DF4630" w:rsidRPr="00125BA5" w:rsidRDefault="00DF4630" w:rsidP="00637C1F">
      <w:pPr>
        <w:spacing w:line="240" w:lineRule="auto"/>
        <w:rPr>
          <w:sz w:val="20"/>
          <w:szCs w:val="20"/>
        </w:rPr>
      </w:pPr>
      <w:r w:rsidRPr="00125BA5">
        <w:rPr>
          <w:rStyle w:val="FootnoteReference"/>
          <w:noProof/>
          <w:sz w:val="20"/>
          <w:szCs w:val="20"/>
        </w:rPr>
        <w:footnoteRef/>
      </w:r>
      <w:r w:rsidRPr="00125BA5">
        <w:rPr>
          <w:sz w:val="20"/>
          <w:szCs w:val="20"/>
        </w:rPr>
        <w:t xml:space="preserve"> “Part 11 of New Book by Egyptian Islamic Jihad Leader Ayman Al-Zawahiri.”  </w:t>
      </w:r>
    </w:p>
  </w:footnote>
  <w:footnote w:id="208">
    <w:p w:rsidR="00DF4630" w:rsidRDefault="00DF4630" w:rsidP="0081557D">
      <w:pPr>
        <w:pStyle w:val="FootnoteText"/>
      </w:pPr>
      <w:r>
        <w:rPr>
          <w:rStyle w:val="FootnoteReference"/>
        </w:rPr>
        <w:footnoteRef/>
      </w:r>
      <w:r>
        <w:t xml:space="preserve"> </w:t>
      </w:r>
      <w:r w:rsidRPr="006E4252">
        <w:t>Ruqaiyah, Abu.</w:t>
      </w:r>
      <w:r>
        <w:t xml:space="preserve">  </w:t>
      </w:r>
      <w:r w:rsidRPr="006E4252">
        <w:t xml:space="preserve">“The Islamic Legitimacy of The "Martyrdom Operations."  </w:t>
      </w:r>
      <w:r w:rsidRPr="006E4252">
        <w:rPr>
          <w:i/>
          <w:iCs/>
        </w:rPr>
        <w:t xml:space="preserve">Nida'ul Islam Magazine.  </w:t>
      </w:r>
      <w:r w:rsidRPr="006E4252">
        <w:t xml:space="preserve">January 1997.  Online at: </w:t>
      </w:r>
      <w:hyperlink r:id="rId20" w:history="1">
        <w:r w:rsidRPr="006E4252">
          <w:rPr>
            <w:rStyle w:val="Hyperlink"/>
          </w:rPr>
          <w:t>http://www.ict.org.il/Article/209/The%20Islamic%20Legitimacy%20of%20The%20Martyrdom%20Operations</w:t>
        </w:r>
      </w:hyperlink>
      <w:r w:rsidRPr="006E4252">
        <w:t xml:space="preserve">  (Accessed 2 March 2016).</w:t>
      </w:r>
      <w:r>
        <w:t xml:space="preserve">  Following quotes are taken from this source.</w:t>
      </w:r>
    </w:p>
  </w:footnote>
  <w:footnote w:id="209">
    <w:p w:rsidR="00DF4630" w:rsidRPr="00125BA5" w:rsidRDefault="00DF4630" w:rsidP="0081557D">
      <w:pPr>
        <w:spacing w:line="240" w:lineRule="auto"/>
        <w:rPr>
          <w:sz w:val="20"/>
          <w:szCs w:val="20"/>
        </w:rPr>
      </w:pPr>
      <w:r w:rsidRPr="00125BA5">
        <w:rPr>
          <w:rStyle w:val="FootnoteReference"/>
          <w:noProof/>
          <w:sz w:val="20"/>
          <w:szCs w:val="20"/>
        </w:rPr>
        <w:footnoteRef/>
      </w:r>
      <w:r w:rsidRPr="00125BA5">
        <w:rPr>
          <w:sz w:val="20"/>
          <w:szCs w:val="20"/>
        </w:rPr>
        <w:t xml:space="preserve"> “Muaskar Al-Battar.”  </w:t>
      </w:r>
      <w:r w:rsidRPr="00125BA5">
        <w:rPr>
          <w:i/>
          <w:iCs/>
          <w:sz w:val="20"/>
          <w:szCs w:val="20"/>
        </w:rPr>
        <w:t>Radical Islamist Culture, Credo and Communications Series</w:t>
      </w:r>
      <w:r w:rsidRPr="00125BA5">
        <w:rPr>
          <w:sz w:val="20"/>
          <w:szCs w:val="20"/>
        </w:rPr>
        <w:t>.  Issue 2:  7 July (2008).</w:t>
      </w:r>
    </w:p>
  </w:footnote>
  <w:footnote w:id="210">
    <w:p w:rsidR="00DF4630" w:rsidRPr="00125BA5" w:rsidRDefault="00DF4630" w:rsidP="0081557D">
      <w:pPr>
        <w:spacing w:line="240" w:lineRule="auto"/>
        <w:rPr>
          <w:iCs/>
          <w:sz w:val="20"/>
          <w:szCs w:val="20"/>
        </w:rPr>
      </w:pPr>
      <w:r w:rsidRPr="00125BA5">
        <w:rPr>
          <w:rStyle w:val="FootnoteReference"/>
          <w:noProof/>
          <w:sz w:val="20"/>
          <w:szCs w:val="20"/>
        </w:rPr>
        <w:footnoteRef/>
      </w:r>
      <w:r w:rsidRPr="00125BA5">
        <w:rPr>
          <w:sz w:val="20"/>
          <w:szCs w:val="20"/>
        </w:rPr>
        <w:t xml:space="preserve"> </w:t>
      </w:r>
      <w:r w:rsidRPr="00125BA5">
        <w:rPr>
          <w:iCs/>
          <w:sz w:val="20"/>
          <w:szCs w:val="20"/>
        </w:rPr>
        <w:t xml:space="preserve">Schwartz-Barcott, T.P.  </w:t>
      </w:r>
      <w:r w:rsidRPr="00125BA5">
        <w:rPr>
          <w:i/>
          <w:iCs/>
          <w:sz w:val="20"/>
          <w:szCs w:val="20"/>
        </w:rPr>
        <w:t xml:space="preserve">War, Terror and Peace in the Qur’an and in Islam: Insights for Military and Government Leaders.  </w:t>
      </w:r>
      <w:r w:rsidRPr="00125BA5">
        <w:rPr>
          <w:iCs/>
          <w:sz w:val="20"/>
          <w:szCs w:val="20"/>
        </w:rPr>
        <w:t>Carlisle, PA: Army War College Press; 2004.  11.</w:t>
      </w:r>
    </w:p>
  </w:footnote>
  <w:footnote w:id="211">
    <w:p w:rsidR="00DF4630" w:rsidRPr="00163CEA" w:rsidRDefault="00DF4630" w:rsidP="00163CEA">
      <w:pPr>
        <w:pStyle w:val="FootnoteText"/>
        <w:rPr>
          <w:lang w:bidi="en-US"/>
        </w:rPr>
      </w:pPr>
      <w:r>
        <w:rPr>
          <w:rStyle w:val="FootnoteReference"/>
        </w:rPr>
        <w:footnoteRef/>
      </w:r>
      <w:r>
        <w:t xml:space="preserve"> On striking terror, </w:t>
      </w:r>
      <w:r w:rsidRPr="00163CEA">
        <w:rPr>
          <w:lang w:bidi="en-US"/>
        </w:rPr>
        <w:t>Surah 8:57, “</w:t>
      </w:r>
      <w:r w:rsidRPr="00163CEA">
        <w:rPr>
          <w:iCs/>
          <w:lang w:bidi="en-US"/>
        </w:rPr>
        <w:t>If you come to them in war, deal with them so to strike fear in those who are behin</w:t>
      </w:r>
      <w:r>
        <w:rPr>
          <w:iCs/>
          <w:lang w:bidi="en-US"/>
        </w:rPr>
        <w:t>d them, that they may remember.</w:t>
      </w:r>
      <w:r w:rsidRPr="00163CEA">
        <w:rPr>
          <w:iCs/>
          <w:lang w:bidi="en-US"/>
        </w:rPr>
        <w:t xml:space="preserve">” </w:t>
      </w:r>
      <w:r>
        <w:rPr>
          <w:iCs/>
          <w:lang w:bidi="en-US"/>
        </w:rPr>
        <w:t xml:space="preserve">On fighting without retreat, </w:t>
      </w:r>
      <w:r w:rsidRPr="00163CEA">
        <w:rPr>
          <w:iCs/>
          <w:lang w:bidi="en-US"/>
        </w:rPr>
        <w:t>Surah 8:15-16, “O you who believe, when you meet those who disbelieve marching for war, turn not your backs to them. And those who tu</w:t>
      </w:r>
      <w:r>
        <w:rPr>
          <w:iCs/>
          <w:lang w:bidi="en-US"/>
        </w:rPr>
        <w:t>rn his back to them on that day…</w:t>
      </w:r>
      <w:r w:rsidRPr="00163CEA">
        <w:rPr>
          <w:iCs/>
          <w:lang w:bidi="en-US"/>
        </w:rPr>
        <w:t>he incurs Allah’s wrath and his refuge is hell.”</w:t>
      </w:r>
      <w:r w:rsidRPr="00163CEA">
        <w:rPr>
          <w:lang w:bidi="en-US"/>
        </w:rPr>
        <w:t xml:space="preserve"> </w:t>
      </w:r>
    </w:p>
    <w:p w:rsidR="00DF4630" w:rsidRDefault="00DF4630">
      <w:pPr>
        <w:pStyle w:val="FootnoteText"/>
      </w:pPr>
    </w:p>
  </w:footnote>
  <w:footnote w:id="212">
    <w:p w:rsidR="00DF4630" w:rsidRPr="00125BA5" w:rsidRDefault="00DF4630" w:rsidP="0081557D">
      <w:pPr>
        <w:spacing w:line="240" w:lineRule="auto"/>
        <w:rPr>
          <w:sz w:val="20"/>
          <w:szCs w:val="20"/>
        </w:rPr>
      </w:pPr>
      <w:r w:rsidRPr="00125BA5">
        <w:rPr>
          <w:rStyle w:val="FootnoteReference"/>
          <w:noProof/>
          <w:sz w:val="20"/>
          <w:szCs w:val="20"/>
        </w:rPr>
        <w:footnoteRef/>
      </w:r>
      <w:r w:rsidRPr="00125BA5">
        <w:rPr>
          <w:sz w:val="20"/>
          <w:szCs w:val="20"/>
        </w:rPr>
        <w:t xml:space="preserve"> Gompert, David C.  “Heads We Win:  The Cognitive Side of Counter-Insurgency.”  </w:t>
      </w:r>
      <w:r w:rsidRPr="00125BA5">
        <w:rPr>
          <w:i/>
          <w:sz w:val="20"/>
          <w:szCs w:val="20"/>
        </w:rPr>
        <w:t>RAND</w:t>
      </w:r>
      <w:r w:rsidRPr="00125BA5">
        <w:rPr>
          <w:sz w:val="20"/>
          <w:szCs w:val="20"/>
        </w:rPr>
        <w:t>.  Santa Monica:  2007.  19.</w:t>
      </w:r>
    </w:p>
  </w:footnote>
  <w:footnote w:id="213">
    <w:p w:rsidR="00DF4630" w:rsidRPr="00125BA5" w:rsidRDefault="00DF4630" w:rsidP="0081557D">
      <w:pPr>
        <w:spacing w:line="240" w:lineRule="auto"/>
        <w:rPr>
          <w:sz w:val="20"/>
          <w:szCs w:val="20"/>
        </w:rPr>
      </w:pPr>
      <w:r w:rsidRPr="00125BA5">
        <w:rPr>
          <w:rStyle w:val="FootnoteReference"/>
          <w:noProof/>
          <w:sz w:val="20"/>
          <w:szCs w:val="20"/>
        </w:rPr>
        <w:footnoteRef/>
      </w:r>
      <w:r w:rsidRPr="00125BA5">
        <w:rPr>
          <w:sz w:val="20"/>
          <w:szCs w:val="20"/>
        </w:rPr>
        <w:t xml:space="preserve"> Ibrahim, Raymond, Ayman Ẓawāhirī, and Osama Bin Laden. </w:t>
      </w:r>
      <w:r w:rsidRPr="00125BA5">
        <w:rPr>
          <w:i/>
          <w:iCs/>
          <w:sz w:val="20"/>
          <w:szCs w:val="20"/>
        </w:rPr>
        <w:t>The Al Qaeda Reader</w:t>
      </w:r>
      <w:r w:rsidRPr="00125BA5">
        <w:rPr>
          <w:sz w:val="20"/>
          <w:szCs w:val="20"/>
        </w:rPr>
        <w:t xml:space="preserve">. New York: Doubleday, 2007.  </w:t>
      </w:r>
      <w:r>
        <w:rPr>
          <w:sz w:val="20"/>
          <w:szCs w:val="20"/>
        </w:rPr>
        <w:t>November 22, 2002.  199.  Subsequent quote below as well.</w:t>
      </w:r>
    </w:p>
  </w:footnote>
  <w:footnote w:id="214">
    <w:p w:rsidR="00DF4630" w:rsidRPr="00125BA5" w:rsidRDefault="00DF4630" w:rsidP="004F58E8">
      <w:pPr>
        <w:spacing w:line="240" w:lineRule="auto"/>
        <w:rPr>
          <w:sz w:val="20"/>
          <w:szCs w:val="20"/>
        </w:rPr>
      </w:pPr>
      <w:r w:rsidRPr="00125BA5">
        <w:rPr>
          <w:rStyle w:val="FootnoteReference"/>
          <w:noProof/>
          <w:sz w:val="20"/>
          <w:szCs w:val="20"/>
        </w:rPr>
        <w:footnoteRef/>
      </w:r>
      <w:r w:rsidRPr="00125BA5">
        <w:rPr>
          <w:sz w:val="20"/>
          <w:szCs w:val="20"/>
        </w:rPr>
        <w:t xml:space="preserve"> “Part 11 of New Book by Egyptian Islamic Jihad Leader Ayman Al-Zawahiri.”  </w:t>
      </w:r>
    </w:p>
  </w:footnote>
  <w:footnote w:id="215">
    <w:p w:rsidR="00DF4630" w:rsidRPr="00125BA5" w:rsidRDefault="00DF4630" w:rsidP="0081557D">
      <w:pPr>
        <w:spacing w:line="240" w:lineRule="auto"/>
        <w:rPr>
          <w:sz w:val="20"/>
          <w:szCs w:val="20"/>
        </w:rPr>
      </w:pPr>
      <w:r w:rsidRPr="00125BA5">
        <w:rPr>
          <w:rStyle w:val="FootnoteReference"/>
          <w:noProof/>
          <w:sz w:val="20"/>
          <w:szCs w:val="20"/>
        </w:rPr>
        <w:footnoteRef/>
      </w:r>
      <w:r w:rsidRPr="00125BA5">
        <w:rPr>
          <w:sz w:val="20"/>
          <w:szCs w:val="20"/>
        </w:rPr>
        <w:t xml:space="preserve"> “Four Suicide Bombers Behind Last Week’s Mosque Attack, the U.S. Military Says</w:t>
      </w:r>
      <w:r w:rsidR="009918F1" w:rsidRPr="00125BA5">
        <w:rPr>
          <w:sz w:val="20"/>
          <w:szCs w:val="20"/>
        </w:rPr>
        <w:t>” Associated</w:t>
      </w:r>
      <w:r w:rsidRPr="00125BA5">
        <w:rPr>
          <w:i/>
          <w:sz w:val="20"/>
          <w:szCs w:val="20"/>
        </w:rPr>
        <w:t xml:space="preserve"> Press.</w:t>
      </w:r>
      <w:r w:rsidRPr="00125BA5">
        <w:rPr>
          <w:sz w:val="20"/>
          <w:szCs w:val="20"/>
        </w:rPr>
        <w:t xml:space="preserve"> 14 April 2006.</w:t>
      </w:r>
    </w:p>
  </w:footnote>
  <w:footnote w:id="216">
    <w:p w:rsidR="00DF4630" w:rsidRPr="00125BA5" w:rsidRDefault="00DF4630" w:rsidP="000173EB">
      <w:pPr>
        <w:spacing w:line="240" w:lineRule="auto"/>
        <w:rPr>
          <w:sz w:val="20"/>
          <w:szCs w:val="20"/>
        </w:rPr>
      </w:pPr>
      <w:r w:rsidRPr="00125BA5">
        <w:rPr>
          <w:rStyle w:val="FootnoteReference"/>
          <w:noProof/>
          <w:sz w:val="20"/>
          <w:szCs w:val="20"/>
        </w:rPr>
        <w:footnoteRef/>
      </w:r>
      <w:r w:rsidRPr="00125BA5">
        <w:rPr>
          <w:sz w:val="20"/>
          <w:szCs w:val="20"/>
        </w:rPr>
        <w:t xml:space="preserve"> Hafez, Mohammed M. </w:t>
      </w:r>
      <w:r w:rsidRPr="00125BA5">
        <w:rPr>
          <w:i/>
          <w:iCs/>
          <w:sz w:val="20"/>
          <w:szCs w:val="20"/>
        </w:rPr>
        <w:t>Suicide Bombers in Iraq: The Strategy and Ideology of Martyrdom</w:t>
      </w:r>
      <w:r w:rsidRPr="00125BA5">
        <w:rPr>
          <w:sz w:val="20"/>
          <w:szCs w:val="20"/>
        </w:rPr>
        <w:t>. Washington, D.C.: U.S. Institute of Peace Press, 2007.  93.</w:t>
      </w:r>
    </w:p>
  </w:footnote>
  <w:footnote w:id="217">
    <w:p w:rsidR="00DF4630" w:rsidRPr="00125BA5" w:rsidRDefault="00DF4630" w:rsidP="0081557D">
      <w:pPr>
        <w:spacing w:line="240" w:lineRule="auto"/>
        <w:rPr>
          <w:sz w:val="20"/>
          <w:szCs w:val="20"/>
        </w:rPr>
      </w:pPr>
      <w:r w:rsidRPr="00125BA5">
        <w:rPr>
          <w:rStyle w:val="FootnoteReference"/>
          <w:noProof/>
          <w:sz w:val="20"/>
          <w:szCs w:val="20"/>
        </w:rPr>
        <w:footnoteRef/>
      </w:r>
      <w:r w:rsidRPr="00125BA5">
        <w:rPr>
          <w:sz w:val="20"/>
          <w:szCs w:val="20"/>
        </w:rPr>
        <w:t xml:space="preserve"> </w:t>
      </w:r>
      <w:r>
        <w:rPr>
          <w:sz w:val="20"/>
          <w:szCs w:val="20"/>
        </w:rPr>
        <w:t xml:space="preserve">His numbers differ slightly from mine from START data, but they are close.  </w:t>
      </w:r>
      <w:r w:rsidRPr="00125BA5">
        <w:rPr>
          <w:sz w:val="20"/>
          <w:szCs w:val="20"/>
        </w:rPr>
        <w:t>Hafez, Mohammed M. </w:t>
      </w:r>
      <w:r>
        <w:rPr>
          <w:i/>
          <w:iCs/>
          <w:sz w:val="20"/>
          <w:szCs w:val="20"/>
        </w:rPr>
        <w:t xml:space="preserve">Suicide Bombers in Iraq.  </w:t>
      </w:r>
      <w:r w:rsidRPr="00125BA5">
        <w:rPr>
          <w:sz w:val="20"/>
          <w:szCs w:val="20"/>
        </w:rPr>
        <w:t>104.</w:t>
      </w:r>
    </w:p>
  </w:footnote>
  <w:footnote w:id="218">
    <w:p w:rsidR="00DF4630" w:rsidRPr="00125BA5" w:rsidRDefault="00DF4630" w:rsidP="0081557D">
      <w:pPr>
        <w:spacing w:line="240" w:lineRule="auto"/>
        <w:rPr>
          <w:sz w:val="20"/>
          <w:szCs w:val="20"/>
        </w:rPr>
      </w:pPr>
      <w:r w:rsidRPr="00125BA5">
        <w:rPr>
          <w:rStyle w:val="FootnoteReference"/>
          <w:noProof/>
          <w:sz w:val="20"/>
          <w:szCs w:val="20"/>
        </w:rPr>
        <w:footnoteRef/>
      </w:r>
      <w:r w:rsidRPr="00125BA5">
        <w:rPr>
          <w:sz w:val="20"/>
          <w:szCs w:val="20"/>
        </w:rPr>
        <w:t xml:space="preserve"> Hicks, Madelyn Hsiao-Rei, Hamit Dardagan, Peter M Bagnall, Michael Spagat, and John A Sloboda. 2011. "Casualties in Civilians and Coalition Soldiers from Suicide Bombings in Iraq, 2003–10: a Descriptive Study". </w:t>
      </w:r>
      <w:r w:rsidRPr="00125BA5">
        <w:rPr>
          <w:i/>
          <w:iCs/>
          <w:sz w:val="20"/>
          <w:szCs w:val="20"/>
        </w:rPr>
        <w:t>The Lancet. </w:t>
      </w:r>
      <w:r w:rsidRPr="00125BA5">
        <w:rPr>
          <w:sz w:val="20"/>
          <w:szCs w:val="20"/>
        </w:rPr>
        <w:t xml:space="preserve">378, no. 9794: 906-914.  906. </w:t>
      </w:r>
    </w:p>
  </w:footnote>
  <w:footnote w:id="219">
    <w:p w:rsidR="00DF4630" w:rsidRPr="00125BA5" w:rsidRDefault="00DF4630" w:rsidP="0081557D">
      <w:pPr>
        <w:spacing w:line="240" w:lineRule="auto"/>
        <w:rPr>
          <w:sz w:val="20"/>
          <w:szCs w:val="20"/>
        </w:rPr>
      </w:pPr>
      <w:r w:rsidRPr="00125BA5">
        <w:rPr>
          <w:rStyle w:val="FootnoteReference"/>
          <w:noProof/>
          <w:sz w:val="20"/>
          <w:szCs w:val="20"/>
        </w:rPr>
        <w:footnoteRef/>
      </w:r>
      <w:r w:rsidRPr="00125BA5">
        <w:rPr>
          <w:sz w:val="20"/>
          <w:szCs w:val="20"/>
        </w:rPr>
        <w:t xml:space="preserve"> Hafez, Mohammed M. </w:t>
      </w:r>
      <w:r w:rsidRPr="00125BA5">
        <w:rPr>
          <w:i/>
          <w:iCs/>
          <w:sz w:val="20"/>
          <w:szCs w:val="20"/>
        </w:rPr>
        <w:t>Suicide Bombers in Iraq: The Strategy and Ideology of Martyrdom</w:t>
      </w:r>
      <w:r w:rsidRPr="00125BA5">
        <w:rPr>
          <w:sz w:val="20"/>
          <w:szCs w:val="20"/>
        </w:rPr>
        <w:t xml:space="preserve">. </w:t>
      </w:r>
      <w:r>
        <w:rPr>
          <w:sz w:val="20"/>
          <w:szCs w:val="20"/>
        </w:rPr>
        <w:t xml:space="preserve"> </w:t>
      </w:r>
      <w:r w:rsidRPr="00125BA5">
        <w:rPr>
          <w:sz w:val="20"/>
          <w:szCs w:val="20"/>
        </w:rPr>
        <w:t>77.</w:t>
      </w:r>
    </w:p>
  </w:footnote>
  <w:footnote w:id="220">
    <w:p w:rsidR="00DF4630" w:rsidRPr="00125BA5" w:rsidRDefault="00DF4630" w:rsidP="0081557D">
      <w:pPr>
        <w:spacing w:line="240" w:lineRule="auto"/>
        <w:rPr>
          <w:sz w:val="20"/>
          <w:szCs w:val="20"/>
        </w:rPr>
      </w:pPr>
      <w:r w:rsidRPr="00125BA5">
        <w:rPr>
          <w:rStyle w:val="FootnoteReference"/>
          <w:noProof/>
          <w:sz w:val="20"/>
          <w:szCs w:val="20"/>
        </w:rPr>
        <w:footnoteRef/>
      </w:r>
      <w:r w:rsidRPr="00125BA5">
        <w:rPr>
          <w:sz w:val="20"/>
          <w:szCs w:val="20"/>
        </w:rPr>
        <w:t xml:space="preserve"> Intercepted Al Qaeda in Iraq document s</w:t>
      </w:r>
      <w:r w:rsidRPr="009D0132">
        <w:rPr>
          <w:sz w:val="20"/>
          <w:szCs w:val="20"/>
        </w:rPr>
        <w:t>ummar</w:t>
      </w:r>
      <w:r w:rsidRPr="00125BA5">
        <w:rPr>
          <w:sz w:val="20"/>
          <w:szCs w:val="20"/>
        </w:rPr>
        <w:t xml:space="preserve">ized in Hafez </w:t>
      </w:r>
      <w:r w:rsidRPr="004F58E8">
        <w:rPr>
          <w:i/>
          <w:iCs/>
          <w:sz w:val="20"/>
          <w:szCs w:val="20"/>
        </w:rPr>
        <w:t>Suicide Bombers in Iraq</w:t>
      </w:r>
      <w:r w:rsidRPr="00125BA5">
        <w:rPr>
          <w:sz w:val="20"/>
          <w:szCs w:val="20"/>
        </w:rPr>
        <w:t xml:space="preserve"> 75.</w:t>
      </w:r>
    </w:p>
  </w:footnote>
  <w:footnote w:id="221">
    <w:p w:rsidR="00DF4630" w:rsidRPr="00125BA5" w:rsidRDefault="00DF4630" w:rsidP="0081557D">
      <w:pPr>
        <w:spacing w:line="240" w:lineRule="auto"/>
        <w:rPr>
          <w:sz w:val="20"/>
          <w:szCs w:val="20"/>
        </w:rPr>
      </w:pPr>
      <w:r w:rsidRPr="00125BA5">
        <w:rPr>
          <w:rStyle w:val="FootnoteReference"/>
          <w:noProof/>
          <w:sz w:val="20"/>
          <w:szCs w:val="20"/>
        </w:rPr>
        <w:footnoteRef/>
      </w:r>
      <w:r w:rsidRPr="00125BA5">
        <w:rPr>
          <w:sz w:val="20"/>
          <w:szCs w:val="20"/>
        </w:rPr>
        <w:t xml:space="preserve"> Bernstein-Wax, Jessica.  “Studies:  Suicide Bombers in Iraq are Mostly Foreigners.”  </w:t>
      </w:r>
      <w:r w:rsidRPr="00125BA5">
        <w:rPr>
          <w:i/>
          <w:sz w:val="20"/>
          <w:szCs w:val="20"/>
        </w:rPr>
        <w:t xml:space="preserve">McClatchy Newspapers.  </w:t>
      </w:r>
      <w:r w:rsidRPr="00125BA5">
        <w:rPr>
          <w:sz w:val="20"/>
          <w:szCs w:val="20"/>
        </w:rPr>
        <w:t xml:space="preserve">8 August, 2007.  </w:t>
      </w:r>
    </w:p>
  </w:footnote>
  <w:footnote w:id="222">
    <w:p w:rsidR="00DF4630" w:rsidRPr="00125BA5" w:rsidRDefault="00DF4630" w:rsidP="0081557D">
      <w:pPr>
        <w:spacing w:line="240" w:lineRule="auto"/>
        <w:rPr>
          <w:sz w:val="20"/>
          <w:szCs w:val="20"/>
        </w:rPr>
      </w:pPr>
      <w:r w:rsidRPr="00125BA5">
        <w:rPr>
          <w:rStyle w:val="FootnoteReference"/>
          <w:noProof/>
          <w:sz w:val="20"/>
          <w:szCs w:val="20"/>
        </w:rPr>
        <w:footnoteRef/>
      </w:r>
      <w:r w:rsidRPr="00125BA5">
        <w:rPr>
          <w:sz w:val="20"/>
          <w:szCs w:val="20"/>
        </w:rPr>
        <w:t xml:space="preserve"> Jaber, Hala and Ali Rifat.  “Suicide Bombers Head to Iraq From Damascus.”  </w:t>
      </w:r>
      <w:r w:rsidRPr="00125BA5">
        <w:rPr>
          <w:i/>
          <w:sz w:val="20"/>
          <w:szCs w:val="20"/>
        </w:rPr>
        <w:t>Times Online.</w:t>
      </w:r>
      <w:r w:rsidRPr="00125BA5">
        <w:rPr>
          <w:sz w:val="20"/>
          <w:szCs w:val="20"/>
        </w:rPr>
        <w:t xml:space="preserve">  7 October, 2007.</w:t>
      </w:r>
    </w:p>
  </w:footnote>
  <w:footnote w:id="223">
    <w:p w:rsidR="00DF4630" w:rsidRPr="00125BA5" w:rsidRDefault="00DF4630" w:rsidP="0081557D">
      <w:pPr>
        <w:spacing w:line="240" w:lineRule="auto"/>
        <w:rPr>
          <w:sz w:val="20"/>
          <w:szCs w:val="20"/>
        </w:rPr>
      </w:pPr>
      <w:r w:rsidRPr="00125BA5">
        <w:rPr>
          <w:rStyle w:val="FootnoteReference"/>
          <w:noProof/>
          <w:sz w:val="20"/>
          <w:szCs w:val="20"/>
        </w:rPr>
        <w:footnoteRef/>
      </w:r>
      <w:r w:rsidRPr="00125BA5">
        <w:rPr>
          <w:sz w:val="20"/>
          <w:szCs w:val="20"/>
        </w:rPr>
        <w:t xml:space="preserve"> See Smith, Dough and Louise Roug.  “130 Killed in Iraq bombings” Chicago Tribune.  January 6, 2006. “Four Suicide Bombers behind Last Week’s Mosque Attack.” Associated Press Worldstream. April 14, 2006.</w:t>
      </w:r>
      <w:r>
        <w:rPr>
          <w:sz w:val="20"/>
          <w:szCs w:val="20"/>
        </w:rPr>
        <w:t xml:space="preserve">  </w:t>
      </w:r>
      <w:r w:rsidRPr="00125BA5">
        <w:rPr>
          <w:sz w:val="20"/>
          <w:szCs w:val="20"/>
        </w:rPr>
        <w:t>“Some of the deadliest attacks in Iraq.” Associated Press.  August 14th, 2007.  Reid, Robert H.  “Suicide Bomber Strikes Iraqi Funeral, Kills Mourner.” Associated Press Worldstream.  May 1st, 2007.</w:t>
      </w:r>
    </w:p>
  </w:footnote>
  <w:footnote w:id="224">
    <w:p w:rsidR="00DF4630" w:rsidRPr="00125BA5" w:rsidRDefault="00DF4630" w:rsidP="0081557D">
      <w:pPr>
        <w:spacing w:line="240" w:lineRule="auto"/>
        <w:rPr>
          <w:sz w:val="20"/>
          <w:szCs w:val="20"/>
        </w:rPr>
      </w:pPr>
      <w:r w:rsidRPr="00125BA5">
        <w:rPr>
          <w:rStyle w:val="FootnoteReference"/>
          <w:noProof/>
          <w:sz w:val="20"/>
          <w:szCs w:val="20"/>
        </w:rPr>
        <w:footnoteRef/>
      </w:r>
      <w:r w:rsidRPr="00125BA5">
        <w:rPr>
          <w:sz w:val="20"/>
          <w:szCs w:val="20"/>
        </w:rPr>
        <w:t xml:space="preserve"> See Juhi, Bushra.  “Bombings Strike Towns in Northern Iraq; Sunni Tribal Leader’s House.” Associated Press.</w:t>
      </w:r>
      <w:r>
        <w:rPr>
          <w:sz w:val="20"/>
          <w:szCs w:val="20"/>
        </w:rPr>
        <w:t xml:space="preserve">  </w:t>
      </w:r>
      <w:r w:rsidRPr="00125BA5">
        <w:rPr>
          <w:sz w:val="20"/>
          <w:szCs w:val="20"/>
        </w:rPr>
        <w:t>Sept 26, 2007. And “Suicide Car Bomber Strikes Police Convoy near Market in Kirkuk, Iraq.” Associated</w:t>
      </w:r>
      <w:r>
        <w:rPr>
          <w:sz w:val="20"/>
          <w:szCs w:val="20"/>
        </w:rPr>
        <w:t xml:space="preserve"> </w:t>
      </w:r>
      <w:r w:rsidRPr="00125BA5">
        <w:rPr>
          <w:sz w:val="20"/>
          <w:szCs w:val="20"/>
        </w:rPr>
        <w:t>Press.  October 11, 2007.</w:t>
      </w:r>
    </w:p>
  </w:footnote>
  <w:footnote w:id="225">
    <w:p w:rsidR="00DF4630" w:rsidRDefault="00DF4630" w:rsidP="0081557D">
      <w:pPr>
        <w:pStyle w:val="FootnoteText"/>
      </w:pPr>
      <w:r>
        <w:rPr>
          <w:rStyle w:val="FootnoteReference"/>
        </w:rPr>
        <w:footnoteRef/>
      </w:r>
      <w:r>
        <w:t xml:space="preserve"> </w:t>
      </w:r>
      <w:r w:rsidRPr="00044F46">
        <w:t xml:space="preserve">McCants, William (2015-09-22). </w:t>
      </w:r>
      <w:r w:rsidRPr="0092448C">
        <w:rPr>
          <w:i/>
        </w:rPr>
        <w:t>The ISIS Apocalypse: The History, Strategy, and Doomsday Vision of the Islamic State</w:t>
      </w:r>
      <w:r w:rsidRPr="00044F46">
        <w:t xml:space="preserve"> (Kindle Locations 554-561). St. Martin's Press. Kindle Edition.</w:t>
      </w:r>
    </w:p>
  </w:footnote>
  <w:footnote w:id="226">
    <w:p w:rsidR="00DF4630" w:rsidRPr="00125BA5" w:rsidRDefault="00DF4630" w:rsidP="0081557D">
      <w:pPr>
        <w:spacing w:line="240" w:lineRule="auto"/>
        <w:rPr>
          <w:sz w:val="20"/>
          <w:szCs w:val="20"/>
        </w:rPr>
      </w:pPr>
      <w:r w:rsidRPr="00125BA5">
        <w:rPr>
          <w:rStyle w:val="FootnoteReference"/>
          <w:noProof/>
          <w:sz w:val="20"/>
          <w:szCs w:val="20"/>
        </w:rPr>
        <w:footnoteRef/>
      </w:r>
      <w:r w:rsidRPr="00125BA5">
        <w:rPr>
          <w:sz w:val="20"/>
          <w:szCs w:val="20"/>
        </w:rPr>
        <w:t xml:space="preserve"> Katzman, Kenneth. </w:t>
      </w:r>
      <w:r w:rsidRPr="00125BA5">
        <w:rPr>
          <w:i/>
          <w:iCs/>
          <w:sz w:val="20"/>
          <w:szCs w:val="20"/>
        </w:rPr>
        <w:t>Al Qaeda in Iraq Assessment and Outside Links</w:t>
      </w:r>
      <w:r w:rsidRPr="00125BA5">
        <w:rPr>
          <w:sz w:val="20"/>
          <w:szCs w:val="20"/>
        </w:rPr>
        <w:t>. [Washington, D.C.]: Congressional Research Service, 2008. &lt;http://www.fas.org/sgp/crs/terror/RL32217.pdf&gt;.</w:t>
      </w:r>
    </w:p>
  </w:footnote>
  <w:footnote w:id="227">
    <w:p w:rsidR="00DF4630" w:rsidRPr="00125BA5" w:rsidRDefault="00DF4630" w:rsidP="0081557D">
      <w:pPr>
        <w:spacing w:line="240" w:lineRule="auto"/>
        <w:rPr>
          <w:sz w:val="20"/>
          <w:szCs w:val="20"/>
        </w:rPr>
      </w:pPr>
      <w:r w:rsidRPr="00125BA5">
        <w:rPr>
          <w:rStyle w:val="FootnoteReference"/>
          <w:noProof/>
          <w:sz w:val="20"/>
          <w:szCs w:val="20"/>
        </w:rPr>
        <w:footnoteRef/>
      </w:r>
      <w:r w:rsidRPr="00125BA5">
        <w:rPr>
          <w:sz w:val="20"/>
          <w:szCs w:val="20"/>
        </w:rPr>
        <w:t xml:space="preserve"> Smith, Doug and Louise Roug.  . </w:t>
      </w:r>
    </w:p>
  </w:footnote>
  <w:footnote w:id="228">
    <w:p w:rsidR="00DF4630" w:rsidRPr="00125BA5" w:rsidRDefault="00DF4630" w:rsidP="0081557D">
      <w:pPr>
        <w:spacing w:line="240" w:lineRule="auto"/>
        <w:rPr>
          <w:sz w:val="20"/>
          <w:szCs w:val="20"/>
        </w:rPr>
      </w:pPr>
      <w:r w:rsidRPr="00125BA5">
        <w:rPr>
          <w:rStyle w:val="FootnoteReference"/>
          <w:noProof/>
          <w:sz w:val="20"/>
          <w:szCs w:val="20"/>
        </w:rPr>
        <w:footnoteRef/>
      </w:r>
      <w:r w:rsidRPr="00125BA5">
        <w:rPr>
          <w:sz w:val="20"/>
          <w:szCs w:val="20"/>
        </w:rPr>
        <w:t xml:space="preserve"> Gamel, Kim.  “Suicide Truck Bomber strikes in mainly </w:t>
      </w:r>
      <w:r>
        <w:rPr>
          <w:sz w:val="20"/>
          <w:szCs w:val="20"/>
        </w:rPr>
        <w:t>Shia</w:t>
      </w:r>
      <w:r w:rsidRPr="00125BA5">
        <w:rPr>
          <w:sz w:val="20"/>
          <w:szCs w:val="20"/>
        </w:rPr>
        <w:t xml:space="preserve"> area in Baghdad, killing more than 100 people.”  </w:t>
      </w:r>
      <w:r w:rsidRPr="00125BA5">
        <w:rPr>
          <w:i/>
          <w:sz w:val="20"/>
          <w:szCs w:val="20"/>
        </w:rPr>
        <w:t>Associated Press Worldstream.</w:t>
      </w:r>
      <w:r w:rsidRPr="00125BA5">
        <w:rPr>
          <w:sz w:val="20"/>
          <w:szCs w:val="20"/>
        </w:rPr>
        <w:t xml:space="preserve"> 3 February, 2007.</w:t>
      </w:r>
    </w:p>
  </w:footnote>
  <w:footnote w:id="229">
    <w:p w:rsidR="00DF4630" w:rsidRPr="00125BA5" w:rsidRDefault="00DF4630" w:rsidP="0081557D">
      <w:pPr>
        <w:spacing w:line="240" w:lineRule="auto"/>
        <w:rPr>
          <w:sz w:val="20"/>
          <w:szCs w:val="20"/>
        </w:rPr>
      </w:pPr>
      <w:r w:rsidRPr="00125BA5">
        <w:rPr>
          <w:rStyle w:val="FootnoteReference"/>
          <w:noProof/>
          <w:sz w:val="20"/>
          <w:szCs w:val="20"/>
        </w:rPr>
        <w:footnoteRef/>
      </w:r>
      <w:r w:rsidRPr="00125BA5">
        <w:rPr>
          <w:sz w:val="20"/>
          <w:szCs w:val="20"/>
        </w:rPr>
        <w:t xml:space="preserve"> See Juhi, Bushra.  “Bombings Strike Towns in Northern Iraq; Sunni Tribal Leader’s House.” Associated Press.</w:t>
      </w:r>
      <w:r>
        <w:rPr>
          <w:sz w:val="20"/>
          <w:szCs w:val="20"/>
        </w:rPr>
        <w:t xml:space="preserve">  </w:t>
      </w:r>
      <w:r w:rsidRPr="00125BA5">
        <w:rPr>
          <w:sz w:val="20"/>
          <w:szCs w:val="20"/>
        </w:rPr>
        <w:t>Sept 26, 2007. And “Suicide Car Bomber Strikes Police Convoy near Market in Kirkuk, Iraq.” Associated</w:t>
      </w:r>
      <w:r>
        <w:rPr>
          <w:sz w:val="20"/>
          <w:szCs w:val="20"/>
        </w:rPr>
        <w:t xml:space="preserve"> </w:t>
      </w:r>
      <w:r w:rsidRPr="00125BA5">
        <w:rPr>
          <w:sz w:val="20"/>
          <w:szCs w:val="20"/>
        </w:rPr>
        <w:t>Press.  October 11, 2007.</w:t>
      </w:r>
    </w:p>
  </w:footnote>
  <w:footnote w:id="230">
    <w:p w:rsidR="00DF4630" w:rsidRPr="00125BA5" w:rsidRDefault="00DF4630" w:rsidP="00F573CC">
      <w:pPr>
        <w:spacing w:line="240" w:lineRule="auto"/>
        <w:rPr>
          <w:sz w:val="20"/>
          <w:szCs w:val="20"/>
        </w:rPr>
      </w:pPr>
      <w:r w:rsidRPr="00125BA5">
        <w:rPr>
          <w:rStyle w:val="FootnoteReference"/>
          <w:noProof/>
          <w:sz w:val="20"/>
          <w:szCs w:val="20"/>
        </w:rPr>
        <w:footnoteRef/>
      </w:r>
      <w:r w:rsidRPr="00125BA5">
        <w:rPr>
          <w:sz w:val="20"/>
          <w:szCs w:val="20"/>
        </w:rPr>
        <w:t xml:space="preserve"> Motlagh, Jason.  “Analysis: Taliban Upgrades Jihad Strategy.”  </w:t>
      </w:r>
      <w:r w:rsidRPr="00113E9C">
        <w:rPr>
          <w:i/>
          <w:iCs/>
          <w:sz w:val="20"/>
          <w:szCs w:val="20"/>
        </w:rPr>
        <w:t>United Press Institute</w:t>
      </w:r>
      <w:r w:rsidRPr="00125BA5">
        <w:rPr>
          <w:sz w:val="20"/>
          <w:szCs w:val="20"/>
        </w:rPr>
        <w:t xml:space="preserve">. </w:t>
      </w:r>
      <w:r>
        <w:rPr>
          <w:sz w:val="20"/>
          <w:szCs w:val="20"/>
        </w:rPr>
        <w:t>26 September</w:t>
      </w:r>
      <w:r w:rsidRPr="00125BA5">
        <w:rPr>
          <w:sz w:val="20"/>
          <w:szCs w:val="20"/>
        </w:rPr>
        <w:t>, 2006.</w:t>
      </w:r>
      <w:r>
        <w:rPr>
          <w:sz w:val="20"/>
          <w:szCs w:val="20"/>
        </w:rPr>
        <w:t xml:space="preserve">  The Afghan Taliban was not as invested in global jihad as fellow Qutbist organizations.  Since the Taliban was a governing entity and planned to return to power, it did not want to alienate civilians.  This contrasts with the Pakistani Taliban, which did target civilians compared to the Afghan iteration.  The Pakistan Taliban was a secessionist movement.  </w:t>
      </w:r>
      <w:r w:rsidRPr="00F573CC">
        <w:rPr>
          <w:sz w:val="20"/>
          <w:szCs w:val="20"/>
        </w:rPr>
        <w:t>The target breakdown for the Afghan Taliban from 2005-2014 out of 824 total attacks:  Military (22%), Government (25%), Police (27%), and Civilian (21%).  Of those four groups, civilians were the least targeted.  The Pakistani Taliban (Tekrit I Taliban Pakistan, TTP) target breakdown for the same period out of 411 attacks is:  Military (18%), Government (14%), Police (19%), Civilian (40%), and Informal Groups (5%).</w:t>
      </w:r>
      <w:r>
        <w:rPr>
          <w:sz w:val="20"/>
          <w:szCs w:val="20"/>
        </w:rPr>
        <w:t xml:space="preserve">  </w:t>
      </w:r>
      <w:r w:rsidRPr="00F573CC">
        <w:rPr>
          <w:sz w:val="20"/>
          <w:szCs w:val="20"/>
        </w:rPr>
        <w:t>For the TTP, Civilians were the most targeted.</w:t>
      </w:r>
    </w:p>
  </w:footnote>
  <w:footnote w:id="231">
    <w:p w:rsidR="00DF4630" w:rsidRPr="00125BA5" w:rsidRDefault="00DF4630" w:rsidP="0081557D">
      <w:pPr>
        <w:spacing w:line="240" w:lineRule="auto"/>
        <w:rPr>
          <w:sz w:val="20"/>
          <w:szCs w:val="20"/>
        </w:rPr>
      </w:pPr>
      <w:r w:rsidRPr="00125BA5">
        <w:rPr>
          <w:rStyle w:val="FootnoteReference"/>
          <w:noProof/>
          <w:sz w:val="20"/>
          <w:szCs w:val="20"/>
        </w:rPr>
        <w:footnoteRef/>
      </w:r>
      <w:r>
        <w:rPr>
          <w:sz w:val="20"/>
          <w:szCs w:val="20"/>
        </w:rPr>
        <w:t xml:space="preserve"> Hafez,</w:t>
      </w:r>
      <w:r w:rsidRPr="00125BA5">
        <w:rPr>
          <w:sz w:val="20"/>
          <w:szCs w:val="20"/>
        </w:rPr>
        <w:t> </w:t>
      </w:r>
      <w:r w:rsidRPr="00125BA5">
        <w:rPr>
          <w:i/>
          <w:iCs/>
          <w:sz w:val="20"/>
          <w:szCs w:val="20"/>
        </w:rPr>
        <w:t>Suicide Bombers in Iraq: The Strategy and Ideology of Martyrdom</w:t>
      </w:r>
      <w:r w:rsidRPr="00125BA5">
        <w:rPr>
          <w:sz w:val="20"/>
          <w:szCs w:val="20"/>
        </w:rPr>
        <w:t>. 89.</w:t>
      </w:r>
    </w:p>
  </w:footnote>
  <w:footnote w:id="232">
    <w:p w:rsidR="00DF4630" w:rsidRPr="00125BA5" w:rsidRDefault="00DF4630" w:rsidP="0081557D">
      <w:pPr>
        <w:spacing w:line="240" w:lineRule="auto"/>
        <w:rPr>
          <w:sz w:val="20"/>
          <w:szCs w:val="20"/>
        </w:rPr>
      </w:pPr>
      <w:r w:rsidRPr="00125BA5">
        <w:rPr>
          <w:rStyle w:val="FootnoteReference"/>
          <w:noProof/>
          <w:sz w:val="20"/>
          <w:szCs w:val="20"/>
        </w:rPr>
        <w:footnoteRef/>
      </w:r>
      <w:r w:rsidRPr="00125BA5">
        <w:rPr>
          <w:sz w:val="20"/>
          <w:szCs w:val="20"/>
        </w:rPr>
        <w:t xml:space="preserve"> Parker, Ned.  “Saudis’ Role in Iraq Insurgency Outlined.” The Los Angeles Times.  July 15th, 2007.  Page A1.</w:t>
      </w:r>
    </w:p>
  </w:footnote>
  <w:footnote w:id="233">
    <w:p w:rsidR="00DF4630" w:rsidRPr="00125BA5" w:rsidRDefault="00DF4630" w:rsidP="0081557D">
      <w:pPr>
        <w:spacing w:line="240" w:lineRule="auto"/>
        <w:rPr>
          <w:sz w:val="20"/>
          <w:szCs w:val="20"/>
        </w:rPr>
      </w:pPr>
      <w:r w:rsidRPr="00125BA5">
        <w:rPr>
          <w:rStyle w:val="FootnoteReference"/>
          <w:noProof/>
          <w:sz w:val="20"/>
          <w:szCs w:val="20"/>
        </w:rPr>
        <w:footnoteRef/>
      </w:r>
      <w:r w:rsidRPr="00125BA5">
        <w:rPr>
          <w:sz w:val="20"/>
          <w:szCs w:val="20"/>
        </w:rPr>
        <w:t xml:space="preserve"> Hafez, </w:t>
      </w:r>
      <w:r w:rsidRPr="00113E9C">
        <w:rPr>
          <w:i/>
          <w:iCs/>
          <w:sz w:val="20"/>
          <w:szCs w:val="20"/>
        </w:rPr>
        <w:t>Suicide Bombers in Iraq</w:t>
      </w:r>
      <w:r w:rsidRPr="00125BA5">
        <w:rPr>
          <w:sz w:val="20"/>
          <w:szCs w:val="20"/>
        </w:rPr>
        <w:t>, 178</w:t>
      </w:r>
    </w:p>
  </w:footnote>
  <w:footnote w:id="234">
    <w:p w:rsidR="00DF4630" w:rsidRPr="00125BA5" w:rsidRDefault="00DF4630" w:rsidP="0081557D">
      <w:pPr>
        <w:spacing w:line="240" w:lineRule="auto"/>
        <w:rPr>
          <w:sz w:val="20"/>
          <w:szCs w:val="20"/>
        </w:rPr>
      </w:pPr>
      <w:r w:rsidRPr="00125BA5">
        <w:rPr>
          <w:rStyle w:val="FootnoteReference"/>
          <w:noProof/>
          <w:sz w:val="20"/>
          <w:szCs w:val="20"/>
        </w:rPr>
        <w:footnoteRef/>
      </w:r>
      <w:r w:rsidRPr="00125BA5">
        <w:rPr>
          <w:sz w:val="20"/>
          <w:szCs w:val="20"/>
        </w:rPr>
        <w:t xml:space="preserve"> Nordland, Rod and Babak Dehghampisheh.  “Surge of Suicide Bombers</w:t>
      </w:r>
      <w:r w:rsidR="009918F1" w:rsidRPr="00125BA5">
        <w:rPr>
          <w:sz w:val="20"/>
          <w:szCs w:val="20"/>
        </w:rPr>
        <w:t>; The</w:t>
      </w:r>
      <w:r w:rsidRPr="00125BA5">
        <w:rPr>
          <w:sz w:val="20"/>
          <w:szCs w:val="20"/>
        </w:rPr>
        <w:t xml:space="preserve"> Iraq War Has Turned into a Veritable ‘Martyr’ Factory, Unlike Any Seen in Previous Conflicts.” </w:t>
      </w:r>
      <w:r w:rsidRPr="00125BA5">
        <w:rPr>
          <w:i/>
          <w:sz w:val="20"/>
          <w:szCs w:val="20"/>
        </w:rPr>
        <w:t>Newsweek</w:t>
      </w:r>
      <w:r w:rsidRPr="00125BA5">
        <w:rPr>
          <w:sz w:val="20"/>
          <w:szCs w:val="20"/>
        </w:rPr>
        <w:t>. 13 August, 2007.  Page 30.</w:t>
      </w:r>
    </w:p>
  </w:footnote>
  <w:footnote w:id="235">
    <w:p w:rsidR="00DF4630" w:rsidRPr="00125BA5" w:rsidRDefault="00DF4630" w:rsidP="0081557D">
      <w:pPr>
        <w:spacing w:line="240" w:lineRule="auto"/>
        <w:rPr>
          <w:sz w:val="20"/>
          <w:szCs w:val="20"/>
        </w:rPr>
      </w:pPr>
      <w:r w:rsidRPr="00125BA5">
        <w:rPr>
          <w:rStyle w:val="FootnoteReference"/>
          <w:noProof/>
          <w:sz w:val="20"/>
          <w:szCs w:val="20"/>
        </w:rPr>
        <w:footnoteRef/>
      </w:r>
      <w:r w:rsidRPr="00125BA5">
        <w:rPr>
          <w:sz w:val="20"/>
          <w:szCs w:val="20"/>
        </w:rPr>
        <w:t xml:space="preserve"> Jaber, Hala and Ali Rifat.  “Suicide Bombers Head to Iraq From Damascus.”  </w:t>
      </w:r>
      <w:r w:rsidRPr="00125BA5">
        <w:rPr>
          <w:i/>
          <w:sz w:val="20"/>
          <w:szCs w:val="20"/>
        </w:rPr>
        <w:t>Times Online.</w:t>
      </w:r>
      <w:r w:rsidRPr="00125BA5">
        <w:rPr>
          <w:sz w:val="20"/>
          <w:szCs w:val="20"/>
        </w:rPr>
        <w:t xml:space="preserve">  7 October, 2007.</w:t>
      </w:r>
    </w:p>
  </w:footnote>
  <w:footnote w:id="236">
    <w:p w:rsidR="00DF4630" w:rsidRPr="00125BA5" w:rsidRDefault="00DF4630" w:rsidP="0081557D">
      <w:pPr>
        <w:spacing w:line="240" w:lineRule="auto"/>
        <w:rPr>
          <w:sz w:val="20"/>
          <w:szCs w:val="20"/>
        </w:rPr>
      </w:pPr>
      <w:r w:rsidRPr="00125BA5">
        <w:rPr>
          <w:rStyle w:val="FootnoteReference"/>
          <w:noProof/>
          <w:sz w:val="20"/>
          <w:szCs w:val="20"/>
        </w:rPr>
        <w:footnoteRef/>
      </w:r>
      <w:r w:rsidRPr="00125BA5">
        <w:rPr>
          <w:sz w:val="20"/>
          <w:szCs w:val="20"/>
        </w:rPr>
        <w:t xml:space="preserve"> Abdul-Ahad, Ghaith.  “Outside Iraq But Deep In the Fight.” </w:t>
      </w:r>
      <w:r w:rsidRPr="00125BA5">
        <w:rPr>
          <w:i/>
          <w:sz w:val="20"/>
          <w:szCs w:val="20"/>
        </w:rPr>
        <w:t>Washington Post</w:t>
      </w:r>
      <w:r w:rsidRPr="00125BA5">
        <w:rPr>
          <w:sz w:val="20"/>
          <w:szCs w:val="20"/>
        </w:rPr>
        <w:t>.  8 June, 2005; A01.</w:t>
      </w:r>
    </w:p>
  </w:footnote>
  <w:footnote w:id="237">
    <w:p w:rsidR="00DF4630" w:rsidRPr="00125BA5" w:rsidRDefault="00DF4630" w:rsidP="0081557D">
      <w:pPr>
        <w:spacing w:line="240" w:lineRule="auto"/>
        <w:rPr>
          <w:sz w:val="20"/>
          <w:szCs w:val="20"/>
        </w:rPr>
      </w:pPr>
      <w:r w:rsidRPr="00125BA5">
        <w:rPr>
          <w:rStyle w:val="FootnoteReference"/>
          <w:noProof/>
          <w:sz w:val="20"/>
          <w:szCs w:val="20"/>
        </w:rPr>
        <w:footnoteRef/>
      </w:r>
      <w:r w:rsidRPr="00125BA5">
        <w:rPr>
          <w:sz w:val="20"/>
          <w:szCs w:val="20"/>
        </w:rPr>
        <w:t xml:space="preserve"> Oppel, Richard A. Jr.  “Foreign Fighters in Iraq Are Tied to Allies of U.S.”  </w:t>
      </w:r>
      <w:r w:rsidRPr="00125BA5">
        <w:rPr>
          <w:i/>
          <w:sz w:val="20"/>
          <w:szCs w:val="20"/>
        </w:rPr>
        <w:t>The New York Times.</w:t>
      </w:r>
      <w:r w:rsidRPr="00125BA5">
        <w:rPr>
          <w:sz w:val="20"/>
          <w:szCs w:val="20"/>
        </w:rPr>
        <w:t xml:space="preserve">  22 November 2007.</w:t>
      </w:r>
      <w:r>
        <w:rPr>
          <w:sz w:val="20"/>
          <w:szCs w:val="20"/>
        </w:rPr>
        <w:t xml:space="preserve">  </w:t>
      </w:r>
      <w:hyperlink r:id="rId21" w:history="1">
        <w:r w:rsidRPr="00125BA5">
          <w:rPr>
            <w:rStyle w:val="Hyperlink"/>
            <w:sz w:val="20"/>
            <w:szCs w:val="20"/>
          </w:rPr>
          <w:t>http://www.nytimes.com/2007/11/22/world/middleeast/22fighters.html</w:t>
        </w:r>
      </w:hyperlink>
      <w:r w:rsidRPr="00125BA5">
        <w:rPr>
          <w:sz w:val="20"/>
          <w:szCs w:val="20"/>
        </w:rPr>
        <w:t xml:space="preserve"> (Accessed 27 November 2015).</w:t>
      </w:r>
    </w:p>
  </w:footnote>
  <w:footnote w:id="238">
    <w:p w:rsidR="00DF4630" w:rsidRPr="00125BA5" w:rsidRDefault="00DF4630" w:rsidP="0081557D">
      <w:pPr>
        <w:spacing w:line="240" w:lineRule="auto"/>
        <w:rPr>
          <w:sz w:val="20"/>
          <w:szCs w:val="20"/>
        </w:rPr>
      </w:pPr>
      <w:r w:rsidRPr="00125BA5">
        <w:rPr>
          <w:rStyle w:val="FootnoteReference"/>
          <w:noProof/>
          <w:sz w:val="20"/>
          <w:szCs w:val="20"/>
        </w:rPr>
        <w:footnoteRef/>
      </w:r>
      <w:r w:rsidRPr="00125BA5">
        <w:rPr>
          <w:sz w:val="20"/>
          <w:szCs w:val="20"/>
        </w:rPr>
        <w:t xml:space="preserve"> Felter, Joseph and Brian Fishman.  “Al Qaida’s Foreign Fighters in Iraq:  A First Look at the Sinjar Records.” </w:t>
      </w:r>
      <w:r w:rsidRPr="00125BA5">
        <w:rPr>
          <w:i/>
          <w:sz w:val="20"/>
          <w:szCs w:val="20"/>
        </w:rPr>
        <w:t>Combating Terrorism Center</w:t>
      </w:r>
      <w:r w:rsidRPr="00125BA5">
        <w:rPr>
          <w:sz w:val="20"/>
          <w:szCs w:val="20"/>
        </w:rPr>
        <w:t xml:space="preserve">.  19 December, 2007.  </w:t>
      </w:r>
      <w:hyperlink r:id="rId22" w:history="1">
        <w:r w:rsidRPr="00125BA5">
          <w:rPr>
            <w:rStyle w:val="Hyperlink"/>
            <w:sz w:val="20"/>
            <w:szCs w:val="20"/>
          </w:rPr>
          <w:t>http://ctc.usma.edu/harmony/pdf/CTCForeignFighter.19.Dec07.pdf</w:t>
        </w:r>
      </w:hyperlink>
      <w:r w:rsidRPr="00125BA5">
        <w:rPr>
          <w:sz w:val="20"/>
          <w:szCs w:val="20"/>
        </w:rPr>
        <w:t>.  7.</w:t>
      </w:r>
      <w:r>
        <w:rPr>
          <w:sz w:val="20"/>
          <w:szCs w:val="20"/>
        </w:rPr>
        <w:t xml:space="preserve">  16.</w:t>
      </w:r>
    </w:p>
  </w:footnote>
  <w:footnote w:id="239">
    <w:p w:rsidR="00DF4630" w:rsidRPr="00125BA5" w:rsidRDefault="00DF4630" w:rsidP="0081557D">
      <w:pPr>
        <w:spacing w:line="240" w:lineRule="auto"/>
        <w:rPr>
          <w:sz w:val="20"/>
          <w:szCs w:val="20"/>
        </w:rPr>
      </w:pPr>
      <w:r w:rsidRPr="00125BA5">
        <w:rPr>
          <w:rStyle w:val="FootnoteReference"/>
          <w:noProof/>
          <w:sz w:val="20"/>
          <w:szCs w:val="20"/>
        </w:rPr>
        <w:footnoteRef/>
      </w:r>
      <w:r w:rsidRPr="00125BA5">
        <w:rPr>
          <w:sz w:val="20"/>
          <w:szCs w:val="20"/>
        </w:rPr>
        <w:t xml:space="preserve"> Glasser, Susan B. “’Martyrs’ In Iraq Mostly Saudis.” </w:t>
      </w:r>
      <w:r w:rsidRPr="00125BA5">
        <w:rPr>
          <w:i/>
          <w:sz w:val="20"/>
          <w:szCs w:val="20"/>
        </w:rPr>
        <w:t>Washington Post.</w:t>
      </w:r>
      <w:r w:rsidRPr="00125BA5">
        <w:rPr>
          <w:sz w:val="20"/>
          <w:szCs w:val="20"/>
        </w:rPr>
        <w:t xml:space="preserve"> 15 May, 2005.</w:t>
      </w:r>
    </w:p>
  </w:footnote>
  <w:footnote w:id="240">
    <w:p w:rsidR="00DF4630" w:rsidRPr="006C5A07" w:rsidRDefault="00DF4630" w:rsidP="0081557D">
      <w:pPr>
        <w:spacing w:line="240" w:lineRule="auto"/>
        <w:rPr>
          <w:sz w:val="20"/>
          <w:szCs w:val="20"/>
        </w:rPr>
      </w:pPr>
      <w:r w:rsidRPr="006C5A07">
        <w:rPr>
          <w:rStyle w:val="FootnoteReference"/>
          <w:noProof/>
          <w:sz w:val="20"/>
          <w:szCs w:val="20"/>
        </w:rPr>
        <w:footnoteRef/>
      </w:r>
      <w:r w:rsidRPr="006C5A07">
        <w:rPr>
          <w:sz w:val="20"/>
          <w:szCs w:val="20"/>
        </w:rPr>
        <w:t xml:space="preserve"> Moghadam, </w:t>
      </w:r>
      <w:r w:rsidRPr="006C5A07">
        <w:rPr>
          <w:i/>
          <w:sz w:val="20"/>
          <w:szCs w:val="20"/>
        </w:rPr>
        <w:t xml:space="preserve">The Globalization of Martyrdom, </w:t>
      </w:r>
      <w:r w:rsidRPr="006C5A07">
        <w:rPr>
          <w:sz w:val="20"/>
          <w:szCs w:val="20"/>
        </w:rPr>
        <w:t>188.</w:t>
      </w:r>
    </w:p>
  </w:footnote>
  <w:footnote w:id="241">
    <w:p w:rsidR="00DF4630" w:rsidRPr="006C5A07" w:rsidRDefault="00DF4630" w:rsidP="0081557D">
      <w:pPr>
        <w:spacing w:line="240" w:lineRule="auto"/>
        <w:rPr>
          <w:sz w:val="20"/>
          <w:szCs w:val="20"/>
        </w:rPr>
      </w:pPr>
      <w:r w:rsidRPr="006C5A07">
        <w:rPr>
          <w:rStyle w:val="FootnoteReference"/>
          <w:noProof/>
          <w:sz w:val="20"/>
          <w:szCs w:val="20"/>
        </w:rPr>
        <w:footnoteRef/>
      </w:r>
      <w:r w:rsidRPr="006C5A07">
        <w:rPr>
          <w:sz w:val="20"/>
          <w:szCs w:val="20"/>
        </w:rPr>
        <w:t xml:space="preserve"> Yates, Dean and Sean Maguire.  “Foreign militants entering Iraq down 50% - Petraeus.”  </w:t>
      </w:r>
      <w:r w:rsidRPr="006C5A07">
        <w:rPr>
          <w:i/>
          <w:sz w:val="20"/>
          <w:szCs w:val="20"/>
        </w:rPr>
        <w:t>Remote Post</w:t>
      </w:r>
      <w:r w:rsidRPr="006C5A07">
        <w:rPr>
          <w:sz w:val="20"/>
          <w:szCs w:val="20"/>
        </w:rPr>
        <w:t>.  11 February, 2008.</w:t>
      </w:r>
    </w:p>
  </w:footnote>
  <w:footnote w:id="242">
    <w:p w:rsidR="00DF4630" w:rsidRPr="006C5A07" w:rsidRDefault="00DF4630" w:rsidP="0081557D">
      <w:pPr>
        <w:spacing w:line="240" w:lineRule="auto"/>
        <w:rPr>
          <w:sz w:val="20"/>
          <w:szCs w:val="20"/>
        </w:rPr>
      </w:pPr>
      <w:r w:rsidRPr="006C5A07">
        <w:rPr>
          <w:rStyle w:val="FootnoteReference"/>
          <w:noProof/>
          <w:sz w:val="20"/>
          <w:szCs w:val="20"/>
        </w:rPr>
        <w:footnoteRef/>
      </w:r>
      <w:r w:rsidRPr="006C5A07">
        <w:rPr>
          <w:sz w:val="20"/>
          <w:szCs w:val="20"/>
        </w:rPr>
        <w:t xml:space="preserve"> Blanchard, Christopher M. </w:t>
      </w:r>
      <w:r w:rsidRPr="006C5A07">
        <w:rPr>
          <w:i/>
          <w:iCs/>
          <w:sz w:val="20"/>
          <w:szCs w:val="20"/>
        </w:rPr>
        <w:t>Al Qaeda Statements and Evolving Ideology</w:t>
      </w:r>
      <w:r w:rsidRPr="006C5A07">
        <w:rPr>
          <w:sz w:val="20"/>
          <w:szCs w:val="20"/>
        </w:rPr>
        <w:t>. [Washington, D.C.]: Congressional Information Service, Library of Congress, 2006.</w:t>
      </w:r>
    </w:p>
  </w:footnote>
  <w:footnote w:id="243">
    <w:p w:rsidR="00DF4630" w:rsidRPr="006C5A07" w:rsidRDefault="00DF4630" w:rsidP="00311810">
      <w:pPr>
        <w:spacing w:line="240" w:lineRule="auto"/>
        <w:ind w:right="720"/>
        <w:contextualSpacing/>
        <w:rPr>
          <w:rFonts w:ascii="Times New Roman" w:eastAsia="Calibri" w:hAnsi="Times New Roman"/>
          <w:noProof/>
          <w:sz w:val="20"/>
          <w:szCs w:val="20"/>
          <w:lang w:bidi="ar-SA"/>
        </w:rPr>
      </w:pPr>
      <w:r w:rsidRPr="006C5A07">
        <w:rPr>
          <w:rStyle w:val="FootnoteReference"/>
          <w:noProof/>
          <w:sz w:val="20"/>
          <w:szCs w:val="20"/>
        </w:rPr>
        <w:footnoteRef/>
      </w:r>
      <w:r w:rsidRPr="006C5A07">
        <w:rPr>
          <w:sz w:val="20"/>
          <w:szCs w:val="20"/>
        </w:rPr>
        <w:t xml:space="preserve"> </w:t>
      </w:r>
      <w:r w:rsidRPr="006C5A07">
        <w:rPr>
          <w:rFonts w:ascii="Times New Roman" w:eastAsia="Calibri" w:hAnsi="Times New Roman"/>
          <w:noProof/>
          <w:sz w:val="20"/>
          <w:szCs w:val="20"/>
          <w:lang w:bidi="ar-SA"/>
        </w:rPr>
        <w:t xml:space="preserve">Weiss, </w:t>
      </w:r>
      <w:r w:rsidRPr="006C5A07">
        <w:rPr>
          <w:sz w:val="20"/>
          <w:szCs w:val="20"/>
        </w:rPr>
        <w:t>2.</w:t>
      </w:r>
      <w:r>
        <w:rPr>
          <w:sz w:val="20"/>
          <w:szCs w:val="20"/>
        </w:rPr>
        <w:t xml:space="preserve">  15.  12.</w:t>
      </w:r>
    </w:p>
  </w:footnote>
  <w:footnote w:id="244">
    <w:p w:rsidR="00DF4630" w:rsidRDefault="00DF4630" w:rsidP="0081557D">
      <w:pPr>
        <w:pStyle w:val="FootnoteText"/>
      </w:pPr>
      <w:r>
        <w:rPr>
          <w:rStyle w:val="FootnoteReference"/>
        </w:rPr>
        <w:footnoteRef/>
      </w:r>
      <w:r>
        <w:t xml:space="preserve"> </w:t>
      </w:r>
      <w:r w:rsidRPr="00294CCB">
        <w:t>McCants, Kindle Locations 188-191</w:t>
      </w:r>
      <w:r>
        <w:t>.</w:t>
      </w:r>
    </w:p>
  </w:footnote>
  <w:footnote w:id="245">
    <w:p w:rsidR="00DF4630" w:rsidRPr="00125BA5" w:rsidRDefault="00DF4630" w:rsidP="0081557D">
      <w:pPr>
        <w:spacing w:line="240" w:lineRule="auto"/>
        <w:rPr>
          <w:sz w:val="20"/>
          <w:szCs w:val="20"/>
        </w:rPr>
      </w:pPr>
      <w:r w:rsidRPr="00125BA5">
        <w:rPr>
          <w:rStyle w:val="FootnoteReference"/>
          <w:noProof/>
          <w:sz w:val="20"/>
          <w:szCs w:val="20"/>
        </w:rPr>
        <w:footnoteRef/>
      </w:r>
      <w:r w:rsidRPr="00125BA5">
        <w:rPr>
          <w:sz w:val="20"/>
          <w:szCs w:val="20"/>
        </w:rPr>
        <w:t xml:space="preserve"> Hafez, Mohammed M. </w:t>
      </w:r>
      <w:r w:rsidRPr="00125BA5">
        <w:rPr>
          <w:i/>
          <w:iCs/>
          <w:sz w:val="20"/>
          <w:szCs w:val="20"/>
        </w:rPr>
        <w:t>Suicide Bombers in Iraq: The Strategy and Ideology of Martyrdom</w:t>
      </w:r>
      <w:r w:rsidRPr="00125BA5">
        <w:rPr>
          <w:sz w:val="20"/>
          <w:szCs w:val="20"/>
        </w:rPr>
        <w:t xml:space="preserve">. </w:t>
      </w:r>
      <w:r>
        <w:rPr>
          <w:sz w:val="20"/>
          <w:szCs w:val="20"/>
        </w:rPr>
        <w:t>73</w:t>
      </w:r>
      <w:r w:rsidRPr="00125BA5">
        <w:rPr>
          <w:sz w:val="20"/>
          <w:szCs w:val="20"/>
        </w:rPr>
        <w:t>.</w:t>
      </w:r>
    </w:p>
  </w:footnote>
  <w:footnote w:id="246">
    <w:p w:rsidR="00DF4630" w:rsidRDefault="00DF4630" w:rsidP="0081557D">
      <w:pPr>
        <w:pStyle w:val="FootnoteText"/>
      </w:pPr>
      <w:r>
        <w:rPr>
          <w:rStyle w:val="FootnoteReference"/>
        </w:rPr>
        <w:footnoteRef/>
      </w:r>
      <w:r>
        <w:t xml:space="preserve"> </w:t>
      </w:r>
      <w:r w:rsidRPr="00F73C14">
        <w:t>McCants, Kindle Locations 233-242</w:t>
      </w:r>
      <w:r>
        <w:t xml:space="preserve">.  Following paragraphs, 314-317.  </w:t>
      </w:r>
      <w:r w:rsidRPr="00CC43BA">
        <w:t>738-740</w:t>
      </w:r>
      <w:r>
        <w:t xml:space="preserve">.  </w:t>
      </w:r>
      <w:r w:rsidRPr="00C9301E">
        <w:t>1329-1332</w:t>
      </w:r>
      <w:r>
        <w:t>.  1340.</w:t>
      </w:r>
    </w:p>
  </w:footnote>
  <w:footnote w:id="247">
    <w:p w:rsidR="00DF4630" w:rsidRDefault="00DF4630" w:rsidP="0081557D">
      <w:pPr>
        <w:pStyle w:val="FootnoteText"/>
      </w:pPr>
      <w:r>
        <w:rPr>
          <w:rStyle w:val="FootnoteReference"/>
          <w:rFonts w:eastAsiaTheme="majorEastAsia"/>
        </w:rPr>
        <w:footnoteRef/>
      </w:r>
      <w:r>
        <w:t xml:space="preserve"> Wood, Graeme. </w:t>
      </w:r>
    </w:p>
  </w:footnote>
  <w:footnote w:id="248">
    <w:p w:rsidR="00DF4630" w:rsidRDefault="00DF4630" w:rsidP="0081557D">
      <w:pPr>
        <w:pStyle w:val="FootnoteText"/>
      </w:pPr>
      <w:r>
        <w:rPr>
          <w:rStyle w:val="FootnoteReference"/>
        </w:rPr>
        <w:footnoteRef/>
      </w:r>
      <w:r>
        <w:t xml:space="preserve"> </w:t>
      </w:r>
      <w:r w:rsidRPr="00C82554">
        <w:t>McCants, Kindle Locations 2196-2199</w:t>
      </w:r>
      <w:r>
        <w:t>.</w:t>
      </w:r>
    </w:p>
  </w:footnote>
  <w:footnote w:id="249">
    <w:p w:rsidR="00DF4630" w:rsidRDefault="00DF4630" w:rsidP="0081557D">
      <w:pPr>
        <w:pStyle w:val="FootnoteText"/>
      </w:pPr>
      <w:r>
        <w:rPr>
          <w:rStyle w:val="FootnoteReference"/>
        </w:rPr>
        <w:footnoteRef/>
      </w:r>
      <w:r>
        <w:t xml:space="preserve"> </w:t>
      </w:r>
      <w:r w:rsidRPr="00F41D10">
        <w:t xml:space="preserve">Weiss, </w:t>
      </w:r>
      <w:r>
        <w:t>1.</w:t>
      </w:r>
    </w:p>
  </w:footnote>
  <w:footnote w:id="250">
    <w:p w:rsidR="00DF4630" w:rsidRDefault="00DF4630" w:rsidP="007A6F4C">
      <w:pPr>
        <w:pStyle w:val="FootnoteText"/>
      </w:pPr>
      <w:r>
        <w:rPr>
          <w:rStyle w:val="FootnoteReference"/>
        </w:rPr>
        <w:footnoteRef/>
      </w:r>
      <w:r>
        <w:t xml:space="preserve"> </w:t>
      </w:r>
      <w:r w:rsidRPr="008B3651">
        <w:t>McCants, Kindle Locations 469-470</w:t>
      </w:r>
      <w:r>
        <w:t>.</w:t>
      </w:r>
    </w:p>
  </w:footnote>
  <w:footnote w:id="251">
    <w:p w:rsidR="00DF4630" w:rsidRDefault="00DF4630" w:rsidP="0081557D">
      <w:pPr>
        <w:pStyle w:val="FootnoteText"/>
      </w:pPr>
      <w:r>
        <w:rPr>
          <w:rStyle w:val="FootnoteReference"/>
          <w:rFonts w:eastAsiaTheme="majorEastAsia"/>
        </w:rPr>
        <w:footnoteRef/>
      </w:r>
      <w:r>
        <w:t xml:space="preserve"> </w:t>
      </w:r>
      <w:r w:rsidRPr="001F7187">
        <w:t xml:space="preserve">Wood, Graeme.  </w:t>
      </w:r>
    </w:p>
  </w:footnote>
  <w:footnote w:id="252">
    <w:p w:rsidR="00DF4630" w:rsidRDefault="00DF4630" w:rsidP="0081557D">
      <w:pPr>
        <w:pStyle w:val="FootnoteText"/>
      </w:pPr>
      <w:r>
        <w:rPr>
          <w:rStyle w:val="FootnoteReference"/>
        </w:rPr>
        <w:footnoteRef/>
      </w:r>
      <w:r>
        <w:t xml:space="preserve"> </w:t>
      </w:r>
      <w:r w:rsidRPr="00A74DB7">
        <w:t>McCants, Kindle Locations 1783-1786</w:t>
      </w:r>
      <w:r>
        <w:t xml:space="preserve">.  </w:t>
      </w:r>
      <w:r w:rsidRPr="008B3651">
        <w:t>525-528</w:t>
      </w:r>
      <w:r>
        <w:t>.</w:t>
      </w:r>
    </w:p>
  </w:footnote>
  <w:footnote w:id="253">
    <w:p w:rsidR="00DF4630" w:rsidRDefault="00DF4630" w:rsidP="0081557D">
      <w:pPr>
        <w:pStyle w:val="FootnoteText"/>
      </w:pPr>
      <w:r>
        <w:rPr>
          <w:rStyle w:val="FootnoteReference"/>
          <w:rFonts w:eastAsiaTheme="majorEastAsia"/>
        </w:rPr>
        <w:footnoteRef/>
      </w:r>
      <w:r>
        <w:t xml:space="preserve"> Wood, Graeme.  </w:t>
      </w:r>
    </w:p>
  </w:footnote>
  <w:footnote w:id="254">
    <w:p w:rsidR="00DF4630" w:rsidRDefault="00DF4630" w:rsidP="0081557D">
      <w:pPr>
        <w:pStyle w:val="FootnoteText"/>
      </w:pPr>
      <w:r>
        <w:rPr>
          <w:rStyle w:val="FootnoteReference"/>
        </w:rPr>
        <w:footnoteRef/>
      </w:r>
      <w:r>
        <w:t xml:space="preserve"> </w:t>
      </w:r>
      <w:r w:rsidRPr="0071142F">
        <w:t>McCants, Kindle Locations 1724-1728</w:t>
      </w:r>
      <w:r>
        <w:t xml:space="preserve">.  Quotes below, </w:t>
      </w:r>
      <w:r w:rsidRPr="00A74DB7">
        <w:t>1818-1824</w:t>
      </w:r>
      <w:r>
        <w:t>.</w:t>
      </w:r>
    </w:p>
  </w:footnote>
  <w:footnote w:id="255">
    <w:p w:rsidR="00DF4630" w:rsidRPr="006C5A07" w:rsidRDefault="00DF4630" w:rsidP="0081557D">
      <w:pPr>
        <w:spacing w:line="240" w:lineRule="auto"/>
        <w:rPr>
          <w:sz w:val="20"/>
          <w:szCs w:val="20"/>
        </w:rPr>
      </w:pPr>
      <w:r w:rsidRPr="006C5A07">
        <w:rPr>
          <w:rStyle w:val="FootnoteReference"/>
          <w:noProof/>
          <w:sz w:val="20"/>
          <w:szCs w:val="20"/>
        </w:rPr>
        <w:footnoteRef/>
      </w:r>
      <w:r w:rsidRPr="006C5A07">
        <w:rPr>
          <w:sz w:val="20"/>
          <w:szCs w:val="20"/>
        </w:rPr>
        <w:t xml:space="preserve"> Ghosh, Bobby.  “Professor of Death.”  </w:t>
      </w:r>
      <w:r w:rsidRPr="006C5A07">
        <w:rPr>
          <w:i/>
          <w:sz w:val="20"/>
          <w:szCs w:val="20"/>
        </w:rPr>
        <w:t>Time.</w:t>
      </w:r>
      <w:r w:rsidRPr="006C5A07">
        <w:rPr>
          <w:sz w:val="20"/>
          <w:szCs w:val="20"/>
        </w:rPr>
        <w:t xml:space="preserve">  17 October 2005.</w:t>
      </w:r>
      <w:r>
        <w:rPr>
          <w:sz w:val="20"/>
          <w:szCs w:val="20"/>
        </w:rPr>
        <w:t xml:space="preserve">  </w:t>
      </w:r>
      <w:hyperlink r:id="rId23" w:history="1">
        <w:r w:rsidRPr="006C5A07">
          <w:rPr>
            <w:rStyle w:val="Hyperlink"/>
            <w:sz w:val="20"/>
            <w:szCs w:val="20"/>
          </w:rPr>
          <w:t>http://content.time.com/time/magazine/article/0,9171,1118370,00.html</w:t>
        </w:r>
      </w:hyperlink>
      <w:r w:rsidRPr="006C5A07">
        <w:rPr>
          <w:sz w:val="20"/>
          <w:szCs w:val="20"/>
        </w:rPr>
        <w:t xml:space="preserve"> (Accessed 27 November 2015)</w:t>
      </w:r>
    </w:p>
  </w:footnote>
  <w:footnote w:id="256">
    <w:p w:rsidR="00DF4630" w:rsidRPr="006C5A07" w:rsidRDefault="00DF4630" w:rsidP="0081557D">
      <w:pPr>
        <w:spacing w:line="240" w:lineRule="auto"/>
        <w:rPr>
          <w:sz w:val="20"/>
          <w:szCs w:val="20"/>
        </w:rPr>
      </w:pPr>
      <w:r w:rsidRPr="006C5A07">
        <w:rPr>
          <w:rStyle w:val="FootnoteReference"/>
          <w:noProof/>
          <w:sz w:val="20"/>
          <w:szCs w:val="20"/>
        </w:rPr>
        <w:footnoteRef/>
      </w:r>
      <w:r w:rsidRPr="006C5A07">
        <w:rPr>
          <w:sz w:val="20"/>
          <w:szCs w:val="20"/>
        </w:rPr>
        <w:t xml:space="preserve"> Oppel, Richard A. Jr.  “Foreign Fighters in Iraq Are Tied to Allies of U.S.” </w:t>
      </w:r>
    </w:p>
  </w:footnote>
  <w:footnote w:id="257">
    <w:p w:rsidR="00DF4630" w:rsidRPr="006C5A07" w:rsidRDefault="00DF4630" w:rsidP="0081557D">
      <w:pPr>
        <w:spacing w:line="240" w:lineRule="auto"/>
        <w:rPr>
          <w:sz w:val="20"/>
          <w:szCs w:val="20"/>
        </w:rPr>
      </w:pPr>
      <w:r w:rsidRPr="006C5A07">
        <w:rPr>
          <w:rStyle w:val="FootnoteReference"/>
          <w:noProof/>
          <w:sz w:val="20"/>
          <w:szCs w:val="20"/>
        </w:rPr>
        <w:footnoteRef/>
      </w:r>
      <w:r w:rsidRPr="006C5A07">
        <w:rPr>
          <w:sz w:val="20"/>
          <w:szCs w:val="20"/>
        </w:rPr>
        <w:t xml:space="preserve"> Moghadam, </w:t>
      </w:r>
      <w:r w:rsidRPr="006C5A07">
        <w:rPr>
          <w:i/>
          <w:sz w:val="20"/>
          <w:szCs w:val="20"/>
        </w:rPr>
        <w:t xml:space="preserve">The Globalization of Martyrdom, </w:t>
      </w:r>
      <w:r w:rsidRPr="006C5A07">
        <w:rPr>
          <w:sz w:val="20"/>
          <w:szCs w:val="20"/>
        </w:rPr>
        <w:t>206.</w:t>
      </w:r>
    </w:p>
  </w:footnote>
  <w:footnote w:id="258">
    <w:p w:rsidR="00DF4630" w:rsidRPr="00125BA5" w:rsidRDefault="00DF4630" w:rsidP="0081557D">
      <w:pPr>
        <w:spacing w:line="240" w:lineRule="auto"/>
        <w:rPr>
          <w:sz w:val="20"/>
          <w:szCs w:val="20"/>
        </w:rPr>
      </w:pPr>
      <w:r w:rsidRPr="006C5A07">
        <w:rPr>
          <w:rStyle w:val="FootnoteReference"/>
          <w:noProof/>
          <w:sz w:val="20"/>
          <w:szCs w:val="20"/>
        </w:rPr>
        <w:footnoteRef/>
      </w:r>
      <w:r w:rsidRPr="006C5A07">
        <w:rPr>
          <w:sz w:val="20"/>
          <w:szCs w:val="20"/>
        </w:rPr>
        <w:t xml:space="preserve"> Cook, David, and Olivia Allison.  </w:t>
      </w:r>
      <w:r w:rsidRPr="006C5A07">
        <w:rPr>
          <w:i/>
          <w:sz w:val="20"/>
          <w:szCs w:val="20"/>
        </w:rPr>
        <w:t xml:space="preserve">Understanding and Addressing Suicide Attacks.  </w:t>
      </w:r>
      <w:r w:rsidRPr="006C5A07">
        <w:rPr>
          <w:sz w:val="20"/>
          <w:szCs w:val="20"/>
        </w:rPr>
        <w:t>79</w:t>
      </w:r>
    </w:p>
  </w:footnote>
  <w:footnote w:id="259">
    <w:p w:rsidR="00DF4630" w:rsidRPr="00125BA5" w:rsidRDefault="00DF4630" w:rsidP="0081557D">
      <w:pPr>
        <w:spacing w:line="240" w:lineRule="auto"/>
        <w:rPr>
          <w:sz w:val="20"/>
          <w:szCs w:val="20"/>
        </w:rPr>
      </w:pPr>
      <w:r w:rsidRPr="00125BA5">
        <w:rPr>
          <w:rStyle w:val="FootnoteReference"/>
          <w:noProof/>
          <w:sz w:val="20"/>
          <w:szCs w:val="20"/>
        </w:rPr>
        <w:footnoteRef/>
      </w:r>
      <w:r w:rsidRPr="00125BA5">
        <w:rPr>
          <w:sz w:val="20"/>
          <w:szCs w:val="20"/>
        </w:rPr>
        <w:t xml:space="preserve"> Ghosh, Bobby.  “Professor of Death.”  </w:t>
      </w:r>
    </w:p>
  </w:footnote>
  <w:footnote w:id="260">
    <w:p w:rsidR="00DF4630" w:rsidRPr="00125BA5" w:rsidRDefault="00DF4630" w:rsidP="0081557D">
      <w:pPr>
        <w:spacing w:line="240" w:lineRule="auto"/>
        <w:rPr>
          <w:sz w:val="20"/>
          <w:szCs w:val="20"/>
        </w:rPr>
      </w:pPr>
      <w:r w:rsidRPr="00125BA5">
        <w:rPr>
          <w:rStyle w:val="FootnoteReference"/>
          <w:noProof/>
          <w:sz w:val="20"/>
          <w:szCs w:val="20"/>
        </w:rPr>
        <w:footnoteRef/>
      </w:r>
      <w:r w:rsidRPr="00125BA5">
        <w:rPr>
          <w:sz w:val="20"/>
          <w:szCs w:val="20"/>
        </w:rPr>
        <w:t xml:space="preserve"> Jaber, Hala and Ali Rifat.  “Suicide Bombers Head to Iraq From Damascus.”  </w:t>
      </w:r>
      <w:r w:rsidRPr="00125BA5">
        <w:rPr>
          <w:i/>
          <w:sz w:val="20"/>
          <w:szCs w:val="20"/>
        </w:rPr>
        <w:t>Times Online.</w:t>
      </w:r>
      <w:r w:rsidRPr="00125BA5">
        <w:rPr>
          <w:sz w:val="20"/>
          <w:szCs w:val="20"/>
        </w:rPr>
        <w:t xml:space="preserve">  7 October, 2007.</w:t>
      </w:r>
    </w:p>
  </w:footnote>
  <w:footnote w:id="261">
    <w:p w:rsidR="00DF4630" w:rsidRPr="00125BA5" w:rsidRDefault="00DF4630" w:rsidP="00CA666C">
      <w:pPr>
        <w:spacing w:line="240" w:lineRule="auto"/>
        <w:rPr>
          <w:sz w:val="20"/>
          <w:szCs w:val="20"/>
        </w:rPr>
      </w:pPr>
      <w:r w:rsidRPr="00125BA5">
        <w:rPr>
          <w:rStyle w:val="FootnoteReference"/>
          <w:noProof/>
          <w:sz w:val="20"/>
          <w:szCs w:val="20"/>
        </w:rPr>
        <w:footnoteRef/>
      </w:r>
      <w:r w:rsidRPr="00125BA5">
        <w:rPr>
          <w:sz w:val="20"/>
          <w:szCs w:val="20"/>
        </w:rPr>
        <w:t xml:space="preserve"> Glasser, Susan B. “’Martyrs’ In Iraq Mostly Saudis.” </w:t>
      </w:r>
      <w:r w:rsidRPr="00125BA5">
        <w:rPr>
          <w:i/>
          <w:sz w:val="20"/>
          <w:szCs w:val="20"/>
        </w:rPr>
        <w:t>Washington Post.</w:t>
      </w:r>
      <w:r w:rsidRPr="00125BA5">
        <w:rPr>
          <w:sz w:val="20"/>
          <w:szCs w:val="20"/>
        </w:rPr>
        <w:t xml:space="preserve"> 15 May, 2005.</w:t>
      </w:r>
    </w:p>
  </w:footnote>
  <w:footnote w:id="262">
    <w:p w:rsidR="00DF4630" w:rsidRPr="00125BA5" w:rsidRDefault="00DF4630" w:rsidP="00EF0524">
      <w:pPr>
        <w:spacing w:line="240" w:lineRule="auto"/>
        <w:rPr>
          <w:sz w:val="20"/>
          <w:szCs w:val="20"/>
        </w:rPr>
      </w:pPr>
      <w:r w:rsidRPr="00125BA5">
        <w:rPr>
          <w:rStyle w:val="FootnoteReference"/>
          <w:noProof/>
          <w:sz w:val="20"/>
          <w:szCs w:val="20"/>
        </w:rPr>
        <w:footnoteRef/>
      </w:r>
      <w:r w:rsidRPr="00125BA5">
        <w:rPr>
          <w:sz w:val="20"/>
          <w:szCs w:val="20"/>
        </w:rPr>
        <w:t xml:space="preserve"> Jaber, Hala and Ali Rifat.  </w:t>
      </w:r>
      <w:r>
        <w:rPr>
          <w:sz w:val="20"/>
          <w:szCs w:val="20"/>
        </w:rPr>
        <w:t xml:space="preserve">Following quote from this article as well. </w:t>
      </w:r>
      <w:r w:rsidRPr="00EF0524">
        <w:rPr>
          <w:sz w:val="20"/>
          <w:szCs w:val="20"/>
        </w:rPr>
        <w:t>The wife of one bomber bragged that her husband now enjoyed the “beautiful girls of heaven.”</w:t>
      </w:r>
      <w:r>
        <w:rPr>
          <w:sz w:val="20"/>
          <w:szCs w:val="20"/>
        </w:rPr>
        <w:t xml:space="preserve"> (Moghadam, Globalization of Martyrdom, 193).</w:t>
      </w:r>
    </w:p>
  </w:footnote>
  <w:footnote w:id="263">
    <w:p w:rsidR="00DF4630" w:rsidRPr="00125BA5" w:rsidRDefault="00DF4630" w:rsidP="0081557D">
      <w:pPr>
        <w:spacing w:line="240" w:lineRule="auto"/>
        <w:rPr>
          <w:sz w:val="20"/>
          <w:szCs w:val="20"/>
        </w:rPr>
      </w:pPr>
      <w:r w:rsidRPr="00125BA5">
        <w:rPr>
          <w:rStyle w:val="FootnoteReference"/>
          <w:noProof/>
          <w:sz w:val="20"/>
          <w:szCs w:val="20"/>
        </w:rPr>
        <w:footnoteRef/>
      </w:r>
      <w:r w:rsidRPr="00125BA5">
        <w:rPr>
          <w:sz w:val="20"/>
          <w:szCs w:val="20"/>
        </w:rPr>
        <w:t xml:space="preserve"> Nordland, Rod and Babak Dehghampisheh.  “Surge of Suicide Bombers</w:t>
      </w:r>
      <w:r w:rsidR="009918F1" w:rsidRPr="00125BA5">
        <w:rPr>
          <w:sz w:val="20"/>
          <w:szCs w:val="20"/>
        </w:rPr>
        <w:t>; The</w:t>
      </w:r>
      <w:r w:rsidRPr="00125BA5">
        <w:rPr>
          <w:sz w:val="20"/>
          <w:szCs w:val="20"/>
        </w:rPr>
        <w:t xml:space="preserve"> Iraq War Has Turned into a Veritable ‘Martyr’ Factory, Unlike Any Seen in Previous Conflicts.” </w:t>
      </w:r>
      <w:r w:rsidRPr="00125BA5">
        <w:rPr>
          <w:i/>
          <w:sz w:val="20"/>
          <w:szCs w:val="20"/>
        </w:rPr>
        <w:t>Newsweek</w:t>
      </w:r>
      <w:r w:rsidRPr="00125BA5">
        <w:rPr>
          <w:sz w:val="20"/>
          <w:szCs w:val="20"/>
        </w:rPr>
        <w:t>. 13 August, 2007.  Page 30.</w:t>
      </w:r>
    </w:p>
  </w:footnote>
  <w:footnote w:id="264">
    <w:p w:rsidR="00DF4630" w:rsidRPr="006C5A07" w:rsidRDefault="00DF4630" w:rsidP="00EF0524">
      <w:pPr>
        <w:spacing w:line="240" w:lineRule="auto"/>
        <w:rPr>
          <w:sz w:val="20"/>
          <w:szCs w:val="20"/>
        </w:rPr>
      </w:pPr>
      <w:r w:rsidRPr="006C5A07">
        <w:rPr>
          <w:rStyle w:val="FootnoteReference"/>
          <w:noProof/>
          <w:sz w:val="20"/>
          <w:szCs w:val="20"/>
        </w:rPr>
        <w:footnoteRef/>
      </w:r>
      <w:r w:rsidRPr="006C5A07">
        <w:rPr>
          <w:sz w:val="20"/>
          <w:szCs w:val="20"/>
        </w:rPr>
        <w:t xml:space="preserve"> Ghosh, Bobby.  “Inside the Mind of an Iraqi Suicide Bomber.”  </w:t>
      </w:r>
      <w:r w:rsidRPr="006C5A07">
        <w:rPr>
          <w:i/>
          <w:iCs/>
          <w:sz w:val="20"/>
          <w:szCs w:val="20"/>
        </w:rPr>
        <w:t>Time</w:t>
      </w:r>
      <w:r w:rsidRPr="006C5A07">
        <w:rPr>
          <w:sz w:val="20"/>
          <w:szCs w:val="20"/>
        </w:rPr>
        <w:t xml:space="preserve">.  26 June, 2005.  </w:t>
      </w:r>
      <w:hyperlink r:id="rId24" w:history="1">
        <w:r w:rsidRPr="006C5A07">
          <w:rPr>
            <w:rStyle w:val="Hyperlink"/>
            <w:sz w:val="20"/>
            <w:szCs w:val="20"/>
          </w:rPr>
          <w:t>http://content.time.com/time/magazine/article/0,9171,1077288,00.html</w:t>
        </w:r>
      </w:hyperlink>
      <w:r w:rsidRPr="006C5A07">
        <w:rPr>
          <w:sz w:val="20"/>
          <w:szCs w:val="20"/>
        </w:rPr>
        <w:t xml:space="preserve"> (Accessed 27 November 2015).</w:t>
      </w:r>
      <w:r>
        <w:rPr>
          <w:sz w:val="20"/>
          <w:szCs w:val="20"/>
        </w:rPr>
        <w:t xml:space="preserve">  </w:t>
      </w:r>
    </w:p>
  </w:footnote>
  <w:footnote w:id="265">
    <w:p w:rsidR="00DF4630" w:rsidRDefault="00DF4630" w:rsidP="00474418">
      <w:pPr>
        <w:pStyle w:val="FootnoteText"/>
      </w:pPr>
      <w:r>
        <w:rPr>
          <w:rStyle w:val="FootnoteReference"/>
        </w:rPr>
        <w:footnoteRef/>
      </w:r>
      <w:r>
        <w:t xml:space="preserve"> Rafiq, Harras.  “Confessions of Australia’s  Teenage Suicide Bomber.”  </w:t>
      </w:r>
      <w:r>
        <w:rPr>
          <w:i/>
        </w:rPr>
        <w:t xml:space="preserve">The Daily Beast.  </w:t>
      </w:r>
      <w:r>
        <w:t xml:space="preserve">16 March 2015.  </w:t>
      </w:r>
      <w:hyperlink r:id="rId25" w:history="1">
        <w:r w:rsidRPr="004A0D85">
          <w:rPr>
            <w:rStyle w:val="Hyperlink"/>
          </w:rPr>
          <w:t>http://www.thedailybeast.com/articles/2015/03/16/confessions-of-australia-s-teenage-suicide-bomber.html</w:t>
        </w:r>
      </w:hyperlink>
      <w:r>
        <w:t xml:space="preserve"> (Accessed 1 May 2016).</w:t>
      </w:r>
    </w:p>
  </w:footnote>
  <w:footnote w:id="266">
    <w:p w:rsidR="00DF4630" w:rsidRDefault="00DF4630" w:rsidP="00474418">
      <w:pPr>
        <w:pStyle w:val="FootnoteText"/>
      </w:pPr>
      <w:r>
        <w:rPr>
          <w:rStyle w:val="FootnoteReference"/>
        </w:rPr>
        <w:footnoteRef/>
      </w:r>
      <w:r>
        <w:t xml:space="preserve"> Weiss, Michael.  “How ISIS Picks its Suicide Bombers.”  </w:t>
      </w:r>
      <w:r>
        <w:rPr>
          <w:i/>
        </w:rPr>
        <w:t xml:space="preserve">The Daily Beast.  </w:t>
      </w:r>
      <w:r>
        <w:t xml:space="preserve">16 November 2015.  </w:t>
      </w:r>
      <w:hyperlink r:id="rId26" w:history="1">
        <w:r w:rsidRPr="004A0D85">
          <w:rPr>
            <w:rStyle w:val="Hyperlink"/>
          </w:rPr>
          <w:t>http://www.thedailybeast.com/articles/2015/11/16/how-isis-picks-its-suicide-bombers.html</w:t>
        </w:r>
      </w:hyperlink>
      <w:r>
        <w:t xml:space="preserve"> (Accessed 1 May 2016).</w:t>
      </w:r>
    </w:p>
  </w:footnote>
  <w:footnote w:id="267">
    <w:p w:rsidR="00DF4630" w:rsidRPr="00B75C88" w:rsidRDefault="00DF4630" w:rsidP="00474418">
      <w:pPr>
        <w:pStyle w:val="FootnoteText"/>
      </w:pPr>
      <w:r>
        <w:rPr>
          <w:rStyle w:val="FootnoteReference"/>
        </w:rPr>
        <w:footnoteRef/>
      </w:r>
      <w:r>
        <w:t xml:space="preserve"> Hume, Tim.  “</w:t>
      </w:r>
      <w:r w:rsidRPr="00B75C88">
        <w:t>'Blog' of suspected Australian teen terrorist Jake Bilardi reveals path to ISIS</w:t>
      </w:r>
      <w:r>
        <w:t xml:space="preserve">.”  </w:t>
      </w:r>
      <w:r>
        <w:rPr>
          <w:i/>
          <w:iCs/>
        </w:rPr>
        <w:t xml:space="preserve">CNN. </w:t>
      </w:r>
      <w:r>
        <w:t xml:space="preserve"> 13 March 2015.</w:t>
      </w:r>
    </w:p>
    <w:p w:rsidR="00DF4630" w:rsidRDefault="00DF4630" w:rsidP="00474418">
      <w:pPr>
        <w:pStyle w:val="FootnoteText"/>
      </w:pPr>
      <w:r w:rsidRPr="00B75C88">
        <w:rPr>
          <w:lang w:bidi="en-US"/>
        </w:rPr>
        <w:t xml:space="preserve"> </w:t>
      </w:r>
      <w:hyperlink r:id="rId27" w:history="1">
        <w:r w:rsidRPr="004A0D85">
          <w:rPr>
            <w:rStyle w:val="Hyperlink"/>
          </w:rPr>
          <w:t>http://www.cnn.com/2015/03/13/asia/australia-isis-bilardi-blog/</w:t>
        </w:r>
      </w:hyperlink>
      <w:r>
        <w:t xml:space="preserve"> (Accessed 1 May 2016).</w:t>
      </w:r>
    </w:p>
  </w:footnote>
  <w:footnote w:id="268">
    <w:p w:rsidR="00DF4630" w:rsidRPr="003F6E0C" w:rsidRDefault="00DF4630" w:rsidP="00474418">
      <w:pPr>
        <w:pStyle w:val="FootnoteText"/>
      </w:pPr>
      <w:r>
        <w:rPr>
          <w:rStyle w:val="FootnoteReference"/>
        </w:rPr>
        <w:footnoteRef/>
      </w:r>
      <w:r>
        <w:t xml:space="preserve"> “</w:t>
      </w:r>
      <w:r w:rsidRPr="003F6E0C">
        <w:t>Jake Bilardi's father blames himself for teenager's death as suicide bomber in Iraq</w:t>
      </w:r>
      <w:r>
        <w:t xml:space="preserve">.”  </w:t>
      </w:r>
      <w:r>
        <w:rPr>
          <w:i/>
        </w:rPr>
        <w:t xml:space="preserve">The Guardian. </w:t>
      </w:r>
      <w:r>
        <w:t xml:space="preserve">22 March 2015.  </w:t>
      </w:r>
    </w:p>
    <w:p w:rsidR="00DF4630" w:rsidRDefault="00DF4630" w:rsidP="00474418">
      <w:pPr>
        <w:pStyle w:val="FootnoteText"/>
      </w:pPr>
      <w:r w:rsidRPr="003F6E0C">
        <w:t>http://www.theguardian.com/australia-news/2015/mar/23/jake-bilardi-father-blames-himself-teenagers-death-suicide-bomber</w:t>
      </w:r>
      <w:r>
        <w:t xml:space="preserve"> (Accessed 1 May 2015). </w:t>
      </w:r>
    </w:p>
  </w:footnote>
  <w:footnote w:id="269">
    <w:p w:rsidR="00DF4630" w:rsidRPr="009F5220" w:rsidRDefault="00DF4630" w:rsidP="00474418">
      <w:pPr>
        <w:pStyle w:val="FootnoteText"/>
        <w:rPr>
          <w:bCs/>
        </w:rPr>
      </w:pPr>
      <w:r>
        <w:rPr>
          <w:rStyle w:val="FootnoteReference"/>
        </w:rPr>
        <w:footnoteRef/>
      </w:r>
      <w:r>
        <w:t xml:space="preserve"> </w:t>
      </w:r>
      <w:r w:rsidRPr="009F5220">
        <w:t>“</w:t>
      </w:r>
      <w:r w:rsidRPr="009F5220">
        <w:rPr>
          <w:bCs/>
        </w:rPr>
        <w:t xml:space="preserve">Jake Bilardi: The radicalisation of an Australian teen.”  </w:t>
      </w:r>
      <w:r w:rsidRPr="009F5220">
        <w:rPr>
          <w:bCs/>
          <w:i/>
        </w:rPr>
        <w:t xml:space="preserve">BBC News. </w:t>
      </w:r>
      <w:r w:rsidRPr="009F5220">
        <w:rPr>
          <w:bCs/>
        </w:rPr>
        <w:t>12 March 2015.</w:t>
      </w:r>
    </w:p>
    <w:p w:rsidR="00DF4630" w:rsidRPr="009F5220" w:rsidRDefault="00C35D4A" w:rsidP="00474418">
      <w:pPr>
        <w:pStyle w:val="FootnoteText"/>
      </w:pPr>
      <w:hyperlink r:id="rId28" w:history="1">
        <w:r w:rsidR="00DF4630" w:rsidRPr="009F5220">
          <w:rPr>
            <w:rStyle w:val="Hyperlink"/>
          </w:rPr>
          <w:t>http://www.bbc.com/news/world-australia-31845428</w:t>
        </w:r>
      </w:hyperlink>
      <w:r w:rsidR="00DF4630" w:rsidRPr="009F5220">
        <w:t xml:space="preserve"> (Accessed 1 May 2016).</w:t>
      </w:r>
    </w:p>
  </w:footnote>
  <w:footnote w:id="270">
    <w:p w:rsidR="00DF4630" w:rsidRDefault="00DF4630" w:rsidP="00474418">
      <w:pPr>
        <w:pStyle w:val="FootnoteText"/>
        <w:rPr>
          <w:rFonts w:cs="Arial"/>
        </w:rPr>
      </w:pPr>
      <w:r w:rsidRPr="007F45D1">
        <w:rPr>
          <w:rStyle w:val="FootnoteReference"/>
        </w:rPr>
        <w:footnoteRef/>
      </w:r>
      <w:r w:rsidRPr="007F45D1">
        <w:t xml:space="preserve"> Adapted from push and pull motivation, in Elster, Jon, and Jon Elster. </w:t>
      </w:r>
      <w:r w:rsidRPr="007F45D1">
        <w:rPr>
          <w:i/>
          <w:iCs/>
        </w:rPr>
        <w:t>Explaining Social Behavior: More Nuts and Bolts for the Social Sciences</w:t>
      </w:r>
      <w:r w:rsidRPr="007F45D1">
        <w:t>. Cambridge: Cambridge University Press, 2007.  88.</w:t>
      </w:r>
    </w:p>
  </w:footnote>
  <w:footnote w:id="271">
    <w:p w:rsidR="00DF4630" w:rsidRDefault="00DF4630" w:rsidP="00474418">
      <w:pPr>
        <w:pStyle w:val="FootnoteText"/>
      </w:pPr>
      <w:r>
        <w:rPr>
          <w:rStyle w:val="FootnoteReference"/>
        </w:rPr>
        <w:footnoteRef/>
      </w:r>
      <w:r>
        <w:t xml:space="preserve"> Sparrow, Jeff.  “Miranda Devine was Right; Jake Bilardi was Radicalized by the Banality of Life.” </w:t>
      </w:r>
      <w:r>
        <w:rPr>
          <w:i/>
        </w:rPr>
        <w:t xml:space="preserve">The Guardian.  </w:t>
      </w:r>
      <w:r>
        <w:t xml:space="preserve">18 March 2015.  </w:t>
      </w:r>
      <w:hyperlink r:id="rId29" w:history="1">
        <w:r w:rsidRPr="004A0D85">
          <w:rPr>
            <w:rStyle w:val="Hyperlink"/>
          </w:rPr>
          <w:t>http://www.theguardian.com/commentisfree/2015/mar/18/miranda-devine-is-right-jake-bilardi-was-radicalised-by-the-banality-of-life</w:t>
        </w:r>
      </w:hyperlink>
      <w:r>
        <w:t xml:space="preserve">  (Accessed 1 May 2016).</w:t>
      </w:r>
    </w:p>
  </w:footnote>
  <w:footnote w:id="272">
    <w:p w:rsidR="00DF4630" w:rsidRDefault="00DF4630" w:rsidP="00474418">
      <w:pPr>
        <w:pStyle w:val="FootnoteText"/>
      </w:pPr>
      <w:r>
        <w:rPr>
          <w:rStyle w:val="FootnoteReference"/>
        </w:rPr>
        <w:footnoteRef/>
      </w:r>
      <w:r>
        <w:t xml:space="preserve"> Ibid.</w:t>
      </w:r>
    </w:p>
  </w:footnote>
  <w:footnote w:id="273">
    <w:p w:rsidR="00DF4630" w:rsidRPr="00125BA5" w:rsidRDefault="00DF4630" w:rsidP="00474418">
      <w:pPr>
        <w:spacing w:line="240" w:lineRule="auto"/>
        <w:rPr>
          <w:sz w:val="20"/>
          <w:szCs w:val="20"/>
        </w:rPr>
      </w:pPr>
      <w:r w:rsidRPr="00125BA5">
        <w:rPr>
          <w:rStyle w:val="FootnoteReference"/>
          <w:noProof/>
          <w:sz w:val="20"/>
          <w:szCs w:val="20"/>
        </w:rPr>
        <w:footnoteRef/>
      </w:r>
      <w:r w:rsidRPr="00125BA5">
        <w:rPr>
          <w:sz w:val="20"/>
          <w:szCs w:val="20"/>
        </w:rPr>
        <w:t xml:space="preserve"> Maher, Shiraz.  “The roots of radicalization?  It’s identity, stupid.”  </w:t>
      </w:r>
      <w:r w:rsidRPr="00125BA5">
        <w:rPr>
          <w:i/>
          <w:sz w:val="20"/>
          <w:szCs w:val="20"/>
        </w:rPr>
        <w:t xml:space="preserve">The Guardian. </w:t>
      </w:r>
      <w:r w:rsidRPr="00125BA5">
        <w:rPr>
          <w:sz w:val="20"/>
          <w:szCs w:val="20"/>
        </w:rPr>
        <w:t xml:space="preserve"> 17 June 2015.</w:t>
      </w:r>
    </w:p>
  </w:footnote>
  <w:footnote w:id="274">
    <w:p w:rsidR="00DF4630" w:rsidRPr="003F4BD3" w:rsidRDefault="00DF4630" w:rsidP="000619E8">
      <w:pPr>
        <w:pStyle w:val="FootnoteText"/>
      </w:pPr>
      <w:r w:rsidRPr="003F4BD3">
        <w:rPr>
          <w:rStyle w:val="FootnoteReference"/>
        </w:rPr>
        <w:footnoteRef/>
      </w:r>
      <w:r w:rsidRPr="003F4BD3">
        <w:t xml:space="preserve"> Sidani, Yusuf M. 2008. "Ibn Khaldun of North Africa: an AD 1377 Theory of Leadership".</w:t>
      </w:r>
      <w:r w:rsidRPr="003F4BD3">
        <w:rPr>
          <w:i/>
          <w:iCs/>
        </w:rPr>
        <w:t>Journal of Management History. </w:t>
      </w:r>
      <w:r w:rsidRPr="003F4BD3">
        <w:t>14, no. 1: 73-86.  78.</w:t>
      </w:r>
      <w:r>
        <w:t xml:space="preserve">  See also </w:t>
      </w:r>
      <w:r w:rsidRPr="001B05F8">
        <w:rPr>
          <w:rFonts w:hint="eastAsia"/>
          <w:lang w:bidi="en-US"/>
        </w:rPr>
        <w:t>Ibn Khaldūn, Franz Rosenthal, and N. J. Dawood. </w:t>
      </w:r>
      <w:r w:rsidRPr="001B05F8">
        <w:rPr>
          <w:rFonts w:hint="eastAsia"/>
          <w:i/>
          <w:iCs/>
          <w:lang w:bidi="en-US"/>
        </w:rPr>
        <w:t>The Muqaddimah, an Introduction to History</w:t>
      </w:r>
      <w:r w:rsidRPr="001B05F8">
        <w:rPr>
          <w:rFonts w:hint="eastAsia"/>
          <w:lang w:bidi="en-US"/>
        </w:rPr>
        <w:t>. [Princeton, N.J.]: Princeton University Press, 1969.</w:t>
      </w:r>
      <w:r>
        <w:rPr>
          <w:lang w:bidi="en-US"/>
        </w:rPr>
        <w:t xml:space="preserve">  Khaldun’s theory has started to regain some currency in sociological research.  See </w:t>
      </w:r>
      <w:r w:rsidRPr="000619E8">
        <w:rPr>
          <w:lang w:bidi="en-US"/>
        </w:rPr>
        <w:t>Lawrence, B. B. (2015). Ibn Khaldun/Applying ibn khaldun: The recovery of a lost tradition in sociology.</w:t>
      </w:r>
      <w:r w:rsidRPr="000619E8">
        <w:rPr>
          <w:i/>
          <w:iCs/>
          <w:lang w:bidi="en-US"/>
        </w:rPr>
        <w:t> The Middle East Journal, 69</w:t>
      </w:r>
      <w:r w:rsidRPr="000619E8">
        <w:rPr>
          <w:lang w:bidi="en-US"/>
        </w:rPr>
        <w:t>(2), 318-319. Retrieved from http://search.proquest.com/docview/1675910554?accountid=12964</w:t>
      </w:r>
    </w:p>
  </w:footnote>
  <w:footnote w:id="275">
    <w:p w:rsidR="00DF4630" w:rsidRPr="00125BA5" w:rsidRDefault="00DF4630" w:rsidP="00474418">
      <w:pPr>
        <w:spacing w:line="240" w:lineRule="auto"/>
        <w:rPr>
          <w:sz w:val="20"/>
          <w:szCs w:val="20"/>
        </w:rPr>
      </w:pPr>
      <w:r w:rsidRPr="00125BA5">
        <w:rPr>
          <w:rStyle w:val="FootnoteReference"/>
          <w:noProof/>
          <w:sz w:val="20"/>
          <w:szCs w:val="20"/>
        </w:rPr>
        <w:footnoteRef/>
      </w:r>
      <w:r w:rsidRPr="00125BA5">
        <w:rPr>
          <w:sz w:val="20"/>
          <w:szCs w:val="20"/>
        </w:rPr>
        <w:t xml:space="preserve"> </w:t>
      </w:r>
      <w:r w:rsidRPr="00125BA5">
        <w:rPr>
          <w:color w:val="000000"/>
          <w:sz w:val="20"/>
          <w:szCs w:val="20"/>
          <w:shd w:val="clear" w:color="auto" w:fill="FFFFFF"/>
        </w:rPr>
        <w:t>Moghadam, Assaf. 2006. "Suicide Terrorism, Occupation, and the Globalization of Martyrdom: A Critique of Dying to Win".</w:t>
      </w:r>
      <w:r w:rsidRPr="00125BA5">
        <w:rPr>
          <w:rStyle w:val="apple-converted-space"/>
          <w:rFonts w:eastAsia="SimSun"/>
          <w:color w:val="000000"/>
          <w:sz w:val="20"/>
          <w:szCs w:val="20"/>
          <w:shd w:val="clear" w:color="auto" w:fill="FFFFFF"/>
        </w:rPr>
        <w:t> </w:t>
      </w:r>
      <w:r w:rsidRPr="00125BA5">
        <w:rPr>
          <w:i/>
          <w:iCs/>
          <w:color w:val="000000"/>
          <w:sz w:val="20"/>
          <w:szCs w:val="20"/>
          <w:shd w:val="clear" w:color="auto" w:fill="FFFFFF"/>
        </w:rPr>
        <w:t>Studies in Conflict and Terrorism.</w:t>
      </w:r>
      <w:r w:rsidRPr="00125BA5">
        <w:rPr>
          <w:rStyle w:val="apple-converted-space"/>
          <w:rFonts w:eastAsia="SimSun"/>
          <w:i/>
          <w:iCs/>
          <w:color w:val="000000"/>
          <w:sz w:val="20"/>
          <w:szCs w:val="20"/>
          <w:shd w:val="clear" w:color="auto" w:fill="FFFFFF"/>
        </w:rPr>
        <w:t> </w:t>
      </w:r>
      <w:r w:rsidRPr="00125BA5">
        <w:rPr>
          <w:color w:val="000000"/>
          <w:sz w:val="20"/>
          <w:szCs w:val="20"/>
          <w:shd w:val="clear" w:color="auto" w:fill="FFFFFF"/>
        </w:rPr>
        <w:t>29, no. 8: 707-729.  722.</w:t>
      </w:r>
    </w:p>
  </w:footnote>
  <w:footnote w:id="276">
    <w:p w:rsidR="00DF4630" w:rsidRPr="00125BA5" w:rsidRDefault="00DF4630" w:rsidP="00474418">
      <w:pPr>
        <w:spacing w:line="240" w:lineRule="auto"/>
        <w:rPr>
          <w:sz w:val="20"/>
          <w:szCs w:val="20"/>
        </w:rPr>
      </w:pPr>
      <w:r w:rsidRPr="00125BA5">
        <w:rPr>
          <w:rStyle w:val="FootnoteReference"/>
          <w:noProof/>
          <w:sz w:val="20"/>
          <w:szCs w:val="20"/>
        </w:rPr>
        <w:footnoteRef/>
      </w:r>
      <w:r w:rsidRPr="00125BA5">
        <w:rPr>
          <w:sz w:val="20"/>
          <w:szCs w:val="20"/>
        </w:rPr>
        <w:t xml:space="preserve"> Horowitz</w:t>
      </w:r>
      <w:r>
        <w:rPr>
          <w:sz w:val="20"/>
          <w:szCs w:val="20"/>
        </w:rPr>
        <w:t>,</w:t>
      </w:r>
      <w:r w:rsidRPr="00125BA5">
        <w:rPr>
          <w:sz w:val="20"/>
          <w:szCs w:val="20"/>
        </w:rPr>
        <w:t xml:space="preserve"> 35.</w:t>
      </w:r>
    </w:p>
  </w:footnote>
  <w:footnote w:id="277">
    <w:p w:rsidR="00DF4630" w:rsidRPr="00125BA5" w:rsidRDefault="00DF4630" w:rsidP="00474418">
      <w:pPr>
        <w:spacing w:line="240" w:lineRule="auto"/>
        <w:rPr>
          <w:sz w:val="20"/>
          <w:szCs w:val="20"/>
        </w:rPr>
      </w:pPr>
      <w:r w:rsidRPr="00125BA5">
        <w:rPr>
          <w:rStyle w:val="FootnoteReference"/>
          <w:noProof/>
          <w:sz w:val="20"/>
          <w:szCs w:val="20"/>
        </w:rPr>
        <w:footnoteRef/>
      </w:r>
      <w:r w:rsidRPr="00125BA5">
        <w:rPr>
          <w:sz w:val="20"/>
          <w:szCs w:val="20"/>
        </w:rPr>
        <w:t xml:space="preserve"> Lewis, Jeffrey William. </w:t>
      </w:r>
      <w:r w:rsidRPr="00125BA5">
        <w:rPr>
          <w:i/>
          <w:iCs/>
          <w:sz w:val="20"/>
          <w:szCs w:val="20"/>
        </w:rPr>
        <w:t>The Business of Martyrdom: A History of Suicide Bombing</w:t>
      </w:r>
      <w:r w:rsidRPr="00125BA5">
        <w:rPr>
          <w:sz w:val="20"/>
          <w:szCs w:val="20"/>
        </w:rPr>
        <w:t xml:space="preserve">. Annapolis, </w:t>
      </w:r>
      <w:proofErr w:type="spellStart"/>
      <w:r w:rsidRPr="00125BA5">
        <w:rPr>
          <w:sz w:val="20"/>
          <w:szCs w:val="20"/>
        </w:rPr>
        <w:t>Md</w:t>
      </w:r>
      <w:proofErr w:type="spellEnd"/>
      <w:r w:rsidRPr="00125BA5">
        <w:rPr>
          <w:sz w:val="20"/>
          <w:szCs w:val="20"/>
        </w:rPr>
        <w:t>: Naval Institute Press, 2012.  14.</w:t>
      </w:r>
    </w:p>
  </w:footnote>
  <w:footnote w:id="278">
    <w:p w:rsidR="00DF4630" w:rsidRPr="00125BA5" w:rsidRDefault="00DF4630" w:rsidP="00474418">
      <w:pPr>
        <w:spacing w:line="240" w:lineRule="auto"/>
        <w:rPr>
          <w:sz w:val="20"/>
          <w:szCs w:val="20"/>
        </w:rPr>
      </w:pPr>
      <w:r w:rsidRPr="00125BA5">
        <w:rPr>
          <w:rStyle w:val="FootnoteReference"/>
          <w:noProof/>
          <w:sz w:val="20"/>
          <w:szCs w:val="20"/>
        </w:rPr>
        <w:footnoteRef/>
      </w:r>
      <w:r w:rsidRPr="00125BA5">
        <w:rPr>
          <w:sz w:val="20"/>
          <w:szCs w:val="20"/>
        </w:rPr>
        <w:t xml:space="preserve"> Atran, Scott. 2006. "The Moral Logic and Growth of Suicide Terrorism". </w:t>
      </w:r>
      <w:r w:rsidRPr="00125BA5">
        <w:rPr>
          <w:i/>
          <w:iCs/>
          <w:sz w:val="20"/>
          <w:szCs w:val="20"/>
        </w:rPr>
        <w:t>Washington Quarterly. </w:t>
      </w:r>
      <w:r w:rsidRPr="00125BA5">
        <w:rPr>
          <w:sz w:val="20"/>
          <w:szCs w:val="20"/>
        </w:rPr>
        <w:t>29, no. 2: 127-147.  130.</w:t>
      </w:r>
    </w:p>
  </w:footnote>
  <w:footnote w:id="279">
    <w:p w:rsidR="00DF4630" w:rsidRPr="00125BA5" w:rsidRDefault="00DF4630" w:rsidP="00474418">
      <w:pPr>
        <w:spacing w:line="240" w:lineRule="auto"/>
        <w:rPr>
          <w:sz w:val="20"/>
          <w:szCs w:val="20"/>
        </w:rPr>
      </w:pPr>
      <w:r w:rsidRPr="00125BA5">
        <w:rPr>
          <w:rStyle w:val="FootnoteReference"/>
          <w:noProof/>
          <w:sz w:val="20"/>
          <w:szCs w:val="20"/>
        </w:rPr>
        <w:footnoteRef/>
      </w:r>
      <w:r w:rsidRPr="00125BA5">
        <w:rPr>
          <w:sz w:val="20"/>
          <w:szCs w:val="20"/>
        </w:rPr>
        <w:t xml:space="preserve"> </w:t>
      </w:r>
      <w:r>
        <w:rPr>
          <w:sz w:val="20"/>
          <w:szCs w:val="20"/>
        </w:rPr>
        <w:t>Ibid,</w:t>
      </w:r>
      <w:r w:rsidRPr="00125BA5">
        <w:rPr>
          <w:sz w:val="20"/>
          <w:szCs w:val="20"/>
        </w:rPr>
        <w:t xml:space="preserve"> 134.</w:t>
      </w:r>
    </w:p>
  </w:footnote>
  <w:footnote w:id="280">
    <w:p w:rsidR="00DF4630" w:rsidRPr="00125BA5" w:rsidRDefault="00DF4630" w:rsidP="00474418">
      <w:pPr>
        <w:spacing w:line="240" w:lineRule="auto"/>
        <w:rPr>
          <w:sz w:val="20"/>
          <w:szCs w:val="20"/>
        </w:rPr>
      </w:pPr>
      <w:r w:rsidRPr="00125BA5">
        <w:rPr>
          <w:rStyle w:val="FootnoteReference"/>
          <w:noProof/>
          <w:sz w:val="20"/>
          <w:szCs w:val="20"/>
        </w:rPr>
        <w:footnoteRef/>
      </w:r>
      <w:r>
        <w:rPr>
          <w:sz w:val="20"/>
          <w:szCs w:val="20"/>
        </w:rPr>
        <w:t xml:space="preserve"> Moghadam, </w:t>
      </w:r>
      <w:r w:rsidRPr="00474418">
        <w:rPr>
          <w:i/>
          <w:iCs/>
          <w:sz w:val="20"/>
          <w:szCs w:val="20"/>
        </w:rPr>
        <w:t>The Globalization of Martyrdom.</w:t>
      </w:r>
      <w:r w:rsidRPr="00125BA5">
        <w:rPr>
          <w:sz w:val="20"/>
          <w:szCs w:val="20"/>
        </w:rPr>
        <w:t xml:space="preserve"> </w:t>
      </w:r>
      <w:r>
        <w:rPr>
          <w:sz w:val="20"/>
          <w:szCs w:val="20"/>
        </w:rPr>
        <w:t>Location 5721.</w:t>
      </w:r>
    </w:p>
  </w:footnote>
  <w:footnote w:id="281">
    <w:p w:rsidR="00DF4630" w:rsidRPr="002A0FB0" w:rsidRDefault="00DF4630" w:rsidP="00474418">
      <w:pPr>
        <w:pStyle w:val="FootnoteText"/>
        <w:rPr>
          <w:bCs/>
        </w:rPr>
      </w:pPr>
      <w:r w:rsidRPr="002A0FB0">
        <w:rPr>
          <w:rStyle w:val="FootnoteReference"/>
        </w:rPr>
        <w:footnoteRef/>
      </w:r>
      <w:r w:rsidRPr="002A0FB0">
        <w:t xml:space="preserve"> Based on 2008 data, more Muslims believed in the American dream than non-Muslims.  See Sageman, 97.  See also “</w:t>
      </w:r>
      <w:r w:rsidRPr="002A0FB0">
        <w:rPr>
          <w:bCs/>
        </w:rPr>
        <w:t>Muslim Canadians increasingly proud of and attached to Canada, survey suggests.”  CBC News.</w:t>
      </w:r>
      <w:r>
        <w:rPr>
          <w:bCs/>
        </w:rPr>
        <w:t xml:space="preserve">  </w:t>
      </w:r>
      <w:r w:rsidRPr="002A0FB0">
        <w:rPr>
          <w:bCs/>
        </w:rPr>
        <w:t xml:space="preserve">27 April 2016. </w:t>
      </w:r>
    </w:p>
    <w:p w:rsidR="00DF4630" w:rsidRDefault="00C35D4A" w:rsidP="00474418">
      <w:pPr>
        <w:pStyle w:val="FootnoteText"/>
      </w:pPr>
      <w:hyperlink r:id="rId30" w:history="1">
        <w:r w:rsidR="00DF4630" w:rsidRPr="002A0FB0">
          <w:rPr>
            <w:rStyle w:val="Hyperlink"/>
          </w:rPr>
          <w:t>http://www.cbc.ca/news/politics/grenier-muslim-canadians-environics-1.3551591</w:t>
        </w:r>
      </w:hyperlink>
      <w:r w:rsidR="00DF4630" w:rsidRPr="002A0FB0">
        <w:t xml:space="preserve"> </w:t>
      </w:r>
      <w:r w:rsidR="00DF4630">
        <w:t>(Accessed 3 May 2016).</w:t>
      </w:r>
    </w:p>
  </w:footnote>
  <w:footnote w:id="282">
    <w:p w:rsidR="00DF4630" w:rsidRPr="00DE511C" w:rsidRDefault="00DF4630" w:rsidP="00474418">
      <w:pPr>
        <w:pStyle w:val="FootnoteText"/>
      </w:pPr>
      <w:r w:rsidRPr="00DE511C">
        <w:rPr>
          <w:rStyle w:val="FootnoteReference"/>
        </w:rPr>
        <w:footnoteRef/>
      </w:r>
      <w:r w:rsidRPr="00DE511C">
        <w:t xml:space="preserve"> Sidani, Yusuf M. 2008. "Ibn Khaldun of North Africa: an AD 1377 Theory of Leadership".</w:t>
      </w:r>
      <w:r w:rsidRPr="00DE511C">
        <w:rPr>
          <w:i/>
          <w:iCs/>
        </w:rPr>
        <w:t>Journal of Management History. </w:t>
      </w:r>
      <w:r w:rsidRPr="00DE511C">
        <w:t>14, no. 1: 73-86.  79.</w:t>
      </w:r>
    </w:p>
  </w:footnote>
  <w:footnote w:id="283">
    <w:p w:rsidR="00DF4630" w:rsidRPr="00125BA5" w:rsidRDefault="00DF4630" w:rsidP="00474418">
      <w:pPr>
        <w:spacing w:line="240" w:lineRule="auto"/>
        <w:rPr>
          <w:sz w:val="20"/>
          <w:szCs w:val="20"/>
        </w:rPr>
      </w:pPr>
      <w:r w:rsidRPr="00125BA5">
        <w:rPr>
          <w:rStyle w:val="FootnoteReference"/>
          <w:noProof/>
          <w:sz w:val="20"/>
          <w:szCs w:val="20"/>
        </w:rPr>
        <w:footnoteRef/>
      </w:r>
      <w:r w:rsidRPr="00125BA5">
        <w:rPr>
          <w:sz w:val="20"/>
          <w:szCs w:val="20"/>
        </w:rPr>
        <w:t xml:space="preserve"> Maher, Shiraz.  “The roots of radicalization?  It’s identity, stupid.”  </w:t>
      </w:r>
      <w:r w:rsidRPr="00125BA5">
        <w:rPr>
          <w:i/>
          <w:sz w:val="20"/>
          <w:szCs w:val="20"/>
        </w:rPr>
        <w:t xml:space="preserve">The Guardian. </w:t>
      </w:r>
      <w:r w:rsidRPr="00125BA5">
        <w:rPr>
          <w:sz w:val="20"/>
          <w:szCs w:val="20"/>
        </w:rPr>
        <w:t xml:space="preserve"> 17 June 2015.</w:t>
      </w:r>
    </w:p>
  </w:footnote>
  <w:footnote w:id="284">
    <w:p w:rsidR="00DF4630" w:rsidRDefault="00DF4630" w:rsidP="00474418">
      <w:pPr>
        <w:pStyle w:val="FootnoteText"/>
      </w:pPr>
      <w:r>
        <w:rPr>
          <w:rStyle w:val="FootnoteReference"/>
        </w:rPr>
        <w:footnoteRef/>
      </w:r>
      <w:r>
        <w:t xml:space="preserve"> Wood, Graeme.</w:t>
      </w:r>
    </w:p>
  </w:footnote>
  <w:footnote w:id="285">
    <w:p w:rsidR="00DF4630" w:rsidRDefault="00DF4630" w:rsidP="00474418">
      <w:pPr>
        <w:pStyle w:val="FootnoteText"/>
      </w:pPr>
      <w:r>
        <w:rPr>
          <w:rStyle w:val="FootnoteReference"/>
          <w:rFonts w:eastAsiaTheme="majorEastAsia"/>
        </w:rPr>
        <w:footnoteRef/>
      </w:r>
      <w:r>
        <w:t xml:space="preserve"> Ibid.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484288"/>
    <w:multiLevelType w:val="hybridMultilevel"/>
    <w:tmpl w:val="0C489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BC622D"/>
    <w:multiLevelType w:val="hybridMultilevel"/>
    <w:tmpl w:val="48CE9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FD31151"/>
    <w:multiLevelType w:val="hybridMultilevel"/>
    <w:tmpl w:val="B210894C"/>
    <w:lvl w:ilvl="0" w:tplc="ECB44B36">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DC6791"/>
    <w:multiLevelType w:val="hybridMultilevel"/>
    <w:tmpl w:val="D3D08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6A91E6F"/>
    <w:multiLevelType w:val="hybridMultilevel"/>
    <w:tmpl w:val="269EC840"/>
    <w:lvl w:ilvl="0" w:tplc="FE1622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3"/>
  </w:num>
  <w:num w:numId="2">
    <w:abstractNumId w:val="0"/>
  </w:num>
  <w:num w:numId="3">
    <w:abstractNumId w:val="6"/>
  </w:num>
  <w:num w:numId="4">
    <w:abstractNumId w:val="9"/>
  </w:num>
  <w:num w:numId="5">
    <w:abstractNumId w:val="8"/>
  </w:num>
  <w:num w:numId="6">
    <w:abstractNumId w:val="10"/>
  </w:num>
  <w:num w:numId="7">
    <w:abstractNumId w:val="12"/>
  </w:num>
  <w:num w:numId="8">
    <w:abstractNumId w:val="7"/>
  </w:num>
  <w:num w:numId="9">
    <w:abstractNumId w:val="11"/>
  </w:num>
  <w:num w:numId="10">
    <w:abstractNumId w:val="2"/>
  </w:num>
  <w:num w:numId="11">
    <w:abstractNumId w:val="4"/>
  </w:num>
  <w:num w:numId="12">
    <w:abstractNumId w:val="3"/>
  </w:num>
  <w:num w:numId="13">
    <w:abstractNumId w:val="5"/>
  </w:num>
  <w:num w:numId="14">
    <w:abstractNumId w:val="1"/>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ustin Walker">
    <w15:presenceInfo w15:providerId="Windows Live" w15:userId="40389f536dc655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60D"/>
    <w:rsid w:val="00000819"/>
    <w:rsid w:val="00001A7B"/>
    <w:rsid w:val="0000310A"/>
    <w:rsid w:val="00004964"/>
    <w:rsid w:val="00005406"/>
    <w:rsid w:val="0001199B"/>
    <w:rsid w:val="00014AFF"/>
    <w:rsid w:val="000173EB"/>
    <w:rsid w:val="000217A4"/>
    <w:rsid w:val="00025A12"/>
    <w:rsid w:val="000304D3"/>
    <w:rsid w:val="00031196"/>
    <w:rsid w:val="00032BEA"/>
    <w:rsid w:val="0003375C"/>
    <w:rsid w:val="00034744"/>
    <w:rsid w:val="00041638"/>
    <w:rsid w:val="000463FA"/>
    <w:rsid w:val="000468D5"/>
    <w:rsid w:val="00050035"/>
    <w:rsid w:val="00052B34"/>
    <w:rsid w:val="00057122"/>
    <w:rsid w:val="000619E8"/>
    <w:rsid w:val="000645BF"/>
    <w:rsid w:val="0006720C"/>
    <w:rsid w:val="00067C8D"/>
    <w:rsid w:val="00067EA6"/>
    <w:rsid w:val="00073C78"/>
    <w:rsid w:val="0007639F"/>
    <w:rsid w:val="00076B36"/>
    <w:rsid w:val="00077F0A"/>
    <w:rsid w:val="0008176F"/>
    <w:rsid w:val="000844F6"/>
    <w:rsid w:val="00090501"/>
    <w:rsid w:val="0009069B"/>
    <w:rsid w:val="000A252F"/>
    <w:rsid w:val="000A2F8A"/>
    <w:rsid w:val="000C0ED0"/>
    <w:rsid w:val="000C12BC"/>
    <w:rsid w:val="000C18E6"/>
    <w:rsid w:val="000C24B8"/>
    <w:rsid w:val="000D0CE4"/>
    <w:rsid w:val="000D42C4"/>
    <w:rsid w:val="000D7123"/>
    <w:rsid w:val="000E716B"/>
    <w:rsid w:val="000F40D6"/>
    <w:rsid w:val="000F56FF"/>
    <w:rsid w:val="0010001E"/>
    <w:rsid w:val="001007B1"/>
    <w:rsid w:val="00105BBB"/>
    <w:rsid w:val="00106C83"/>
    <w:rsid w:val="00107E7D"/>
    <w:rsid w:val="00111915"/>
    <w:rsid w:val="00113E9C"/>
    <w:rsid w:val="00116DFB"/>
    <w:rsid w:val="001175EE"/>
    <w:rsid w:val="0011790C"/>
    <w:rsid w:val="001223A0"/>
    <w:rsid w:val="001309EE"/>
    <w:rsid w:val="001315CA"/>
    <w:rsid w:val="00135F39"/>
    <w:rsid w:val="001360D3"/>
    <w:rsid w:val="00136AA8"/>
    <w:rsid w:val="00136ACC"/>
    <w:rsid w:val="001402AB"/>
    <w:rsid w:val="00141B5A"/>
    <w:rsid w:val="00141FAB"/>
    <w:rsid w:val="00143038"/>
    <w:rsid w:val="00144B35"/>
    <w:rsid w:val="00145593"/>
    <w:rsid w:val="00146498"/>
    <w:rsid w:val="0015339F"/>
    <w:rsid w:val="00161146"/>
    <w:rsid w:val="001615F6"/>
    <w:rsid w:val="00162507"/>
    <w:rsid w:val="00163CEA"/>
    <w:rsid w:val="00172240"/>
    <w:rsid w:val="001723DD"/>
    <w:rsid w:val="00174266"/>
    <w:rsid w:val="00174F33"/>
    <w:rsid w:val="001761E0"/>
    <w:rsid w:val="00177E36"/>
    <w:rsid w:val="00180428"/>
    <w:rsid w:val="001812C7"/>
    <w:rsid w:val="001828C2"/>
    <w:rsid w:val="00183B53"/>
    <w:rsid w:val="00183BB0"/>
    <w:rsid w:val="00183E6B"/>
    <w:rsid w:val="00183FF0"/>
    <w:rsid w:val="0018447A"/>
    <w:rsid w:val="00187691"/>
    <w:rsid w:val="00192EE1"/>
    <w:rsid w:val="001956B1"/>
    <w:rsid w:val="00195790"/>
    <w:rsid w:val="001A2795"/>
    <w:rsid w:val="001B05F8"/>
    <w:rsid w:val="001B12EF"/>
    <w:rsid w:val="001C0ACC"/>
    <w:rsid w:val="001C1824"/>
    <w:rsid w:val="001C3A62"/>
    <w:rsid w:val="001C3B63"/>
    <w:rsid w:val="001C3E4D"/>
    <w:rsid w:val="001C601E"/>
    <w:rsid w:val="001D3EB3"/>
    <w:rsid w:val="001D6233"/>
    <w:rsid w:val="001D745D"/>
    <w:rsid w:val="001E2404"/>
    <w:rsid w:val="001E3A45"/>
    <w:rsid w:val="001E3A83"/>
    <w:rsid w:val="001F36A6"/>
    <w:rsid w:val="001F590D"/>
    <w:rsid w:val="0020192B"/>
    <w:rsid w:val="002103E2"/>
    <w:rsid w:val="002147D8"/>
    <w:rsid w:val="002213B5"/>
    <w:rsid w:val="002222A8"/>
    <w:rsid w:val="002325BA"/>
    <w:rsid w:val="0023375C"/>
    <w:rsid w:val="002379CD"/>
    <w:rsid w:val="00240837"/>
    <w:rsid w:val="00241E32"/>
    <w:rsid w:val="00244E6C"/>
    <w:rsid w:val="00246A5B"/>
    <w:rsid w:val="00251812"/>
    <w:rsid w:val="00251C99"/>
    <w:rsid w:val="00252060"/>
    <w:rsid w:val="00253058"/>
    <w:rsid w:val="00257C34"/>
    <w:rsid w:val="00257FDA"/>
    <w:rsid w:val="00260F9A"/>
    <w:rsid w:val="00263003"/>
    <w:rsid w:val="00263B8B"/>
    <w:rsid w:val="00263F37"/>
    <w:rsid w:val="00271ED6"/>
    <w:rsid w:val="00272CAD"/>
    <w:rsid w:val="00273293"/>
    <w:rsid w:val="0027349D"/>
    <w:rsid w:val="00273684"/>
    <w:rsid w:val="00275169"/>
    <w:rsid w:val="00275BF7"/>
    <w:rsid w:val="002804D8"/>
    <w:rsid w:val="002825E9"/>
    <w:rsid w:val="00290074"/>
    <w:rsid w:val="00291F3F"/>
    <w:rsid w:val="00293745"/>
    <w:rsid w:val="002968C9"/>
    <w:rsid w:val="002A0C16"/>
    <w:rsid w:val="002A0FB0"/>
    <w:rsid w:val="002A44E2"/>
    <w:rsid w:val="002A5AC3"/>
    <w:rsid w:val="002A6175"/>
    <w:rsid w:val="002B35FC"/>
    <w:rsid w:val="002B559A"/>
    <w:rsid w:val="002B79C4"/>
    <w:rsid w:val="002C0235"/>
    <w:rsid w:val="002C410F"/>
    <w:rsid w:val="002D0E6C"/>
    <w:rsid w:val="002D1D0A"/>
    <w:rsid w:val="002D3952"/>
    <w:rsid w:val="002D40E9"/>
    <w:rsid w:val="002D6E20"/>
    <w:rsid w:val="002E10E7"/>
    <w:rsid w:val="002E157F"/>
    <w:rsid w:val="002E26B6"/>
    <w:rsid w:val="002E44CA"/>
    <w:rsid w:val="002E456E"/>
    <w:rsid w:val="002E481B"/>
    <w:rsid w:val="002E7E9B"/>
    <w:rsid w:val="002F0669"/>
    <w:rsid w:val="002F393D"/>
    <w:rsid w:val="002F6695"/>
    <w:rsid w:val="00301874"/>
    <w:rsid w:val="00301A5F"/>
    <w:rsid w:val="003030BA"/>
    <w:rsid w:val="0030639F"/>
    <w:rsid w:val="00306E4C"/>
    <w:rsid w:val="00306FF7"/>
    <w:rsid w:val="0030767B"/>
    <w:rsid w:val="00310656"/>
    <w:rsid w:val="00311810"/>
    <w:rsid w:val="003125C8"/>
    <w:rsid w:val="00312A60"/>
    <w:rsid w:val="003131D7"/>
    <w:rsid w:val="00314516"/>
    <w:rsid w:val="00314F3F"/>
    <w:rsid w:val="00316D29"/>
    <w:rsid w:val="003218D0"/>
    <w:rsid w:val="00323C30"/>
    <w:rsid w:val="003240AA"/>
    <w:rsid w:val="003244AE"/>
    <w:rsid w:val="00324DE5"/>
    <w:rsid w:val="00325DC1"/>
    <w:rsid w:val="003269F8"/>
    <w:rsid w:val="00326D38"/>
    <w:rsid w:val="00330D3C"/>
    <w:rsid w:val="00332C04"/>
    <w:rsid w:val="00333FD8"/>
    <w:rsid w:val="00335333"/>
    <w:rsid w:val="003366A1"/>
    <w:rsid w:val="00343673"/>
    <w:rsid w:val="003444C2"/>
    <w:rsid w:val="003450B1"/>
    <w:rsid w:val="003455FF"/>
    <w:rsid w:val="0034604A"/>
    <w:rsid w:val="00347F16"/>
    <w:rsid w:val="00350354"/>
    <w:rsid w:val="00351F01"/>
    <w:rsid w:val="00353388"/>
    <w:rsid w:val="003550D4"/>
    <w:rsid w:val="0036029C"/>
    <w:rsid w:val="00362D1B"/>
    <w:rsid w:val="003635D6"/>
    <w:rsid w:val="00365B41"/>
    <w:rsid w:val="0036697E"/>
    <w:rsid w:val="00373142"/>
    <w:rsid w:val="0037428F"/>
    <w:rsid w:val="00374C3F"/>
    <w:rsid w:val="00377584"/>
    <w:rsid w:val="00377919"/>
    <w:rsid w:val="00380D53"/>
    <w:rsid w:val="00382342"/>
    <w:rsid w:val="003847C7"/>
    <w:rsid w:val="00384AE8"/>
    <w:rsid w:val="00384C3D"/>
    <w:rsid w:val="00385E9D"/>
    <w:rsid w:val="00385FB3"/>
    <w:rsid w:val="00386E26"/>
    <w:rsid w:val="00391EBC"/>
    <w:rsid w:val="00393159"/>
    <w:rsid w:val="003931AE"/>
    <w:rsid w:val="0039456F"/>
    <w:rsid w:val="00396207"/>
    <w:rsid w:val="00397ACF"/>
    <w:rsid w:val="003A060D"/>
    <w:rsid w:val="003A3F3B"/>
    <w:rsid w:val="003A440B"/>
    <w:rsid w:val="003A4F86"/>
    <w:rsid w:val="003A55B8"/>
    <w:rsid w:val="003A5A87"/>
    <w:rsid w:val="003A698E"/>
    <w:rsid w:val="003B1B27"/>
    <w:rsid w:val="003B25B5"/>
    <w:rsid w:val="003B73A8"/>
    <w:rsid w:val="003B763D"/>
    <w:rsid w:val="003C10FA"/>
    <w:rsid w:val="003C34EE"/>
    <w:rsid w:val="003C4F03"/>
    <w:rsid w:val="003C5A9E"/>
    <w:rsid w:val="003C5F1C"/>
    <w:rsid w:val="003C73B9"/>
    <w:rsid w:val="003D1C8F"/>
    <w:rsid w:val="003D23EA"/>
    <w:rsid w:val="003D5B79"/>
    <w:rsid w:val="003D76A8"/>
    <w:rsid w:val="003E0E0A"/>
    <w:rsid w:val="003E22B5"/>
    <w:rsid w:val="003E2595"/>
    <w:rsid w:val="003E3B67"/>
    <w:rsid w:val="003E3CB1"/>
    <w:rsid w:val="003E5111"/>
    <w:rsid w:val="003F1757"/>
    <w:rsid w:val="003F35DC"/>
    <w:rsid w:val="003F4BD3"/>
    <w:rsid w:val="003F601F"/>
    <w:rsid w:val="003F6346"/>
    <w:rsid w:val="003F6E0C"/>
    <w:rsid w:val="004001BE"/>
    <w:rsid w:val="00401539"/>
    <w:rsid w:val="00412509"/>
    <w:rsid w:val="00413BD4"/>
    <w:rsid w:val="0041769D"/>
    <w:rsid w:val="00420DE6"/>
    <w:rsid w:val="00422DA1"/>
    <w:rsid w:val="00424565"/>
    <w:rsid w:val="00432CB6"/>
    <w:rsid w:val="004409A1"/>
    <w:rsid w:val="004431F8"/>
    <w:rsid w:val="00443F9A"/>
    <w:rsid w:val="00444FEE"/>
    <w:rsid w:val="00452604"/>
    <w:rsid w:val="00453E46"/>
    <w:rsid w:val="004555DB"/>
    <w:rsid w:val="00461AA9"/>
    <w:rsid w:val="004708BD"/>
    <w:rsid w:val="00470A73"/>
    <w:rsid w:val="004724A3"/>
    <w:rsid w:val="00472B7F"/>
    <w:rsid w:val="00474418"/>
    <w:rsid w:val="004763D4"/>
    <w:rsid w:val="00476DD1"/>
    <w:rsid w:val="00477880"/>
    <w:rsid w:val="004850E1"/>
    <w:rsid w:val="004931B4"/>
    <w:rsid w:val="004A3236"/>
    <w:rsid w:val="004A6712"/>
    <w:rsid w:val="004B31F9"/>
    <w:rsid w:val="004B356B"/>
    <w:rsid w:val="004B41A6"/>
    <w:rsid w:val="004B55DC"/>
    <w:rsid w:val="004B7320"/>
    <w:rsid w:val="004C3E76"/>
    <w:rsid w:val="004C61D9"/>
    <w:rsid w:val="004D2A66"/>
    <w:rsid w:val="004E37F1"/>
    <w:rsid w:val="004F0267"/>
    <w:rsid w:val="004F58E8"/>
    <w:rsid w:val="0050270E"/>
    <w:rsid w:val="00502BB1"/>
    <w:rsid w:val="0050582F"/>
    <w:rsid w:val="00507448"/>
    <w:rsid w:val="00510817"/>
    <w:rsid w:val="005141EC"/>
    <w:rsid w:val="005260BE"/>
    <w:rsid w:val="0053028C"/>
    <w:rsid w:val="00531D3D"/>
    <w:rsid w:val="00533927"/>
    <w:rsid w:val="00533AAE"/>
    <w:rsid w:val="005354E8"/>
    <w:rsid w:val="00540D66"/>
    <w:rsid w:val="00551A92"/>
    <w:rsid w:val="00551D66"/>
    <w:rsid w:val="00551DC8"/>
    <w:rsid w:val="005520FE"/>
    <w:rsid w:val="0055343F"/>
    <w:rsid w:val="00555DE7"/>
    <w:rsid w:val="00556E59"/>
    <w:rsid w:val="00560210"/>
    <w:rsid w:val="005629EC"/>
    <w:rsid w:val="00563097"/>
    <w:rsid w:val="005671E8"/>
    <w:rsid w:val="00571E36"/>
    <w:rsid w:val="00571F64"/>
    <w:rsid w:val="005743A9"/>
    <w:rsid w:val="0057775C"/>
    <w:rsid w:val="0057792A"/>
    <w:rsid w:val="00582409"/>
    <w:rsid w:val="00582EBC"/>
    <w:rsid w:val="005878EA"/>
    <w:rsid w:val="0059306D"/>
    <w:rsid w:val="00594175"/>
    <w:rsid w:val="00594848"/>
    <w:rsid w:val="005954BC"/>
    <w:rsid w:val="00596960"/>
    <w:rsid w:val="00597E05"/>
    <w:rsid w:val="005A2B79"/>
    <w:rsid w:val="005A4A83"/>
    <w:rsid w:val="005A6B05"/>
    <w:rsid w:val="005B0705"/>
    <w:rsid w:val="005B0A88"/>
    <w:rsid w:val="005B2B85"/>
    <w:rsid w:val="005B5AA4"/>
    <w:rsid w:val="005B6EB6"/>
    <w:rsid w:val="005C52D3"/>
    <w:rsid w:val="005C67D8"/>
    <w:rsid w:val="005D26B7"/>
    <w:rsid w:val="005D321E"/>
    <w:rsid w:val="005D4257"/>
    <w:rsid w:val="005D6DE9"/>
    <w:rsid w:val="005E059F"/>
    <w:rsid w:val="005E097E"/>
    <w:rsid w:val="005E41C9"/>
    <w:rsid w:val="005F4A0F"/>
    <w:rsid w:val="005F5C1A"/>
    <w:rsid w:val="006046BF"/>
    <w:rsid w:val="006071F4"/>
    <w:rsid w:val="006139CE"/>
    <w:rsid w:val="00616A57"/>
    <w:rsid w:val="00617ACE"/>
    <w:rsid w:val="00623418"/>
    <w:rsid w:val="00623EDB"/>
    <w:rsid w:val="006273C0"/>
    <w:rsid w:val="006277EB"/>
    <w:rsid w:val="00627F5B"/>
    <w:rsid w:val="00627FBC"/>
    <w:rsid w:val="00630920"/>
    <w:rsid w:val="00633C74"/>
    <w:rsid w:val="00633DEC"/>
    <w:rsid w:val="006355C0"/>
    <w:rsid w:val="00637C1F"/>
    <w:rsid w:val="006459A1"/>
    <w:rsid w:val="00645A8F"/>
    <w:rsid w:val="00646DE6"/>
    <w:rsid w:val="00647D91"/>
    <w:rsid w:val="00650CFF"/>
    <w:rsid w:val="0065384C"/>
    <w:rsid w:val="00653C73"/>
    <w:rsid w:val="0065626E"/>
    <w:rsid w:val="00660B74"/>
    <w:rsid w:val="00661C13"/>
    <w:rsid w:val="00662CE2"/>
    <w:rsid w:val="00663585"/>
    <w:rsid w:val="00666F5A"/>
    <w:rsid w:val="00670DE3"/>
    <w:rsid w:val="00672E3F"/>
    <w:rsid w:val="0067305E"/>
    <w:rsid w:val="006730DF"/>
    <w:rsid w:val="00676F75"/>
    <w:rsid w:val="00681921"/>
    <w:rsid w:val="0068391E"/>
    <w:rsid w:val="00685297"/>
    <w:rsid w:val="0069415A"/>
    <w:rsid w:val="00697AD4"/>
    <w:rsid w:val="006A16BA"/>
    <w:rsid w:val="006A6340"/>
    <w:rsid w:val="006A721C"/>
    <w:rsid w:val="006B1323"/>
    <w:rsid w:val="006B1D41"/>
    <w:rsid w:val="006B5145"/>
    <w:rsid w:val="006B5C7A"/>
    <w:rsid w:val="006B70C3"/>
    <w:rsid w:val="006C255E"/>
    <w:rsid w:val="006C2E6B"/>
    <w:rsid w:val="006C5A07"/>
    <w:rsid w:val="006C5B50"/>
    <w:rsid w:val="006D0608"/>
    <w:rsid w:val="006D46CF"/>
    <w:rsid w:val="006D765C"/>
    <w:rsid w:val="006D7816"/>
    <w:rsid w:val="006E2827"/>
    <w:rsid w:val="006E3332"/>
    <w:rsid w:val="006F10CE"/>
    <w:rsid w:val="006F2E58"/>
    <w:rsid w:val="006F44EE"/>
    <w:rsid w:val="006F7E97"/>
    <w:rsid w:val="0070017B"/>
    <w:rsid w:val="00704131"/>
    <w:rsid w:val="00705086"/>
    <w:rsid w:val="007112E5"/>
    <w:rsid w:val="00711ACE"/>
    <w:rsid w:val="00713892"/>
    <w:rsid w:val="007203C8"/>
    <w:rsid w:val="007260F1"/>
    <w:rsid w:val="00730F0A"/>
    <w:rsid w:val="0073392A"/>
    <w:rsid w:val="00734D35"/>
    <w:rsid w:val="00735745"/>
    <w:rsid w:val="00736FAD"/>
    <w:rsid w:val="0074629B"/>
    <w:rsid w:val="00746C70"/>
    <w:rsid w:val="00746E16"/>
    <w:rsid w:val="007478E4"/>
    <w:rsid w:val="00753513"/>
    <w:rsid w:val="007559B1"/>
    <w:rsid w:val="00755C0D"/>
    <w:rsid w:val="0076097A"/>
    <w:rsid w:val="0076125D"/>
    <w:rsid w:val="00761FDB"/>
    <w:rsid w:val="007648CD"/>
    <w:rsid w:val="00766703"/>
    <w:rsid w:val="007739FB"/>
    <w:rsid w:val="007749D5"/>
    <w:rsid w:val="00775701"/>
    <w:rsid w:val="00777E64"/>
    <w:rsid w:val="0078679A"/>
    <w:rsid w:val="00794E92"/>
    <w:rsid w:val="007962A6"/>
    <w:rsid w:val="007A1BE0"/>
    <w:rsid w:val="007A3C32"/>
    <w:rsid w:val="007A6F4C"/>
    <w:rsid w:val="007B1019"/>
    <w:rsid w:val="007B1072"/>
    <w:rsid w:val="007B3298"/>
    <w:rsid w:val="007C678C"/>
    <w:rsid w:val="007D04A1"/>
    <w:rsid w:val="007D079E"/>
    <w:rsid w:val="007D6279"/>
    <w:rsid w:val="007E0A5E"/>
    <w:rsid w:val="007E2D5B"/>
    <w:rsid w:val="007E5847"/>
    <w:rsid w:val="007E5B84"/>
    <w:rsid w:val="007E6198"/>
    <w:rsid w:val="007E65CF"/>
    <w:rsid w:val="007E6BD7"/>
    <w:rsid w:val="007F2648"/>
    <w:rsid w:val="007F393D"/>
    <w:rsid w:val="007F45D1"/>
    <w:rsid w:val="007F7A84"/>
    <w:rsid w:val="00802897"/>
    <w:rsid w:val="0080781A"/>
    <w:rsid w:val="00810998"/>
    <w:rsid w:val="00814016"/>
    <w:rsid w:val="0081557D"/>
    <w:rsid w:val="00816574"/>
    <w:rsid w:val="008240DC"/>
    <w:rsid w:val="00824A2B"/>
    <w:rsid w:val="008257F6"/>
    <w:rsid w:val="00830854"/>
    <w:rsid w:val="00832B4A"/>
    <w:rsid w:val="008369E3"/>
    <w:rsid w:val="00841BAF"/>
    <w:rsid w:val="00842D2E"/>
    <w:rsid w:val="00844477"/>
    <w:rsid w:val="0084711F"/>
    <w:rsid w:val="00851132"/>
    <w:rsid w:val="008515CC"/>
    <w:rsid w:val="00851C56"/>
    <w:rsid w:val="008520B9"/>
    <w:rsid w:val="008578FE"/>
    <w:rsid w:val="00861638"/>
    <w:rsid w:val="0086347E"/>
    <w:rsid w:val="0086523C"/>
    <w:rsid w:val="00870626"/>
    <w:rsid w:val="00870A1F"/>
    <w:rsid w:val="00871596"/>
    <w:rsid w:val="008725A4"/>
    <w:rsid w:val="00883951"/>
    <w:rsid w:val="00884303"/>
    <w:rsid w:val="00884A97"/>
    <w:rsid w:val="00891871"/>
    <w:rsid w:val="00895915"/>
    <w:rsid w:val="008A3983"/>
    <w:rsid w:val="008A4233"/>
    <w:rsid w:val="008A4700"/>
    <w:rsid w:val="008A4F22"/>
    <w:rsid w:val="008B6326"/>
    <w:rsid w:val="008C4464"/>
    <w:rsid w:val="008C6F29"/>
    <w:rsid w:val="008D2065"/>
    <w:rsid w:val="008E1C26"/>
    <w:rsid w:val="008E1CF0"/>
    <w:rsid w:val="008E455D"/>
    <w:rsid w:val="008E6C80"/>
    <w:rsid w:val="008F0C18"/>
    <w:rsid w:val="008F1822"/>
    <w:rsid w:val="008F2BE3"/>
    <w:rsid w:val="00907F2A"/>
    <w:rsid w:val="0091459D"/>
    <w:rsid w:val="00917855"/>
    <w:rsid w:val="00917D6C"/>
    <w:rsid w:val="0092142E"/>
    <w:rsid w:val="00922823"/>
    <w:rsid w:val="009245C5"/>
    <w:rsid w:val="0092680A"/>
    <w:rsid w:val="00927233"/>
    <w:rsid w:val="00934A63"/>
    <w:rsid w:val="009355A1"/>
    <w:rsid w:val="00941CCD"/>
    <w:rsid w:val="00944B28"/>
    <w:rsid w:val="00947A8A"/>
    <w:rsid w:val="009501BE"/>
    <w:rsid w:val="00951760"/>
    <w:rsid w:val="00957261"/>
    <w:rsid w:val="00960592"/>
    <w:rsid w:val="00961A0A"/>
    <w:rsid w:val="0096396D"/>
    <w:rsid w:val="00964856"/>
    <w:rsid w:val="009671ED"/>
    <w:rsid w:val="0097526B"/>
    <w:rsid w:val="00981B1B"/>
    <w:rsid w:val="00985C42"/>
    <w:rsid w:val="00987BF5"/>
    <w:rsid w:val="009918F1"/>
    <w:rsid w:val="00992C28"/>
    <w:rsid w:val="009A0250"/>
    <w:rsid w:val="009A06B0"/>
    <w:rsid w:val="009A58AA"/>
    <w:rsid w:val="009B49FC"/>
    <w:rsid w:val="009C3DDD"/>
    <w:rsid w:val="009C455F"/>
    <w:rsid w:val="009C4FEF"/>
    <w:rsid w:val="009D0132"/>
    <w:rsid w:val="009D4F36"/>
    <w:rsid w:val="009D7375"/>
    <w:rsid w:val="009E1C44"/>
    <w:rsid w:val="009E3BC0"/>
    <w:rsid w:val="009E3FBE"/>
    <w:rsid w:val="009E4666"/>
    <w:rsid w:val="009E6480"/>
    <w:rsid w:val="009F01BA"/>
    <w:rsid w:val="009F5220"/>
    <w:rsid w:val="00A00332"/>
    <w:rsid w:val="00A0094B"/>
    <w:rsid w:val="00A07FBA"/>
    <w:rsid w:val="00A1275A"/>
    <w:rsid w:val="00A259A0"/>
    <w:rsid w:val="00A317B5"/>
    <w:rsid w:val="00A34F5F"/>
    <w:rsid w:val="00A35E3D"/>
    <w:rsid w:val="00A36A35"/>
    <w:rsid w:val="00A4018A"/>
    <w:rsid w:val="00A40D3B"/>
    <w:rsid w:val="00A441D6"/>
    <w:rsid w:val="00A4558D"/>
    <w:rsid w:val="00A460F3"/>
    <w:rsid w:val="00A50007"/>
    <w:rsid w:val="00A5074D"/>
    <w:rsid w:val="00A54D6D"/>
    <w:rsid w:val="00A5626C"/>
    <w:rsid w:val="00A71CD1"/>
    <w:rsid w:val="00A75AE5"/>
    <w:rsid w:val="00A76D67"/>
    <w:rsid w:val="00A773AA"/>
    <w:rsid w:val="00A8037C"/>
    <w:rsid w:val="00A84B1E"/>
    <w:rsid w:val="00A87AC8"/>
    <w:rsid w:val="00A90647"/>
    <w:rsid w:val="00A924B6"/>
    <w:rsid w:val="00A95A93"/>
    <w:rsid w:val="00A95D10"/>
    <w:rsid w:val="00A976E7"/>
    <w:rsid w:val="00A97940"/>
    <w:rsid w:val="00AA0B13"/>
    <w:rsid w:val="00AA0F15"/>
    <w:rsid w:val="00AA1B3B"/>
    <w:rsid w:val="00AA3F17"/>
    <w:rsid w:val="00AA425F"/>
    <w:rsid w:val="00AA4466"/>
    <w:rsid w:val="00AA4AED"/>
    <w:rsid w:val="00AA6554"/>
    <w:rsid w:val="00AB5BA5"/>
    <w:rsid w:val="00AB7672"/>
    <w:rsid w:val="00AC47E0"/>
    <w:rsid w:val="00AC4F85"/>
    <w:rsid w:val="00AC54DD"/>
    <w:rsid w:val="00AC5E50"/>
    <w:rsid w:val="00AD27B4"/>
    <w:rsid w:val="00AD2EF4"/>
    <w:rsid w:val="00AD355A"/>
    <w:rsid w:val="00AE584A"/>
    <w:rsid w:val="00AF0BB2"/>
    <w:rsid w:val="00AF42E0"/>
    <w:rsid w:val="00AF489D"/>
    <w:rsid w:val="00AF55E2"/>
    <w:rsid w:val="00B007D6"/>
    <w:rsid w:val="00B131ED"/>
    <w:rsid w:val="00B135C6"/>
    <w:rsid w:val="00B13AC0"/>
    <w:rsid w:val="00B242CA"/>
    <w:rsid w:val="00B25137"/>
    <w:rsid w:val="00B26394"/>
    <w:rsid w:val="00B27C7B"/>
    <w:rsid w:val="00B3135E"/>
    <w:rsid w:val="00B34BE4"/>
    <w:rsid w:val="00B36426"/>
    <w:rsid w:val="00B46FF4"/>
    <w:rsid w:val="00B5002C"/>
    <w:rsid w:val="00B509CB"/>
    <w:rsid w:val="00B50A49"/>
    <w:rsid w:val="00B53B77"/>
    <w:rsid w:val="00B57E99"/>
    <w:rsid w:val="00B624DD"/>
    <w:rsid w:val="00B640AF"/>
    <w:rsid w:val="00B6425A"/>
    <w:rsid w:val="00B65E98"/>
    <w:rsid w:val="00B67F1A"/>
    <w:rsid w:val="00B71401"/>
    <w:rsid w:val="00B75C88"/>
    <w:rsid w:val="00B82CBE"/>
    <w:rsid w:val="00B854E3"/>
    <w:rsid w:val="00B860AA"/>
    <w:rsid w:val="00B91E22"/>
    <w:rsid w:val="00B96C47"/>
    <w:rsid w:val="00BA1A3A"/>
    <w:rsid w:val="00BA24A4"/>
    <w:rsid w:val="00BA2A7E"/>
    <w:rsid w:val="00BA51F9"/>
    <w:rsid w:val="00BA5AA1"/>
    <w:rsid w:val="00BA6794"/>
    <w:rsid w:val="00BA7807"/>
    <w:rsid w:val="00BB0CB3"/>
    <w:rsid w:val="00BB13F9"/>
    <w:rsid w:val="00BB2399"/>
    <w:rsid w:val="00BB2DDE"/>
    <w:rsid w:val="00BB3F72"/>
    <w:rsid w:val="00BB678C"/>
    <w:rsid w:val="00BC118F"/>
    <w:rsid w:val="00BC5F61"/>
    <w:rsid w:val="00BC7FEB"/>
    <w:rsid w:val="00BD0EFF"/>
    <w:rsid w:val="00BD1142"/>
    <w:rsid w:val="00BD1DA8"/>
    <w:rsid w:val="00BD2769"/>
    <w:rsid w:val="00BD2B3B"/>
    <w:rsid w:val="00BD37BB"/>
    <w:rsid w:val="00BD3DCE"/>
    <w:rsid w:val="00BD4069"/>
    <w:rsid w:val="00BD45C8"/>
    <w:rsid w:val="00BD6CA1"/>
    <w:rsid w:val="00BD7459"/>
    <w:rsid w:val="00BE0A91"/>
    <w:rsid w:val="00BE2949"/>
    <w:rsid w:val="00BE7F25"/>
    <w:rsid w:val="00BF18F8"/>
    <w:rsid w:val="00C04433"/>
    <w:rsid w:val="00C04968"/>
    <w:rsid w:val="00C06CC0"/>
    <w:rsid w:val="00C12672"/>
    <w:rsid w:val="00C12E09"/>
    <w:rsid w:val="00C16C66"/>
    <w:rsid w:val="00C218FA"/>
    <w:rsid w:val="00C2214C"/>
    <w:rsid w:val="00C229C9"/>
    <w:rsid w:val="00C2499C"/>
    <w:rsid w:val="00C30CCE"/>
    <w:rsid w:val="00C32979"/>
    <w:rsid w:val="00C33402"/>
    <w:rsid w:val="00C35D4A"/>
    <w:rsid w:val="00C3627E"/>
    <w:rsid w:val="00C3662D"/>
    <w:rsid w:val="00C36E17"/>
    <w:rsid w:val="00C3745C"/>
    <w:rsid w:val="00C378FA"/>
    <w:rsid w:val="00C40362"/>
    <w:rsid w:val="00C4062A"/>
    <w:rsid w:val="00C4480F"/>
    <w:rsid w:val="00C5230E"/>
    <w:rsid w:val="00C53B26"/>
    <w:rsid w:val="00C53E03"/>
    <w:rsid w:val="00C57662"/>
    <w:rsid w:val="00C6188D"/>
    <w:rsid w:val="00C63C23"/>
    <w:rsid w:val="00C64DB4"/>
    <w:rsid w:val="00C65C92"/>
    <w:rsid w:val="00C71A29"/>
    <w:rsid w:val="00C7260D"/>
    <w:rsid w:val="00C80AD6"/>
    <w:rsid w:val="00C8326D"/>
    <w:rsid w:val="00C865DD"/>
    <w:rsid w:val="00C867EE"/>
    <w:rsid w:val="00C92079"/>
    <w:rsid w:val="00C93B30"/>
    <w:rsid w:val="00C962B2"/>
    <w:rsid w:val="00CA04C8"/>
    <w:rsid w:val="00CA264B"/>
    <w:rsid w:val="00CA4507"/>
    <w:rsid w:val="00CA666C"/>
    <w:rsid w:val="00CB29FE"/>
    <w:rsid w:val="00CB3854"/>
    <w:rsid w:val="00CB5A82"/>
    <w:rsid w:val="00CB6DA9"/>
    <w:rsid w:val="00CB7F57"/>
    <w:rsid w:val="00CC164D"/>
    <w:rsid w:val="00CC7E5E"/>
    <w:rsid w:val="00CD0846"/>
    <w:rsid w:val="00CD3077"/>
    <w:rsid w:val="00CD30C5"/>
    <w:rsid w:val="00CD38CE"/>
    <w:rsid w:val="00CD4509"/>
    <w:rsid w:val="00CD504B"/>
    <w:rsid w:val="00CD7996"/>
    <w:rsid w:val="00CE1629"/>
    <w:rsid w:val="00CE1C9B"/>
    <w:rsid w:val="00CE59D8"/>
    <w:rsid w:val="00CF5332"/>
    <w:rsid w:val="00D0640A"/>
    <w:rsid w:val="00D0732B"/>
    <w:rsid w:val="00D12C09"/>
    <w:rsid w:val="00D12EEF"/>
    <w:rsid w:val="00D1684B"/>
    <w:rsid w:val="00D16C09"/>
    <w:rsid w:val="00D16F3E"/>
    <w:rsid w:val="00D23514"/>
    <w:rsid w:val="00D23761"/>
    <w:rsid w:val="00D332B1"/>
    <w:rsid w:val="00D3386D"/>
    <w:rsid w:val="00D36F64"/>
    <w:rsid w:val="00D40E59"/>
    <w:rsid w:val="00D417E2"/>
    <w:rsid w:val="00D418C5"/>
    <w:rsid w:val="00D418E4"/>
    <w:rsid w:val="00D4304B"/>
    <w:rsid w:val="00D45E2E"/>
    <w:rsid w:val="00D5586C"/>
    <w:rsid w:val="00D56783"/>
    <w:rsid w:val="00D62016"/>
    <w:rsid w:val="00D65BAA"/>
    <w:rsid w:val="00D67FF8"/>
    <w:rsid w:val="00D72088"/>
    <w:rsid w:val="00D7256A"/>
    <w:rsid w:val="00D80999"/>
    <w:rsid w:val="00D82097"/>
    <w:rsid w:val="00D843BD"/>
    <w:rsid w:val="00D86E12"/>
    <w:rsid w:val="00D873D8"/>
    <w:rsid w:val="00D87E66"/>
    <w:rsid w:val="00D9014B"/>
    <w:rsid w:val="00D91119"/>
    <w:rsid w:val="00D92B33"/>
    <w:rsid w:val="00D94AB4"/>
    <w:rsid w:val="00D97772"/>
    <w:rsid w:val="00DA0169"/>
    <w:rsid w:val="00DA10D5"/>
    <w:rsid w:val="00DA1971"/>
    <w:rsid w:val="00DA528C"/>
    <w:rsid w:val="00DA743B"/>
    <w:rsid w:val="00DB1052"/>
    <w:rsid w:val="00DB21A5"/>
    <w:rsid w:val="00DB28B2"/>
    <w:rsid w:val="00DB664C"/>
    <w:rsid w:val="00DB730B"/>
    <w:rsid w:val="00DD0216"/>
    <w:rsid w:val="00DD281E"/>
    <w:rsid w:val="00DE0823"/>
    <w:rsid w:val="00DE0874"/>
    <w:rsid w:val="00DE1EF7"/>
    <w:rsid w:val="00DE4B5F"/>
    <w:rsid w:val="00DE50F8"/>
    <w:rsid w:val="00DE73C5"/>
    <w:rsid w:val="00DF0585"/>
    <w:rsid w:val="00DF2709"/>
    <w:rsid w:val="00DF4630"/>
    <w:rsid w:val="00DF7412"/>
    <w:rsid w:val="00DF7669"/>
    <w:rsid w:val="00E00334"/>
    <w:rsid w:val="00E01DC5"/>
    <w:rsid w:val="00E02A19"/>
    <w:rsid w:val="00E0501B"/>
    <w:rsid w:val="00E05716"/>
    <w:rsid w:val="00E13419"/>
    <w:rsid w:val="00E13792"/>
    <w:rsid w:val="00E17E71"/>
    <w:rsid w:val="00E20B9A"/>
    <w:rsid w:val="00E2203A"/>
    <w:rsid w:val="00E252B0"/>
    <w:rsid w:val="00E2576C"/>
    <w:rsid w:val="00E3324E"/>
    <w:rsid w:val="00E34939"/>
    <w:rsid w:val="00E375FB"/>
    <w:rsid w:val="00E41D6B"/>
    <w:rsid w:val="00E439D4"/>
    <w:rsid w:val="00E453E8"/>
    <w:rsid w:val="00E45EF0"/>
    <w:rsid w:val="00E51E7A"/>
    <w:rsid w:val="00E527F0"/>
    <w:rsid w:val="00E53677"/>
    <w:rsid w:val="00E53D7E"/>
    <w:rsid w:val="00E57986"/>
    <w:rsid w:val="00E6062A"/>
    <w:rsid w:val="00E66E04"/>
    <w:rsid w:val="00E73A29"/>
    <w:rsid w:val="00E74598"/>
    <w:rsid w:val="00E74E14"/>
    <w:rsid w:val="00E77477"/>
    <w:rsid w:val="00E8157A"/>
    <w:rsid w:val="00E8717D"/>
    <w:rsid w:val="00E902F3"/>
    <w:rsid w:val="00E915E0"/>
    <w:rsid w:val="00E931FD"/>
    <w:rsid w:val="00E948D0"/>
    <w:rsid w:val="00E97CBD"/>
    <w:rsid w:val="00EA3EAF"/>
    <w:rsid w:val="00EA40BF"/>
    <w:rsid w:val="00EA564E"/>
    <w:rsid w:val="00EA769C"/>
    <w:rsid w:val="00EA7E4F"/>
    <w:rsid w:val="00EB18B3"/>
    <w:rsid w:val="00EB2BC6"/>
    <w:rsid w:val="00EC2460"/>
    <w:rsid w:val="00EC3D78"/>
    <w:rsid w:val="00EC41DA"/>
    <w:rsid w:val="00ED0DDD"/>
    <w:rsid w:val="00ED1789"/>
    <w:rsid w:val="00EE3797"/>
    <w:rsid w:val="00EE3A93"/>
    <w:rsid w:val="00EE54D9"/>
    <w:rsid w:val="00EE7DF6"/>
    <w:rsid w:val="00EF0524"/>
    <w:rsid w:val="00EF1D08"/>
    <w:rsid w:val="00EF390E"/>
    <w:rsid w:val="00EF5FDB"/>
    <w:rsid w:val="00F00C3C"/>
    <w:rsid w:val="00F01FCE"/>
    <w:rsid w:val="00F026F7"/>
    <w:rsid w:val="00F04FDE"/>
    <w:rsid w:val="00F061D4"/>
    <w:rsid w:val="00F10257"/>
    <w:rsid w:val="00F118F3"/>
    <w:rsid w:val="00F11DD9"/>
    <w:rsid w:val="00F12D2F"/>
    <w:rsid w:val="00F14465"/>
    <w:rsid w:val="00F22A4C"/>
    <w:rsid w:val="00F27248"/>
    <w:rsid w:val="00F311DB"/>
    <w:rsid w:val="00F31958"/>
    <w:rsid w:val="00F42D4C"/>
    <w:rsid w:val="00F44E9E"/>
    <w:rsid w:val="00F456DF"/>
    <w:rsid w:val="00F46A49"/>
    <w:rsid w:val="00F46A4B"/>
    <w:rsid w:val="00F50B5F"/>
    <w:rsid w:val="00F56195"/>
    <w:rsid w:val="00F573CC"/>
    <w:rsid w:val="00F57EFD"/>
    <w:rsid w:val="00F6021C"/>
    <w:rsid w:val="00F604C5"/>
    <w:rsid w:val="00F63F0A"/>
    <w:rsid w:val="00F66F76"/>
    <w:rsid w:val="00F70F3C"/>
    <w:rsid w:val="00F713D7"/>
    <w:rsid w:val="00F7312E"/>
    <w:rsid w:val="00F731AA"/>
    <w:rsid w:val="00F738CD"/>
    <w:rsid w:val="00F74F77"/>
    <w:rsid w:val="00F77018"/>
    <w:rsid w:val="00F7783B"/>
    <w:rsid w:val="00F80753"/>
    <w:rsid w:val="00F86019"/>
    <w:rsid w:val="00F8633B"/>
    <w:rsid w:val="00F87649"/>
    <w:rsid w:val="00F92241"/>
    <w:rsid w:val="00FA04A6"/>
    <w:rsid w:val="00FA1D2A"/>
    <w:rsid w:val="00FA2425"/>
    <w:rsid w:val="00FA3E7B"/>
    <w:rsid w:val="00FA6655"/>
    <w:rsid w:val="00FB048D"/>
    <w:rsid w:val="00FB1E77"/>
    <w:rsid w:val="00FB33AA"/>
    <w:rsid w:val="00FB5590"/>
    <w:rsid w:val="00FC2227"/>
    <w:rsid w:val="00FC55EA"/>
    <w:rsid w:val="00FC5D6F"/>
    <w:rsid w:val="00FC6A58"/>
    <w:rsid w:val="00FC77B2"/>
    <w:rsid w:val="00FD594B"/>
    <w:rsid w:val="00FD6E6D"/>
    <w:rsid w:val="00FE3CAC"/>
    <w:rsid w:val="00FF2F3D"/>
    <w:rsid w:val="00FF3043"/>
    <w:rsid w:val="00FF3AB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DD0216"/>
    <w:pPr>
      <w:spacing w:line="480" w:lineRule="auto"/>
      <w:jc w:val="center"/>
      <w:outlineLvl w:val="0"/>
    </w:pPr>
    <w:rPr>
      <w:rFonts w:asciiTheme="majorHAnsi" w:hAnsiTheme="majorHAnsi"/>
      <w:b/>
      <w:bCs/>
      <w:i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F57EFD"/>
    <w:pPr>
      <w:keepNext/>
      <w:spacing w:line="480" w:lineRule="auto"/>
      <w:jc w:val="center"/>
      <w:outlineLvl w:val="2"/>
    </w:pPr>
    <w:rPr>
      <w:rFonts w:asciiTheme="majorHAnsi" w:hAnsiTheme="majorHAnsi"/>
      <w:bCs/>
      <w:i/>
      <w:iCs/>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0216"/>
    <w:rPr>
      <w:rFonts w:asciiTheme="majorHAnsi" w:hAnsiTheme="majorHAnsi"/>
      <w:b/>
      <w:bCs/>
      <w:i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F57EFD"/>
    <w:rPr>
      <w:rFonts w:asciiTheme="majorHAnsi" w:hAnsiTheme="majorHAnsi"/>
      <w:bCs/>
      <w:i/>
      <w:iCs/>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character" w:styleId="FootnoteReference">
    <w:name w:val="footnote reference"/>
    <w:basedOn w:val="DefaultParagraphFont"/>
    <w:uiPriority w:val="99"/>
    <w:unhideWhenUsed/>
    <w:rsid w:val="00BD3DCE"/>
    <w:rPr>
      <w:vertAlign w:val="superscript"/>
    </w:rPr>
  </w:style>
  <w:style w:type="paragraph" w:styleId="FootnoteText">
    <w:name w:val="footnote text"/>
    <w:basedOn w:val="Normal"/>
    <w:link w:val="FootnoteTextChar"/>
    <w:uiPriority w:val="99"/>
    <w:rsid w:val="00BD3DCE"/>
    <w:pPr>
      <w:spacing w:line="240" w:lineRule="auto"/>
    </w:pPr>
    <w:rPr>
      <w:rFonts w:ascii="Times New Roman" w:eastAsia="SimSun" w:hAnsi="Times New Roman"/>
      <w:noProof/>
      <w:sz w:val="20"/>
      <w:szCs w:val="20"/>
      <w:lang w:eastAsia="zh-CN" w:bidi="ar-SA"/>
    </w:rPr>
  </w:style>
  <w:style w:type="character" w:customStyle="1" w:styleId="FootnoteTextChar">
    <w:name w:val="Footnote Text Char"/>
    <w:basedOn w:val="DefaultParagraphFont"/>
    <w:link w:val="FootnoteText"/>
    <w:uiPriority w:val="99"/>
    <w:rsid w:val="00BD3DCE"/>
    <w:rPr>
      <w:rFonts w:eastAsia="SimSun"/>
      <w:noProof/>
      <w:lang w:eastAsia="zh-CN"/>
    </w:rPr>
  </w:style>
  <w:style w:type="character" w:customStyle="1" w:styleId="EndnoteCharacters">
    <w:name w:val="Endnote Characters"/>
    <w:rsid w:val="00EA564E"/>
  </w:style>
  <w:style w:type="character" w:customStyle="1" w:styleId="apple-converted-space">
    <w:name w:val="apple-converted-space"/>
    <w:basedOn w:val="DefaultParagraphFont"/>
    <w:rsid w:val="00301874"/>
  </w:style>
  <w:style w:type="character" w:styleId="FollowedHyperlink">
    <w:name w:val="FollowedHyperlink"/>
    <w:basedOn w:val="DefaultParagraphFont"/>
    <w:uiPriority w:val="99"/>
    <w:semiHidden/>
    <w:unhideWhenUsed/>
    <w:rsid w:val="009E6480"/>
    <w:rPr>
      <w:color w:val="800080" w:themeColor="followedHyperlink"/>
      <w:u w:val="single"/>
    </w:rPr>
  </w:style>
  <w:style w:type="paragraph" w:styleId="HTMLPreformatted">
    <w:name w:val="HTML Preformatted"/>
    <w:basedOn w:val="Normal"/>
    <w:link w:val="HTMLPreformattedChar"/>
    <w:uiPriority w:val="99"/>
    <w:semiHidden/>
    <w:unhideWhenUsed/>
    <w:rsid w:val="00E003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bidi="ar-SA"/>
    </w:rPr>
  </w:style>
  <w:style w:type="character" w:customStyle="1" w:styleId="HTMLPreformattedChar">
    <w:name w:val="HTML Preformatted Char"/>
    <w:basedOn w:val="DefaultParagraphFont"/>
    <w:link w:val="HTMLPreformatted"/>
    <w:uiPriority w:val="99"/>
    <w:semiHidden/>
    <w:rsid w:val="00E00334"/>
    <w:rPr>
      <w:rFonts w:ascii="Courier New" w:hAnsi="Courier New" w:cs="Courier New"/>
    </w:rPr>
  </w:style>
  <w:style w:type="character" w:styleId="CommentReference">
    <w:name w:val="annotation reference"/>
    <w:basedOn w:val="DefaultParagraphFont"/>
    <w:uiPriority w:val="99"/>
    <w:semiHidden/>
    <w:unhideWhenUsed/>
    <w:rsid w:val="00CC7E5E"/>
    <w:rPr>
      <w:sz w:val="18"/>
      <w:szCs w:val="18"/>
    </w:rPr>
  </w:style>
  <w:style w:type="paragraph" w:styleId="CommentText">
    <w:name w:val="annotation text"/>
    <w:basedOn w:val="Normal"/>
    <w:link w:val="CommentTextChar"/>
    <w:uiPriority w:val="99"/>
    <w:semiHidden/>
    <w:unhideWhenUsed/>
    <w:rsid w:val="00CC7E5E"/>
    <w:pPr>
      <w:spacing w:line="240" w:lineRule="auto"/>
    </w:pPr>
  </w:style>
  <w:style w:type="character" w:customStyle="1" w:styleId="CommentTextChar">
    <w:name w:val="Comment Text Char"/>
    <w:basedOn w:val="DefaultParagraphFont"/>
    <w:link w:val="CommentText"/>
    <w:uiPriority w:val="99"/>
    <w:semiHidden/>
    <w:rsid w:val="00CC7E5E"/>
    <w:rPr>
      <w:rFonts w:asciiTheme="minorHAnsi" w:hAnsiTheme="minorHAnsi"/>
      <w:sz w:val="24"/>
      <w:szCs w:val="24"/>
      <w:lang w:bidi="en-US"/>
    </w:rPr>
  </w:style>
  <w:style w:type="paragraph" w:styleId="CommentSubject">
    <w:name w:val="annotation subject"/>
    <w:basedOn w:val="CommentText"/>
    <w:next w:val="CommentText"/>
    <w:link w:val="CommentSubjectChar"/>
    <w:uiPriority w:val="99"/>
    <w:semiHidden/>
    <w:unhideWhenUsed/>
    <w:rsid w:val="00CC7E5E"/>
    <w:rPr>
      <w:b/>
      <w:bCs/>
      <w:sz w:val="20"/>
      <w:szCs w:val="20"/>
    </w:rPr>
  </w:style>
  <w:style w:type="character" w:customStyle="1" w:styleId="CommentSubjectChar">
    <w:name w:val="Comment Subject Char"/>
    <w:basedOn w:val="CommentTextChar"/>
    <w:link w:val="CommentSubject"/>
    <w:uiPriority w:val="99"/>
    <w:semiHidden/>
    <w:rsid w:val="00CC7E5E"/>
    <w:rPr>
      <w:rFonts w:asciiTheme="minorHAnsi" w:hAnsiTheme="minorHAnsi"/>
      <w:b/>
      <w:bCs/>
      <w:sz w:val="24"/>
      <w:szCs w:val="24"/>
      <w:lang w:bidi="en-US"/>
    </w:rPr>
  </w:style>
  <w:style w:type="paragraph" w:styleId="Revision">
    <w:name w:val="Revision"/>
    <w:hidden/>
    <w:uiPriority w:val="99"/>
    <w:semiHidden/>
    <w:rsid w:val="004708BD"/>
    <w:rPr>
      <w:rFonts w:asciiTheme="minorHAnsi" w:hAnsiTheme="minorHAnsi"/>
      <w:sz w:val="24"/>
      <w:szCs w:val="24"/>
      <w:lang w:bidi="en-US"/>
    </w:rPr>
  </w:style>
  <w:style w:type="character" w:styleId="EndnoteReference">
    <w:name w:val="endnote reference"/>
    <w:basedOn w:val="DefaultParagraphFont"/>
    <w:uiPriority w:val="99"/>
    <w:semiHidden/>
    <w:unhideWhenUsed/>
    <w:rsid w:val="00C12E09"/>
    <w:rPr>
      <w:vertAlign w:val="superscript"/>
    </w:rPr>
  </w:style>
  <w:style w:type="paragraph" w:styleId="EndnoteText">
    <w:name w:val="endnote text"/>
    <w:basedOn w:val="Normal"/>
    <w:link w:val="EndnoteTextChar"/>
    <w:uiPriority w:val="99"/>
    <w:semiHidden/>
    <w:unhideWhenUsed/>
    <w:rsid w:val="00C12E09"/>
    <w:pPr>
      <w:spacing w:line="240" w:lineRule="auto"/>
    </w:pPr>
    <w:rPr>
      <w:sz w:val="20"/>
      <w:szCs w:val="20"/>
    </w:rPr>
  </w:style>
  <w:style w:type="character" w:customStyle="1" w:styleId="EndnoteTextChar">
    <w:name w:val="Endnote Text Char"/>
    <w:basedOn w:val="DefaultParagraphFont"/>
    <w:link w:val="EndnoteText"/>
    <w:uiPriority w:val="99"/>
    <w:semiHidden/>
    <w:rsid w:val="00C12E09"/>
    <w:rPr>
      <w:rFonts w:asciiTheme="minorHAnsi" w:hAnsiTheme="minorHAnsi"/>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DD0216"/>
    <w:pPr>
      <w:spacing w:line="480" w:lineRule="auto"/>
      <w:jc w:val="center"/>
      <w:outlineLvl w:val="0"/>
    </w:pPr>
    <w:rPr>
      <w:rFonts w:asciiTheme="majorHAnsi" w:hAnsiTheme="majorHAnsi"/>
      <w:b/>
      <w:bCs/>
      <w:i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F57EFD"/>
    <w:pPr>
      <w:keepNext/>
      <w:spacing w:line="480" w:lineRule="auto"/>
      <w:jc w:val="center"/>
      <w:outlineLvl w:val="2"/>
    </w:pPr>
    <w:rPr>
      <w:rFonts w:asciiTheme="majorHAnsi" w:hAnsiTheme="majorHAnsi"/>
      <w:bCs/>
      <w:i/>
      <w:iCs/>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0216"/>
    <w:rPr>
      <w:rFonts w:asciiTheme="majorHAnsi" w:hAnsiTheme="majorHAnsi"/>
      <w:b/>
      <w:bCs/>
      <w:i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F57EFD"/>
    <w:rPr>
      <w:rFonts w:asciiTheme="majorHAnsi" w:hAnsiTheme="majorHAnsi"/>
      <w:bCs/>
      <w:i/>
      <w:iCs/>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character" w:styleId="FootnoteReference">
    <w:name w:val="footnote reference"/>
    <w:basedOn w:val="DefaultParagraphFont"/>
    <w:uiPriority w:val="99"/>
    <w:unhideWhenUsed/>
    <w:rsid w:val="00BD3DCE"/>
    <w:rPr>
      <w:vertAlign w:val="superscript"/>
    </w:rPr>
  </w:style>
  <w:style w:type="paragraph" w:styleId="FootnoteText">
    <w:name w:val="footnote text"/>
    <w:basedOn w:val="Normal"/>
    <w:link w:val="FootnoteTextChar"/>
    <w:uiPriority w:val="99"/>
    <w:rsid w:val="00BD3DCE"/>
    <w:pPr>
      <w:spacing w:line="240" w:lineRule="auto"/>
    </w:pPr>
    <w:rPr>
      <w:rFonts w:ascii="Times New Roman" w:eastAsia="SimSun" w:hAnsi="Times New Roman"/>
      <w:noProof/>
      <w:sz w:val="20"/>
      <w:szCs w:val="20"/>
      <w:lang w:eastAsia="zh-CN" w:bidi="ar-SA"/>
    </w:rPr>
  </w:style>
  <w:style w:type="character" w:customStyle="1" w:styleId="FootnoteTextChar">
    <w:name w:val="Footnote Text Char"/>
    <w:basedOn w:val="DefaultParagraphFont"/>
    <w:link w:val="FootnoteText"/>
    <w:uiPriority w:val="99"/>
    <w:rsid w:val="00BD3DCE"/>
    <w:rPr>
      <w:rFonts w:eastAsia="SimSun"/>
      <w:noProof/>
      <w:lang w:eastAsia="zh-CN"/>
    </w:rPr>
  </w:style>
  <w:style w:type="character" w:customStyle="1" w:styleId="EndnoteCharacters">
    <w:name w:val="Endnote Characters"/>
    <w:rsid w:val="00EA564E"/>
  </w:style>
  <w:style w:type="character" w:customStyle="1" w:styleId="apple-converted-space">
    <w:name w:val="apple-converted-space"/>
    <w:basedOn w:val="DefaultParagraphFont"/>
    <w:rsid w:val="00301874"/>
  </w:style>
  <w:style w:type="character" w:styleId="FollowedHyperlink">
    <w:name w:val="FollowedHyperlink"/>
    <w:basedOn w:val="DefaultParagraphFont"/>
    <w:uiPriority w:val="99"/>
    <w:semiHidden/>
    <w:unhideWhenUsed/>
    <w:rsid w:val="009E6480"/>
    <w:rPr>
      <w:color w:val="800080" w:themeColor="followedHyperlink"/>
      <w:u w:val="single"/>
    </w:rPr>
  </w:style>
  <w:style w:type="paragraph" w:styleId="HTMLPreformatted">
    <w:name w:val="HTML Preformatted"/>
    <w:basedOn w:val="Normal"/>
    <w:link w:val="HTMLPreformattedChar"/>
    <w:uiPriority w:val="99"/>
    <w:semiHidden/>
    <w:unhideWhenUsed/>
    <w:rsid w:val="00E003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bidi="ar-SA"/>
    </w:rPr>
  </w:style>
  <w:style w:type="character" w:customStyle="1" w:styleId="HTMLPreformattedChar">
    <w:name w:val="HTML Preformatted Char"/>
    <w:basedOn w:val="DefaultParagraphFont"/>
    <w:link w:val="HTMLPreformatted"/>
    <w:uiPriority w:val="99"/>
    <w:semiHidden/>
    <w:rsid w:val="00E00334"/>
    <w:rPr>
      <w:rFonts w:ascii="Courier New" w:hAnsi="Courier New" w:cs="Courier New"/>
    </w:rPr>
  </w:style>
  <w:style w:type="character" w:styleId="CommentReference">
    <w:name w:val="annotation reference"/>
    <w:basedOn w:val="DefaultParagraphFont"/>
    <w:uiPriority w:val="99"/>
    <w:semiHidden/>
    <w:unhideWhenUsed/>
    <w:rsid w:val="00CC7E5E"/>
    <w:rPr>
      <w:sz w:val="18"/>
      <w:szCs w:val="18"/>
    </w:rPr>
  </w:style>
  <w:style w:type="paragraph" w:styleId="CommentText">
    <w:name w:val="annotation text"/>
    <w:basedOn w:val="Normal"/>
    <w:link w:val="CommentTextChar"/>
    <w:uiPriority w:val="99"/>
    <w:semiHidden/>
    <w:unhideWhenUsed/>
    <w:rsid w:val="00CC7E5E"/>
    <w:pPr>
      <w:spacing w:line="240" w:lineRule="auto"/>
    </w:pPr>
  </w:style>
  <w:style w:type="character" w:customStyle="1" w:styleId="CommentTextChar">
    <w:name w:val="Comment Text Char"/>
    <w:basedOn w:val="DefaultParagraphFont"/>
    <w:link w:val="CommentText"/>
    <w:uiPriority w:val="99"/>
    <w:semiHidden/>
    <w:rsid w:val="00CC7E5E"/>
    <w:rPr>
      <w:rFonts w:asciiTheme="minorHAnsi" w:hAnsiTheme="minorHAnsi"/>
      <w:sz w:val="24"/>
      <w:szCs w:val="24"/>
      <w:lang w:bidi="en-US"/>
    </w:rPr>
  </w:style>
  <w:style w:type="paragraph" w:styleId="CommentSubject">
    <w:name w:val="annotation subject"/>
    <w:basedOn w:val="CommentText"/>
    <w:next w:val="CommentText"/>
    <w:link w:val="CommentSubjectChar"/>
    <w:uiPriority w:val="99"/>
    <w:semiHidden/>
    <w:unhideWhenUsed/>
    <w:rsid w:val="00CC7E5E"/>
    <w:rPr>
      <w:b/>
      <w:bCs/>
      <w:sz w:val="20"/>
      <w:szCs w:val="20"/>
    </w:rPr>
  </w:style>
  <w:style w:type="character" w:customStyle="1" w:styleId="CommentSubjectChar">
    <w:name w:val="Comment Subject Char"/>
    <w:basedOn w:val="CommentTextChar"/>
    <w:link w:val="CommentSubject"/>
    <w:uiPriority w:val="99"/>
    <w:semiHidden/>
    <w:rsid w:val="00CC7E5E"/>
    <w:rPr>
      <w:rFonts w:asciiTheme="minorHAnsi" w:hAnsiTheme="minorHAnsi"/>
      <w:b/>
      <w:bCs/>
      <w:sz w:val="24"/>
      <w:szCs w:val="24"/>
      <w:lang w:bidi="en-US"/>
    </w:rPr>
  </w:style>
  <w:style w:type="paragraph" w:styleId="Revision">
    <w:name w:val="Revision"/>
    <w:hidden/>
    <w:uiPriority w:val="99"/>
    <w:semiHidden/>
    <w:rsid w:val="004708BD"/>
    <w:rPr>
      <w:rFonts w:asciiTheme="minorHAnsi" w:hAnsiTheme="minorHAnsi"/>
      <w:sz w:val="24"/>
      <w:szCs w:val="24"/>
      <w:lang w:bidi="en-US"/>
    </w:rPr>
  </w:style>
  <w:style w:type="character" w:styleId="EndnoteReference">
    <w:name w:val="endnote reference"/>
    <w:basedOn w:val="DefaultParagraphFont"/>
    <w:uiPriority w:val="99"/>
    <w:semiHidden/>
    <w:unhideWhenUsed/>
    <w:rsid w:val="00C12E09"/>
    <w:rPr>
      <w:vertAlign w:val="superscript"/>
    </w:rPr>
  </w:style>
  <w:style w:type="paragraph" w:styleId="EndnoteText">
    <w:name w:val="endnote text"/>
    <w:basedOn w:val="Normal"/>
    <w:link w:val="EndnoteTextChar"/>
    <w:uiPriority w:val="99"/>
    <w:semiHidden/>
    <w:unhideWhenUsed/>
    <w:rsid w:val="00C12E09"/>
    <w:pPr>
      <w:spacing w:line="240" w:lineRule="auto"/>
    </w:pPr>
    <w:rPr>
      <w:sz w:val="20"/>
      <w:szCs w:val="20"/>
    </w:rPr>
  </w:style>
  <w:style w:type="character" w:customStyle="1" w:styleId="EndnoteTextChar">
    <w:name w:val="Endnote Text Char"/>
    <w:basedOn w:val="DefaultParagraphFont"/>
    <w:link w:val="EndnoteText"/>
    <w:uiPriority w:val="99"/>
    <w:semiHidden/>
    <w:rsid w:val="00C12E09"/>
    <w:rPr>
      <w:rFonts w:asciiTheme="minorHAnsi" w:hAnsiTheme="minorHAns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528183">
      <w:bodyDiv w:val="1"/>
      <w:marLeft w:val="0"/>
      <w:marRight w:val="0"/>
      <w:marTop w:val="0"/>
      <w:marBottom w:val="0"/>
      <w:divBdr>
        <w:top w:val="none" w:sz="0" w:space="0" w:color="auto"/>
        <w:left w:val="none" w:sz="0" w:space="0" w:color="auto"/>
        <w:bottom w:val="none" w:sz="0" w:space="0" w:color="auto"/>
        <w:right w:val="none" w:sz="0" w:space="0" w:color="auto"/>
      </w:divBdr>
    </w:div>
    <w:div w:id="313729727">
      <w:bodyDiv w:val="1"/>
      <w:marLeft w:val="0"/>
      <w:marRight w:val="0"/>
      <w:marTop w:val="0"/>
      <w:marBottom w:val="0"/>
      <w:divBdr>
        <w:top w:val="none" w:sz="0" w:space="0" w:color="auto"/>
        <w:left w:val="none" w:sz="0" w:space="0" w:color="auto"/>
        <w:bottom w:val="none" w:sz="0" w:space="0" w:color="auto"/>
        <w:right w:val="none" w:sz="0" w:space="0" w:color="auto"/>
      </w:divBdr>
    </w:div>
    <w:div w:id="353386475">
      <w:bodyDiv w:val="1"/>
      <w:marLeft w:val="0"/>
      <w:marRight w:val="0"/>
      <w:marTop w:val="0"/>
      <w:marBottom w:val="0"/>
      <w:divBdr>
        <w:top w:val="none" w:sz="0" w:space="0" w:color="auto"/>
        <w:left w:val="none" w:sz="0" w:space="0" w:color="auto"/>
        <w:bottom w:val="none" w:sz="0" w:space="0" w:color="auto"/>
        <w:right w:val="none" w:sz="0" w:space="0" w:color="auto"/>
      </w:divBdr>
    </w:div>
    <w:div w:id="401804183">
      <w:bodyDiv w:val="1"/>
      <w:marLeft w:val="0"/>
      <w:marRight w:val="0"/>
      <w:marTop w:val="0"/>
      <w:marBottom w:val="0"/>
      <w:divBdr>
        <w:top w:val="none" w:sz="0" w:space="0" w:color="auto"/>
        <w:left w:val="none" w:sz="0" w:space="0" w:color="auto"/>
        <w:bottom w:val="none" w:sz="0" w:space="0" w:color="auto"/>
        <w:right w:val="none" w:sz="0" w:space="0" w:color="auto"/>
      </w:divBdr>
    </w:div>
    <w:div w:id="493644617">
      <w:bodyDiv w:val="1"/>
      <w:marLeft w:val="0"/>
      <w:marRight w:val="0"/>
      <w:marTop w:val="0"/>
      <w:marBottom w:val="0"/>
      <w:divBdr>
        <w:top w:val="none" w:sz="0" w:space="0" w:color="auto"/>
        <w:left w:val="none" w:sz="0" w:space="0" w:color="auto"/>
        <w:bottom w:val="none" w:sz="0" w:space="0" w:color="auto"/>
        <w:right w:val="none" w:sz="0" w:space="0" w:color="auto"/>
      </w:divBdr>
    </w:div>
    <w:div w:id="520558864">
      <w:bodyDiv w:val="1"/>
      <w:marLeft w:val="0"/>
      <w:marRight w:val="0"/>
      <w:marTop w:val="0"/>
      <w:marBottom w:val="0"/>
      <w:divBdr>
        <w:top w:val="none" w:sz="0" w:space="0" w:color="auto"/>
        <w:left w:val="none" w:sz="0" w:space="0" w:color="auto"/>
        <w:bottom w:val="none" w:sz="0" w:space="0" w:color="auto"/>
        <w:right w:val="none" w:sz="0" w:space="0" w:color="auto"/>
      </w:divBdr>
    </w:div>
    <w:div w:id="698433367">
      <w:bodyDiv w:val="1"/>
      <w:marLeft w:val="0"/>
      <w:marRight w:val="0"/>
      <w:marTop w:val="0"/>
      <w:marBottom w:val="0"/>
      <w:divBdr>
        <w:top w:val="none" w:sz="0" w:space="0" w:color="auto"/>
        <w:left w:val="none" w:sz="0" w:space="0" w:color="auto"/>
        <w:bottom w:val="none" w:sz="0" w:space="0" w:color="auto"/>
        <w:right w:val="none" w:sz="0" w:space="0" w:color="auto"/>
      </w:divBdr>
    </w:div>
    <w:div w:id="1112899099">
      <w:bodyDiv w:val="1"/>
      <w:marLeft w:val="0"/>
      <w:marRight w:val="0"/>
      <w:marTop w:val="0"/>
      <w:marBottom w:val="0"/>
      <w:divBdr>
        <w:top w:val="none" w:sz="0" w:space="0" w:color="auto"/>
        <w:left w:val="none" w:sz="0" w:space="0" w:color="auto"/>
        <w:bottom w:val="none" w:sz="0" w:space="0" w:color="auto"/>
        <w:right w:val="none" w:sz="0" w:space="0" w:color="auto"/>
      </w:divBdr>
    </w:div>
    <w:div w:id="1292899012">
      <w:bodyDiv w:val="1"/>
      <w:marLeft w:val="0"/>
      <w:marRight w:val="0"/>
      <w:marTop w:val="0"/>
      <w:marBottom w:val="0"/>
      <w:divBdr>
        <w:top w:val="none" w:sz="0" w:space="0" w:color="auto"/>
        <w:left w:val="none" w:sz="0" w:space="0" w:color="auto"/>
        <w:bottom w:val="none" w:sz="0" w:space="0" w:color="auto"/>
        <w:right w:val="none" w:sz="0" w:space="0" w:color="auto"/>
      </w:divBdr>
    </w:div>
    <w:div w:id="1441873528">
      <w:bodyDiv w:val="1"/>
      <w:marLeft w:val="0"/>
      <w:marRight w:val="0"/>
      <w:marTop w:val="0"/>
      <w:marBottom w:val="0"/>
      <w:divBdr>
        <w:top w:val="none" w:sz="0" w:space="0" w:color="auto"/>
        <w:left w:val="none" w:sz="0" w:space="0" w:color="auto"/>
        <w:bottom w:val="none" w:sz="0" w:space="0" w:color="auto"/>
        <w:right w:val="none" w:sz="0" w:space="0" w:color="auto"/>
      </w:divBdr>
    </w:div>
    <w:div w:id="1901557471">
      <w:bodyDiv w:val="1"/>
      <w:marLeft w:val="0"/>
      <w:marRight w:val="0"/>
      <w:marTop w:val="0"/>
      <w:marBottom w:val="0"/>
      <w:divBdr>
        <w:top w:val="none" w:sz="0" w:space="0" w:color="auto"/>
        <w:left w:val="none" w:sz="0" w:space="0" w:color="auto"/>
        <w:bottom w:val="none" w:sz="0" w:space="0" w:color="auto"/>
        <w:right w:val="none" w:sz="0" w:space="0" w:color="auto"/>
      </w:divBdr>
    </w:div>
    <w:div w:id="1946450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bsnews.com/stories/2003/05/23/60minutes/printable555344.shtml" TargetMode="External"/><Relationship Id="rId18" Type="http://schemas.openxmlformats.org/officeDocument/2006/relationships/hyperlink" Target="http://www.johncassara.com/index.php?option=com_content&amp;view=article&amp;id=20:afghanistans-drug-menace-why-cant-we-follow-the-money&amp;catid=2:articles&amp;Itemid=8" TargetMode="External"/><Relationship Id="rId26" Type="http://schemas.openxmlformats.org/officeDocument/2006/relationships/hyperlink" Target="http://news.bbc.co.uk/2/hi/south_asia/6731389.stm" TargetMode="External"/><Relationship Id="rId39" Type="http://schemas.openxmlformats.org/officeDocument/2006/relationships/hyperlink" Target="http://www.securitycouncilreport.org/atf/cf/%7B65BFCF9B-6D27-4E9C-8CD3-CF6E4FF96FF9%7D/Afgh%202007SuicideAttacks.pdf" TargetMode="External"/><Relationship Id="rId21" Type="http://schemas.openxmlformats.org/officeDocument/2006/relationships/hyperlink" Target="http://www.strategicstudiesinstitute.army.mil/pdffiles/pub822.pdf" TargetMode="External"/><Relationship Id="rId34" Type="http://schemas.openxmlformats.org/officeDocument/2006/relationships/hyperlink" Target="http://www.thedailybeast.com/articles/2015/03/16/confessions-of-australia-s-teenage-suicide-bomber.html" TargetMode="External"/><Relationship Id="rId42" Type="http://schemas.openxmlformats.org/officeDocument/2006/relationships/chart" Target="charts/chart2.xml"/><Relationship Id="rId47" Type="http://schemas.openxmlformats.org/officeDocument/2006/relationships/chart" Target="charts/chart7.xml"/><Relationship Id="rId50" Type="http://schemas.openxmlformats.org/officeDocument/2006/relationships/chart" Target="charts/chart10.xml"/><Relationship Id="rId55" Type="http://schemas.openxmlformats.org/officeDocument/2006/relationships/chart" Target="charts/chart15.xml"/><Relationship Id="rId63" Type="http://schemas.openxmlformats.org/officeDocument/2006/relationships/theme" Target="theme/theme1.xml"/><Relationship Id="rId68" Type="http://schemas.microsoft.com/office/2011/relationships/commentsExtended" Target="commentsExtended.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ctc.usma.edu/pdf/Stealing%20Al-Qai'da's%20Playbook%20--%20CTC.pdf" TargetMode="External"/><Relationship Id="rId20" Type="http://schemas.openxmlformats.org/officeDocument/2006/relationships/hyperlink" Target="http://www.scribd.com/doc/136899500/DIA-IIR-2004-pdf" TargetMode="External"/><Relationship Id="rId29" Type="http://schemas.openxmlformats.org/officeDocument/2006/relationships/hyperlink" Target="http://www.cnn.com/2015/03/13/asia/australia-isis-bilardi-blog/" TargetMode="External"/><Relationship Id="rId41" Type="http://schemas.openxmlformats.org/officeDocument/2006/relationships/hyperlink" Target="http://www.thedailybeast.com/articles/2015/11/16/how-isis-picks-its-suicide-bombers.html" TargetMode="External"/><Relationship Id="rId54" Type="http://schemas.openxmlformats.org/officeDocument/2006/relationships/chart" Target="charts/chart14.xml"/><Relationship Id="rId62" Type="http://schemas.openxmlformats.org/officeDocument/2006/relationships/glossaryDocument" Target="glossary/document.xml"/><Relationship Id="rId7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eligioscope.com/pdf/martyrdom.pdf" TargetMode="External"/><Relationship Id="rId24" Type="http://schemas.openxmlformats.org/officeDocument/2006/relationships/hyperlink" Target="http://content.time.com/time/magazine/article/0,9171,1077288,00.html" TargetMode="External"/><Relationship Id="rId32" Type="http://schemas.openxmlformats.org/officeDocument/2006/relationships/hyperlink" Target="http://www.nytimes.com/2007/11/22/world/middleeast/22fighters.html" TargetMode="External"/><Relationship Id="rId37" Type="http://schemas.openxmlformats.org/officeDocument/2006/relationships/hyperlink" Target="http://www.nytimes.com/2008/05/28/world/europe/28terror.html?partner=rssnyt" TargetMode="External"/><Relationship Id="rId40" Type="http://schemas.openxmlformats.org/officeDocument/2006/relationships/hyperlink" Target="http://jamestown.org/terrorism/news/article.php?articleid=2371075&amp;printthis=1" TargetMode="External"/><Relationship Id="rId45" Type="http://schemas.openxmlformats.org/officeDocument/2006/relationships/chart" Target="charts/chart5.xml"/><Relationship Id="rId53" Type="http://schemas.openxmlformats.org/officeDocument/2006/relationships/chart" Target="charts/chart13.xml"/><Relationship Id="rId58" Type="http://schemas.openxmlformats.org/officeDocument/2006/relationships/chart" Target="charts/chart18.xml"/><Relationship Id="rId5" Type="http://schemas.openxmlformats.org/officeDocument/2006/relationships/settings" Target="settings.xml"/><Relationship Id="rId15" Type="http://schemas.openxmlformats.org/officeDocument/2006/relationships/hyperlink" Target="http://sitemaker.umich.edu/satran/files/science-gst.pdf" TargetMode="External"/><Relationship Id="rId23" Type="http://schemas.openxmlformats.org/officeDocument/2006/relationships/hyperlink" Target="http://nationaljournal.com/njcover2.htm" TargetMode="External"/><Relationship Id="rId28" Type="http://schemas.openxmlformats.org/officeDocument/2006/relationships/hyperlink" Target="http://www.theatlantic.com/magazine/archive/2003/06/the-logic-of-suicide-terrorism/302739/" TargetMode="External"/><Relationship Id="rId36" Type="http://schemas.openxmlformats.org/officeDocument/2006/relationships/hyperlink" Target="http://www.ict.org.il/Article/209/The%20Islamic%20Legitimacy%20of%20The%20Martyrdom%20Operations" TargetMode="External"/><Relationship Id="rId49" Type="http://schemas.openxmlformats.org/officeDocument/2006/relationships/chart" Target="charts/chart9.xml"/><Relationship Id="rId57" Type="http://schemas.openxmlformats.org/officeDocument/2006/relationships/chart" Target="charts/chart17.xml"/><Relationship Id="rId61"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hyperlink" Target="http://www.windsofchange.net/archives/special_analysis_alqaeda_in_chechnya-print.php" TargetMode="External"/><Relationship Id="rId31" Type="http://schemas.openxmlformats.org/officeDocument/2006/relationships/hyperlink" Target="http://www.pulitzer.org/archives/6905" TargetMode="External"/><Relationship Id="rId44" Type="http://schemas.openxmlformats.org/officeDocument/2006/relationships/chart" Target="charts/chart4.xml"/><Relationship Id="rId52" Type="http://schemas.openxmlformats.org/officeDocument/2006/relationships/chart" Target="charts/chart12.xml"/><Relationship Id="rId60" Type="http://schemas.openxmlformats.org/officeDocument/2006/relationships/chart" Target="charts/chart20.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humansecuritygateway.com/documents/MILREVIEW_Taliban_Organizational_Analysis.pdf" TargetMode="External"/><Relationship Id="rId22" Type="http://schemas.openxmlformats.org/officeDocument/2006/relationships/hyperlink" Target="http://ctc.usma.edu/harmony/pdf/CTCForeignFighter.19.Dec07.pdf" TargetMode="External"/><Relationship Id="rId27" Type="http://schemas.openxmlformats.org/officeDocument/2006/relationships/hyperlink" Target="http://usacac.army.mil/CAC/milreview/English/JulAug06/Helmer.pdf" TargetMode="External"/><Relationship Id="rId30" Type="http://schemas.openxmlformats.org/officeDocument/2006/relationships/hyperlink" Target="http://www.pbs.org/newshour/rundown/hamas-backgrounder/" TargetMode="External"/><Relationship Id="rId35" Type="http://schemas.openxmlformats.org/officeDocument/2006/relationships/hyperlink" Target="http://www.ipcs.org/IRP05.pdf" TargetMode="External"/><Relationship Id="rId43" Type="http://schemas.openxmlformats.org/officeDocument/2006/relationships/chart" Target="charts/chart3.xml"/><Relationship Id="rId48" Type="http://schemas.openxmlformats.org/officeDocument/2006/relationships/chart" Target="charts/chart8.xml"/><Relationship Id="rId56" Type="http://schemas.openxmlformats.org/officeDocument/2006/relationships/chart" Target="charts/chart16.xml"/><Relationship Id="rId8" Type="http://schemas.openxmlformats.org/officeDocument/2006/relationships/endnotes" Target="endnotes.xml"/><Relationship Id="rId51" Type="http://schemas.openxmlformats.org/officeDocument/2006/relationships/chart" Target="charts/chart11.xml"/><Relationship Id="rId3" Type="http://schemas.openxmlformats.org/officeDocument/2006/relationships/styles" Target="styles.xml"/><Relationship Id="rId12" Type="http://schemas.openxmlformats.org/officeDocument/2006/relationships/hyperlink" Target="http://www.bbc.com/news/world-australia-31845428" TargetMode="External"/><Relationship Id="rId17" Type="http://schemas.openxmlformats.org/officeDocument/2006/relationships/hyperlink" Target="http://www.usip.org/sites/default/files/suicide_bombers_iraq.pdf" TargetMode="External"/><Relationship Id="rId25" Type="http://schemas.openxmlformats.org/officeDocument/2006/relationships/hyperlink" Target="http://content.time.com/time/magazine/article/0,9171,1118370,00.html" TargetMode="External"/><Relationship Id="rId33" Type="http://schemas.openxmlformats.org/officeDocument/2006/relationships/hyperlink" Target="http://pewglobal.org/reports/display.php?ReportID=257" TargetMode="External"/><Relationship Id="rId38" Type="http://schemas.openxmlformats.org/officeDocument/2006/relationships/hyperlink" Target="http://www.theguardian.com/commentisfree/2015/mar/18/miranda-devine-is-right-jake-bilardi-was-radicalised-by-the-banality-of-life" TargetMode="External"/><Relationship Id="rId46" Type="http://schemas.openxmlformats.org/officeDocument/2006/relationships/chart" Target="charts/chart6.xml"/><Relationship Id="rId59" Type="http://schemas.openxmlformats.org/officeDocument/2006/relationships/chart" Target="charts/chart19.xml"/></Relationships>
</file>

<file path=word/_rels/footnotes.xml.rels><?xml version="1.0" encoding="UTF-8" standalone="yes"?>
<Relationships xmlns="http://schemas.openxmlformats.org/package/2006/relationships"><Relationship Id="rId8" Type="http://schemas.openxmlformats.org/officeDocument/2006/relationships/hyperlink" Target="http://www.ipcs.org/IRP05.pdf" TargetMode="External"/><Relationship Id="rId13" Type="http://schemas.openxmlformats.org/officeDocument/2006/relationships/hyperlink" Target="http://www.theguardian.com/world/2006/apr/09/israel" TargetMode="External"/><Relationship Id="rId18" Type="http://schemas.openxmlformats.org/officeDocument/2006/relationships/hyperlink" Target="http://www.fas.org/irp/world/para/docs/980223-fatwa.htm" TargetMode="External"/><Relationship Id="rId26" Type="http://schemas.openxmlformats.org/officeDocument/2006/relationships/hyperlink" Target="http://www.thedailybeast.com/articles/2015/11/16/how-isis-picks-its-suicide-bombers.html" TargetMode="External"/><Relationship Id="rId3" Type="http://schemas.openxmlformats.org/officeDocument/2006/relationships/hyperlink" Target="http://www.cbsnews.com/news/saddams-suicide-bomb-funds/" TargetMode="External"/><Relationship Id="rId21" Type="http://schemas.openxmlformats.org/officeDocument/2006/relationships/hyperlink" Target="http://www.nytimes.com/2007/11/22/world/middleeast/22fighters.html" TargetMode="External"/><Relationship Id="rId7" Type="http://schemas.openxmlformats.org/officeDocument/2006/relationships/hyperlink" Target="http://www.start.umd.edu/gtd" TargetMode="External"/><Relationship Id="rId12" Type="http://schemas.openxmlformats.org/officeDocument/2006/relationships/hyperlink" Target="http://www.cfr.org/israel/palestinian-islamic-jihad/p15984" TargetMode="External"/><Relationship Id="rId17" Type="http://schemas.openxmlformats.org/officeDocument/2006/relationships/hyperlink" Target="http://www.meforum.org/" TargetMode="External"/><Relationship Id="rId25" Type="http://schemas.openxmlformats.org/officeDocument/2006/relationships/hyperlink" Target="http://www.thedailybeast.com/articles/2015/03/16/confessions-of-australia-s-teenage-suicide-bomber.html" TargetMode="External"/><Relationship Id="rId2" Type="http://schemas.openxmlformats.org/officeDocument/2006/relationships/hyperlink" Target="http://www.inss.org.il/uploadImages/systemFiles/No.%20653%20-%20" TargetMode="External"/><Relationship Id="rId16" Type="http://schemas.openxmlformats.org/officeDocument/2006/relationships/hyperlink" Target="http://www.windsofchange.net/archives/special_analysis_alqaeda_in_chechnya-print.php" TargetMode="External"/><Relationship Id="rId20" Type="http://schemas.openxmlformats.org/officeDocument/2006/relationships/hyperlink" Target="http://www.ict.org.il/Article/209/The%20Islamic%20Legitimacy%20of%20The%20Martyrdom%20Operations" TargetMode="External"/><Relationship Id="rId29" Type="http://schemas.openxmlformats.org/officeDocument/2006/relationships/hyperlink" Target="http://www.theguardian.com/commentisfree/2015/mar/18/miranda-devine-is-right-jake-bilardi-was-radicalised-by-the-banality-of-life" TargetMode="External"/><Relationship Id="rId1" Type="http://schemas.openxmlformats.org/officeDocument/2006/relationships/hyperlink" Target="http://www.mirror.co.uk/news/world-news/suicide-bomber-bursts-tears-comforted-6497847" TargetMode="External"/><Relationship Id="rId6" Type="http://schemas.openxmlformats.org/officeDocument/2006/relationships/hyperlink" Target="http://www.geocities.com/martinkramerorg/PapeKramer.htm" TargetMode="External"/><Relationship Id="rId11" Type="http://schemas.openxmlformats.org/officeDocument/2006/relationships/hyperlink" Target="http://www.newyorker.com/magazine/2001/11/19/an-arsenal-of-believers" TargetMode="External"/><Relationship Id="rId24" Type="http://schemas.openxmlformats.org/officeDocument/2006/relationships/hyperlink" Target="http://content.time.com/time/magazine/article/0,9171,1077288,00.html" TargetMode="External"/><Relationship Id="rId5" Type="http://schemas.openxmlformats.org/officeDocument/2006/relationships/hyperlink" Target="http://www.theguardian.com/world/2015/aug/02/turkish-troops-killed-suicide-attack-blamed-on-pkk" TargetMode="External"/><Relationship Id="rId15" Type="http://schemas.openxmlformats.org/officeDocument/2006/relationships/hyperlink" Target="http://users.jyu.fi/" TargetMode="External"/><Relationship Id="rId23" Type="http://schemas.openxmlformats.org/officeDocument/2006/relationships/hyperlink" Target="http://content.time.com/time/magazine/article/0,9171,1118370,00.html" TargetMode="External"/><Relationship Id="rId28" Type="http://schemas.openxmlformats.org/officeDocument/2006/relationships/hyperlink" Target="http://www.bbc.com/news/world-australia-31845428" TargetMode="External"/><Relationship Id="rId10" Type="http://schemas.openxmlformats.org/officeDocument/2006/relationships/hyperlink" Target="http://www.independent.co.uk/news/people/obituary-dr-fathi-shkaki-1580289.html" TargetMode="External"/><Relationship Id="rId19" Type="http://schemas.openxmlformats.org/officeDocument/2006/relationships/hyperlink" Target="http://www.strategicstudiesinstitute.army.mil/pdffiles/pub822.pdf" TargetMode="External"/><Relationship Id="rId4" Type="http://schemas.openxmlformats.org/officeDocument/2006/relationships/hyperlink" Target="http://www.securitycouncilreport.org/atf/cf/%7B65BFCF9B-6D27-4E9C-8CD3-CF6E4FF96FF9%7D/Afgh%202007SuicideAttacks.pdf" TargetMode="External"/><Relationship Id="rId9" Type="http://schemas.openxmlformats.org/officeDocument/2006/relationships/hyperlink" Target="http://www.pbs.org/newshour/rundown/hamas-backgrounder/" TargetMode="External"/><Relationship Id="rId14" Type="http://schemas.openxmlformats.org/officeDocument/2006/relationships/hyperlink" Target="http://www.newyorker.com/magazine/2001/11/19/an-arsenal-of-believers" TargetMode="External"/><Relationship Id="rId22" Type="http://schemas.openxmlformats.org/officeDocument/2006/relationships/hyperlink" Target="http://ctc.usma.edu/harmony/pdf/CTCForeignFighter.19.Dec07.pdf" TargetMode="External"/><Relationship Id="rId27" Type="http://schemas.openxmlformats.org/officeDocument/2006/relationships/hyperlink" Target="http://www.cnn.com/2015/03/13/asia/australia-isis-bilardi-blog/" TargetMode="External"/><Relationship Id="rId30" Type="http://schemas.openxmlformats.org/officeDocument/2006/relationships/hyperlink" Target="http://www.cbc.ca/news/politics/grenier-muslim-canadians-environics-1.3551591"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Justin\Dropbox\School\OU%20-%20Thesis\START%20Suicide%20Attacks.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file:///E:\Dropbox%202\Dropbox\School\OU%20-%20Thesis\START%20Suicide%20Attacks.xlsx" TargetMode="External"/><Relationship Id="rId1" Type="http://schemas.openxmlformats.org/officeDocument/2006/relationships/themeOverride" Target="../theme/themeOverride8.xml"/></Relationships>
</file>

<file path=word/charts/_rels/chart11.xml.rels><?xml version="1.0" encoding="UTF-8" standalone="yes"?>
<Relationships xmlns="http://schemas.openxmlformats.org/package/2006/relationships"><Relationship Id="rId2" Type="http://schemas.openxmlformats.org/officeDocument/2006/relationships/oleObject" Target="file:///E:\Dropbox%202\Dropbox\School\OU%20-%20Thesis\START%20Suicide%20Attacks.xlsx" TargetMode="External"/><Relationship Id="rId1" Type="http://schemas.openxmlformats.org/officeDocument/2006/relationships/themeOverride" Target="../theme/themeOverride9.xml"/></Relationships>
</file>

<file path=word/charts/_rels/chart12.xml.rels><?xml version="1.0" encoding="UTF-8" standalone="yes"?>
<Relationships xmlns="http://schemas.openxmlformats.org/package/2006/relationships"><Relationship Id="rId2" Type="http://schemas.openxmlformats.org/officeDocument/2006/relationships/oleObject" Target="file:///E:\Dropbox%202\Dropbox\School\OU%20-%20Thesis\START%20Suicide%20Attacks.xlsx" TargetMode="External"/><Relationship Id="rId1" Type="http://schemas.openxmlformats.org/officeDocument/2006/relationships/themeOverride" Target="../theme/themeOverride10.xml"/></Relationships>
</file>

<file path=word/charts/_rels/chart13.xml.rels><?xml version="1.0" encoding="UTF-8" standalone="yes"?>
<Relationships xmlns="http://schemas.openxmlformats.org/package/2006/relationships"><Relationship Id="rId2" Type="http://schemas.openxmlformats.org/officeDocument/2006/relationships/oleObject" Target="file:///E:\Dropbox%202\Dropbox\School\OU%20-%20Thesis\START%20Suicide%20Attacks.xlsx" TargetMode="External"/><Relationship Id="rId1" Type="http://schemas.openxmlformats.org/officeDocument/2006/relationships/themeOverride" Target="../theme/themeOverride11.xml"/></Relationships>
</file>

<file path=word/charts/_rels/chart14.xml.rels><?xml version="1.0" encoding="UTF-8" standalone="yes"?>
<Relationships xmlns="http://schemas.openxmlformats.org/package/2006/relationships"><Relationship Id="rId2" Type="http://schemas.openxmlformats.org/officeDocument/2006/relationships/oleObject" Target="file:///E:\Dropbox%202\Dropbox\School\OU%20-%20Thesis\START%20Suicide%20Attacks.xlsx" TargetMode="External"/><Relationship Id="rId1" Type="http://schemas.openxmlformats.org/officeDocument/2006/relationships/themeOverride" Target="../theme/themeOverride12.xml"/></Relationships>
</file>

<file path=word/charts/_rels/chart15.xml.rels><?xml version="1.0" encoding="UTF-8" standalone="yes"?>
<Relationships xmlns="http://schemas.openxmlformats.org/package/2006/relationships"><Relationship Id="rId2" Type="http://schemas.openxmlformats.org/officeDocument/2006/relationships/oleObject" Target="file:///E:\Dropbox%202\Dropbox\School\OU%20-%20Thesis\START%20Suicide%20Attacks.xlsx" TargetMode="External"/><Relationship Id="rId1" Type="http://schemas.openxmlformats.org/officeDocument/2006/relationships/themeOverride" Target="../theme/themeOverride13.xml"/></Relationships>
</file>

<file path=word/charts/_rels/chart16.xml.rels><?xml version="1.0" encoding="UTF-8" standalone="yes"?>
<Relationships xmlns="http://schemas.openxmlformats.org/package/2006/relationships"><Relationship Id="rId2" Type="http://schemas.openxmlformats.org/officeDocument/2006/relationships/oleObject" Target="file:///E:\Dropbox%202\Dropbox\School\OU%20-%20Thesis\START%20Suicide%20Attacks.xlsx" TargetMode="External"/><Relationship Id="rId1" Type="http://schemas.openxmlformats.org/officeDocument/2006/relationships/themeOverride" Target="../theme/themeOverride14.xml"/></Relationships>
</file>

<file path=word/charts/_rels/chart17.xml.rels><?xml version="1.0" encoding="UTF-8" standalone="yes"?>
<Relationships xmlns="http://schemas.openxmlformats.org/package/2006/relationships"><Relationship Id="rId2" Type="http://schemas.openxmlformats.org/officeDocument/2006/relationships/oleObject" Target="file:///E:\Dropbox%202\Dropbox\School\OU%20-%20Thesis\START%20Suicide%20Attacks.xlsx" TargetMode="External"/><Relationship Id="rId1" Type="http://schemas.openxmlformats.org/officeDocument/2006/relationships/themeOverride" Target="../theme/themeOverride15.xml"/></Relationships>
</file>

<file path=word/charts/_rels/chart18.xml.rels><?xml version="1.0" encoding="UTF-8" standalone="yes"?>
<Relationships xmlns="http://schemas.openxmlformats.org/package/2006/relationships"><Relationship Id="rId2" Type="http://schemas.openxmlformats.org/officeDocument/2006/relationships/oleObject" Target="file:///E:\Dropbox%202\Dropbox\School\OU%20-%20Thesis\START%20Suicide%20Attacks.xlsx" TargetMode="External"/><Relationship Id="rId1" Type="http://schemas.openxmlformats.org/officeDocument/2006/relationships/themeOverride" Target="../theme/themeOverride16.xml"/></Relationships>
</file>

<file path=word/charts/_rels/chart19.xml.rels><?xml version="1.0" encoding="UTF-8" standalone="yes"?>
<Relationships xmlns="http://schemas.openxmlformats.org/package/2006/relationships"><Relationship Id="rId2" Type="http://schemas.openxmlformats.org/officeDocument/2006/relationships/oleObject" Target="file:///E:\Dropbox%202\Dropbox\School\OU%20-%20Thesis\START%20Suicide%20Attacks.xlsx" TargetMode="External"/><Relationship Id="rId1" Type="http://schemas.openxmlformats.org/officeDocument/2006/relationships/themeOverride" Target="../theme/themeOverride17.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Justin\Dropbox\School\OU%20-%20Thesis\START%20Suicide%20Attacks.xlsx" TargetMode="External"/><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oleObject" Target="file:///E:\Dropbox%202\Dropbox\School\OU%20-%20Thesis\START%20Suicide%20Attacks.xlsx" TargetMode="External"/><Relationship Id="rId1" Type="http://schemas.openxmlformats.org/officeDocument/2006/relationships/themeOverride" Target="../theme/themeOverride18.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Justin\Dropbox\School\OU%20-%20Thesis\Datasets\CPOST_all_target_tagged.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Justin\Dropbox\School\OU%20-%20Thesis\Datasets\CPOST_all_target_tagged.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Justin\Dropbox\School\OU%20-%20Thesis\Datasets\START%20Suicide%20Attacks.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1" Type="http://schemas.openxmlformats.org/officeDocument/2006/relationships/oleObject" Target="file:///E:\Dropbox%202\Dropbox\School\OU%20-%20Thesis\START%20Suicide%20Attack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Dropbox%202\Dropbox\School\OU%20-%20Thesis\START%20Suicide%20Attacks.xlsx" TargetMode="External"/></Relationships>
</file>

<file path=word/charts/_rels/chart8.xml.rels><?xml version="1.0" encoding="UTF-8" standalone="yes"?>
<Relationships xmlns="http://schemas.openxmlformats.org/package/2006/relationships"><Relationship Id="rId2" Type="http://schemas.openxmlformats.org/officeDocument/2006/relationships/oleObject" Target="file:///E:\Dropbox%202\Dropbox\School\OU%20-%20Thesis\START%20Suicide%20Attacks.xlsx" TargetMode="External"/><Relationship Id="rId1" Type="http://schemas.openxmlformats.org/officeDocument/2006/relationships/themeOverride" Target="../theme/themeOverride6.xml"/></Relationships>
</file>

<file path=word/charts/_rels/chart9.xml.rels><?xml version="1.0" encoding="UTF-8" standalone="yes"?>
<Relationships xmlns="http://schemas.openxmlformats.org/package/2006/relationships"><Relationship Id="rId2" Type="http://schemas.openxmlformats.org/officeDocument/2006/relationships/oleObject" Target="file:///E:\Dropbox%202\Dropbox\School\OU%20-%20Thesis\START%20Suicide%20Attacks.xlsx" TargetMode="External"/><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42"/>
    </mc:Choice>
    <mc:Fallback>
      <c:style val="42"/>
    </mc:Fallback>
  </mc:AlternateContent>
  <c:clrMapOvr bg1="lt1" tx1="dk1" bg2="lt2" tx2="dk2" accent1="accent1" accent2="accent2" accent3="accent3" accent4="accent4" accent5="accent5" accent6="accent6" hlink="hlink" folHlink="folHlink"/>
  <c:chart>
    <c:title>
      <c:tx>
        <c:rich>
          <a:bodyPr/>
          <a:lstStyle/>
          <a:p>
            <a:pPr>
              <a:defRPr/>
            </a:pPr>
            <a:r>
              <a:rPr lang="en-US"/>
              <a:t>Total Global Suicide Attacks (START)</a:t>
            </a:r>
          </a:p>
        </c:rich>
      </c:tx>
      <c:overlay val="0"/>
    </c:title>
    <c:autoTitleDeleted val="0"/>
    <c:plotArea>
      <c:layout/>
      <c:lineChart>
        <c:grouping val="standard"/>
        <c:varyColors val="0"/>
        <c:ser>
          <c:idx val="12"/>
          <c:order val="0"/>
          <c:tx>
            <c:strRef>
              <c:f>'Targets and Countries'!$B$1</c:f>
              <c:strCache>
                <c:ptCount val="1"/>
                <c:pt idx="0">
                  <c:v>Total</c:v>
                </c:pt>
              </c:strCache>
            </c:strRef>
          </c:tx>
          <c:spPr>
            <a:ln w="63500">
              <a:solidFill>
                <a:srgbClr val="7030A0"/>
              </a:solidFill>
            </a:ln>
          </c:spPr>
          <c:marker>
            <c:symbol val="none"/>
          </c:marker>
          <c:cat>
            <c:numRef>
              <c:f>'Targets and Countries'!$A$2:$A$35</c:f>
              <c:numCache>
                <c:formatCode>General</c:formatCode>
                <c:ptCount val="33"/>
                <c:pt idx="0">
                  <c:v>1981</c:v>
                </c:pt>
                <c:pt idx="1">
                  <c:v>1982</c:v>
                </c:pt>
                <c:pt idx="2">
                  <c:v>1983</c:v>
                </c:pt>
                <c:pt idx="3">
                  <c:v>1984</c:v>
                </c:pt>
                <c:pt idx="4">
                  <c:v>1985</c:v>
                </c:pt>
                <c:pt idx="5">
                  <c:v>1986</c:v>
                </c:pt>
                <c:pt idx="6">
                  <c:v>1987</c:v>
                </c:pt>
                <c:pt idx="7">
                  <c:v>1988</c:v>
                </c:pt>
                <c:pt idx="8">
                  <c:v>1989</c:v>
                </c:pt>
                <c:pt idx="9">
                  <c:v>1990</c:v>
                </c:pt>
                <c:pt idx="10">
                  <c:v>1991</c:v>
                </c:pt>
                <c:pt idx="11">
                  <c:v>1992</c:v>
                </c:pt>
                <c:pt idx="12">
                  <c:v>1994</c:v>
                </c:pt>
                <c:pt idx="13">
                  <c:v>1995</c:v>
                </c:pt>
                <c:pt idx="14">
                  <c:v>1996</c:v>
                </c:pt>
                <c:pt idx="15">
                  <c:v>1997</c:v>
                </c:pt>
                <c:pt idx="16">
                  <c:v>1998</c:v>
                </c:pt>
                <c:pt idx="17">
                  <c:v>1999</c:v>
                </c:pt>
                <c:pt idx="18">
                  <c:v>2000</c:v>
                </c:pt>
                <c:pt idx="19">
                  <c:v>2001</c:v>
                </c:pt>
                <c:pt idx="20">
                  <c:v>2002</c:v>
                </c:pt>
                <c:pt idx="21">
                  <c:v>2003</c:v>
                </c:pt>
                <c:pt idx="22">
                  <c:v>2004</c:v>
                </c:pt>
                <c:pt idx="23">
                  <c:v>2005</c:v>
                </c:pt>
                <c:pt idx="24">
                  <c:v>2006</c:v>
                </c:pt>
                <c:pt idx="25">
                  <c:v>2007</c:v>
                </c:pt>
                <c:pt idx="26">
                  <c:v>2008</c:v>
                </c:pt>
                <c:pt idx="27">
                  <c:v>2009</c:v>
                </c:pt>
                <c:pt idx="28">
                  <c:v>2010</c:v>
                </c:pt>
                <c:pt idx="29">
                  <c:v>2011</c:v>
                </c:pt>
                <c:pt idx="30">
                  <c:v>2012</c:v>
                </c:pt>
                <c:pt idx="31">
                  <c:v>2013</c:v>
                </c:pt>
                <c:pt idx="32">
                  <c:v>2014</c:v>
                </c:pt>
              </c:numCache>
            </c:numRef>
          </c:cat>
          <c:val>
            <c:numRef>
              <c:f>'Targets and Countries'!$B$2:$B$35</c:f>
              <c:numCache>
                <c:formatCode>General</c:formatCode>
                <c:ptCount val="33"/>
                <c:pt idx="0">
                  <c:v>1</c:v>
                </c:pt>
                <c:pt idx="1">
                  <c:v>1</c:v>
                </c:pt>
                <c:pt idx="2">
                  <c:v>5</c:v>
                </c:pt>
                <c:pt idx="3">
                  <c:v>2</c:v>
                </c:pt>
                <c:pt idx="4">
                  <c:v>15</c:v>
                </c:pt>
                <c:pt idx="5">
                  <c:v>3</c:v>
                </c:pt>
                <c:pt idx="6">
                  <c:v>2</c:v>
                </c:pt>
                <c:pt idx="7">
                  <c:v>1</c:v>
                </c:pt>
                <c:pt idx="8">
                  <c:v>2</c:v>
                </c:pt>
                <c:pt idx="9">
                  <c:v>2</c:v>
                </c:pt>
                <c:pt idx="10">
                  <c:v>2</c:v>
                </c:pt>
                <c:pt idx="11">
                  <c:v>2</c:v>
                </c:pt>
                <c:pt idx="12">
                  <c:v>11</c:v>
                </c:pt>
                <c:pt idx="13">
                  <c:v>20</c:v>
                </c:pt>
                <c:pt idx="14">
                  <c:v>15</c:v>
                </c:pt>
                <c:pt idx="15">
                  <c:v>12</c:v>
                </c:pt>
                <c:pt idx="16">
                  <c:v>22</c:v>
                </c:pt>
                <c:pt idx="17">
                  <c:v>27</c:v>
                </c:pt>
                <c:pt idx="18">
                  <c:v>37</c:v>
                </c:pt>
                <c:pt idx="19">
                  <c:v>53</c:v>
                </c:pt>
                <c:pt idx="20">
                  <c:v>75</c:v>
                </c:pt>
                <c:pt idx="21">
                  <c:v>83</c:v>
                </c:pt>
                <c:pt idx="22">
                  <c:v>112</c:v>
                </c:pt>
                <c:pt idx="23">
                  <c:v>203</c:v>
                </c:pt>
                <c:pt idx="24">
                  <c:v>173</c:v>
                </c:pt>
                <c:pt idx="25">
                  <c:v>359</c:v>
                </c:pt>
                <c:pt idx="26">
                  <c:v>242</c:v>
                </c:pt>
                <c:pt idx="27">
                  <c:v>178</c:v>
                </c:pt>
                <c:pt idx="28">
                  <c:v>170</c:v>
                </c:pt>
                <c:pt idx="29">
                  <c:v>202</c:v>
                </c:pt>
                <c:pt idx="30">
                  <c:v>401</c:v>
                </c:pt>
                <c:pt idx="31">
                  <c:v>624</c:v>
                </c:pt>
                <c:pt idx="32">
                  <c:v>738</c:v>
                </c:pt>
              </c:numCache>
            </c:numRef>
          </c:val>
          <c:smooth val="1"/>
        </c:ser>
        <c:ser>
          <c:idx val="20"/>
          <c:order val="1"/>
          <c:tx>
            <c:strRef>
              <c:f>'Targets and Countries'!$C$1</c:f>
              <c:strCache>
                <c:ptCount val="1"/>
                <c:pt idx="0">
                  <c:v>Military</c:v>
                </c:pt>
              </c:strCache>
            </c:strRef>
          </c:tx>
          <c:spPr>
            <a:ln w="63500">
              <a:solidFill>
                <a:srgbClr val="FF0000"/>
              </a:solidFill>
            </a:ln>
          </c:spPr>
          <c:marker>
            <c:symbol val="none"/>
          </c:marker>
          <c:cat>
            <c:numRef>
              <c:f>'Targets and Countries'!$A$2:$A$35</c:f>
              <c:numCache>
                <c:formatCode>General</c:formatCode>
                <c:ptCount val="33"/>
                <c:pt idx="0">
                  <c:v>1981</c:v>
                </c:pt>
                <c:pt idx="1">
                  <c:v>1982</c:v>
                </c:pt>
                <c:pt idx="2">
                  <c:v>1983</c:v>
                </c:pt>
                <c:pt idx="3">
                  <c:v>1984</c:v>
                </c:pt>
                <c:pt idx="4">
                  <c:v>1985</c:v>
                </c:pt>
                <c:pt idx="5">
                  <c:v>1986</c:v>
                </c:pt>
                <c:pt idx="6">
                  <c:v>1987</c:v>
                </c:pt>
                <c:pt idx="7">
                  <c:v>1988</c:v>
                </c:pt>
                <c:pt idx="8">
                  <c:v>1989</c:v>
                </c:pt>
                <c:pt idx="9">
                  <c:v>1990</c:v>
                </c:pt>
                <c:pt idx="10">
                  <c:v>1991</c:v>
                </c:pt>
                <c:pt idx="11">
                  <c:v>1992</c:v>
                </c:pt>
                <c:pt idx="12">
                  <c:v>1994</c:v>
                </c:pt>
                <c:pt idx="13">
                  <c:v>1995</c:v>
                </c:pt>
                <c:pt idx="14">
                  <c:v>1996</c:v>
                </c:pt>
                <c:pt idx="15">
                  <c:v>1997</c:v>
                </c:pt>
                <c:pt idx="16">
                  <c:v>1998</c:v>
                </c:pt>
                <c:pt idx="17">
                  <c:v>1999</c:v>
                </c:pt>
                <c:pt idx="18">
                  <c:v>2000</c:v>
                </c:pt>
                <c:pt idx="19">
                  <c:v>2001</c:v>
                </c:pt>
                <c:pt idx="20">
                  <c:v>2002</c:v>
                </c:pt>
                <c:pt idx="21">
                  <c:v>2003</c:v>
                </c:pt>
                <c:pt idx="22">
                  <c:v>2004</c:v>
                </c:pt>
                <c:pt idx="23">
                  <c:v>2005</c:v>
                </c:pt>
                <c:pt idx="24">
                  <c:v>2006</c:v>
                </c:pt>
                <c:pt idx="25">
                  <c:v>2007</c:v>
                </c:pt>
                <c:pt idx="26">
                  <c:v>2008</c:v>
                </c:pt>
                <c:pt idx="27">
                  <c:v>2009</c:v>
                </c:pt>
                <c:pt idx="28">
                  <c:v>2010</c:v>
                </c:pt>
                <c:pt idx="29">
                  <c:v>2011</c:v>
                </c:pt>
                <c:pt idx="30">
                  <c:v>2012</c:v>
                </c:pt>
                <c:pt idx="31">
                  <c:v>2013</c:v>
                </c:pt>
                <c:pt idx="32">
                  <c:v>2014</c:v>
                </c:pt>
              </c:numCache>
            </c:numRef>
          </c:cat>
          <c:val>
            <c:numRef>
              <c:f>'Targets and Countries'!$C$2:$C$35</c:f>
              <c:numCache>
                <c:formatCode>General</c:formatCode>
                <c:ptCount val="33"/>
                <c:pt idx="0">
                  <c:v>0</c:v>
                </c:pt>
                <c:pt idx="1">
                  <c:v>1</c:v>
                </c:pt>
                <c:pt idx="2">
                  <c:v>3</c:v>
                </c:pt>
                <c:pt idx="3">
                  <c:v>1</c:v>
                </c:pt>
                <c:pt idx="4">
                  <c:v>8</c:v>
                </c:pt>
                <c:pt idx="5">
                  <c:v>1</c:v>
                </c:pt>
                <c:pt idx="6">
                  <c:v>0</c:v>
                </c:pt>
                <c:pt idx="7">
                  <c:v>1</c:v>
                </c:pt>
                <c:pt idx="8">
                  <c:v>1</c:v>
                </c:pt>
                <c:pt idx="9">
                  <c:v>2</c:v>
                </c:pt>
                <c:pt idx="10">
                  <c:v>1</c:v>
                </c:pt>
                <c:pt idx="11">
                  <c:v>1</c:v>
                </c:pt>
                <c:pt idx="12">
                  <c:v>5</c:v>
                </c:pt>
                <c:pt idx="13">
                  <c:v>8</c:v>
                </c:pt>
                <c:pt idx="14">
                  <c:v>4</c:v>
                </c:pt>
                <c:pt idx="15">
                  <c:v>4</c:v>
                </c:pt>
                <c:pt idx="16">
                  <c:v>7</c:v>
                </c:pt>
                <c:pt idx="17">
                  <c:v>3</c:v>
                </c:pt>
                <c:pt idx="18">
                  <c:v>22</c:v>
                </c:pt>
                <c:pt idx="19">
                  <c:v>8</c:v>
                </c:pt>
                <c:pt idx="20">
                  <c:v>10</c:v>
                </c:pt>
                <c:pt idx="21">
                  <c:v>16</c:v>
                </c:pt>
                <c:pt idx="22">
                  <c:v>27</c:v>
                </c:pt>
                <c:pt idx="23">
                  <c:v>53</c:v>
                </c:pt>
                <c:pt idx="24">
                  <c:v>30</c:v>
                </c:pt>
                <c:pt idx="25">
                  <c:v>64</c:v>
                </c:pt>
                <c:pt idx="26">
                  <c:v>32</c:v>
                </c:pt>
                <c:pt idx="27">
                  <c:v>14</c:v>
                </c:pt>
                <c:pt idx="28">
                  <c:v>15</c:v>
                </c:pt>
                <c:pt idx="29">
                  <c:v>23</c:v>
                </c:pt>
                <c:pt idx="30">
                  <c:v>98</c:v>
                </c:pt>
                <c:pt idx="31">
                  <c:v>174</c:v>
                </c:pt>
                <c:pt idx="32">
                  <c:v>239</c:v>
                </c:pt>
              </c:numCache>
            </c:numRef>
          </c:val>
          <c:smooth val="1"/>
        </c:ser>
        <c:ser>
          <c:idx val="21"/>
          <c:order val="2"/>
          <c:tx>
            <c:strRef>
              <c:f>'Targets and Countries'!$D$1</c:f>
              <c:strCache>
                <c:ptCount val="1"/>
                <c:pt idx="0">
                  <c:v>Government</c:v>
                </c:pt>
              </c:strCache>
            </c:strRef>
          </c:tx>
          <c:spPr>
            <a:ln w="63500">
              <a:solidFill>
                <a:srgbClr val="00B050"/>
              </a:solidFill>
            </a:ln>
          </c:spPr>
          <c:marker>
            <c:symbol val="none"/>
          </c:marker>
          <c:cat>
            <c:numRef>
              <c:f>'Targets and Countries'!$A$2:$A$35</c:f>
              <c:numCache>
                <c:formatCode>General</c:formatCode>
                <c:ptCount val="33"/>
                <c:pt idx="0">
                  <c:v>1981</c:v>
                </c:pt>
                <c:pt idx="1">
                  <c:v>1982</c:v>
                </c:pt>
                <c:pt idx="2">
                  <c:v>1983</c:v>
                </c:pt>
                <c:pt idx="3">
                  <c:v>1984</c:v>
                </c:pt>
                <c:pt idx="4">
                  <c:v>1985</c:v>
                </c:pt>
                <c:pt idx="5">
                  <c:v>1986</c:v>
                </c:pt>
                <c:pt idx="6">
                  <c:v>1987</c:v>
                </c:pt>
                <c:pt idx="7">
                  <c:v>1988</c:v>
                </c:pt>
                <c:pt idx="8">
                  <c:v>1989</c:v>
                </c:pt>
                <c:pt idx="9">
                  <c:v>1990</c:v>
                </c:pt>
                <c:pt idx="10">
                  <c:v>1991</c:v>
                </c:pt>
                <c:pt idx="11">
                  <c:v>1992</c:v>
                </c:pt>
                <c:pt idx="12">
                  <c:v>1994</c:v>
                </c:pt>
                <c:pt idx="13">
                  <c:v>1995</c:v>
                </c:pt>
                <c:pt idx="14">
                  <c:v>1996</c:v>
                </c:pt>
                <c:pt idx="15">
                  <c:v>1997</c:v>
                </c:pt>
                <c:pt idx="16">
                  <c:v>1998</c:v>
                </c:pt>
                <c:pt idx="17">
                  <c:v>1999</c:v>
                </c:pt>
                <c:pt idx="18">
                  <c:v>2000</c:v>
                </c:pt>
                <c:pt idx="19">
                  <c:v>2001</c:v>
                </c:pt>
                <c:pt idx="20">
                  <c:v>2002</c:v>
                </c:pt>
                <c:pt idx="21">
                  <c:v>2003</c:v>
                </c:pt>
                <c:pt idx="22">
                  <c:v>2004</c:v>
                </c:pt>
                <c:pt idx="23">
                  <c:v>2005</c:v>
                </c:pt>
                <c:pt idx="24">
                  <c:v>2006</c:v>
                </c:pt>
                <c:pt idx="25">
                  <c:v>2007</c:v>
                </c:pt>
                <c:pt idx="26">
                  <c:v>2008</c:v>
                </c:pt>
                <c:pt idx="27">
                  <c:v>2009</c:v>
                </c:pt>
                <c:pt idx="28">
                  <c:v>2010</c:v>
                </c:pt>
                <c:pt idx="29">
                  <c:v>2011</c:v>
                </c:pt>
                <c:pt idx="30">
                  <c:v>2012</c:v>
                </c:pt>
                <c:pt idx="31">
                  <c:v>2013</c:v>
                </c:pt>
                <c:pt idx="32">
                  <c:v>2014</c:v>
                </c:pt>
              </c:numCache>
            </c:numRef>
          </c:cat>
          <c:val>
            <c:numRef>
              <c:f>'Targets and Countries'!$D$2:$D$35</c:f>
              <c:numCache>
                <c:formatCode>General</c:formatCode>
                <c:ptCount val="33"/>
                <c:pt idx="0">
                  <c:v>1</c:v>
                </c:pt>
                <c:pt idx="1">
                  <c:v>0</c:v>
                </c:pt>
                <c:pt idx="2">
                  <c:v>2</c:v>
                </c:pt>
                <c:pt idx="3">
                  <c:v>1</c:v>
                </c:pt>
                <c:pt idx="4">
                  <c:v>0</c:v>
                </c:pt>
                <c:pt idx="5">
                  <c:v>1</c:v>
                </c:pt>
                <c:pt idx="6">
                  <c:v>0</c:v>
                </c:pt>
                <c:pt idx="7">
                  <c:v>0</c:v>
                </c:pt>
                <c:pt idx="8">
                  <c:v>0</c:v>
                </c:pt>
                <c:pt idx="9">
                  <c:v>0</c:v>
                </c:pt>
                <c:pt idx="10">
                  <c:v>1</c:v>
                </c:pt>
                <c:pt idx="11">
                  <c:v>1</c:v>
                </c:pt>
                <c:pt idx="12">
                  <c:v>0</c:v>
                </c:pt>
                <c:pt idx="13">
                  <c:v>1</c:v>
                </c:pt>
                <c:pt idx="14">
                  <c:v>1</c:v>
                </c:pt>
                <c:pt idx="15">
                  <c:v>0</c:v>
                </c:pt>
                <c:pt idx="16">
                  <c:v>4</c:v>
                </c:pt>
                <c:pt idx="17">
                  <c:v>8</c:v>
                </c:pt>
                <c:pt idx="18">
                  <c:v>8</c:v>
                </c:pt>
                <c:pt idx="19">
                  <c:v>5</c:v>
                </c:pt>
                <c:pt idx="20">
                  <c:v>4</c:v>
                </c:pt>
                <c:pt idx="21">
                  <c:v>12</c:v>
                </c:pt>
                <c:pt idx="22">
                  <c:v>24</c:v>
                </c:pt>
                <c:pt idx="23">
                  <c:v>31</c:v>
                </c:pt>
                <c:pt idx="24">
                  <c:v>21</c:v>
                </c:pt>
                <c:pt idx="25">
                  <c:v>35</c:v>
                </c:pt>
                <c:pt idx="26">
                  <c:v>49</c:v>
                </c:pt>
                <c:pt idx="27">
                  <c:v>57</c:v>
                </c:pt>
                <c:pt idx="28">
                  <c:v>43</c:v>
                </c:pt>
                <c:pt idx="29">
                  <c:v>58</c:v>
                </c:pt>
                <c:pt idx="30">
                  <c:v>52</c:v>
                </c:pt>
                <c:pt idx="31">
                  <c:v>88</c:v>
                </c:pt>
                <c:pt idx="32">
                  <c:v>81</c:v>
                </c:pt>
              </c:numCache>
            </c:numRef>
          </c:val>
          <c:smooth val="1"/>
        </c:ser>
        <c:ser>
          <c:idx val="22"/>
          <c:order val="3"/>
          <c:tx>
            <c:strRef>
              <c:f>'Targets and Countries'!$E$1</c:f>
              <c:strCache>
                <c:ptCount val="1"/>
                <c:pt idx="0">
                  <c:v>Police</c:v>
                </c:pt>
              </c:strCache>
            </c:strRef>
          </c:tx>
          <c:spPr>
            <a:ln w="63500">
              <a:solidFill>
                <a:srgbClr val="FFFF00"/>
              </a:solidFill>
            </a:ln>
          </c:spPr>
          <c:marker>
            <c:symbol val="none"/>
          </c:marker>
          <c:cat>
            <c:numRef>
              <c:f>'Targets and Countries'!$A$2:$A$35</c:f>
              <c:numCache>
                <c:formatCode>General</c:formatCode>
                <c:ptCount val="33"/>
                <c:pt idx="0">
                  <c:v>1981</c:v>
                </c:pt>
                <c:pt idx="1">
                  <c:v>1982</c:v>
                </c:pt>
                <c:pt idx="2">
                  <c:v>1983</c:v>
                </c:pt>
                <c:pt idx="3">
                  <c:v>1984</c:v>
                </c:pt>
                <c:pt idx="4">
                  <c:v>1985</c:v>
                </c:pt>
                <c:pt idx="5">
                  <c:v>1986</c:v>
                </c:pt>
                <c:pt idx="6">
                  <c:v>1987</c:v>
                </c:pt>
                <c:pt idx="7">
                  <c:v>1988</c:v>
                </c:pt>
                <c:pt idx="8">
                  <c:v>1989</c:v>
                </c:pt>
                <c:pt idx="9">
                  <c:v>1990</c:v>
                </c:pt>
                <c:pt idx="10">
                  <c:v>1991</c:v>
                </c:pt>
                <c:pt idx="11">
                  <c:v>1992</c:v>
                </c:pt>
                <c:pt idx="12">
                  <c:v>1994</c:v>
                </c:pt>
                <c:pt idx="13">
                  <c:v>1995</c:v>
                </c:pt>
                <c:pt idx="14">
                  <c:v>1996</c:v>
                </c:pt>
                <c:pt idx="15">
                  <c:v>1997</c:v>
                </c:pt>
                <c:pt idx="16">
                  <c:v>1998</c:v>
                </c:pt>
                <c:pt idx="17">
                  <c:v>1999</c:v>
                </c:pt>
                <c:pt idx="18">
                  <c:v>2000</c:v>
                </c:pt>
                <c:pt idx="19">
                  <c:v>2001</c:v>
                </c:pt>
                <c:pt idx="20">
                  <c:v>2002</c:v>
                </c:pt>
                <c:pt idx="21">
                  <c:v>2003</c:v>
                </c:pt>
                <c:pt idx="22">
                  <c:v>2004</c:v>
                </c:pt>
                <c:pt idx="23">
                  <c:v>2005</c:v>
                </c:pt>
                <c:pt idx="24">
                  <c:v>2006</c:v>
                </c:pt>
                <c:pt idx="25">
                  <c:v>2007</c:v>
                </c:pt>
                <c:pt idx="26">
                  <c:v>2008</c:v>
                </c:pt>
                <c:pt idx="27">
                  <c:v>2009</c:v>
                </c:pt>
                <c:pt idx="28">
                  <c:v>2010</c:v>
                </c:pt>
                <c:pt idx="29">
                  <c:v>2011</c:v>
                </c:pt>
                <c:pt idx="30">
                  <c:v>2012</c:v>
                </c:pt>
                <c:pt idx="31">
                  <c:v>2013</c:v>
                </c:pt>
                <c:pt idx="32">
                  <c:v>2014</c:v>
                </c:pt>
              </c:numCache>
            </c:numRef>
          </c:cat>
          <c:val>
            <c:numRef>
              <c:f>'Targets and Countries'!$E$2:$E$35</c:f>
              <c:numCache>
                <c:formatCode>General</c:formatCode>
                <c:ptCount val="33"/>
                <c:pt idx="0">
                  <c:v>0</c:v>
                </c:pt>
                <c:pt idx="1">
                  <c:v>0</c:v>
                </c:pt>
                <c:pt idx="2">
                  <c:v>0</c:v>
                </c:pt>
                <c:pt idx="3">
                  <c:v>0</c:v>
                </c:pt>
                <c:pt idx="4">
                  <c:v>3</c:v>
                </c:pt>
                <c:pt idx="5">
                  <c:v>0</c:v>
                </c:pt>
                <c:pt idx="6">
                  <c:v>0</c:v>
                </c:pt>
                <c:pt idx="7">
                  <c:v>0</c:v>
                </c:pt>
                <c:pt idx="8">
                  <c:v>1</c:v>
                </c:pt>
                <c:pt idx="9">
                  <c:v>0</c:v>
                </c:pt>
                <c:pt idx="10">
                  <c:v>0</c:v>
                </c:pt>
                <c:pt idx="11">
                  <c:v>0</c:v>
                </c:pt>
                <c:pt idx="12">
                  <c:v>0</c:v>
                </c:pt>
                <c:pt idx="13">
                  <c:v>4</c:v>
                </c:pt>
                <c:pt idx="14">
                  <c:v>4</c:v>
                </c:pt>
                <c:pt idx="15">
                  <c:v>2</c:v>
                </c:pt>
                <c:pt idx="16">
                  <c:v>0</c:v>
                </c:pt>
                <c:pt idx="17">
                  <c:v>6</c:v>
                </c:pt>
                <c:pt idx="18">
                  <c:v>4</c:v>
                </c:pt>
                <c:pt idx="19">
                  <c:v>5</c:v>
                </c:pt>
                <c:pt idx="20">
                  <c:v>2</c:v>
                </c:pt>
                <c:pt idx="21">
                  <c:v>6</c:v>
                </c:pt>
                <c:pt idx="22">
                  <c:v>27</c:v>
                </c:pt>
                <c:pt idx="23">
                  <c:v>41</c:v>
                </c:pt>
                <c:pt idx="24">
                  <c:v>42</c:v>
                </c:pt>
                <c:pt idx="25">
                  <c:v>119</c:v>
                </c:pt>
                <c:pt idx="26">
                  <c:v>48</c:v>
                </c:pt>
                <c:pt idx="27">
                  <c:v>15</c:v>
                </c:pt>
                <c:pt idx="28">
                  <c:v>23</c:v>
                </c:pt>
                <c:pt idx="29">
                  <c:v>44</c:v>
                </c:pt>
                <c:pt idx="30">
                  <c:v>103</c:v>
                </c:pt>
                <c:pt idx="31">
                  <c:v>176</c:v>
                </c:pt>
                <c:pt idx="32">
                  <c:v>164</c:v>
                </c:pt>
              </c:numCache>
            </c:numRef>
          </c:val>
          <c:smooth val="1"/>
        </c:ser>
        <c:ser>
          <c:idx val="23"/>
          <c:order val="4"/>
          <c:tx>
            <c:strRef>
              <c:f>'Targets and Countries'!$F$1</c:f>
              <c:strCache>
                <c:ptCount val="1"/>
                <c:pt idx="0">
                  <c:v>Civilian</c:v>
                </c:pt>
              </c:strCache>
            </c:strRef>
          </c:tx>
          <c:spPr>
            <a:ln w="63500">
              <a:solidFill>
                <a:srgbClr val="00B0F0"/>
              </a:solidFill>
            </a:ln>
          </c:spPr>
          <c:marker>
            <c:symbol val="none"/>
          </c:marker>
          <c:cat>
            <c:numRef>
              <c:f>'Targets and Countries'!$A$2:$A$35</c:f>
              <c:numCache>
                <c:formatCode>General</c:formatCode>
                <c:ptCount val="33"/>
                <c:pt idx="0">
                  <c:v>1981</c:v>
                </c:pt>
                <c:pt idx="1">
                  <c:v>1982</c:v>
                </c:pt>
                <c:pt idx="2">
                  <c:v>1983</c:v>
                </c:pt>
                <c:pt idx="3">
                  <c:v>1984</c:v>
                </c:pt>
                <c:pt idx="4">
                  <c:v>1985</c:v>
                </c:pt>
                <c:pt idx="5">
                  <c:v>1986</c:v>
                </c:pt>
                <c:pt idx="6">
                  <c:v>1987</c:v>
                </c:pt>
                <c:pt idx="7">
                  <c:v>1988</c:v>
                </c:pt>
                <c:pt idx="8">
                  <c:v>1989</c:v>
                </c:pt>
                <c:pt idx="9">
                  <c:v>1990</c:v>
                </c:pt>
                <c:pt idx="10">
                  <c:v>1991</c:v>
                </c:pt>
                <c:pt idx="11">
                  <c:v>1992</c:v>
                </c:pt>
                <c:pt idx="12">
                  <c:v>1994</c:v>
                </c:pt>
                <c:pt idx="13">
                  <c:v>1995</c:v>
                </c:pt>
                <c:pt idx="14">
                  <c:v>1996</c:v>
                </c:pt>
                <c:pt idx="15">
                  <c:v>1997</c:v>
                </c:pt>
                <c:pt idx="16">
                  <c:v>1998</c:v>
                </c:pt>
                <c:pt idx="17">
                  <c:v>1999</c:v>
                </c:pt>
                <c:pt idx="18">
                  <c:v>2000</c:v>
                </c:pt>
                <c:pt idx="19">
                  <c:v>2001</c:v>
                </c:pt>
                <c:pt idx="20">
                  <c:v>2002</c:v>
                </c:pt>
                <c:pt idx="21">
                  <c:v>2003</c:v>
                </c:pt>
                <c:pt idx="22">
                  <c:v>2004</c:v>
                </c:pt>
                <c:pt idx="23">
                  <c:v>2005</c:v>
                </c:pt>
                <c:pt idx="24">
                  <c:v>2006</c:v>
                </c:pt>
                <c:pt idx="25">
                  <c:v>2007</c:v>
                </c:pt>
                <c:pt idx="26">
                  <c:v>2008</c:v>
                </c:pt>
                <c:pt idx="27">
                  <c:v>2009</c:v>
                </c:pt>
                <c:pt idx="28">
                  <c:v>2010</c:v>
                </c:pt>
                <c:pt idx="29">
                  <c:v>2011</c:v>
                </c:pt>
                <c:pt idx="30">
                  <c:v>2012</c:v>
                </c:pt>
                <c:pt idx="31">
                  <c:v>2013</c:v>
                </c:pt>
                <c:pt idx="32">
                  <c:v>2014</c:v>
                </c:pt>
              </c:numCache>
            </c:numRef>
          </c:cat>
          <c:val>
            <c:numRef>
              <c:f>'Targets and Countries'!$F$2:$F$35</c:f>
              <c:numCache>
                <c:formatCode>General</c:formatCode>
                <c:ptCount val="33"/>
                <c:pt idx="0">
                  <c:v>0</c:v>
                </c:pt>
                <c:pt idx="1">
                  <c:v>0</c:v>
                </c:pt>
                <c:pt idx="2">
                  <c:v>0</c:v>
                </c:pt>
                <c:pt idx="3">
                  <c:v>0</c:v>
                </c:pt>
                <c:pt idx="4">
                  <c:v>2</c:v>
                </c:pt>
                <c:pt idx="5">
                  <c:v>1</c:v>
                </c:pt>
                <c:pt idx="6">
                  <c:v>2</c:v>
                </c:pt>
                <c:pt idx="7">
                  <c:v>0</c:v>
                </c:pt>
                <c:pt idx="8">
                  <c:v>0</c:v>
                </c:pt>
                <c:pt idx="9">
                  <c:v>0</c:v>
                </c:pt>
                <c:pt idx="10">
                  <c:v>0</c:v>
                </c:pt>
                <c:pt idx="11">
                  <c:v>0</c:v>
                </c:pt>
                <c:pt idx="12">
                  <c:v>5</c:v>
                </c:pt>
                <c:pt idx="13">
                  <c:v>5</c:v>
                </c:pt>
                <c:pt idx="14">
                  <c:v>5</c:v>
                </c:pt>
                <c:pt idx="15">
                  <c:v>6</c:v>
                </c:pt>
                <c:pt idx="16">
                  <c:v>10</c:v>
                </c:pt>
                <c:pt idx="17">
                  <c:v>6</c:v>
                </c:pt>
                <c:pt idx="18">
                  <c:v>3</c:v>
                </c:pt>
                <c:pt idx="19">
                  <c:v>33</c:v>
                </c:pt>
                <c:pt idx="20">
                  <c:v>54</c:v>
                </c:pt>
                <c:pt idx="21">
                  <c:v>47</c:v>
                </c:pt>
                <c:pt idx="22">
                  <c:v>31</c:v>
                </c:pt>
                <c:pt idx="23">
                  <c:v>77</c:v>
                </c:pt>
                <c:pt idx="24">
                  <c:v>74</c:v>
                </c:pt>
                <c:pt idx="25">
                  <c:v>131</c:v>
                </c:pt>
                <c:pt idx="26">
                  <c:v>91</c:v>
                </c:pt>
                <c:pt idx="27">
                  <c:v>82</c:v>
                </c:pt>
                <c:pt idx="28">
                  <c:v>85</c:v>
                </c:pt>
                <c:pt idx="29">
                  <c:v>68</c:v>
                </c:pt>
                <c:pt idx="30">
                  <c:v>108</c:v>
                </c:pt>
                <c:pt idx="31">
                  <c:v>154</c:v>
                </c:pt>
                <c:pt idx="32">
                  <c:v>170</c:v>
                </c:pt>
              </c:numCache>
            </c:numRef>
          </c:val>
          <c:smooth val="1"/>
        </c:ser>
        <c:ser>
          <c:idx val="24"/>
          <c:order val="5"/>
          <c:tx>
            <c:strRef>
              <c:f>'Targets and Countries'!$G$1</c:f>
              <c:strCache>
                <c:ptCount val="1"/>
                <c:pt idx="0">
                  <c:v>Informal Groups</c:v>
                </c:pt>
              </c:strCache>
            </c:strRef>
          </c:tx>
          <c:spPr>
            <a:ln w="63500">
              <a:solidFill>
                <a:srgbClr val="F79646"/>
              </a:solidFill>
            </a:ln>
          </c:spPr>
          <c:marker>
            <c:symbol val="none"/>
          </c:marker>
          <c:cat>
            <c:numRef>
              <c:f>'Targets and Countries'!$A$2:$A$35</c:f>
              <c:numCache>
                <c:formatCode>General</c:formatCode>
                <c:ptCount val="33"/>
                <c:pt idx="0">
                  <c:v>1981</c:v>
                </c:pt>
                <c:pt idx="1">
                  <c:v>1982</c:v>
                </c:pt>
                <c:pt idx="2">
                  <c:v>1983</c:v>
                </c:pt>
                <c:pt idx="3">
                  <c:v>1984</c:v>
                </c:pt>
                <c:pt idx="4">
                  <c:v>1985</c:v>
                </c:pt>
                <c:pt idx="5">
                  <c:v>1986</c:v>
                </c:pt>
                <c:pt idx="6">
                  <c:v>1987</c:v>
                </c:pt>
                <c:pt idx="7">
                  <c:v>1988</c:v>
                </c:pt>
                <c:pt idx="8">
                  <c:v>1989</c:v>
                </c:pt>
                <c:pt idx="9">
                  <c:v>1990</c:v>
                </c:pt>
                <c:pt idx="10">
                  <c:v>1991</c:v>
                </c:pt>
                <c:pt idx="11">
                  <c:v>1992</c:v>
                </c:pt>
                <c:pt idx="12">
                  <c:v>1994</c:v>
                </c:pt>
                <c:pt idx="13">
                  <c:v>1995</c:v>
                </c:pt>
                <c:pt idx="14">
                  <c:v>1996</c:v>
                </c:pt>
                <c:pt idx="15">
                  <c:v>1997</c:v>
                </c:pt>
                <c:pt idx="16">
                  <c:v>1998</c:v>
                </c:pt>
                <c:pt idx="17">
                  <c:v>1999</c:v>
                </c:pt>
                <c:pt idx="18">
                  <c:v>2000</c:v>
                </c:pt>
                <c:pt idx="19">
                  <c:v>2001</c:v>
                </c:pt>
                <c:pt idx="20">
                  <c:v>2002</c:v>
                </c:pt>
                <c:pt idx="21">
                  <c:v>2003</c:v>
                </c:pt>
                <c:pt idx="22">
                  <c:v>2004</c:v>
                </c:pt>
                <c:pt idx="23">
                  <c:v>2005</c:v>
                </c:pt>
                <c:pt idx="24">
                  <c:v>2006</c:v>
                </c:pt>
                <c:pt idx="25">
                  <c:v>2007</c:v>
                </c:pt>
                <c:pt idx="26">
                  <c:v>2008</c:v>
                </c:pt>
                <c:pt idx="27">
                  <c:v>2009</c:v>
                </c:pt>
                <c:pt idx="28">
                  <c:v>2010</c:v>
                </c:pt>
                <c:pt idx="29">
                  <c:v>2011</c:v>
                </c:pt>
                <c:pt idx="30">
                  <c:v>2012</c:v>
                </c:pt>
                <c:pt idx="31">
                  <c:v>2013</c:v>
                </c:pt>
                <c:pt idx="32">
                  <c:v>2014</c:v>
                </c:pt>
              </c:numCache>
            </c:numRef>
          </c:cat>
          <c:val>
            <c:numRef>
              <c:f>'Targets and Countries'!$G$2:$G$35</c:f>
              <c:numCache>
                <c:formatCode>General</c:formatCode>
                <c:ptCount val="33"/>
                <c:pt idx="0">
                  <c:v>0</c:v>
                </c:pt>
                <c:pt idx="1">
                  <c:v>0</c:v>
                </c:pt>
                <c:pt idx="2">
                  <c:v>0</c:v>
                </c:pt>
                <c:pt idx="3">
                  <c:v>0</c:v>
                </c:pt>
                <c:pt idx="4">
                  <c:v>2</c:v>
                </c:pt>
                <c:pt idx="5">
                  <c:v>0</c:v>
                </c:pt>
                <c:pt idx="6">
                  <c:v>0</c:v>
                </c:pt>
                <c:pt idx="7">
                  <c:v>0</c:v>
                </c:pt>
                <c:pt idx="8">
                  <c:v>0</c:v>
                </c:pt>
                <c:pt idx="9">
                  <c:v>0</c:v>
                </c:pt>
                <c:pt idx="10">
                  <c:v>0</c:v>
                </c:pt>
                <c:pt idx="11">
                  <c:v>0</c:v>
                </c:pt>
                <c:pt idx="12">
                  <c:v>1</c:v>
                </c:pt>
                <c:pt idx="13">
                  <c:v>0</c:v>
                </c:pt>
                <c:pt idx="14">
                  <c:v>0</c:v>
                </c:pt>
                <c:pt idx="15">
                  <c:v>0</c:v>
                </c:pt>
                <c:pt idx="16">
                  <c:v>1</c:v>
                </c:pt>
                <c:pt idx="17">
                  <c:v>1</c:v>
                </c:pt>
                <c:pt idx="18">
                  <c:v>0</c:v>
                </c:pt>
                <c:pt idx="19">
                  <c:v>2</c:v>
                </c:pt>
                <c:pt idx="20">
                  <c:v>0</c:v>
                </c:pt>
                <c:pt idx="21">
                  <c:v>0</c:v>
                </c:pt>
                <c:pt idx="22">
                  <c:v>1</c:v>
                </c:pt>
                <c:pt idx="23">
                  <c:v>1</c:v>
                </c:pt>
                <c:pt idx="24">
                  <c:v>1</c:v>
                </c:pt>
                <c:pt idx="25">
                  <c:v>10</c:v>
                </c:pt>
                <c:pt idx="26">
                  <c:v>19</c:v>
                </c:pt>
                <c:pt idx="27">
                  <c:v>4</c:v>
                </c:pt>
                <c:pt idx="28">
                  <c:v>4</c:v>
                </c:pt>
                <c:pt idx="29">
                  <c:v>3</c:v>
                </c:pt>
                <c:pt idx="30">
                  <c:v>20</c:v>
                </c:pt>
                <c:pt idx="31">
                  <c:v>19</c:v>
                </c:pt>
                <c:pt idx="32">
                  <c:v>47</c:v>
                </c:pt>
              </c:numCache>
            </c:numRef>
          </c:val>
          <c:smooth val="1"/>
        </c:ser>
        <c:dLbls>
          <c:showLegendKey val="0"/>
          <c:showVal val="0"/>
          <c:showCatName val="0"/>
          <c:showSerName val="0"/>
          <c:showPercent val="0"/>
          <c:showBubbleSize val="0"/>
        </c:dLbls>
        <c:marker val="1"/>
        <c:smooth val="0"/>
        <c:axId val="102218752"/>
        <c:axId val="102232832"/>
      </c:lineChart>
      <c:catAx>
        <c:axId val="102218752"/>
        <c:scaling>
          <c:orientation val="minMax"/>
        </c:scaling>
        <c:delete val="0"/>
        <c:axPos val="b"/>
        <c:numFmt formatCode="General" sourceLinked="1"/>
        <c:majorTickMark val="none"/>
        <c:minorTickMark val="none"/>
        <c:tickLblPos val="nextTo"/>
        <c:txPr>
          <a:bodyPr rot="-5400000" vert="horz"/>
          <a:lstStyle/>
          <a:p>
            <a:pPr>
              <a:defRPr sz="800" baseline="0"/>
            </a:pPr>
            <a:endParaRPr lang="en-US"/>
          </a:p>
        </c:txPr>
        <c:crossAx val="102232832"/>
        <c:crosses val="autoZero"/>
        <c:auto val="1"/>
        <c:lblAlgn val="ctr"/>
        <c:lblOffset val="100"/>
        <c:noMultiLvlLbl val="0"/>
      </c:catAx>
      <c:valAx>
        <c:axId val="102232832"/>
        <c:scaling>
          <c:orientation val="minMax"/>
          <c:min val="0"/>
        </c:scaling>
        <c:delete val="0"/>
        <c:axPos val="l"/>
        <c:majorGridlines>
          <c:spPr>
            <a:ln>
              <a:noFill/>
            </a:ln>
          </c:spPr>
        </c:majorGridlines>
        <c:numFmt formatCode="General" sourceLinked="1"/>
        <c:majorTickMark val="none"/>
        <c:minorTickMark val="none"/>
        <c:tickLblPos val="nextTo"/>
        <c:crossAx val="102218752"/>
        <c:crosses val="autoZero"/>
        <c:crossBetween val="between"/>
      </c:valAx>
    </c:plotArea>
    <c:legend>
      <c:legendPos val="l"/>
      <c:layout>
        <c:manualLayout>
          <c:xMode val="edge"/>
          <c:yMode val="edge"/>
          <c:x val="0.12719664849586099"/>
          <c:y val="0.17084369798193311"/>
          <c:w val="0.56285433070866098"/>
          <c:h val="0.30111626827897636"/>
        </c:manualLayout>
      </c:layout>
      <c:overlay val="1"/>
      <c:spPr>
        <a:ln>
          <a:solidFill>
            <a:sysClr val="windowText" lastClr="000000"/>
          </a:solidFill>
        </a:ln>
        <a:effectLst>
          <a:outerShdw sx="1000" sy="1000" algn="ctr" rotWithShape="0">
            <a:srgbClr val="000000"/>
          </a:outerShdw>
        </a:effectLst>
      </c:spPr>
      <c:txPr>
        <a:bodyPr/>
        <a:lstStyle/>
        <a:p>
          <a:pPr>
            <a:defRPr lang="en-US" sz="1000" b="0" i="0" u="none" strike="noStrike" kern="1200" baseline="0">
              <a:solidFill>
                <a:sysClr val="window" lastClr="FFFFFF"/>
              </a:solidFill>
              <a:latin typeface="+mn-lt"/>
              <a:ea typeface="+mn-ea"/>
              <a:cs typeface="+mn-cs"/>
            </a:defRPr>
          </a:pPr>
          <a:endParaRPr lang="en-US"/>
        </a:p>
      </c:txPr>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42"/>
    </mc:Choice>
    <mc:Fallback>
      <c:style val="42"/>
    </mc:Fallback>
  </mc:AlternateContent>
  <c:clrMapOvr bg1="lt1" tx1="dk1" bg2="lt2" tx2="dk2" accent1="accent1" accent2="accent2" accent3="accent3" accent4="accent4" accent5="accent5" accent6="accent6" hlink="hlink" folHlink="folHlink"/>
  <c:chart>
    <c:title>
      <c:tx>
        <c:rich>
          <a:bodyPr/>
          <a:lstStyle/>
          <a:p>
            <a:pPr>
              <a:defRPr/>
            </a:pPr>
            <a:r>
              <a:rPr lang="en-US"/>
              <a:t>Sri Lanka Total Suicide Attacks (START)</a:t>
            </a:r>
          </a:p>
        </c:rich>
      </c:tx>
      <c:overlay val="0"/>
    </c:title>
    <c:autoTitleDeleted val="0"/>
    <c:plotArea>
      <c:layout/>
      <c:lineChart>
        <c:grouping val="standard"/>
        <c:varyColors val="0"/>
        <c:ser>
          <c:idx val="12"/>
          <c:order val="0"/>
          <c:tx>
            <c:strRef>
              <c:f>'Targets and Countries'!$EI$1</c:f>
              <c:strCache>
                <c:ptCount val="1"/>
                <c:pt idx="0">
                  <c:v>Sri Lanka</c:v>
                </c:pt>
              </c:strCache>
            </c:strRef>
          </c:tx>
          <c:spPr>
            <a:ln w="63500">
              <a:solidFill>
                <a:srgbClr val="7030A0"/>
              </a:solidFill>
            </a:ln>
          </c:spPr>
          <c:marker>
            <c:symbol val="none"/>
          </c:marker>
          <c:cat>
            <c:numRef>
              <c:f>'Targets and Countries'!$A$8:$A$31</c:f>
              <c:numCache>
                <c:formatCode>General</c:formatCode>
                <c:ptCount val="23"/>
                <c:pt idx="0">
                  <c:v>1987</c:v>
                </c:pt>
                <c:pt idx="1">
                  <c:v>1988</c:v>
                </c:pt>
                <c:pt idx="2">
                  <c:v>1989</c:v>
                </c:pt>
                <c:pt idx="3">
                  <c:v>1990</c:v>
                </c:pt>
                <c:pt idx="4">
                  <c:v>1991</c:v>
                </c:pt>
                <c:pt idx="5">
                  <c:v>1992</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numCache>
            </c:numRef>
          </c:cat>
          <c:val>
            <c:numRef>
              <c:f>'Targets and Countries'!$EI$8:$EI$31</c:f>
              <c:numCache>
                <c:formatCode>General</c:formatCode>
                <c:ptCount val="23"/>
                <c:pt idx="0">
                  <c:v>0</c:v>
                </c:pt>
                <c:pt idx="1">
                  <c:v>0</c:v>
                </c:pt>
                <c:pt idx="2">
                  <c:v>0</c:v>
                </c:pt>
                <c:pt idx="3">
                  <c:v>1</c:v>
                </c:pt>
                <c:pt idx="4">
                  <c:v>2</c:v>
                </c:pt>
                <c:pt idx="5">
                  <c:v>1</c:v>
                </c:pt>
                <c:pt idx="6">
                  <c:v>3</c:v>
                </c:pt>
                <c:pt idx="7">
                  <c:v>11</c:v>
                </c:pt>
                <c:pt idx="8">
                  <c:v>6</c:v>
                </c:pt>
                <c:pt idx="9">
                  <c:v>5</c:v>
                </c:pt>
                <c:pt idx="10">
                  <c:v>9</c:v>
                </c:pt>
                <c:pt idx="11">
                  <c:v>10</c:v>
                </c:pt>
                <c:pt idx="12">
                  <c:v>15</c:v>
                </c:pt>
                <c:pt idx="13">
                  <c:v>6</c:v>
                </c:pt>
                <c:pt idx="14">
                  <c:v>0</c:v>
                </c:pt>
                <c:pt idx="15">
                  <c:v>1</c:v>
                </c:pt>
                <c:pt idx="16">
                  <c:v>1</c:v>
                </c:pt>
                <c:pt idx="17">
                  <c:v>0</c:v>
                </c:pt>
                <c:pt idx="18">
                  <c:v>9</c:v>
                </c:pt>
                <c:pt idx="19">
                  <c:v>5</c:v>
                </c:pt>
                <c:pt idx="20">
                  <c:v>13</c:v>
                </c:pt>
                <c:pt idx="21">
                  <c:v>11</c:v>
                </c:pt>
                <c:pt idx="22">
                  <c:v>0</c:v>
                </c:pt>
              </c:numCache>
            </c:numRef>
          </c:val>
          <c:smooth val="1"/>
        </c:ser>
        <c:ser>
          <c:idx val="20"/>
          <c:order val="1"/>
          <c:tx>
            <c:strRef>
              <c:f>'Targets and Countries'!$EJ$1</c:f>
              <c:strCache>
                <c:ptCount val="1"/>
                <c:pt idx="0">
                  <c:v>Military</c:v>
                </c:pt>
              </c:strCache>
            </c:strRef>
          </c:tx>
          <c:spPr>
            <a:ln w="63500">
              <a:solidFill>
                <a:srgbClr val="FF0000"/>
              </a:solidFill>
            </a:ln>
          </c:spPr>
          <c:marker>
            <c:symbol val="none"/>
          </c:marker>
          <c:cat>
            <c:numRef>
              <c:f>'Targets and Countries'!$A$8:$A$31</c:f>
              <c:numCache>
                <c:formatCode>General</c:formatCode>
                <c:ptCount val="23"/>
                <c:pt idx="0">
                  <c:v>1987</c:v>
                </c:pt>
                <c:pt idx="1">
                  <c:v>1988</c:v>
                </c:pt>
                <c:pt idx="2">
                  <c:v>1989</c:v>
                </c:pt>
                <c:pt idx="3">
                  <c:v>1990</c:v>
                </c:pt>
                <c:pt idx="4">
                  <c:v>1991</c:v>
                </c:pt>
                <c:pt idx="5">
                  <c:v>1992</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numCache>
            </c:numRef>
          </c:cat>
          <c:val>
            <c:numRef>
              <c:f>'Targets and Countries'!$EJ$8:$EJ$31</c:f>
              <c:numCache>
                <c:formatCode>General</c:formatCode>
                <c:ptCount val="23"/>
                <c:pt idx="0">
                  <c:v>0</c:v>
                </c:pt>
                <c:pt idx="1">
                  <c:v>0</c:v>
                </c:pt>
                <c:pt idx="2">
                  <c:v>0</c:v>
                </c:pt>
                <c:pt idx="3">
                  <c:v>1</c:v>
                </c:pt>
                <c:pt idx="4">
                  <c:v>1</c:v>
                </c:pt>
                <c:pt idx="5">
                  <c:v>1</c:v>
                </c:pt>
                <c:pt idx="6">
                  <c:v>2</c:v>
                </c:pt>
                <c:pt idx="7">
                  <c:v>7</c:v>
                </c:pt>
                <c:pt idx="8">
                  <c:v>2</c:v>
                </c:pt>
                <c:pt idx="9">
                  <c:v>3</c:v>
                </c:pt>
                <c:pt idx="10">
                  <c:v>5</c:v>
                </c:pt>
                <c:pt idx="11">
                  <c:v>3</c:v>
                </c:pt>
                <c:pt idx="12">
                  <c:v>8</c:v>
                </c:pt>
                <c:pt idx="13">
                  <c:v>1</c:v>
                </c:pt>
                <c:pt idx="14">
                  <c:v>0</c:v>
                </c:pt>
                <c:pt idx="15">
                  <c:v>0</c:v>
                </c:pt>
                <c:pt idx="16">
                  <c:v>0</c:v>
                </c:pt>
                <c:pt idx="17">
                  <c:v>0</c:v>
                </c:pt>
                <c:pt idx="18">
                  <c:v>6</c:v>
                </c:pt>
                <c:pt idx="19">
                  <c:v>2</c:v>
                </c:pt>
                <c:pt idx="20">
                  <c:v>3</c:v>
                </c:pt>
                <c:pt idx="21">
                  <c:v>9</c:v>
                </c:pt>
                <c:pt idx="22">
                  <c:v>0</c:v>
                </c:pt>
              </c:numCache>
            </c:numRef>
          </c:val>
          <c:smooth val="1"/>
        </c:ser>
        <c:ser>
          <c:idx val="21"/>
          <c:order val="2"/>
          <c:tx>
            <c:strRef>
              <c:f>'Targets and Countries'!$EK$1</c:f>
              <c:strCache>
                <c:ptCount val="1"/>
                <c:pt idx="0">
                  <c:v>Government</c:v>
                </c:pt>
              </c:strCache>
            </c:strRef>
          </c:tx>
          <c:spPr>
            <a:ln w="63500">
              <a:solidFill>
                <a:srgbClr val="00B050"/>
              </a:solidFill>
            </a:ln>
          </c:spPr>
          <c:marker>
            <c:symbol val="none"/>
          </c:marker>
          <c:cat>
            <c:numRef>
              <c:f>'Targets and Countries'!$A$8:$A$31</c:f>
              <c:numCache>
                <c:formatCode>General</c:formatCode>
                <c:ptCount val="23"/>
                <c:pt idx="0">
                  <c:v>1987</c:v>
                </c:pt>
                <c:pt idx="1">
                  <c:v>1988</c:v>
                </c:pt>
                <c:pt idx="2">
                  <c:v>1989</c:v>
                </c:pt>
                <c:pt idx="3">
                  <c:v>1990</c:v>
                </c:pt>
                <c:pt idx="4">
                  <c:v>1991</c:v>
                </c:pt>
                <c:pt idx="5">
                  <c:v>1992</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numCache>
            </c:numRef>
          </c:cat>
          <c:val>
            <c:numRef>
              <c:f>'Targets and Countries'!$EK$8:$EK$31</c:f>
              <c:numCache>
                <c:formatCode>General</c:formatCode>
                <c:ptCount val="23"/>
                <c:pt idx="0">
                  <c:v>0</c:v>
                </c:pt>
                <c:pt idx="1">
                  <c:v>0</c:v>
                </c:pt>
                <c:pt idx="2">
                  <c:v>0</c:v>
                </c:pt>
                <c:pt idx="3">
                  <c:v>0</c:v>
                </c:pt>
                <c:pt idx="4">
                  <c:v>1</c:v>
                </c:pt>
                <c:pt idx="5">
                  <c:v>0</c:v>
                </c:pt>
                <c:pt idx="6">
                  <c:v>0</c:v>
                </c:pt>
                <c:pt idx="7">
                  <c:v>0</c:v>
                </c:pt>
                <c:pt idx="8">
                  <c:v>1</c:v>
                </c:pt>
                <c:pt idx="9">
                  <c:v>0</c:v>
                </c:pt>
                <c:pt idx="10">
                  <c:v>1</c:v>
                </c:pt>
                <c:pt idx="11">
                  <c:v>3</c:v>
                </c:pt>
                <c:pt idx="12">
                  <c:v>6</c:v>
                </c:pt>
                <c:pt idx="13">
                  <c:v>0</c:v>
                </c:pt>
                <c:pt idx="14">
                  <c:v>0</c:v>
                </c:pt>
                <c:pt idx="15">
                  <c:v>1</c:v>
                </c:pt>
                <c:pt idx="16">
                  <c:v>0</c:v>
                </c:pt>
                <c:pt idx="17">
                  <c:v>0</c:v>
                </c:pt>
                <c:pt idx="18">
                  <c:v>2</c:v>
                </c:pt>
                <c:pt idx="19">
                  <c:v>1</c:v>
                </c:pt>
                <c:pt idx="20">
                  <c:v>3</c:v>
                </c:pt>
                <c:pt idx="21">
                  <c:v>0</c:v>
                </c:pt>
                <c:pt idx="22">
                  <c:v>0</c:v>
                </c:pt>
              </c:numCache>
            </c:numRef>
          </c:val>
          <c:smooth val="1"/>
        </c:ser>
        <c:ser>
          <c:idx val="22"/>
          <c:order val="3"/>
          <c:tx>
            <c:strRef>
              <c:f>'Targets and Countries'!$EL$1</c:f>
              <c:strCache>
                <c:ptCount val="1"/>
                <c:pt idx="0">
                  <c:v>Police</c:v>
                </c:pt>
              </c:strCache>
            </c:strRef>
          </c:tx>
          <c:spPr>
            <a:ln w="63500">
              <a:solidFill>
                <a:srgbClr val="FFFF00"/>
              </a:solidFill>
            </a:ln>
          </c:spPr>
          <c:marker>
            <c:symbol val="none"/>
          </c:marker>
          <c:cat>
            <c:numRef>
              <c:f>'Targets and Countries'!$A$8:$A$31</c:f>
              <c:numCache>
                <c:formatCode>General</c:formatCode>
                <c:ptCount val="23"/>
                <c:pt idx="0">
                  <c:v>1987</c:v>
                </c:pt>
                <c:pt idx="1">
                  <c:v>1988</c:v>
                </c:pt>
                <c:pt idx="2">
                  <c:v>1989</c:v>
                </c:pt>
                <c:pt idx="3">
                  <c:v>1990</c:v>
                </c:pt>
                <c:pt idx="4">
                  <c:v>1991</c:v>
                </c:pt>
                <c:pt idx="5">
                  <c:v>1992</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numCache>
            </c:numRef>
          </c:cat>
          <c:val>
            <c:numRef>
              <c:f>'Targets and Countries'!$EL$8:$EL$31</c:f>
              <c:numCache>
                <c:formatCode>General</c:formatCode>
                <c:ptCount val="23"/>
                <c:pt idx="0">
                  <c:v>0</c:v>
                </c:pt>
                <c:pt idx="1">
                  <c:v>0</c:v>
                </c:pt>
                <c:pt idx="2">
                  <c:v>0</c:v>
                </c:pt>
                <c:pt idx="3">
                  <c:v>0</c:v>
                </c:pt>
                <c:pt idx="4">
                  <c:v>0</c:v>
                </c:pt>
                <c:pt idx="5">
                  <c:v>0</c:v>
                </c:pt>
                <c:pt idx="6">
                  <c:v>0</c:v>
                </c:pt>
                <c:pt idx="7">
                  <c:v>1</c:v>
                </c:pt>
                <c:pt idx="8">
                  <c:v>2</c:v>
                </c:pt>
                <c:pt idx="9">
                  <c:v>0</c:v>
                </c:pt>
                <c:pt idx="10">
                  <c:v>0</c:v>
                </c:pt>
                <c:pt idx="11">
                  <c:v>2</c:v>
                </c:pt>
                <c:pt idx="12">
                  <c:v>1</c:v>
                </c:pt>
                <c:pt idx="13">
                  <c:v>1</c:v>
                </c:pt>
                <c:pt idx="14">
                  <c:v>0</c:v>
                </c:pt>
                <c:pt idx="15">
                  <c:v>0</c:v>
                </c:pt>
                <c:pt idx="16">
                  <c:v>1</c:v>
                </c:pt>
                <c:pt idx="17">
                  <c:v>0</c:v>
                </c:pt>
                <c:pt idx="18">
                  <c:v>0</c:v>
                </c:pt>
                <c:pt idx="19">
                  <c:v>0</c:v>
                </c:pt>
                <c:pt idx="20">
                  <c:v>2</c:v>
                </c:pt>
                <c:pt idx="21">
                  <c:v>0</c:v>
                </c:pt>
                <c:pt idx="22">
                  <c:v>0</c:v>
                </c:pt>
              </c:numCache>
            </c:numRef>
          </c:val>
          <c:smooth val="1"/>
        </c:ser>
        <c:ser>
          <c:idx val="23"/>
          <c:order val="4"/>
          <c:tx>
            <c:strRef>
              <c:f>'Targets and Countries'!$EM$1</c:f>
              <c:strCache>
                <c:ptCount val="1"/>
                <c:pt idx="0">
                  <c:v>Civilian</c:v>
                </c:pt>
              </c:strCache>
            </c:strRef>
          </c:tx>
          <c:spPr>
            <a:ln w="63500">
              <a:solidFill>
                <a:srgbClr val="00B0F0"/>
              </a:solidFill>
            </a:ln>
          </c:spPr>
          <c:marker>
            <c:symbol val="none"/>
          </c:marker>
          <c:cat>
            <c:numRef>
              <c:f>'Targets and Countries'!$A$8:$A$31</c:f>
              <c:numCache>
                <c:formatCode>General</c:formatCode>
                <c:ptCount val="23"/>
                <c:pt idx="0">
                  <c:v>1987</c:v>
                </c:pt>
                <c:pt idx="1">
                  <c:v>1988</c:v>
                </c:pt>
                <c:pt idx="2">
                  <c:v>1989</c:v>
                </c:pt>
                <c:pt idx="3">
                  <c:v>1990</c:v>
                </c:pt>
                <c:pt idx="4">
                  <c:v>1991</c:v>
                </c:pt>
                <c:pt idx="5">
                  <c:v>1992</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numCache>
            </c:numRef>
          </c:cat>
          <c:val>
            <c:numRef>
              <c:f>'Targets and Countries'!$EM$8:$EM$31</c:f>
              <c:numCache>
                <c:formatCode>General</c:formatCode>
                <c:ptCount val="23"/>
                <c:pt idx="0">
                  <c:v>0</c:v>
                </c:pt>
                <c:pt idx="1">
                  <c:v>0</c:v>
                </c:pt>
                <c:pt idx="2">
                  <c:v>0</c:v>
                </c:pt>
                <c:pt idx="3">
                  <c:v>0</c:v>
                </c:pt>
                <c:pt idx="4">
                  <c:v>0</c:v>
                </c:pt>
                <c:pt idx="5">
                  <c:v>0</c:v>
                </c:pt>
                <c:pt idx="6">
                  <c:v>0</c:v>
                </c:pt>
                <c:pt idx="7">
                  <c:v>1</c:v>
                </c:pt>
                <c:pt idx="8">
                  <c:v>1</c:v>
                </c:pt>
                <c:pt idx="9">
                  <c:v>2</c:v>
                </c:pt>
                <c:pt idx="10">
                  <c:v>3</c:v>
                </c:pt>
                <c:pt idx="11">
                  <c:v>1</c:v>
                </c:pt>
                <c:pt idx="12">
                  <c:v>0</c:v>
                </c:pt>
                <c:pt idx="13">
                  <c:v>3</c:v>
                </c:pt>
                <c:pt idx="14">
                  <c:v>0</c:v>
                </c:pt>
                <c:pt idx="15">
                  <c:v>0</c:v>
                </c:pt>
                <c:pt idx="16">
                  <c:v>0</c:v>
                </c:pt>
                <c:pt idx="17">
                  <c:v>0</c:v>
                </c:pt>
                <c:pt idx="18">
                  <c:v>0</c:v>
                </c:pt>
                <c:pt idx="19">
                  <c:v>2</c:v>
                </c:pt>
                <c:pt idx="20">
                  <c:v>3</c:v>
                </c:pt>
                <c:pt idx="21">
                  <c:v>2</c:v>
                </c:pt>
                <c:pt idx="22">
                  <c:v>0</c:v>
                </c:pt>
              </c:numCache>
            </c:numRef>
          </c:val>
          <c:smooth val="1"/>
        </c:ser>
        <c:ser>
          <c:idx val="24"/>
          <c:order val="5"/>
          <c:tx>
            <c:strRef>
              <c:f>'Targets and Countries'!$EN$1</c:f>
              <c:strCache>
                <c:ptCount val="1"/>
                <c:pt idx="0">
                  <c:v>Informal Groups</c:v>
                </c:pt>
              </c:strCache>
            </c:strRef>
          </c:tx>
          <c:spPr>
            <a:ln w="63500">
              <a:solidFill>
                <a:srgbClr val="F79646"/>
              </a:solidFill>
            </a:ln>
          </c:spPr>
          <c:marker>
            <c:symbol val="none"/>
          </c:marker>
          <c:cat>
            <c:numRef>
              <c:f>'Targets and Countries'!$A$8:$A$31</c:f>
              <c:numCache>
                <c:formatCode>General</c:formatCode>
                <c:ptCount val="23"/>
                <c:pt idx="0">
                  <c:v>1987</c:v>
                </c:pt>
                <c:pt idx="1">
                  <c:v>1988</c:v>
                </c:pt>
                <c:pt idx="2">
                  <c:v>1989</c:v>
                </c:pt>
                <c:pt idx="3">
                  <c:v>1990</c:v>
                </c:pt>
                <c:pt idx="4">
                  <c:v>1991</c:v>
                </c:pt>
                <c:pt idx="5">
                  <c:v>1992</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numCache>
            </c:numRef>
          </c:cat>
          <c:val>
            <c:numRef>
              <c:f>'Targets and Countries'!$EN$8:$EN$31</c:f>
              <c:numCache>
                <c:formatCode>General</c:formatCode>
                <c:ptCount val="23"/>
                <c:pt idx="0">
                  <c:v>0</c:v>
                </c:pt>
                <c:pt idx="1">
                  <c:v>0</c:v>
                </c:pt>
                <c:pt idx="2">
                  <c:v>0</c:v>
                </c:pt>
                <c:pt idx="3">
                  <c:v>0</c:v>
                </c:pt>
                <c:pt idx="4">
                  <c:v>0</c:v>
                </c:pt>
                <c:pt idx="5">
                  <c:v>0</c:v>
                </c:pt>
                <c:pt idx="6">
                  <c:v>1</c:v>
                </c:pt>
                <c:pt idx="7">
                  <c:v>0</c:v>
                </c:pt>
                <c:pt idx="8">
                  <c:v>0</c:v>
                </c:pt>
                <c:pt idx="9">
                  <c:v>0</c:v>
                </c:pt>
                <c:pt idx="10">
                  <c:v>0</c:v>
                </c:pt>
                <c:pt idx="11">
                  <c:v>1</c:v>
                </c:pt>
                <c:pt idx="12">
                  <c:v>0</c:v>
                </c:pt>
                <c:pt idx="13">
                  <c:v>1</c:v>
                </c:pt>
                <c:pt idx="14">
                  <c:v>0</c:v>
                </c:pt>
                <c:pt idx="15">
                  <c:v>0</c:v>
                </c:pt>
                <c:pt idx="16">
                  <c:v>0</c:v>
                </c:pt>
                <c:pt idx="17">
                  <c:v>0</c:v>
                </c:pt>
                <c:pt idx="18">
                  <c:v>1</c:v>
                </c:pt>
                <c:pt idx="19">
                  <c:v>0</c:v>
                </c:pt>
                <c:pt idx="20">
                  <c:v>1</c:v>
                </c:pt>
                <c:pt idx="21">
                  <c:v>0</c:v>
                </c:pt>
                <c:pt idx="22">
                  <c:v>0</c:v>
                </c:pt>
              </c:numCache>
            </c:numRef>
          </c:val>
          <c:smooth val="1"/>
        </c:ser>
        <c:dLbls>
          <c:showLegendKey val="0"/>
          <c:showVal val="0"/>
          <c:showCatName val="0"/>
          <c:showSerName val="0"/>
          <c:showPercent val="0"/>
          <c:showBubbleSize val="0"/>
        </c:dLbls>
        <c:marker val="1"/>
        <c:smooth val="0"/>
        <c:axId val="113637248"/>
        <c:axId val="113638784"/>
      </c:lineChart>
      <c:catAx>
        <c:axId val="113637248"/>
        <c:scaling>
          <c:orientation val="minMax"/>
        </c:scaling>
        <c:delete val="0"/>
        <c:axPos val="b"/>
        <c:numFmt formatCode="General" sourceLinked="1"/>
        <c:majorTickMark val="none"/>
        <c:minorTickMark val="none"/>
        <c:tickLblPos val="nextTo"/>
        <c:txPr>
          <a:bodyPr rot="-5400000" vert="horz"/>
          <a:lstStyle/>
          <a:p>
            <a:pPr>
              <a:defRPr/>
            </a:pPr>
            <a:endParaRPr lang="en-US"/>
          </a:p>
        </c:txPr>
        <c:crossAx val="113638784"/>
        <c:crosses val="autoZero"/>
        <c:auto val="1"/>
        <c:lblAlgn val="ctr"/>
        <c:lblOffset val="100"/>
        <c:noMultiLvlLbl val="0"/>
      </c:catAx>
      <c:valAx>
        <c:axId val="113638784"/>
        <c:scaling>
          <c:orientation val="minMax"/>
          <c:min val="0"/>
        </c:scaling>
        <c:delete val="0"/>
        <c:axPos val="l"/>
        <c:majorGridlines>
          <c:spPr>
            <a:ln>
              <a:noFill/>
            </a:ln>
          </c:spPr>
        </c:majorGridlines>
        <c:numFmt formatCode="General" sourceLinked="1"/>
        <c:majorTickMark val="none"/>
        <c:minorTickMark val="none"/>
        <c:tickLblPos val="nextTo"/>
        <c:crossAx val="113637248"/>
        <c:crosses val="autoZero"/>
        <c:crossBetween val="between"/>
      </c:valAx>
    </c:plotArea>
    <c:legend>
      <c:legendPos val="l"/>
      <c:layout>
        <c:manualLayout>
          <c:xMode val="edge"/>
          <c:yMode val="edge"/>
          <c:x val="5.2905380962277079E-2"/>
          <c:y val="0.17286184028263996"/>
          <c:w val="0.33163618356444152"/>
          <c:h val="0.50582259850237898"/>
        </c:manualLayout>
      </c:layout>
      <c:overlay val="1"/>
      <c:spPr>
        <a:ln>
          <a:solidFill>
            <a:sysClr val="windowText" lastClr="000000"/>
          </a:solidFill>
        </a:ln>
        <a:effectLst>
          <a:outerShdw sx="1000" sy="1000" algn="ctr" rotWithShape="0">
            <a:srgbClr val="000000"/>
          </a:outerShdw>
        </a:effectLst>
      </c:spPr>
      <c:txPr>
        <a:bodyPr/>
        <a:lstStyle/>
        <a:p>
          <a:pPr>
            <a:defRPr lang="en-US" sz="1000" b="0" i="0" u="none" strike="noStrike" kern="1200" baseline="0">
              <a:solidFill>
                <a:sysClr val="window" lastClr="FFFFFF"/>
              </a:solidFill>
              <a:latin typeface="+mn-lt"/>
              <a:ea typeface="+mn-ea"/>
              <a:cs typeface="+mn-cs"/>
            </a:defRPr>
          </a:pPr>
          <a:endParaRPr lang="en-US"/>
        </a:p>
      </c:txPr>
    </c:legend>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42"/>
    </mc:Choice>
    <mc:Fallback>
      <c:style val="42"/>
    </mc:Fallback>
  </mc:AlternateContent>
  <c:clrMapOvr bg1="lt1" tx1="dk1" bg2="lt2" tx2="dk2" accent1="accent1" accent2="accent2" accent3="accent3" accent4="accent4" accent5="accent5" accent6="accent6" hlink="hlink" folHlink="folHlink"/>
  <c:chart>
    <c:title>
      <c:tx>
        <c:rich>
          <a:bodyPr/>
          <a:lstStyle/>
          <a:p>
            <a:pPr>
              <a:defRPr/>
            </a:pPr>
            <a:r>
              <a:rPr lang="en-US"/>
              <a:t>Turkey Total Suicide Attacks (START)</a:t>
            </a:r>
          </a:p>
        </c:rich>
      </c:tx>
      <c:overlay val="0"/>
    </c:title>
    <c:autoTitleDeleted val="0"/>
    <c:plotArea>
      <c:layout/>
      <c:lineChart>
        <c:grouping val="standard"/>
        <c:varyColors val="0"/>
        <c:ser>
          <c:idx val="12"/>
          <c:order val="0"/>
          <c:tx>
            <c:strRef>
              <c:f>'Targets and Countries'!$EZ$1</c:f>
              <c:strCache>
                <c:ptCount val="1"/>
                <c:pt idx="0">
                  <c:v>Turkey</c:v>
                </c:pt>
              </c:strCache>
            </c:strRef>
          </c:tx>
          <c:spPr>
            <a:ln w="63500">
              <a:solidFill>
                <a:srgbClr val="7030A0"/>
              </a:solidFill>
            </a:ln>
          </c:spPr>
          <c:marker>
            <c:symbol val="none"/>
          </c:marker>
          <c:cat>
            <c:numRef>
              <c:f>'Targets and Countries'!$A$14:$A$35</c:f>
              <c:numCache>
                <c:formatCode>General</c:formatCode>
                <c:ptCount val="21"/>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numCache>
            </c:numRef>
          </c:cat>
          <c:val>
            <c:numRef>
              <c:f>'Targets and Countries'!$EZ$14:$EZ$35</c:f>
              <c:numCache>
                <c:formatCode>General</c:formatCode>
                <c:ptCount val="21"/>
                <c:pt idx="0">
                  <c:v>0</c:v>
                </c:pt>
                <c:pt idx="1">
                  <c:v>0</c:v>
                </c:pt>
                <c:pt idx="2">
                  <c:v>3</c:v>
                </c:pt>
                <c:pt idx="3">
                  <c:v>0</c:v>
                </c:pt>
                <c:pt idx="4">
                  <c:v>3</c:v>
                </c:pt>
                <c:pt idx="5">
                  <c:v>10</c:v>
                </c:pt>
                <c:pt idx="6">
                  <c:v>0</c:v>
                </c:pt>
                <c:pt idx="7">
                  <c:v>2</c:v>
                </c:pt>
                <c:pt idx="8">
                  <c:v>0</c:v>
                </c:pt>
                <c:pt idx="9">
                  <c:v>5</c:v>
                </c:pt>
                <c:pt idx="10">
                  <c:v>1</c:v>
                </c:pt>
                <c:pt idx="11">
                  <c:v>1</c:v>
                </c:pt>
                <c:pt idx="12">
                  <c:v>1</c:v>
                </c:pt>
                <c:pt idx="13">
                  <c:v>0</c:v>
                </c:pt>
                <c:pt idx="14">
                  <c:v>1</c:v>
                </c:pt>
                <c:pt idx="15">
                  <c:v>1</c:v>
                </c:pt>
                <c:pt idx="16">
                  <c:v>0</c:v>
                </c:pt>
                <c:pt idx="17">
                  <c:v>1</c:v>
                </c:pt>
                <c:pt idx="18">
                  <c:v>3</c:v>
                </c:pt>
                <c:pt idx="19">
                  <c:v>1</c:v>
                </c:pt>
                <c:pt idx="20">
                  <c:v>0</c:v>
                </c:pt>
              </c:numCache>
            </c:numRef>
          </c:val>
          <c:smooth val="1"/>
        </c:ser>
        <c:ser>
          <c:idx val="20"/>
          <c:order val="1"/>
          <c:tx>
            <c:strRef>
              <c:f>'Targets and Countries'!$FA$1</c:f>
              <c:strCache>
                <c:ptCount val="1"/>
                <c:pt idx="0">
                  <c:v>Military</c:v>
                </c:pt>
              </c:strCache>
            </c:strRef>
          </c:tx>
          <c:spPr>
            <a:ln w="63500">
              <a:solidFill>
                <a:srgbClr val="FF0000"/>
              </a:solidFill>
            </a:ln>
          </c:spPr>
          <c:marker>
            <c:symbol val="none"/>
          </c:marker>
          <c:cat>
            <c:numRef>
              <c:f>'Targets and Countries'!$A$14:$A$35</c:f>
              <c:numCache>
                <c:formatCode>General</c:formatCode>
                <c:ptCount val="21"/>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numCache>
            </c:numRef>
          </c:cat>
          <c:val>
            <c:numRef>
              <c:f>'Targets and Countries'!$FA$14:$FA$35</c:f>
              <c:numCache>
                <c:formatCode>General</c:formatCode>
                <c:ptCount val="21"/>
                <c:pt idx="0">
                  <c:v>0</c:v>
                </c:pt>
                <c:pt idx="1">
                  <c:v>0</c:v>
                </c:pt>
                <c:pt idx="2">
                  <c:v>1</c:v>
                </c:pt>
                <c:pt idx="3">
                  <c:v>0</c:v>
                </c:pt>
                <c:pt idx="4">
                  <c:v>2</c:v>
                </c:pt>
                <c:pt idx="5">
                  <c:v>0</c:v>
                </c:pt>
                <c:pt idx="6">
                  <c:v>0</c:v>
                </c:pt>
                <c:pt idx="7">
                  <c:v>0</c:v>
                </c:pt>
                <c:pt idx="8">
                  <c:v>0</c:v>
                </c:pt>
                <c:pt idx="9">
                  <c:v>0</c:v>
                </c:pt>
                <c:pt idx="10">
                  <c:v>0</c:v>
                </c:pt>
                <c:pt idx="11">
                  <c:v>0</c:v>
                </c:pt>
                <c:pt idx="12">
                  <c:v>0</c:v>
                </c:pt>
                <c:pt idx="13">
                  <c:v>0</c:v>
                </c:pt>
                <c:pt idx="14">
                  <c:v>0</c:v>
                </c:pt>
                <c:pt idx="15">
                  <c:v>0</c:v>
                </c:pt>
                <c:pt idx="16">
                  <c:v>0</c:v>
                </c:pt>
                <c:pt idx="17">
                  <c:v>0</c:v>
                </c:pt>
                <c:pt idx="18">
                  <c:v>1</c:v>
                </c:pt>
                <c:pt idx="19">
                  <c:v>0</c:v>
                </c:pt>
                <c:pt idx="20">
                  <c:v>0</c:v>
                </c:pt>
              </c:numCache>
            </c:numRef>
          </c:val>
          <c:smooth val="1"/>
        </c:ser>
        <c:ser>
          <c:idx val="21"/>
          <c:order val="2"/>
          <c:tx>
            <c:strRef>
              <c:f>'Targets and Countries'!$FB$1</c:f>
              <c:strCache>
                <c:ptCount val="1"/>
                <c:pt idx="0">
                  <c:v>Government</c:v>
                </c:pt>
              </c:strCache>
            </c:strRef>
          </c:tx>
          <c:spPr>
            <a:ln w="63500">
              <a:solidFill>
                <a:srgbClr val="00B050"/>
              </a:solidFill>
            </a:ln>
          </c:spPr>
          <c:marker>
            <c:symbol val="none"/>
          </c:marker>
          <c:cat>
            <c:numRef>
              <c:f>'Targets and Countries'!$A$14:$A$35</c:f>
              <c:numCache>
                <c:formatCode>General</c:formatCode>
                <c:ptCount val="21"/>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numCache>
            </c:numRef>
          </c:cat>
          <c:val>
            <c:numRef>
              <c:f>'Targets and Countries'!$FB$14:$FB$35</c:f>
              <c:numCache>
                <c:formatCode>General</c:formatCode>
                <c:ptCount val="21"/>
                <c:pt idx="0">
                  <c:v>0</c:v>
                </c:pt>
                <c:pt idx="1">
                  <c:v>0</c:v>
                </c:pt>
                <c:pt idx="2">
                  <c:v>0</c:v>
                </c:pt>
                <c:pt idx="3">
                  <c:v>0</c:v>
                </c:pt>
                <c:pt idx="4">
                  <c:v>0</c:v>
                </c:pt>
                <c:pt idx="5">
                  <c:v>3</c:v>
                </c:pt>
                <c:pt idx="6">
                  <c:v>0</c:v>
                </c:pt>
                <c:pt idx="7">
                  <c:v>0</c:v>
                </c:pt>
                <c:pt idx="8">
                  <c:v>0</c:v>
                </c:pt>
                <c:pt idx="9">
                  <c:v>1</c:v>
                </c:pt>
                <c:pt idx="10">
                  <c:v>0</c:v>
                </c:pt>
                <c:pt idx="11">
                  <c:v>1</c:v>
                </c:pt>
                <c:pt idx="12">
                  <c:v>0</c:v>
                </c:pt>
                <c:pt idx="13">
                  <c:v>0</c:v>
                </c:pt>
                <c:pt idx="14">
                  <c:v>0</c:v>
                </c:pt>
                <c:pt idx="15">
                  <c:v>1</c:v>
                </c:pt>
                <c:pt idx="16">
                  <c:v>0</c:v>
                </c:pt>
                <c:pt idx="17">
                  <c:v>1</c:v>
                </c:pt>
                <c:pt idx="18">
                  <c:v>0</c:v>
                </c:pt>
                <c:pt idx="19">
                  <c:v>1</c:v>
                </c:pt>
                <c:pt idx="20">
                  <c:v>0</c:v>
                </c:pt>
              </c:numCache>
            </c:numRef>
          </c:val>
          <c:smooth val="1"/>
        </c:ser>
        <c:ser>
          <c:idx val="22"/>
          <c:order val="3"/>
          <c:tx>
            <c:strRef>
              <c:f>'Targets and Countries'!$FC$1</c:f>
              <c:strCache>
                <c:ptCount val="1"/>
                <c:pt idx="0">
                  <c:v>Police</c:v>
                </c:pt>
              </c:strCache>
            </c:strRef>
          </c:tx>
          <c:spPr>
            <a:ln w="63500">
              <a:solidFill>
                <a:srgbClr val="FFFF00"/>
              </a:solidFill>
            </a:ln>
          </c:spPr>
          <c:marker>
            <c:symbol val="none"/>
          </c:marker>
          <c:cat>
            <c:numRef>
              <c:f>'Targets and Countries'!$A$14:$A$35</c:f>
              <c:numCache>
                <c:formatCode>General</c:formatCode>
                <c:ptCount val="21"/>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numCache>
            </c:numRef>
          </c:cat>
          <c:val>
            <c:numRef>
              <c:f>'Targets and Countries'!$FC$14:$FC$35</c:f>
              <c:numCache>
                <c:formatCode>General</c:formatCode>
                <c:ptCount val="21"/>
                <c:pt idx="0">
                  <c:v>0</c:v>
                </c:pt>
                <c:pt idx="1">
                  <c:v>0</c:v>
                </c:pt>
                <c:pt idx="2">
                  <c:v>2</c:v>
                </c:pt>
                <c:pt idx="3">
                  <c:v>0</c:v>
                </c:pt>
                <c:pt idx="4">
                  <c:v>0</c:v>
                </c:pt>
                <c:pt idx="5">
                  <c:v>4</c:v>
                </c:pt>
                <c:pt idx="6">
                  <c:v>0</c:v>
                </c:pt>
                <c:pt idx="7">
                  <c:v>2</c:v>
                </c:pt>
                <c:pt idx="8">
                  <c:v>0</c:v>
                </c:pt>
                <c:pt idx="9">
                  <c:v>0</c:v>
                </c:pt>
                <c:pt idx="10">
                  <c:v>0</c:v>
                </c:pt>
                <c:pt idx="11">
                  <c:v>0</c:v>
                </c:pt>
                <c:pt idx="12">
                  <c:v>0</c:v>
                </c:pt>
                <c:pt idx="13">
                  <c:v>0</c:v>
                </c:pt>
                <c:pt idx="14">
                  <c:v>1</c:v>
                </c:pt>
                <c:pt idx="15">
                  <c:v>0</c:v>
                </c:pt>
                <c:pt idx="16">
                  <c:v>0</c:v>
                </c:pt>
                <c:pt idx="17">
                  <c:v>0</c:v>
                </c:pt>
                <c:pt idx="18">
                  <c:v>2</c:v>
                </c:pt>
                <c:pt idx="19">
                  <c:v>0</c:v>
                </c:pt>
                <c:pt idx="20">
                  <c:v>0</c:v>
                </c:pt>
              </c:numCache>
            </c:numRef>
          </c:val>
          <c:smooth val="1"/>
        </c:ser>
        <c:ser>
          <c:idx val="23"/>
          <c:order val="4"/>
          <c:tx>
            <c:strRef>
              <c:f>'Targets and Countries'!$FD$1</c:f>
              <c:strCache>
                <c:ptCount val="1"/>
                <c:pt idx="0">
                  <c:v>Civilian</c:v>
                </c:pt>
              </c:strCache>
            </c:strRef>
          </c:tx>
          <c:spPr>
            <a:ln w="63500">
              <a:solidFill>
                <a:srgbClr val="00B0F0"/>
              </a:solidFill>
            </a:ln>
          </c:spPr>
          <c:marker>
            <c:symbol val="none"/>
          </c:marker>
          <c:cat>
            <c:numRef>
              <c:f>'Targets and Countries'!$A$14:$A$35</c:f>
              <c:numCache>
                <c:formatCode>General</c:formatCode>
                <c:ptCount val="21"/>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numCache>
            </c:numRef>
          </c:cat>
          <c:val>
            <c:numRef>
              <c:f>'Targets and Countries'!$FD$14:$FD$35</c:f>
              <c:numCache>
                <c:formatCode>General</c:formatCode>
                <c:ptCount val="21"/>
                <c:pt idx="0">
                  <c:v>0</c:v>
                </c:pt>
                <c:pt idx="1">
                  <c:v>0</c:v>
                </c:pt>
                <c:pt idx="2">
                  <c:v>0</c:v>
                </c:pt>
                <c:pt idx="3">
                  <c:v>0</c:v>
                </c:pt>
                <c:pt idx="4">
                  <c:v>1</c:v>
                </c:pt>
                <c:pt idx="5">
                  <c:v>1</c:v>
                </c:pt>
                <c:pt idx="6">
                  <c:v>0</c:v>
                </c:pt>
                <c:pt idx="7">
                  <c:v>0</c:v>
                </c:pt>
                <c:pt idx="8">
                  <c:v>0</c:v>
                </c:pt>
                <c:pt idx="9">
                  <c:v>3</c:v>
                </c:pt>
                <c:pt idx="10">
                  <c:v>1</c:v>
                </c:pt>
                <c:pt idx="11">
                  <c:v>0</c:v>
                </c:pt>
                <c:pt idx="12">
                  <c:v>1</c:v>
                </c:pt>
                <c:pt idx="13">
                  <c:v>0</c:v>
                </c:pt>
                <c:pt idx="14">
                  <c:v>0</c:v>
                </c:pt>
                <c:pt idx="15">
                  <c:v>0</c:v>
                </c:pt>
                <c:pt idx="16">
                  <c:v>0</c:v>
                </c:pt>
                <c:pt idx="17">
                  <c:v>0</c:v>
                </c:pt>
                <c:pt idx="18">
                  <c:v>0</c:v>
                </c:pt>
                <c:pt idx="19">
                  <c:v>0</c:v>
                </c:pt>
                <c:pt idx="20">
                  <c:v>0</c:v>
                </c:pt>
              </c:numCache>
            </c:numRef>
          </c:val>
          <c:smooth val="1"/>
        </c:ser>
        <c:ser>
          <c:idx val="24"/>
          <c:order val="5"/>
          <c:tx>
            <c:strRef>
              <c:f>'Targets and Countries'!$FE$1</c:f>
              <c:strCache>
                <c:ptCount val="1"/>
                <c:pt idx="0">
                  <c:v>Informal Groups</c:v>
                </c:pt>
              </c:strCache>
            </c:strRef>
          </c:tx>
          <c:spPr>
            <a:ln w="63500">
              <a:solidFill>
                <a:srgbClr val="F79646"/>
              </a:solidFill>
            </a:ln>
          </c:spPr>
          <c:marker>
            <c:symbol val="none"/>
          </c:marker>
          <c:cat>
            <c:numRef>
              <c:f>'Targets and Countries'!$A$14:$A$35</c:f>
              <c:numCache>
                <c:formatCode>General</c:formatCode>
                <c:ptCount val="21"/>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numCache>
            </c:numRef>
          </c:cat>
          <c:val>
            <c:numRef>
              <c:f>'Targets and Countries'!$FE$14:$FE$35</c:f>
              <c:numCache>
                <c:formatCode>General</c:formatCode>
                <c:ptCount val="2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numCache>
            </c:numRef>
          </c:val>
          <c:smooth val="1"/>
        </c:ser>
        <c:dLbls>
          <c:showLegendKey val="0"/>
          <c:showVal val="0"/>
          <c:showCatName val="0"/>
          <c:showSerName val="0"/>
          <c:showPercent val="0"/>
          <c:showBubbleSize val="0"/>
        </c:dLbls>
        <c:marker val="1"/>
        <c:smooth val="0"/>
        <c:axId val="116235648"/>
        <c:axId val="116249728"/>
      </c:lineChart>
      <c:catAx>
        <c:axId val="116235648"/>
        <c:scaling>
          <c:orientation val="minMax"/>
        </c:scaling>
        <c:delete val="0"/>
        <c:axPos val="b"/>
        <c:numFmt formatCode="General" sourceLinked="1"/>
        <c:majorTickMark val="none"/>
        <c:minorTickMark val="none"/>
        <c:tickLblPos val="nextTo"/>
        <c:txPr>
          <a:bodyPr rot="-5400000" vert="horz"/>
          <a:lstStyle/>
          <a:p>
            <a:pPr>
              <a:defRPr/>
            </a:pPr>
            <a:endParaRPr lang="en-US"/>
          </a:p>
        </c:txPr>
        <c:crossAx val="116249728"/>
        <c:crosses val="autoZero"/>
        <c:auto val="1"/>
        <c:lblAlgn val="ctr"/>
        <c:lblOffset val="100"/>
        <c:noMultiLvlLbl val="0"/>
      </c:catAx>
      <c:valAx>
        <c:axId val="116249728"/>
        <c:scaling>
          <c:orientation val="minMax"/>
          <c:min val="0"/>
        </c:scaling>
        <c:delete val="0"/>
        <c:axPos val="l"/>
        <c:majorGridlines>
          <c:spPr>
            <a:ln>
              <a:noFill/>
            </a:ln>
          </c:spPr>
        </c:majorGridlines>
        <c:numFmt formatCode="General" sourceLinked="1"/>
        <c:majorTickMark val="none"/>
        <c:minorTickMark val="none"/>
        <c:tickLblPos val="nextTo"/>
        <c:crossAx val="116235648"/>
        <c:crosses val="autoZero"/>
        <c:crossBetween val="between"/>
      </c:valAx>
    </c:plotArea>
    <c:legend>
      <c:legendPos val="l"/>
      <c:layout>
        <c:manualLayout>
          <c:xMode val="edge"/>
          <c:yMode val="edge"/>
          <c:x val="0.46282427085994843"/>
          <c:y val="0.17687440353319808"/>
          <c:w val="0.42820740327813006"/>
          <c:h val="0.30111626827897603"/>
        </c:manualLayout>
      </c:layout>
      <c:overlay val="1"/>
      <c:spPr>
        <a:ln>
          <a:solidFill>
            <a:sysClr val="windowText" lastClr="000000"/>
          </a:solidFill>
        </a:ln>
        <a:effectLst>
          <a:outerShdw sx="1000" sy="1000" algn="ctr" rotWithShape="0">
            <a:srgbClr val="000000"/>
          </a:outerShdw>
        </a:effectLst>
      </c:spPr>
      <c:txPr>
        <a:bodyPr/>
        <a:lstStyle/>
        <a:p>
          <a:pPr>
            <a:defRPr lang="en-US" sz="1000" b="0" i="0" u="none" strike="noStrike" kern="1200" baseline="0">
              <a:solidFill>
                <a:sysClr val="window" lastClr="FFFFFF"/>
              </a:solidFill>
              <a:latin typeface="+mn-lt"/>
              <a:ea typeface="+mn-ea"/>
              <a:cs typeface="+mn-cs"/>
            </a:defRPr>
          </a:pPr>
          <a:endParaRPr lang="en-US"/>
        </a:p>
      </c:txPr>
    </c:legend>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42"/>
    </mc:Choice>
    <mc:Fallback>
      <c:style val="42"/>
    </mc:Fallback>
  </mc:AlternateContent>
  <c:clrMapOvr bg1="lt1" tx1="dk1" bg2="lt2" tx2="dk2" accent1="accent1" accent2="accent2" accent3="accent3" accent4="accent4" accent5="accent5" accent6="accent6" hlink="hlink" folHlink="folHlink"/>
  <c:chart>
    <c:title>
      <c:tx>
        <c:rich>
          <a:bodyPr/>
          <a:lstStyle/>
          <a:p>
            <a:pPr>
              <a:defRPr/>
            </a:pPr>
            <a:r>
              <a:rPr lang="en-US"/>
              <a:t>Russia Total Suicide</a:t>
            </a:r>
            <a:r>
              <a:rPr lang="en-US" baseline="0"/>
              <a:t> Attacks (START)</a:t>
            </a:r>
            <a:endParaRPr lang="en-US"/>
          </a:p>
        </c:rich>
      </c:tx>
      <c:overlay val="0"/>
    </c:title>
    <c:autoTitleDeleted val="0"/>
    <c:plotArea>
      <c:layout/>
      <c:lineChart>
        <c:grouping val="standard"/>
        <c:varyColors val="0"/>
        <c:ser>
          <c:idx val="12"/>
          <c:order val="0"/>
          <c:tx>
            <c:strRef>
              <c:f>'Targets and Countries'!$DS$1</c:f>
              <c:strCache>
                <c:ptCount val="1"/>
                <c:pt idx="0">
                  <c:v>Russia</c:v>
                </c:pt>
              </c:strCache>
            </c:strRef>
          </c:tx>
          <c:spPr>
            <a:ln w="63500">
              <a:solidFill>
                <a:srgbClr val="7030A0"/>
              </a:solidFill>
            </a:ln>
          </c:spPr>
          <c:marker>
            <c:symbol val="none"/>
          </c:marker>
          <c:cat>
            <c:numRef>
              <c:f>('Targets and Countries'!$A$14,'Targets and Countries'!$A$20:$A$35)</c:f>
              <c:numCache>
                <c:formatCode>General</c:formatCode>
                <c:ptCount val="16"/>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numCache>
            </c:numRef>
          </c:cat>
          <c:val>
            <c:numRef>
              <c:f>('Targets and Countries'!$DS$14,'Targets and Countries'!$DS$20:$DS$35)</c:f>
              <c:numCache>
                <c:formatCode>General</c:formatCode>
                <c:ptCount val="16"/>
                <c:pt idx="0">
                  <c:v>0</c:v>
                </c:pt>
                <c:pt idx="1">
                  <c:v>11</c:v>
                </c:pt>
                <c:pt idx="2">
                  <c:v>2</c:v>
                </c:pt>
                <c:pt idx="3">
                  <c:v>2</c:v>
                </c:pt>
                <c:pt idx="4">
                  <c:v>10</c:v>
                </c:pt>
                <c:pt idx="5">
                  <c:v>5</c:v>
                </c:pt>
                <c:pt idx="6">
                  <c:v>0</c:v>
                </c:pt>
                <c:pt idx="7">
                  <c:v>2</c:v>
                </c:pt>
                <c:pt idx="8">
                  <c:v>2</c:v>
                </c:pt>
                <c:pt idx="9">
                  <c:v>1</c:v>
                </c:pt>
                <c:pt idx="10">
                  <c:v>5</c:v>
                </c:pt>
                <c:pt idx="11">
                  <c:v>11</c:v>
                </c:pt>
                <c:pt idx="12">
                  <c:v>7</c:v>
                </c:pt>
                <c:pt idx="13">
                  <c:v>8</c:v>
                </c:pt>
                <c:pt idx="14">
                  <c:v>9</c:v>
                </c:pt>
                <c:pt idx="15">
                  <c:v>1</c:v>
                </c:pt>
              </c:numCache>
            </c:numRef>
          </c:val>
          <c:smooth val="1"/>
        </c:ser>
        <c:ser>
          <c:idx val="20"/>
          <c:order val="1"/>
          <c:tx>
            <c:strRef>
              <c:f>'Targets and Countries'!$DT$1</c:f>
              <c:strCache>
                <c:ptCount val="1"/>
                <c:pt idx="0">
                  <c:v>Military</c:v>
                </c:pt>
              </c:strCache>
            </c:strRef>
          </c:tx>
          <c:spPr>
            <a:ln w="63500">
              <a:solidFill>
                <a:srgbClr val="FF0000"/>
              </a:solidFill>
            </a:ln>
          </c:spPr>
          <c:marker>
            <c:symbol val="none"/>
          </c:marker>
          <c:cat>
            <c:numRef>
              <c:f>('Targets and Countries'!$A$14,'Targets and Countries'!$A$20:$A$35)</c:f>
              <c:numCache>
                <c:formatCode>General</c:formatCode>
                <c:ptCount val="16"/>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numCache>
            </c:numRef>
          </c:cat>
          <c:val>
            <c:numRef>
              <c:f>('Targets and Countries'!$DT$14,'Targets and Countries'!$DT$20:$DT$35)</c:f>
              <c:numCache>
                <c:formatCode>General</c:formatCode>
                <c:ptCount val="16"/>
                <c:pt idx="0">
                  <c:v>0</c:v>
                </c:pt>
                <c:pt idx="1">
                  <c:v>8</c:v>
                </c:pt>
                <c:pt idx="2">
                  <c:v>1</c:v>
                </c:pt>
                <c:pt idx="3">
                  <c:v>1</c:v>
                </c:pt>
                <c:pt idx="4">
                  <c:v>2</c:v>
                </c:pt>
                <c:pt idx="5">
                  <c:v>0</c:v>
                </c:pt>
                <c:pt idx="6">
                  <c:v>0</c:v>
                </c:pt>
                <c:pt idx="7">
                  <c:v>0</c:v>
                </c:pt>
                <c:pt idx="8">
                  <c:v>0</c:v>
                </c:pt>
                <c:pt idx="9">
                  <c:v>0</c:v>
                </c:pt>
                <c:pt idx="10">
                  <c:v>0</c:v>
                </c:pt>
                <c:pt idx="11">
                  <c:v>0</c:v>
                </c:pt>
                <c:pt idx="12">
                  <c:v>0</c:v>
                </c:pt>
                <c:pt idx="13">
                  <c:v>0</c:v>
                </c:pt>
                <c:pt idx="14">
                  <c:v>0</c:v>
                </c:pt>
                <c:pt idx="15">
                  <c:v>0</c:v>
                </c:pt>
              </c:numCache>
            </c:numRef>
          </c:val>
          <c:smooth val="1"/>
        </c:ser>
        <c:ser>
          <c:idx val="21"/>
          <c:order val="2"/>
          <c:tx>
            <c:strRef>
              <c:f>'Targets and Countries'!$DU$1</c:f>
              <c:strCache>
                <c:ptCount val="1"/>
                <c:pt idx="0">
                  <c:v>Government</c:v>
                </c:pt>
              </c:strCache>
            </c:strRef>
          </c:tx>
          <c:spPr>
            <a:ln w="63500">
              <a:solidFill>
                <a:srgbClr val="00B050"/>
              </a:solidFill>
            </a:ln>
          </c:spPr>
          <c:marker>
            <c:symbol val="none"/>
          </c:marker>
          <c:cat>
            <c:numRef>
              <c:f>('Targets and Countries'!$A$14,'Targets and Countries'!$A$20:$A$35)</c:f>
              <c:numCache>
                <c:formatCode>General</c:formatCode>
                <c:ptCount val="16"/>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numCache>
            </c:numRef>
          </c:cat>
          <c:val>
            <c:numRef>
              <c:f>('Targets and Countries'!$DU$14,'Targets and Countries'!$DU$20:$DU$35)</c:f>
              <c:numCache>
                <c:formatCode>General</c:formatCode>
                <c:ptCount val="16"/>
                <c:pt idx="0">
                  <c:v>0</c:v>
                </c:pt>
                <c:pt idx="1">
                  <c:v>0</c:v>
                </c:pt>
                <c:pt idx="2">
                  <c:v>1</c:v>
                </c:pt>
                <c:pt idx="3">
                  <c:v>1</c:v>
                </c:pt>
                <c:pt idx="4">
                  <c:v>3</c:v>
                </c:pt>
                <c:pt idx="5">
                  <c:v>2</c:v>
                </c:pt>
                <c:pt idx="6">
                  <c:v>0</c:v>
                </c:pt>
                <c:pt idx="7">
                  <c:v>0</c:v>
                </c:pt>
                <c:pt idx="8">
                  <c:v>0</c:v>
                </c:pt>
                <c:pt idx="9">
                  <c:v>0</c:v>
                </c:pt>
                <c:pt idx="10">
                  <c:v>2</c:v>
                </c:pt>
                <c:pt idx="11">
                  <c:v>4</c:v>
                </c:pt>
                <c:pt idx="12">
                  <c:v>0</c:v>
                </c:pt>
                <c:pt idx="13">
                  <c:v>0</c:v>
                </c:pt>
                <c:pt idx="14">
                  <c:v>1</c:v>
                </c:pt>
                <c:pt idx="15">
                  <c:v>0</c:v>
                </c:pt>
              </c:numCache>
            </c:numRef>
          </c:val>
          <c:smooth val="1"/>
        </c:ser>
        <c:ser>
          <c:idx val="22"/>
          <c:order val="3"/>
          <c:tx>
            <c:strRef>
              <c:f>'Targets and Countries'!$DV$1</c:f>
              <c:strCache>
                <c:ptCount val="1"/>
                <c:pt idx="0">
                  <c:v>Police</c:v>
                </c:pt>
              </c:strCache>
            </c:strRef>
          </c:tx>
          <c:spPr>
            <a:ln w="63500">
              <a:solidFill>
                <a:srgbClr val="FFFF00"/>
              </a:solidFill>
            </a:ln>
          </c:spPr>
          <c:marker>
            <c:symbol val="none"/>
          </c:marker>
          <c:cat>
            <c:numRef>
              <c:f>('Targets and Countries'!$A$14,'Targets and Countries'!$A$20:$A$35)</c:f>
              <c:numCache>
                <c:formatCode>General</c:formatCode>
                <c:ptCount val="16"/>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numCache>
            </c:numRef>
          </c:cat>
          <c:val>
            <c:numRef>
              <c:f>('Targets and Countries'!$DV$14,'Targets and Countries'!$DV$20:$DV$35)</c:f>
              <c:numCache>
                <c:formatCode>General</c:formatCode>
                <c:ptCount val="16"/>
                <c:pt idx="0">
                  <c:v>0</c:v>
                </c:pt>
                <c:pt idx="1">
                  <c:v>3</c:v>
                </c:pt>
                <c:pt idx="2">
                  <c:v>0</c:v>
                </c:pt>
                <c:pt idx="3">
                  <c:v>0</c:v>
                </c:pt>
                <c:pt idx="4">
                  <c:v>1</c:v>
                </c:pt>
                <c:pt idx="5">
                  <c:v>0</c:v>
                </c:pt>
                <c:pt idx="6">
                  <c:v>0</c:v>
                </c:pt>
                <c:pt idx="7">
                  <c:v>1</c:v>
                </c:pt>
                <c:pt idx="8">
                  <c:v>0</c:v>
                </c:pt>
                <c:pt idx="9">
                  <c:v>0</c:v>
                </c:pt>
                <c:pt idx="10">
                  <c:v>1</c:v>
                </c:pt>
                <c:pt idx="11">
                  <c:v>4</c:v>
                </c:pt>
                <c:pt idx="12">
                  <c:v>4</c:v>
                </c:pt>
                <c:pt idx="13">
                  <c:v>7</c:v>
                </c:pt>
                <c:pt idx="14">
                  <c:v>5</c:v>
                </c:pt>
                <c:pt idx="15">
                  <c:v>0</c:v>
                </c:pt>
              </c:numCache>
            </c:numRef>
          </c:val>
          <c:smooth val="1"/>
        </c:ser>
        <c:ser>
          <c:idx val="23"/>
          <c:order val="4"/>
          <c:tx>
            <c:strRef>
              <c:f>'Targets and Countries'!$DW$1</c:f>
              <c:strCache>
                <c:ptCount val="1"/>
                <c:pt idx="0">
                  <c:v>Civilian</c:v>
                </c:pt>
              </c:strCache>
            </c:strRef>
          </c:tx>
          <c:spPr>
            <a:ln w="63500">
              <a:solidFill>
                <a:srgbClr val="00B0F0"/>
              </a:solidFill>
            </a:ln>
          </c:spPr>
          <c:marker>
            <c:symbol val="none"/>
          </c:marker>
          <c:cat>
            <c:numRef>
              <c:f>('Targets and Countries'!$A$14,'Targets and Countries'!$A$20:$A$35)</c:f>
              <c:numCache>
                <c:formatCode>General</c:formatCode>
                <c:ptCount val="16"/>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numCache>
            </c:numRef>
          </c:cat>
          <c:val>
            <c:numRef>
              <c:f>('Targets and Countries'!$DW$14,'Targets and Countries'!$DW$20:$DW$35)</c:f>
              <c:numCache>
                <c:formatCode>General</c:formatCode>
                <c:ptCount val="16"/>
                <c:pt idx="0">
                  <c:v>0</c:v>
                </c:pt>
                <c:pt idx="1">
                  <c:v>0</c:v>
                </c:pt>
                <c:pt idx="2">
                  <c:v>0</c:v>
                </c:pt>
                <c:pt idx="3">
                  <c:v>0</c:v>
                </c:pt>
                <c:pt idx="4">
                  <c:v>3</c:v>
                </c:pt>
                <c:pt idx="5">
                  <c:v>3</c:v>
                </c:pt>
                <c:pt idx="6">
                  <c:v>0</c:v>
                </c:pt>
                <c:pt idx="7">
                  <c:v>0</c:v>
                </c:pt>
                <c:pt idx="8">
                  <c:v>2</c:v>
                </c:pt>
                <c:pt idx="9">
                  <c:v>1</c:v>
                </c:pt>
                <c:pt idx="10">
                  <c:v>1</c:v>
                </c:pt>
                <c:pt idx="11">
                  <c:v>3</c:v>
                </c:pt>
                <c:pt idx="12">
                  <c:v>3</c:v>
                </c:pt>
                <c:pt idx="13">
                  <c:v>1</c:v>
                </c:pt>
                <c:pt idx="14">
                  <c:v>3</c:v>
                </c:pt>
                <c:pt idx="15">
                  <c:v>1</c:v>
                </c:pt>
              </c:numCache>
            </c:numRef>
          </c:val>
          <c:smooth val="1"/>
        </c:ser>
        <c:ser>
          <c:idx val="24"/>
          <c:order val="5"/>
          <c:tx>
            <c:strRef>
              <c:f>'Targets and Countries'!$DX$1</c:f>
              <c:strCache>
                <c:ptCount val="1"/>
                <c:pt idx="0">
                  <c:v>Informal Groups</c:v>
                </c:pt>
              </c:strCache>
            </c:strRef>
          </c:tx>
          <c:spPr>
            <a:ln w="63500">
              <a:solidFill>
                <a:srgbClr val="F79646"/>
              </a:solidFill>
            </a:ln>
          </c:spPr>
          <c:marker>
            <c:symbol val="none"/>
          </c:marker>
          <c:cat>
            <c:numRef>
              <c:f>('Targets and Countries'!$A$14,'Targets and Countries'!$A$20:$A$35)</c:f>
              <c:numCache>
                <c:formatCode>General</c:formatCode>
                <c:ptCount val="16"/>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numCache>
            </c:numRef>
          </c:cat>
          <c:val>
            <c:numRef>
              <c:f>('Targets and Countries'!$DX$14,'Targets and Countries'!$DX$20:$DX$35)</c:f>
              <c:numCache>
                <c:formatCode>General</c:formatCode>
                <c:ptCount val="1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numCache>
            </c:numRef>
          </c:val>
          <c:smooth val="1"/>
        </c:ser>
        <c:dLbls>
          <c:showLegendKey val="0"/>
          <c:showVal val="0"/>
          <c:showCatName val="0"/>
          <c:showSerName val="0"/>
          <c:showPercent val="0"/>
          <c:showBubbleSize val="0"/>
        </c:dLbls>
        <c:marker val="1"/>
        <c:smooth val="0"/>
        <c:axId val="116613504"/>
        <c:axId val="116615040"/>
      </c:lineChart>
      <c:catAx>
        <c:axId val="116613504"/>
        <c:scaling>
          <c:orientation val="minMax"/>
        </c:scaling>
        <c:delete val="0"/>
        <c:axPos val="b"/>
        <c:numFmt formatCode="General" sourceLinked="1"/>
        <c:majorTickMark val="none"/>
        <c:minorTickMark val="none"/>
        <c:tickLblPos val="nextTo"/>
        <c:txPr>
          <a:bodyPr rot="-5400000" vert="horz"/>
          <a:lstStyle/>
          <a:p>
            <a:pPr>
              <a:defRPr/>
            </a:pPr>
            <a:endParaRPr lang="en-US"/>
          </a:p>
        </c:txPr>
        <c:crossAx val="116615040"/>
        <c:crosses val="autoZero"/>
        <c:auto val="1"/>
        <c:lblAlgn val="ctr"/>
        <c:lblOffset val="100"/>
        <c:noMultiLvlLbl val="0"/>
      </c:catAx>
      <c:valAx>
        <c:axId val="116615040"/>
        <c:scaling>
          <c:orientation val="minMax"/>
          <c:min val="0"/>
        </c:scaling>
        <c:delete val="0"/>
        <c:axPos val="l"/>
        <c:majorGridlines>
          <c:spPr>
            <a:ln>
              <a:noFill/>
            </a:ln>
          </c:spPr>
        </c:majorGridlines>
        <c:numFmt formatCode="General" sourceLinked="1"/>
        <c:majorTickMark val="none"/>
        <c:minorTickMark val="none"/>
        <c:tickLblPos val="nextTo"/>
        <c:crossAx val="116613504"/>
        <c:crosses val="autoZero"/>
        <c:crossBetween val="between"/>
      </c:valAx>
    </c:plotArea>
    <c:legend>
      <c:legendPos val="l"/>
      <c:layout>
        <c:manualLayout>
          <c:xMode val="edge"/>
          <c:yMode val="edge"/>
          <c:x val="0.38004777262079781"/>
          <c:y val="0.17002944923661728"/>
          <c:w val="0.22579895988074816"/>
          <c:h val="0.42136385471709936"/>
        </c:manualLayout>
      </c:layout>
      <c:overlay val="1"/>
      <c:spPr>
        <a:ln>
          <a:solidFill>
            <a:sysClr val="windowText" lastClr="000000"/>
          </a:solidFill>
        </a:ln>
        <a:effectLst>
          <a:outerShdw sx="1000" sy="1000" algn="ctr" rotWithShape="0">
            <a:srgbClr val="000000"/>
          </a:outerShdw>
        </a:effectLst>
      </c:spPr>
      <c:txPr>
        <a:bodyPr/>
        <a:lstStyle/>
        <a:p>
          <a:pPr>
            <a:defRPr lang="en-US" sz="1000" b="0" i="0" u="none" strike="noStrike" kern="1200" baseline="0">
              <a:solidFill>
                <a:sysClr val="window" lastClr="FFFFFF"/>
              </a:solidFill>
              <a:latin typeface="+mn-lt"/>
              <a:ea typeface="+mn-ea"/>
              <a:cs typeface="+mn-cs"/>
            </a:defRPr>
          </a:pPr>
          <a:endParaRPr lang="en-US"/>
        </a:p>
      </c:txPr>
    </c:legend>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42"/>
    </mc:Choice>
    <mc:Fallback>
      <c:style val="42"/>
    </mc:Fallback>
  </mc:AlternateContent>
  <c:clrMapOvr bg1="lt1" tx1="dk1" bg2="lt2" tx2="dk2" accent1="accent1" accent2="accent2" accent3="accent3" accent4="accent4" accent5="accent5" accent6="accent6" hlink="hlink" folHlink="folHlink"/>
  <c:chart>
    <c:title>
      <c:tx>
        <c:rich>
          <a:bodyPr/>
          <a:lstStyle/>
          <a:p>
            <a:pPr>
              <a:defRPr/>
            </a:pPr>
            <a:r>
              <a:rPr lang="en-US"/>
              <a:t>Israel and Occupied Territories  Total Suicide Attacks (START)</a:t>
            </a:r>
          </a:p>
        </c:rich>
      </c:tx>
      <c:overlay val="0"/>
    </c:title>
    <c:autoTitleDeleted val="0"/>
    <c:plotArea>
      <c:layout/>
      <c:lineChart>
        <c:grouping val="standard"/>
        <c:varyColors val="0"/>
        <c:ser>
          <c:idx val="12"/>
          <c:order val="0"/>
          <c:tx>
            <c:strRef>
              <c:f>'Targets and Countries'!$BW$1</c:f>
              <c:strCache>
                <c:ptCount val="1"/>
                <c:pt idx="0">
                  <c:v>Israel and Occupied Territories</c:v>
                </c:pt>
              </c:strCache>
            </c:strRef>
          </c:tx>
          <c:spPr>
            <a:ln w="63500">
              <a:solidFill>
                <a:srgbClr val="7030A0"/>
              </a:solidFill>
            </a:ln>
          </c:spPr>
          <c:marker>
            <c:symbol val="none"/>
          </c:marker>
          <c:cat>
            <c:numRef>
              <c:f>'Targets and Countries'!$A$9:$A$35</c:f>
              <c:numCache>
                <c:formatCode>General</c:formatCode>
                <c:ptCount val="26"/>
                <c:pt idx="0">
                  <c:v>1988</c:v>
                </c:pt>
                <c:pt idx="1">
                  <c:v>1989</c:v>
                </c:pt>
                <c:pt idx="2">
                  <c:v>1990</c:v>
                </c:pt>
                <c:pt idx="3">
                  <c:v>1991</c:v>
                </c:pt>
                <c:pt idx="4">
                  <c:v>1992</c:v>
                </c:pt>
                <c:pt idx="5">
                  <c:v>1994</c:v>
                </c:pt>
                <c:pt idx="6">
                  <c:v>1995</c:v>
                </c:pt>
                <c:pt idx="7">
                  <c:v>1996</c:v>
                </c:pt>
                <c:pt idx="8">
                  <c:v>1997</c:v>
                </c:pt>
                <c:pt idx="9">
                  <c:v>1998</c:v>
                </c:pt>
                <c:pt idx="10">
                  <c:v>1999</c:v>
                </c:pt>
                <c:pt idx="11">
                  <c:v>2000</c:v>
                </c:pt>
                <c:pt idx="12">
                  <c:v>2001</c:v>
                </c:pt>
                <c:pt idx="13">
                  <c:v>2002</c:v>
                </c:pt>
                <c:pt idx="14">
                  <c:v>2003</c:v>
                </c:pt>
                <c:pt idx="15">
                  <c:v>2004</c:v>
                </c:pt>
                <c:pt idx="16">
                  <c:v>2005</c:v>
                </c:pt>
                <c:pt idx="17">
                  <c:v>2006</c:v>
                </c:pt>
                <c:pt idx="18">
                  <c:v>2007</c:v>
                </c:pt>
                <c:pt idx="19">
                  <c:v>2008</c:v>
                </c:pt>
                <c:pt idx="20">
                  <c:v>2009</c:v>
                </c:pt>
                <c:pt idx="21">
                  <c:v>2010</c:v>
                </c:pt>
                <c:pt idx="22">
                  <c:v>2011</c:v>
                </c:pt>
                <c:pt idx="23">
                  <c:v>2012</c:v>
                </c:pt>
                <c:pt idx="24">
                  <c:v>2013</c:v>
                </c:pt>
                <c:pt idx="25">
                  <c:v>2014</c:v>
                </c:pt>
              </c:numCache>
            </c:numRef>
          </c:cat>
          <c:val>
            <c:numRef>
              <c:f>'Targets and Countries'!$BW$9:$BW$35</c:f>
              <c:numCache>
                <c:formatCode>General</c:formatCode>
                <c:ptCount val="26"/>
                <c:pt idx="0">
                  <c:v>0</c:v>
                </c:pt>
                <c:pt idx="1">
                  <c:v>1</c:v>
                </c:pt>
                <c:pt idx="2">
                  <c:v>0</c:v>
                </c:pt>
                <c:pt idx="3">
                  <c:v>0</c:v>
                </c:pt>
                <c:pt idx="4">
                  <c:v>0</c:v>
                </c:pt>
                <c:pt idx="5">
                  <c:v>6</c:v>
                </c:pt>
                <c:pt idx="6">
                  <c:v>4</c:v>
                </c:pt>
                <c:pt idx="7">
                  <c:v>4</c:v>
                </c:pt>
                <c:pt idx="8">
                  <c:v>4</c:v>
                </c:pt>
                <c:pt idx="9">
                  <c:v>3</c:v>
                </c:pt>
                <c:pt idx="10">
                  <c:v>2</c:v>
                </c:pt>
                <c:pt idx="11">
                  <c:v>3</c:v>
                </c:pt>
                <c:pt idx="12">
                  <c:v>29</c:v>
                </c:pt>
                <c:pt idx="13">
                  <c:v>58</c:v>
                </c:pt>
                <c:pt idx="14">
                  <c:v>30</c:v>
                </c:pt>
                <c:pt idx="15">
                  <c:v>14</c:v>
                </c:pt>
                <c:pt idx="16">
                  <c:v>6</c:v>
                </c:pt>
                <c:pt idx="17">
                  <c:v>6</c:v>
                </c:pt>
                <c:pt idx="18">
                  <c:v>1</c:v>
                </c:pt>
                <c:pt idx="19">
                  <c:v>3</c:v>
                </c:pt>
                <c:pt idx="20">
                  <c:v>0</c:v>
                </c:pt>
                <c:pt idx="21">
                  <c:v>1</c:v>
                </c:pt>
                <c:pt idx="22">
                  <c:v>1</c:v>
                </c:pt>
                <c:pt idx="23">
                  <c:v>1</c:v>
                </c:pt>
                <c:pt idx="24">
                  <c:v>0</c:v>
                </c:pt>
                <c:pt idx="25">
                  <c:v>5</c:v>
                </c:pt>
              </c:numCache>
            </c:numRef>
          </c:val>
          <c:smooth val="1"/>
        </c:ser>
        <c:ser>
          <c:idx val="20"/>
          <c:order val="1"/>
          <c:tx>
            <c:strRef>
              <c:f>'Targets and Countries'!$BX$1</c:f>
              <c:strCache>
                <c:ptCount val="1"/>
                <c:pt idx="0">
                  <c:v>Military</c:v>
                </c:pt>
              </c:strCache>
            </c:strRef>
          </c:tx>
          <c:spPr>
            <a:ln w="63500">
              <a:solidFill>
                <a:srgbClr val="FF0000"/>
              </a:solidFill>
            </a:ln>
          </c:spPr>
          <c:marker>
            <c:symbol val="none"/>
          </c:marker>
          <c:cat>
            <c:numRef>
              <c:f>'Targets and Countries'!$A$9:$A$35</c:f>
              <c:numCache>
                <c:formatCode>General</c:formatCode>
                <c:ptCount val="26"/>
                <c:pt idx="0">
                  <c:v>1988</c:v>
                </c:pt>
                <c:pt idx="1">
                  <c:v>1989</c:v>
                </c:pt>
                <c:pt idx="2">
                  <c:v>1990</c:v>
                </c:pt>
                <c:pt idx="3">
                  <c:v>1991</c:v>
                </c:pt>
                <c:pt idx="4">
                  <c:v>1992</c:v>
                </c:pt>
                <c:pt idx="5">
                  <c:v>1994</c:v>
                </c:pt>
                <c:pt idx="6">
                  <c:v>1995</c:v>
                </c:pt>
                <c:pt idx="7">
                  <c:v>1996</c:v>
                </c:pt>
                <c:pt idx="8">
                  <c:v>1997</c:v>
                </c:pt>
                <c:pt idx="9">
                  <c:v>1998</c:v>
                </c:pt>
                <c:pt idx="10">
                  <c:v>1999</c:v>
                </c:pt>
                <c:pt idx="11">
                  <c:v>2000</c:v>
                </c:pt>
                <c:pt idx="12">
                  <c:v>2001</c:v>
                </c:pt>
                <c:pt idx="13">
                  <c:v>2002</c:v>
                </c:pt>
                <c:pt idx="14">
                  <c:v>2003</c:v>
                </c:pt>
                <c:pt idx="15">
                  <c:v>2004</c:v>
                </c:pt>
                <c:pt idx="16">
                  <c:v>2005</c:v>
                </c:pt>
                <c:pt idx="17">
                  <c:v>2006</c:v>
                </c:pt>
                <c:pt idx="18">
                  <c:v>2007</c:v>
                </c:pt>
                <c:pt idx="19">
                  <c:v>2008</c:v>
                </c:pt>
                <c:pt idx="20">
                  <c:v>2009</c:v>
                </c:pt>
                <c:pt idx="21">
                  <c:v>2010</c:v>
                </c:pt>
                <c:pt idx="22">
                  <c:v>2011</c:v>
                </c:pt>
                <c:pt idx="23">
                  <c:v>2012</c:v>
                </c:pt>
                <c:pt idx="24">
                  <c:v>2013</c:v>
                </c:pt>
                <c:pt idx="25">
                  <c:v>2014</c:v>
                </c:pt>
              </c:numCache>
            </c:numRef>
          </c:cat>
          <c:val>
            <c:numRef>
              <c:f>'Targets and Countries'!$BX$9:$BX$35</c:f>
              <c:numCache>
                <c:formatCode>General</c:formatCode>
                <c:ptCount val="26"/>
                <c:pt idx="0">
                  <c:v>0</c:v>
                </c:pt>
                <c:pt idx="1">
                  <c:v>1</c:v>
                </c:pt>
                <c:pt idx="2">
                  <c:v>0</c:v>
                </c:pt>
                <c:pt idx="3">
                  <c:v>0</c:v>
                </c:pt>
                <c:pt idx="4">
                  <c:v>0</c:v>
                </c:pt>
                <c:pt idx="5">
                  <c:v>3</c:v>
                </c:pt>
                <c:pt idx="6">
                  <c:v>1</c:v>
                </c:pt>
                <c:pt idx="7">
                  <c:v>0</c:v>
                </c:pt>
                <c:pt idx="8">
                  <c:v>0</c:v>
                </c:pt>
                <c:pt idx="9">
                  <c:v>0</c:v>
                </c:pt>
                <c:pt idx="10">
                  <c:v>0</c:v>
                </c:pt>
                <c:pt idx="11">
                  <c:v>3</c:v>
                </c:pt>
                <c:pt idx="12">
                  <c:v>5</c:v>
                </c:pt>
                <c:pt idx="13">
                  <c:v>5</c:v>
                </c:pt>
                <c:pt idx="14">
                  <c:v>7</c:v>
                </c:pt>
                <c:pt idx="15">
                  <c:v>6</c:v>
                </c:pt>
                <c:pt idx="16">
                  <c:v>1</c:v>
                </c:pt>
                <c:pt idx="17">
                  <c:v>1</c:v>
                </c:pt>
                <c:pt idx="18">
                  <c:v>0</c:v>
                </c:pt>
                <c:pt idx="19">
                  <c:v>0</c:v>
                </c:pt>
                <c:pt idx="20">
                  <c:v>0</c:v>
                </c:pt>
                <c:pt idx="21">
                  <c:v>0</c:v>
                </c:pt>
                <c:pt idx="22">
                  <c:v>0</c:v>
                </c:pt>
                <c:pt idx="23">
                  <c:v>1</c:v>
                </c:pt>
                <c:pt idx="24">
                  <c:v>0</c:v>
                </c:pt>
                <c:pt idx="25">
                  <c:v>4</c:v>
                </c:pt>
              </c:numCache>
            </c:numRef>
          </c:val>
          <c:smooth val="1"/>
        </c:ser>
        <c:ser>
          <c:idx val="21"/>
          <c:order val="2"/>
          <c:tx>
            <c:strRef>
              <c:f>'Targets and Countries'!$BY$1</c:f>
              <c:strCache>
                <c:ptCount val="1"/>
                <c:pt idx="0">
                  <c:v>Government</c:v>
                </c:pt>
              </c:strCache>
            </c:strRef>
          </c:tx>
          <c:spPr>
            <a:ln w="63500">
              <a:solidFill>
                <a:srgbClr val="00B050"/>
              </a:solidFill>
            </a:ln>
          </c:spPr>
          <c:marker>
            <c:symbol val="none"/>
          </c:marker>
          <c:cat>
            <c:numRef>
              <c:f>'Targets and Countries'!$A$9:$A$35</c:f>
              <c:numCache>
                <c:formatCode>General</c:formatCode>
                <c:ptCount val="26"/>
                <c:pt idx="0">
                  <c:v>1988</c:v>
                </c:pt>
                <c:pt idx="1">
                  <c:v>1989</c:v>
                </c:pt>
                <c:pt idx="2">
                  <c:v>1990</c:v>
                </c:pt>
                <c:pt idx="3">
                  <c:v>1991</c:v>
                </c:pt>
                <c:pt idx="4">
                  <c:v>1992</c:v>
                </c:pt>
                <c:pt idx="5">
                  <c:v>1994</c:v>
                </c:pt>
                <c:pt idx="6">
                  <c:v>1995</c:v>
                </c:pt>
                <c:pt idx="7">
                  <c:v>1996</c:v>
                </c:pt>
                <c:pt idx="8">
                  <c:v>1997</c:v>
                </c:pt>
                <c:pt idx="9">
                  <c:v>1998</c:v>
                </c:pt>
                <c:pt idx="10">
                  <c:v>1999</c:v>
                </c:pt>
                <c:pt idx="11">
                  <c:v>2000</c:v>
                </c:pt>
                <c:pt idx="12">
                  <c:v>2001</c:v>
                </c:pt>
                <c:pt idx="13">
                  <c:v>2002</c:v>
                </c:pt>
                <c:pt idx="14">
                  <c:v>2003</c:v>
                </c:pt>
                <c:pt idx="15">
                  <c:v>2004</c:v>
                </c:pt>
                <c:pt idx="16">
                  <c:v>2005</c:v>
                </c:pt>
                <c:pt idx="17">
                  <c:v>2006</c:v>
                </c:pt>
                <c:pt idx="18">
                  <c:v>2007</c:v>
                </c:pt>
                <c:pt idx="19">
                  <c:v>2008</c:v>
                </c:pt>
                <c:pt idx="20">
                  <c:v>2009</c:v>
                </c:pt>
                <c:pt idx="21">
                  <c:v>2010</c:v>
                </c:pt>
                <c:pt idx="22">
                  <c:v>2011</c:v>
                </c:pt>
                <c:pt idx="23">
                  <c:v>2012</c:v>
                </c:pt>
                <c:pt idx="24">
                  <c:v>2013</c:v>
                </c:pt>
                <c:pt idx="25">
                  <c:v>2014</c:v>
                </c:pt>
              </c:numCache>
            </c:numRef>
          </c:cat>
          <c:val>
            <c:numRef>
              <c:f>'Targets and Countries'!$BY$9:$BY$35</c:f>
              <c:numCache>
                <c:formatCode>General</c:formatCode>
                <c:ptCount val="26"/>
                <c:pt idx="0">
                  <c:v>0</c:v>
                </c:pt>
                <c:pt idx="1">
                  <c:v>0</c:v>
                </c:pt>
                <c:pt idx="2">
                  <c:v>0</c:v>
                </c:pt>
                <c:pt idx="3">
                  <c:v>0</c:v>
                </c:pt>
                <c:pt idx="4">
                  <c:v>0</c:v>
                </c:pt>
                <c:pt idx="5">
                  <c:v>0</c:v>
                </c:pt>
                <c:pt idx="6">
                  <c:v>0</c:v>
                </c:pt>
                <c:pt idx="7">
                  <c:v>0</c:v>
                </c:pt>
                <c:pt idx="8">
                  <c:v>0</c:v>
                </c:pt>
                <c:pt idx="9">
                  <c:v>0</c:v>
                </c:pt>
                <c:pt idx="10">
                  <c:v>0</c:v>
                </c:pt>
                <c:pt idx="11">
                  <c:v>0</c:v>
                </c:pt>
                <c:pt idx="12">
                  <c:v>0</c:v>
                </c:pt>
                <c:pt idx="13">
                  <c:v>2</c:v>
                </c:pt>
                <c:pt idx="14">
                  <c:v>0</c:v>
                </c:pt>
                <c:pt idx="15">
                  <c:v>0</c:v>
                </c:pt>
                <c:pt idx="16">
                  <c:v>0</c:v>
                </c:pt>
                <c:pt idx="17">
                  <c:v>0</c:v>
                </c:pt>
                <c:pt idx="18">
                  <c:v>0</c:v>
                </c:pt>
                <c:pt idx="19">
                  <c:v>0</c:v>
                </c:pt>
                <c:pt idx="20">
                  <c:v>0</c:v>
                </c:pt>
                <c:pt idx="21">
                  <c:v>0</c:v>
                </c:pt>
                <c:pt idx="22">
                  <c:v>0</c:v>
                </c:pt>
                <c:pt idx="23">
                  <c:v>0</c:v>
                </c:pt>
                <c:pt idx="24">
                  <c:v>0</c:v>
                </c:pt>
                <c:pt idx="25">
                  <c:v>0</c:v>
                </c:pt>
              </c:numCache>
            </c:numRef>
          </c:val>
          <c:smooth val="1"/>
        </c:ser>
        <c:ser>
          <c:idx val="22"/>
          <c:order val="3"/>
          <c:tx>
            <c:strRef>
              <c:f>'Targets and Countries'!$BZ$1</c:f>
              <c:strCache>
                <c:ptCount val="1"/>
                <c:pt idx="0">
                  <c:v>Police</c:v>
                </c:pt>
              </c:strCache>
            </c:strRef>
          </c:tx>
          <c:spPr>
            <a:ln w="63500">
              <a:solidFill>
                <a:srgbClr val="FFFF00"/>
              </a:solidFill>
            </a:ln>
          </c:spPr>
          <c:marker>
            <c:symbol val="none"/>
          </c:marker>
          <c:cat>
            <c:numRef>
              <c:f>'Targets and Countries'!$A$9:$A$35</c:f>
              <c:numCache>
                <c:formatCode>General</c:formatCode>
                <c:ptCount val="26"/>
                <c:pt idx="0">
                  <c:v>1988</c:v>
                </c:pt>
                <c:pt idx="1">
                  <c:v>1989</c:v>
                </c:pt>
                <c:pt idx="2">
                  <c:v>1990</c:v>
                </c:pt>
                <c:pt idx="3">
                  <c:v>1991</c:v>
                </c:pt>
                <c:pt idx="4">
                  <c:v>1992</c:v>
                </c:pt>
                <c:pt idx="5">
                  <c:v>1994</c:v>
                </c:pt>
                <c:pt idx="6">
                  <c:v>1995</c:v>
                </c:pt>
                <c:pt idx="7">
                  <c:v>1996</c:v>
                </c:pt>
                <c:pt idx="8">
                  <c:v>1997</c:v>
                </c:pt>
                <c:pt idx="9">
                  <c:v>1998</c:v>
                </c:pt>
                <c:pt idx="10">
                  <c:v>1999</c:v>
                </c:pt>
                <c:pt idx="11">
                  <c:v>2000</c:v>
                </c:pt>
                <c:pt idx="12">
                  <c:v>2001</c:v>
                </c:pt>
                <c:pt idx="13">
                  <c:v>2002</c:v>
                </c:pt>
                <c:pt idx="14">
                  <c:v>2003</c:v>
                </c:pt>
                <c:pt idx="15">
                  <c:v>2004</c:v>
                </c:pt>
                <c:pt idx="16">
                  <c:v>2005</c:v>
                </c:pt>
                <c:pt idx="17">
                  <c:v>2006</c:v>
                </c:pt>
                <c:pt idx="18">
                  <c:v>2007</c:v>
                </c:pt>
                <c:pt idx="19">
                  <c:v>2008</c:v>
                </c:pt>
                <c:pt idx="20">
                  <c:v>2009</c:v>
                </c:pt>
                <c:pt idx="21">
                  <c:v>2010</c:v>
                </c:pt>
                <c:pt idx="22">
                  <c:v>2011</c:v>
                </c:pt>
                <c:pt idx="23">
                  <c:v>2012</c:v>
                </c:pt>
                <c:pt idx="24">
                  <c:v>2013</c:v>
                </c:pt>
                <c:pt idx="25">
                  <c:v>2014</c:v>
                </c:pt>
              </c:numCache>
            </c:numRef>
          </c:cat>
          <c:val>
            <c:numRef>
              <c:f>'Targets and Countries'!$BZ$9:$BZ$35</c:f>
              <c:numCache>
                <c:formatCode>General</c:formatCode>
                <c:ptCount val="26"/>
                <c:pt idx="0">
                  <c:v>0</c:v>
                </c:pt>
                <c:pt idx="1">
                  <c:v>0</c:v>
                </c:pt>
                <c:pt idx="2">
                  <c:v>0</c:v>
                </c:pt>
                <c:pt idx="3">
                  <c:v>0</c:v>
                </c:pt>
                <c:pt idx="4">
                  <c:v>0</c:v>
                </c:pt>
                <c:pt idx="5">
                  <c:v>0</c:v>
                </c:pt>
                <c:pt idx="6">
                  <c:v>1</c:v>
                </c:pt>
                <c:pt idx="7">
                  <c:v>0</c:v>
                </c:pt>
                <c:pt idx="8">
                  <c:v>0</c:v>
                </c:pt>
                <c:pt idx="9">
                  <c:v>0</c:v>
                </c:pt>
                <c:pt idx="10">
                  <c:v>0</c:v>
                </c:pt>
                <c:pt idx="11">
                  <c:v>0</c:v>
                </c:pt>
                <c:pt idx="12">
                  <c:v>2</c:v>
                </c:pt>
                <c:pt idx="13">
                  <c:v>0</c:v>
                </c:pt>
                <c:pt idx="14">
                  <c:v>1</c:v>
                </c:pt>
                <c:pt idx="15">
                  <c:v>1</c:v>
                </c:pt>
                <c:pt idx="16">
                  <c:v>0</c:v>
                </c:pt>
                <c:pt idx="17">
                  <c:v>0</c:v>
                </c:pt>
                <c:pt idx="18">
                  <c:v>0</c:v>
                </c:pt>
                <c:pt idx="19">
                  <c:v>1</c:v>
                </c:pt>
                <c:pt idx="20">
                  <c:v>0</c:v>
                </c:pt>
                <c:pt idx="21">
                  <c:v>0</c:v>
                </c:pt>
                <c:pt idx="22">
                  <c:v>0</c:v>
                </c:pt>
                <c:pt idx="23">
                  <c:v>0</c:v>
                </c:pt>
                <c:pt idx="24">
                  <c:v>0</c:v>
                </c:pt>
                <c:pt idx="25">
                  <c:v>0</c:v>
                </c:pt>
              </c:numCache>
            </c:numRef>
          </c:val>
          <c:smooth val="1"/>
        </c:ser>
        <c:ser>
          <c:idx val="23"/>
          <c:order val="4"/>
          <c:tx>
            <c:strRef>
              <c:f>'Targets and Countries'!$CA$1</c:f>
              <c:strCache>
                <c:ptCount val="1"/>
                <c:pt idx="0">
                  <c:v>Civilian</c:v>
                </c:pt>
              </c:strCache>
            </c:strRef>
          </c:tx>
          <c:spPr>
            <a:ln w="63500">
              <a:solidFill>
                <a:srgbClr val="00B0F0"/>
              </a:solidFill>
            </a:ln>
          </c:spPr>
          <c:marker>
            <c:symbol val="none"/>
          </c:marker>
          <c:cat>
            <c:numRef>
              <c:f>'Targets and Countries'!$A$9:$A$35</c:f>
              <c:numCache>
                <c:formatCode>General</c:formatCode>
                <c:ptCount val="26"/>
                <c:pt idx="0">
                  <c:v>1988</c:v>
                </c:pt>
                <c:pt idx="1">
                  <c:v>1989</c:v>
                </c:pt>
                <c:pt idx="2">
                  <c:v>1990</c:v>
                </c:pt>
                <c:pt idx="3">
                  <c:v>1991</c:v>
                </c:pt>
                <c:pt idx="4">
                  <c:v>1992</c:v>
                </c:pt>
                <c:pt idx="5">
                  <c:v>1994</c:v>
                </c:pt>
                <c:pt idx="6">
                  <c:v>1995</c:v>
                </c:pt>
                <c:pt idx="7">
                  <c:v>1996</c:v>
                </c:pt>
                <c:pt idx="8">
                  <c:v>1997</c:v>
                </c:pt>
                <c:pt idx="9">
                  <c:v>1998</c:v>
                </c:pt>
                <c:pt idx="10">
                  <c:v>1999</c:v>
                </c:pt>
                <c:pt idx="11">
                  <c:v>2000</c:v>
                </c:pt>
                <c:pt idx="12">
                  <c:v>2001</c:v>
                </c:pt>
                <c:pt idx="13">
                  <c:v>2002</c:v>
                </c:pt>
                <c:pt idx="14">
                  <c:v>2003</c:v>
                </c:pt>
                <c:pt idx="15">
                  <c:v>2004</c:v>
                </c:pt>
                <c:pt idx="16">
                  <c:v>2005</c:v>
                </c:pt>
                <c:pt idx="17">
                  <c:v>2006</c:v>
                </c:pt>
                <c:pt idx="18">
                  <c:v>2007</c:v>
                </c:pt>
                <c:pt idx="19">
                  <c:v>2008</c:v>
                </c:pt>
                <c:pt idx="20">
                  <c:v>2009</c:v>
                </c:pt>
                <c:pt idx="21">
                  <c:v>2010</c:v>
                </c:pt>
                <c:pt idx="22">
                  <c:v>2011</c:v>
                </c:pt>
                <c:pt idx="23">
                  <c:v>2012</c:v>
                </c:pt>
                <c:pt idx="24">
                  <c:v>2013</c:v>
                </c:pt>
                <c:pt idx="25">
                  <c:v>2014</c:v>
                </c:pt>
              </c:numCache>
            </c:numRef>
          </c:cat>
          <c:val>
            <c:numRef>
              <c:f>'Targets and Countries'!$CA$9:$CA$35</c:f>
              <c:numCache>
                <c:formatCode>General</c:formatCode>
                <c:ptCount val="26"/>
                <c:pt idx="0">
                  <c:v>0</c:v>
                </c:pt>
                <c:pt idx="1">
                  <c:v>0</c:v>
                </c:pt>
                <c:pt idx="2">
                  <c:v>0</c:v>
                </c:pt>
                <c:pt idx="3">
                  <c:v>0</c:v>
                </c:pt>
                <c:pt idx="4">
                  <c:v>0</c:v>
                </c:pt>
                <c:pt idx="5">
                  <c:v>3</c:v>
                </c:pt>
                <c:pt idx="6">
                  <c:v>2</c:v>
                </c:pt>
                <c:pt idx="7">
                  <c:v>4</c:v>
                </c:pt>
                <c:pt idx="8">
                  <c:v>4</c:v>
                </c:pt>
                <c:pt idx="9">
                  <c:v>3</c:v>
                </c:pt>
                <c:pt idx="10">
                  <c:v>1</c:v>
                </c:pt>
                <c:pt idx="11">
                  <c:v>0</c:v>
                </c:pt>
                <c:pt idx="12">
                  <c:v>22</c:v>
                </c:pt>
                <c:pt idx="13">
                  <c:v>46</c:v>
                </c:pt>
                <c:pt idx="14">
                  <c:v>22</c:v>
                </c:pt>
                <c:pt idx="15">
                  <c:v>5</c:v>
                </c:pt>
                <c:pt idx="16">
                  <c:v>5</c:v>
                </c:pt>
                <c:pt idx="17">
                  <c:v>4</c:v>
                </c:pt>
                <c:pt idx="18">
                  <c:v>1</c:v>
                </c:pt>
                <c:pt idx="19">
                  <c:v>2</c:v>
                </c:pt>
                <c:pt idx="20">
                  <c:v>0</c:v>
                </c:pt>
                <c:pt idx="21">
                  <c:v>1</c:v>
                </c:pt>
                <c:pt idx="22">
                  <c:v>1</c:v>
                </c:pt>
                <c:pt idx="23">
                  <c:v>0</c:v>
                </c:pt>
                <c:pt idx="24">
                  <c:v>0</c:v>
                </c:pt>
                <c:pt idx="25">
                  <c:v>0</c:v>
                </c:pt>
              </c:numCache>
            </c:numRef>
          </c:val>
          <c:smooth val="1"/>
        </c:ser>
        <c:ser>
          <c:idx val="24"/>
          <c:order val="5"/>
          <c:tx>
            <c:strRef>
              <c:f>'Targets and Countries'!$CB$1</c:f>
              <c:strCache>
                <c:ptCount val="1"/>
                <c:pt idx="0">
                  <c:v>Informal Groups</c:v>
                </c:pt>
              </c:strCache>
            </c:strRef>
          </c:tx>
          <c:spPr>
            <a:ln w="63500">
              <a:solidFill>
                <a:srgbClr val="F79646"/>
              </a:solidFill>
            </a:ln>
          </c:spPr>
          <c:marker>
            <c:symbol val="none"/>
          </c:marker>
          <c:cat>
            <c:numRef>
              <c:f>'Targets and Countries'!$A$9:$A$35</c:f>
              <c:numCache>
                <c:formatCode>General</c:formatCode>
                <c:ptCount val="26"/>
                <c:pt idx="0">
                  <c:v>1988</c:v>
                </c:pt>
                <c:pt idx="1">
                  <c:v>1989</c:v>
                </c:pt>
                <c:pt idx="2">
                  <c:v>1990</c:v>
                </c:pt>
                <c:pt idx="3">
                  <c:v>1991</c:v>
                </c:pt>
                <c:pt idx="4">
                  <c:v>1992</c:v>
                </c:pt>
                <c:pt idx="5">
                  <c:v>1994</c:v>
                </c:pt>
                <c:pt idx="6">
                  <c:v>1995</c:v>
                </c:pt>
                <c:pt idx="7">
                  <c:v>1996</c:v>
                </c:pt>
                <c:pt idx="8">
                  <c:v>1997</c:v>
                </c:pt>
                <c:pt idx="9">
                  <c:v>1998</c:v>
                </c:pt>
                <c:pt idx="10">
                  <c:v>1999</c:v>
                </c:pt>
                <c:pt idx="11">
                  <c:v>2000</c:v>
                </c:pt>
                <c:pt idx="12">
                  <c:v>2001</c:v>
                </c:pt>
                <c:pt idx="13">
                  <c:v>2002</c:v>
                </c:pt>
                <c:pt idx="14">
                  <c:v>2003</c:v>
                </c:pt>
                <c:pt idx="15">
                  <c:v>2004</c:v>
                </c:pt>
                <c:pt idx="16">
                  <c:v>2005</c:v>
                </c:pt>
                <c:pt idx="17">
                  <c:v>2006</c:v>
                </c:pt>
                <c:pt idx="18">
                  <c:v>2007</c:v>
                </c:pt>
                <c:pt idx="19">
                  <c:v>2008</c:v>
                </c:pt>
                <c:pt idx="20">
                  <c:v>2009</c:v>
                </c:pt>
                <c:pt idx="21">
                  <c:v>2010</c:v>
                </c:pt>
                <c:pt idx="22">
                  <c:v>2011</c:v>
                </c:pt>
                <c:pt idx="23">
                  <c:v>2012</c:v>
                </c:pt>
                <c:pt idx="24">
                  <c:v>2013</c:v>
                </c:pt>
                <c:pt idx="25">
                  <c:v>2014</c:v>
                </c:pt>
              </c:numCache>
            </c:numRef>
          </c:cat>
          <c:val>
            <c:numRef>
              <c:f>'Targets and Countries'!$CB$9:$CB$35</c:f>
              <c:numCache>
                <c:formatCode>General</c:formatCode>
                <c:ptCount val="2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numCache>
            </c:numRef>
          </c:val>
          <c:smooth val="1"/>
        </c:ser>
        <c:dLbls>
          <c:showLegendKey val="0"/>
          <c:showVal val="0"/>
          <c:showCatName val="0"/>
          <c:showSerName val="0"/>
          <c:showPercent val="0"/>
          <c:showBubbleSize val="0"/>
        </c:dLbls>
        <c:marker val="1"/>
        <c:smooth val="0"/>
        <c:axId val="117282688"/>
        <c:axId val="117284224"/>
      </c:lineChart>
      <c:catAx>
        <c:axId val="117282688"/>
        <c:scaling>
          <c:orientation val="minMax"/>
        </c:scaling>
        <c:delete val="0"/>
        <c:axPos val="b"/>
        <c:numFmt formatCode="General" sourceLinked="1"/>
        <c:majorTickMark val="none"/>
        <c:minorTickMark val="none"/>
        <c:tickLblPos val="nextTo"/>
        <c:txPr>
          <a:bodyPr rot="-5400000" vert="horz"/>
          <a:lstStyle/>
          <a:p>
            <a:pPr>
              <a:defRPr/>
            </a:pPr>
            <a:endParaRPr lang="en-US"/>
          </a:p>
        </c:txPr>
        <c:crossAx val="117284224"/>
        <c:crosses val="autoZero"/>
        <c:auto val="1"/>
        <c:lblAlgn val="ctr"/>
        <c:lblOffset val="100"/>
        <c:noMultiLvlLbl val="0"/>
      </c:catAx>
      <c:valAx>
        <c:axId val="117284224"/>
        <c:scaling>
          <c:orientation val="minMax"/>
          <c:min val="0"/>
        </c:scaling>
        <c:delete val="0"/>
        <c:axPos val="l"/>
        <c:majorGridlines>
          <c:spPr>
            <a:ln>
              <a:noFill/>
            </a:ln>
          </c:spPr>
        </c:majorGridlines>
        <c:numFmt formatCode="General" sourceLinked="1"/>
        <c:majorTickMark val="none"/>
        <c:minorTickMark val="none"/>
        <c:tickLblPos val="nextTo"/>
        <c:crossAx val="117282688"/>
        <c:crosses val="autoZero"/>
        <c:crossBetween val="between"/>
      </c:valAx>
    </c:plotArea>
    <c:legend>
      <c:legendPos val="l"/>
      <c:layout>
        <c:manualLayout>
          <c:xMode val="edge"/>
          <c:yMode val="edge"/>
          <c:x val="7.7900599928743791E-2"/>
          <c:y val="0.23666477992854443"/>
          <c:w val="0.3736411559241643"/>
          <c:h val="0.48449469189857386"/>
        </c:manualLayout>
      </c:layout>
      <c:overlay val="1"/>
      <c:spPr>
        <a:ln>
          <a:solidFill>
            <a:sysClr val="windowText" lastClr="000000"/>
          </a:solidFill>
        </a:ln>
        <a:effectLst>
          <a:outerShdw sx="1000" sy="1000" algn="ctr" rotWithShape="0">
            <a:srgbClr val="000000"/>
          </a:outerShdw>
        </a:effectLst>
      </c:spPr>
      <c:txPr>
        <a:bodyPr/>
        <a:lstStyle/>
        <a:p>
          <a:pPr>
            <a:defRPr lang="en-US" sz="1000" b="0" i="0" u="none" strike="noStrike" kern="1200" baseline="0">
              <a:solidFill>
                <a:sysClr val="window" lastClr="FFFFFF"/>
              </a:solidFill>
              <a:latin typeface="+mn-lt"/>
              <a:ea typeface="+mn-ea"/>
              <a:cs typeface="+mn-cs"/>
            </a:defRPr>
          </a:pPr>
          <a:endParaRPr lang="en-US"/>
        </a:p>
      </c:txPr>
    </c:legend>
    <c:plotVisOnly val="1"/>
    <c:dispBlanksAs val="gap"/>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42"/>
    </mc:Choice>
    <mc:Fallback>
      <c:style val="42"/>
    </mc:Fallback>
  </mc:AlternateContent>
  <c:clrMapOvr bg1="lt1" tx1="dk1" bg2="lt2" tx2="dk2" accent1="accent1" accent2="accent2" accent3="accent3" accent4="accent4" accent5="accent5" accent6="accent6" hlink="hlink" folHlink="folHlink"/>
  <c:chart>
    <c:title>
      <c:tx>
        <c:rich>
          <a:bodyPr/>
          <a:lstStyle/>
          <a:p>
            <a:pPr>
              <a:defRPr/>
            </a:pPr>
            <a:r>
              <a:rPr lang="en-US"/>
              <a:t>Iraq Total Suicide Attacks (START)</a:t>
            </a:r>
          </a:p>
        </c:rich>
      </c:tx>
      <c:overlay val="0"/>
    </c:title>
    <c:autoTitleDeleted val="0"/>
    <c:plotArea>
      <c:layout/>
      <c:lineChart>
        <c:grouping val="standard"/>
        <c:varyColors val="0"/>
        <c:ser>
          <c:idx val="12"/>
          <c:order val="0"/>
          <c:tx>
            <c:strRef>
              <c:f>'Targets and Countries'!$BM$1</c:f>
              <c:strCache>
                <c:ptCount val="1"/>
                <c:pt idx="0">
                  <c:v>Iraq</c:v>
                </c:pt>
              </c:strCache>
            </c:strRef>
          </c:tx>
          <c:spPr>
            <a:ln w="63500">
              <a:solidFill>
                <a:srgbClr val="7030A0"/>
              </a:solidFill>
            </a:ln>
          </c:spPr>
          <c:marker>
            <c:symbol val="none"/>
          </c:marker>
          <c:cat>
            <c:numRef>
              <c:f>('Targets and Countries'!$A$14,'Targets and Countries'!$A$22:$A$35)</c:f>
              <c:numCache>
                <c:formatCode>General</c:formatCode>
                <c:ptCount val="1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numCache>
            </c:numRef>
          </c:cat>
          <c:val>
            <c:numRef>
              <c:f>('Targets and Countries'!$BM$14,'Targets and Countries'!$BM$22:$BM$35)</c:f>
              <c:numCache>
                <c:formatCode>General</c:formatCode>
                <c:ptCount val="14"/>
                <c:pt idx="0">
                  <c:v>0</c:v>
                </c:pt>
                <c:pt idx="1">
                  <c:v>0</c:v>
                </c:pt>
                <c:pt idx="2">
                  <c:v>16</c:v>
                </c:pt>
                <c:pt idx="3">
                  <c:v>70</c:v>
                </c:pt>
                <c:pt idx="4">
                  <c:v>157</c:v>
                </c:pt>
                <c:pt idx="5">
                  <c:v>94</c:v>
                </c:pt>
                <c:pt idx="6">
                  <c:v>202</c:v>
                </c:pt>
                <c:pt idx="7">
                  <c:v>105</c:v>
                </c:pt>
                <c:pt idx="8">
                  <c:v>53</c:v>
                </c:pt>
                <c:pt idx="9">
                  <c:v>50</c:v>
                </c:pt>
                <c:pt idx="10">
                  <c:v>45</c:v>
                </c:pt>
                <c:pt idx="11">
                  <c:v>69</c:v>
                </c:pt>
                <c:pt idx="12">
                  <c:v>274</c:v>
                </c:pt>
                <c:pt idx="13">
                  <c:v>305</c:v>
                </c:pt>
              </c:numCache>
            </c:numRef>
          </c:val>
          <c:smooth val="1"/>
        </c:ser>
        <c:ser>
          <c:idx val="20"/>
          <c:order val="1"/>
          <c:tx>
            <c:strRef>
              <c:f>'Targets and Countries'!$BN$1</c:f>
              <c:strCache>
                <c:ptCount val="1"/>
                <c:pt idx="0">
                  <c:v>Military</c:v>
                </c:pt>
              </c:strCache>
            </c:strRef>
          </c:tx>
          <c:spPr>
            <a:ln w="63500">
              <a:solidFill>
                <a:srgbClr val="FF0000"/>
              </a:solidFill>
            </a:ln>
          </c:spPr>
          <c:marker>
            <c:symbol val="none"/>
          </c:marker>
          <c:cat>
            <c:numRef>
              <c:f>('Targets and Countries'!$A$14,'Targets and Countries'!$A$22:$A$35)</c:f>
              <c:numCache>
                <c:formatCode>General</c:formatCode>
                <c:ptCount val="1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numCache>
            </c:numRef>
          </c:cat>
          <c:val>
            <c:numRef>
              <c:f>('Targets and Countries'!$BN$14,'Targets and Countries'!$BN$22:$BN$35)</c:f>
              <c:numCache>
                <c:formatCode>General</c:formatCode>
                <c:ptCount val="14"/>
                <c:pt idx="0">
                  <c:v>0</c:v>
                </c:pt>
                <c:pt idx="1">
                  <c:v>0</c:v>
                </c:pt>
                <c:pt idx="2">
                  <c:v>2</c:v>
                </c:pt>
                <c:pt idx="3">
                  <c:v>17</c:v>
                </c:pt>
                <c:pt idx="4">
                  <c:v>45</c:v>
                </c:pt>
                <c:pt idx="5">
                  <c:v>9</c:v>
                </c:pt>
                <c:pt idx="6">
                  <c:v>19</c:v>
                </c:pt>
                <c:pt idx="7">
                  <c:v>7</c:v>
                </c:pt>
                <c:pt idx="8">
                  <c:v>2</c:v>
                </c:pt>
                <c:pt idx="9">
                  <c:v>2</c:v>
                </c:pt>
                <c:pt idx="10">
                  <c:v>1</c:v>
                </c:pt>
                <c:pt idx="11">
                  <c:v>8</c:v>
                </c:pt>
                <c:pt idx="12">
                  <c:v>68</c:v>
                </c:pt>
                <c:pt idx="13">
                  <c:v>116</c:v>
                </c:pt>
              </c:numCache>
            </c:numRef>
          </c:val>
          <c:smooth val="1"/>
        </c:ser>
        <c:ser>
          <c:idx val="21"/>
          <c:order val="2"/>
          <c:tx>
            <c:strRef>
              <c:f>'Targets and Countries'!$BO$1</c:f>
              <c:strCache>
                <c:ptCount val="1"/>
                <c:pt idx="0">
                  <c:v>Government</c:v>
                </c:pt>
              </c:strCache>
            </c:strRef>
          </c:tx>
          <c:spPr>
            <a:ln w="63500">
              <a:solidFill>
                <a:srgbClr val="00B050"/>
              </a:solidFill>
            </a:ln>
          </c:spPr>
          <c:marker>
            <c:symbol val="none"/>
          </c:marker>
          <c:cat>
            <c:numRef>
              <c:f>('Targets and Countries'!$A$14,'Targets and Countries'!$A$22:$A$35)</c:f>
              <c:numCache>
                <c:formatCode>General</c:formatCode>
                <c:ptCount val="1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numCache>
            </c:numRef>
          </c:cat>
          <c:val>
            <c:numRef>
              <c:f>('Targets and Countries'!$BO$14,'Targets and Countries'!$BO$22:$BO$35)</c:f>
              <c:numCache>
                <c:formatCode>General</c:formatCode>
                <c:ptCount val="14"/>
                <c:pt idx="0">
                  <c:v>0</c:v>
                </c:pt>
                <c:pt idx="1">
                  <c:v>0</c:v>
                </c:pt>
                <c:pt idx="2">
                  <c:v>6</c:v>
                </c:pt>
                <c:pt idx="3">
                  <c:v>16</c:v>
                </c:pt>
                <c:pt idx="4">
                  <c:v>22</c:v>
                </c:pt>
                <c:pt idx="5">
                  <c:v>7</c:v>
                </c:pt>
                <c:pt idx="6">
                  <c:v>15</c:v>
                </c:pt>
                <c:pt idx="7">
                  <c:v>13</c:v>
                </c:pt>
                <c:pt idx="8">
                  <c:v>13</c:v>
                </c:pt>
                <c:pt idx="9">
                  <c:v>8</c:v>
                </c:pt>
                <c:pt idx="10">
                  <c:v>14</c:v>
                </c:pt>
                <c:pt idx="11">
                  <c:v>4</c:v>
                </c:pt>
                <c:pt idx="12">
                  <c:v>23</c:v>
                </c:pt>
                <c:pt idx="13">
                  <c:v>25</c:v>
                </c:pt>
              </c:numCache>
            </c:numRef>
          </c:val>
          <c:smooth val="1"/>
        </c:ser>
        <c:ser>
          <c:idx val="22"/>
          <c:order val="3"/>
          <c:tx>
            <c:strRef>
              <c:f>'Targets and Countries'!$BP$1</c:f>
              <c:strCache>
                <c:ptCount val="1"/>
                <c:pt idx="0">
                  <c:v>Police</c:v>
                </c:pt>
              </c:strCache>
            </c:strRef>
          </c:tx>
          <c:spPr>
            <a:ln w="63500">
              <a:solidFill>
                <a:srgbClr val="FFFF00"/>
              </a:solidFill>
            </a:ln>
          </c:spPr>
          <c:marker>
            <c:symbol val="none"/>
          </c:marker>
          <c:cat>
            <c:numRef>
              <c:f>('Targets and Countries'!$A$14,'Targets and Countries'!$A$22:$A$35)</c:f>
              <c:numCache>
                <c:formatCode>General</c:formatCode>
                <c:ptCount val="1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numCache>
            </c:numRef>
          </c:cat>
          <c:val>
            <c:numRef>
              <c:f>('Targets and Countries'!$BP$14,'Targets and Countries'!$BP$22:$BP$35)</c:f>
              <c:numCache>
                <c:formatCode>General</c:formatCode>
                <c:ptCount val="14"/>
                <c:pt idx="0">
                  <c:v>0</c:v>
                </c:pt>
                <c:pt idx="1">
                  <c:v>0</c:v>
                </c:pt>
                <c:pt idx="2">
                  <c:v>4</c:v>
                </c:pt>
                <c:pt idx="3">
                  <c:v>21</c:v>
                </c:pt>
                <c:pt idx="4">
                  <c:v>41</c:v>
                </c:pt>
                <c:pt idx="5">
                  <c:v>29</c:v>
                </c:pt>
                <c:pt idx="6">
                  <c:v>70</c:v>
                </c:pt>
                <c:pt idx="7">
                  <c:v>16</c:v>
                </c:pt>
                <c:pt idx="8">
                  <c:v>4</c:v>
                </c:pt>
                <c:pt idx="9">
                  <c:v>10</c:v>
                </c:pt>
                <c:pt idx="10">
                  <c:v>10</c:v>
                </c:pt>
                <c:pt idx="11">
                  <c:v>26</c:v>
                </c:pt>
                <c:pt idx="12">
                  <c:v>97</c:v>
                </c:pt>
                <c:pt idx="13">
                  <c:v>77</c:v>
                </c:pt>
              </c:numCache>
            </c:numRef>
          </c:val>
          <c:smooth val="1"/>
        </c:ser>
        <c:ser>
          <c:idx val="23"/>
          <c:order val="4"/>
          <c:tx>
            <c:strRef>
              <c:f>'Targets and Countries'!$BQ$1</c:f>
              <c:strCache>
                <c:ptCount val="1"/>
                <c:pt idx="0">
                  <c:v>Civilian</c:v>
                </c:pt>
              </c:strCache>
            </c:strRef>
          </c:tx>
          <c:spPr>
            <a:ln w="63500">
              <a:solidFill>
                <a:srgbClr val="00B0F0"/>
              </a:solidFill>
            </a:ln>
          </c:spPr>
          <c:marker>
            <c:symbol val="none"/>
          </c:marker>
          <c:cat>
            <c:numRef>
              <c:f>('Targets and Countries'!$A$14,'Targets and Countries'!$A$22:$A$35)</c:f>
              <c:numCache>
                <c:formatCode>General</c:formatCode>
                <c:ptCount val="1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numCache>
            </c:numRef>
          </c:cat>
          <c:val>
            <c:numRef>
              <c:f>('Targets and Countries'!$BQ$14,'Targets and Countries'!$BQ$22:$BQ$35)</c:f>
              <c:numCache>
                <c:formatCode>General</c:formatCode>
                <c:ptCount val="14"/>
                <c:pt idx="0">
                  <c:v>0</c:v>
                </c:pt>
                <c:pt idx="1">
                  <c:v>0</c:v>
                </c:pt>
                <c:pt idx="2">
                  <c:v>4</c:v>
                </c:pt>
                <c:pt idx="3">
                  <c:v>15</c:v>
                </c:pt>
                <c:pt idx="4">
                  <c:v>49</c:v>
                </c:pt>
                <c:pt idx="5">
                  <c:v>49</c:v>
                </c:pt>
                <c:pt idx="6">
                  <c:v>89</c:v>
                </c:pt>
                <c:pt idx="7">
                  <c:v>52</c:v>
                </c:pt>
                <c:pt idx="8">
                  <c:v>29</c:v>
                </c:pt>
                <c:pt idx="9">
                  <c:v>28</c:v>
                </c:pt>
                <c:pt idx="10">
                  <c:v>17</c:v>
                </c:pt>
                <c:pt idx="11">
                  <c:v>25</c:v>
                </c:pt>
                <c:pt idx="12">
                  <c:v>76</c:v>
                </c:pt>
                <c:pt idx="13">
                  <c:v>60</c:v>
                </c:pt>
              </c:numCache>
            </c:numRef>
          </c:val>
          <c:smooth val="1"/>
        </c:ser>
        <c:ser>
          <c:idx val="24"/>
          <c:order val="5"/>
          <c:tx>
            <c:strRef>
              <c:f>'Targets and Countries'!$BR$1</c:f>
              <c:strCache>
                <c:ptCount val="1"/>
                <c:pt idx="0">
                  <c:v>Informal Groups</c:v>
                </c:pt>
              </c:strCache>
            </c:strRef>
          </c:tx>
          <c:spPr>
            <a:ln w="63500">
              <a:solidFill>
                <a:srgbClr val="F79646"/>
              </a:solidFill>
            </a:ln>
          </c:spPr>
          <c:marker>
            <c:symbol val="none"/>
          </c:marker>
          <c:cat>
            <c:numRef>
              <c:f>('Targets and Countries'!$A$14,'Targets and Countries'!$A$22:$A$35)</c:f>
              <c:numCache>
                <c:formatCode>General</c:formatCode>
                <c:ptCount val="1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numCache>
            </c:numRef>
          </c:cat>
          <c:val>
            <c:numRef>
              <c:f>('Targets and Countries'!$BR$14,'Targets and Countries'!$BR$22:$BR$35)</c:f>
              <c:numCache>
                <c:formatCode>General</c:formatCode>
                <c:ptCount val="14"/>
                <c:pt idx="0">
                  <c:v>0</c:v>
                </c:pt>
                <c:pt idx="1">
                  <c:v>0</c:v>
                </c:pt>
                <c:pt idx="2">
                  <c:v>0</c:v>
                </c:pt>
                <c:pt idx="3">
                  <c:v>1</c:v>
                </c:pt>
                <c:pt idx="4">
                  <c:v>0</c:v>
                </c:pt>
                <c:pt idx="5">
                  <c:v>0</c:v>
                </c:pt>
                <c:pt idx="6">
                  <c:v>9</c:v>
                </c:pt>
                <c:pt idx="7">
                  <c:v>17</c:v>
                </c:pt>
                <c:pt idx="8">
                  <c:v>2</c:v>
                </c:pt>
                <c:pt idx="9">
                  <c:v>2</c:v>
                </c:pt>
                <c:pt idx="10">
                  <c:v>2</c:v>
                </c:pt>
                <c:pt idx="11">
                  <c:v>1</c:v>
                </c:pt>
                <c:pt idx="12">
                  <c:v>9</c:v>
                </c:pt>
                <c:pt idx="13">
                  <c:v>20</c:v>
                </c:pt>
              </c:numCache>
            </c:numRef>
          </c:val>
          <c:smooth val="1"/>
        </c:ser>
        <c:dLbls>
          <c:showLegendKey val="0"/>
          <c:showVal val="0"/>
          <c:showCatName val="0"/>
          <c:showSerName val="0"/>
          <c:showPercent val="0"/>
          <c:showBubbleSize val="0"/>
        </c:dLbls>
        <c:marker val="1"/>
        <c:smooth val="0"/>
        <c:axId val="121212288"/>
        <c:axId val="121214080"/>
      </c:lineChart>
      <c:catAx>
        <c:axId val="121212288"/>
        <c:scaling>
          <c:orientation val="minMax"/>
        </c:scaling>
        <c:delete val="0"/>
        <c:axPos val="b"/>
        <c:numFmt formatCode="General" sourceLinked="1"/>
        <c:majorTickMark val="none"/>
        <c:minorTickMark val="none"/>
        <c:tickLblPos val="nextTo"/>
        <c:txPr>
          <a:bodyPr rot="-5400000" vert="horz"/>
          <a:lstStyle/>
          <a:p>
            <a:pPr>
              <a:defRPr/>
            </a:pPr>
            <a:endParaRPr lang="en-US"/>
          </a:p>
        </c:txPr>
        <c:crossAx val="121214080"/>
        <c:crosses val="autoZero"/>
        <c:auto val="1"/>
        <c:lblAlgn val="ctr"/>
        <c:lblOffset val="100"/>
        <c:noMultiLvlLbl val="0"/>
      </c:catAx>
      <c:valAx>
        <c:axId val="121214080"/>
        <c:scaling>
          <c:orientation val="minMax"/>
          <c:min val="0"/>
        </c:scaling>
        <c:delete val="0"/>
        <c:axPos val="l"/>
        <c:majorGridlines>
          <c:spPr>
            <a:ln>
              <a:noFill/>
            </a:ln>
          </c:spPr>
        </c:majorGridlines>
        <c:numFmt formatCode="General" sourceLinked="1"/>
        <c:majorTickMark val="none"/>
        <c:minorTickMark val="none"/>
        <c:tickLblPos val="nextTo"/>
        <c:crossAx val="121212288"/>
        <c:crosses val="autoZero"/>
        <c:crossBetween val="between"/>
      </c:valAx>
    </c:plotArea>
    <c:legend>
      <c:legendPos val="l"/>
      <c:layout>
        <c:manualLayout>
          <c:xMode val="edge"/>
          <c:yMode val="edge"/>
          <c:x val="9.1728721827967E-2"/>
          <c:y val="0.17290221297383371"/>
          <c:w val="0.69782993943564164"/>
          <c:h val="0.25036229636063911"/>
        </c:manualLayout>
      </c:layout>
      <c:overlay val="1"/>
      <c:spPr>
        <a:ln>
          <a:solidFill>
            <a:sysClr val="windowText" lastClr="000000"/>
          </a:solidFill>
        </a:ln>
        <a:effectLst>
          <a:outerShdw sx="1000" sy="1000" algn="ctr" rotWithShape="0">
            <a:srgbClr val="000000"/>
          </a:outerShdw>
        </a:effectLst>
      </c:spPr>
      <c:txPr>
        <a:bodyPr/>
        <a:lstStyle/>
        <a:p>
          <a:pPr>
            <a:defRPr lang="en-US" sz="1000" b="0" i="0" u="none" strike="noStrike" kern="1200" baseline="0">
              <a:solidFill>
                <a:sysClr val="window" lastClr="FFFFFF"/>
              </a:solidFill>
              <a:latin typeface="+mn-lt"/>
              <a:ea typeface="+mn-ea"/>
              <a:cs typeface="+mn-cs"/>
            </a:defRPr>
          </a:pPr>
          <a:endParaRPr lang="en-US"/>
        </a:p>
      </c:txPr>
    </c:legend>
    <c:plotVisOnly val="1"/>
    <c:dispBlanksAs val="gap"/>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42"/>
    </mc:Choice>
    <mc:Fallback>
      <c:style val="42"/>
    </mc:Fallback>
  </mc:AlternateContent>
  <c:clrMapOvr bg1="lt1" tx1="dk1" bg2="lt2" tx2="dk2" accent1="accent1" accent2="accent2" accent3="accent3" accent4="accent4" accent5="accent5" accent6="accent6" hlink="hlink" folHlink="folHlink"/>
  <c:chart>
    <c:title>
      <c:tx>
        <c:rich>
          <a:bodyPr/>
          <a:lstStyle/>
          <a:p>
            <a:pPr>
              <a:defRPr/>
            </a:pPr>
            <a:r>
              <a:rPr lang="en-US"/>
              <a:t>Syria Total Suicide Attacks (START)</a:t>
            </a:r>
          </a:p>
        </c:rich>
      </c:tx>
      <c:overlay val="0"/>
    </c:title>
    <c:autoTitleDeleted val="0"/>
    <c:plotArea>
      <c:layout/>
      <c:lineChart>
        <c:grouping val="standard"/>
        <c:varyColors val="0"/>
        <c:ser>
          <c:idx val="12"/>
          <c:order val="0"/>
          <c:tx>
            <c:strRef>
              <c:f>'Targets and Countries'!$ER$1</c:f>
              <c:strCache>
                <c:ptCount val="1"/>
                <c:pt idx="0">
                  <c:v>Syria</c:v>
                </c:pt>
              </c:strCache>
            </c:strRef>
          </c:tx>
          <c:spPr>
            <a:ln w="63500">
              <a:solidFill>
                <a:srgbClr val="7030A0"/>
              </a:solidFill>
            </a:ln>
          </c:spPr>
          <c:marker>
            <c:symbol val="none"/>
          </c:marker>
          <c:cat>
            <c:numRef>
              <c:f>('Targets and Countries'!$A$14,'Targets and Countries'!$A$28:$A$35)</c:f>
              <c:numCache>
                <c:formatCode>General</c:formatCode>
                <c:ptCount val="8"/>
                <c:pt idx="0">
                  <c:v>2007</c:v>
                </c:pt>
                <c:pt idx="1">
                  <c:v>2008</c:v>
                </c:pt>
                <c:pt idx="2">
                  <c:v>2009</c:v>
                </c:pt>
                <c:pt idx="3">
                  <c:v>2010</c:v>
                </c:pt>
                <c:pt idx="4">
                  <c:v>2011</c:v>
                </c:pt>
                <c:pt idx="5">
                  <c:v>2012</c:v>
                </c:pt>
                <c:pt idx="6">
                  <c:v>2013</c:v>
                </c:pt>
                <c:pt idx="7">
                  <c:v>2014</c:v>
                </c:pt>
              </c:numCache>
            </c:numRef>
          </c:cat>
          <c:val>
            <c:numRef>
              <c:f>('Targets and Countries'!$ER$14,'Targets and Countries'!$ER$28:$ER$35)</c:f>
              <c:numCache>
                <c:formatCode>General</c:formatCode>
                <c:ptCount val="8"/>
                <c:pt idx="0">
                  <c:v>0</c:v>
                </c:pt>
                <c:pt idx="1">
                  <c:v>1</c:v>
                </c:pt>
                <c:pt idx="2">
                  <c:v>0</c:v>
                </c:pt>
                <c:pt idx="3">
                  <c:v>0</c:v>
                </c:pt>
                <c:pt idx="4">
                  <c:v>2</c:v>
                </c:pt>
                <c:pt idx="5">
                  <c:v>37</c:v>
                </c:pt>
                <c:pt idx="6">
                  <c:v>36</c:v>
                </c:pt>
                <c:pt idx="7">
                  <c:v>53</c:v>
                </c:pt>
              </c:numCache>
            </c:numRef>
          </c:val>
          <c:smooth val="1"/>
        </c:ser>
        <c:ser>
          <c:idx val="20"/>
          <c:order val="1"/>
          <c:tx>
            <c:strRef>
              <c:f>'Targets and Countries'!$ES$1</c:f>
              <c:strCache>
                <c:ptCount val="1"/>
                <c:pt idx="0">
                  <c:v>Military</c:v>
                </c:pt>
              </c:strCache>
            </c:strRef>
          </c:tx>
          <c:spPr>
            <a:ln w="63500">
              <a:solidFill>
                <a:srgbClr val="FF0000"/>
              </a:solidFill>
            </a:ln>
          </c:spPr>
          <c:marker>
            <c:symbol val="none"/>
          </c:marker>
          <c:cat>
            <c:numRef>
              <c:f>('Targets and Countries'!$A$14,'Targets and Countries'!$A$28:$A$35)</c:f>
              <c:numCache>
                <c:formatCode>General</c:formatCode>
                <c:ptCount val="8"/>
                <c:pt idx="0">
                  <c:v>2007</c:v>
                </c:pt>
                <c:pt idx="1">
                  <c:v>2008</c:v>
                </c:pt>
                <c:pt idx="2">
                  <c:v>2009</c:v>
                </c:pt>
                <c:pt idx="3">
                  <c:v>2010</c:v>
                </c:pt>
                <c:pt idx="4">
                  <c:v>2011</c:v>
                </c:pt>
                <c:pt idx="5">
                  <c:v>2012</c:v>
                </c:pt>
                <c:pt idx="6">
                  <c:v>2013</c:v>
                </c:pt>
                <c:pt idx="7">
                  <c:v>2014</c:v>
                </c:pt>
              </c:numCache>
            </c:numRef>
          </c:cat>
          <c:val>
            <c:numRef>
              <c:f>('Targets and Countries'!$ES$14,'Targets and Countries'!$ES$28:$ES$35)</c:f>
              <c:numCache>
                <c:formatCode>General</c:formatCode>
                <c:ptCount val="8"/>
                <c:pt idx="0">
                  <c:v>0</c:v>
                </c:pt>
                <c:pt idx="1">
                  <c:v>0</c:v>
                </c:pt>
                <c:pt idx="2">
                  <c:v>0</c:v>
                </c:pt>
                <c:pt idx="3">
                  <c:v>0</c:v>
                </c:pt>
                <c:pt idx="4">
                  <c:v>1</c:v>
                </c:pt>
                <c:pt idx="5">
                  <c:v>13</c:v>
                </c:pt>
                <c:pt idx="6">
                  <c:v>15</c:v>
                </c:pt>
                <c:pt idx="7">
                  <c:v>19</c:v>
                </c:pt>
              </c:numCache>
            </c:numRef>
          </c:val>
          <c:smooth val="1"/>
        </c:ser>
        <c:ser>
          <c:idx val="21"/>
          <c:order val="2"/>
          <c:tx>
            <c:strRef>
              <c:f>'Targets and Countries'!$ET$1</c:f>
              <c:strCache>
                <c:ptCount val="1"/>
                <c:pt idx="0">
                  <c:v>Government</c:v>
                </c:pt>
              </c:strCache>
            </c:strRef>
          </c:tx>
          <c:spPr>
            <a:ln w="63500">
              <a:solidFill>
                <a:srgbClr val="00B050"/>
              </a:solidFill>
            </a:ln>
          </c:spPr>
          <c:marker>
            <c:symbol val="none"/>
          </c:marker>
          <c:cat>
            <c:numRef>
              <c:f>('Targets and Countries'!$A$14,'Targets and Countries'!$A$28:$A$35)</c:f>
              <c:numCache>
                <c:formatCode>General</c:formatCode>
                <c:ptCount val="8"/>
                <c:pt idx="0">
                  <c:v>2007</c:v>
                </c:pt>
                <c:pt idx="1">
                  <c:v>2008</c:v>
                </c:pt>
                <c:pt idx="2">
                  <c:v>2009</c:v>
                </c:pt>
                <c:pt idx="3">
                  <c:v>2010</c:v>
                </c:pt>
                <c:pt idx="4">
                  <c:v>2011</c:v>
                </c:pt>
                <c:pt idx="5">
                  <c:v>2012</c:v>
                </c:pt>
                <c:pt idx="6">
                  <c:v>2013</c:v>
                </c:pt>
                <c:pt idx="7">
                  <c:v>2014</c:v>
                </c:pt>
              </c:numCache>
            </c:numRef>
          </c:cat>
          <c:val>
            <c:numRef>
              <c:f>('Targets and Countries'!$ET$14,'Targets and Countries'!$ET$28:$ET$35)</c:f>
              <c:numCache>
                <c:formatCode>General</c:formatCode>
                <c:ptCount val="8"/>
                <c:pt idx="0">
                  <c:v>0</c:v>
                </c:pt>
                <c:pt idx="1">
                  <c:v>0</c:v>
                </c:pt>
                <c:pt idx="2">
                  <c:v>0</c:v>
                </c:pt>
                <c:pt idx="3">
                  <c:v>0</c:v>
                </c:pt>
                <c:pt idx="4">
                  <c:v>1</c:v>
                </c:pt>
                <c:pt idx="5">
                  <c:v>10</c:v>
                </c:pt>
                <c:pt idx="6">
                  <c:v>3</c:v>
                </c:pt>
                <c:pt idx="7">
                  <c:v>2</c:v>
                </c:pt>
              </c:numCache>
            </c:numRef>
          </c:val>
          <c:smooth val="1"/>
        </c:ser>
        <c:ser>
          <c:idx val="22"/>
          <c:order val="3"/>
          <c:tx>
            <c:strRef>
              <c:f>'Targets and Countries'!$EU$1</c:f>
              <c:strCache>
                <c:ptCount val="1"/>
                <c:pt idx="0">
                  <c:v>Police</c:v>
                </c:pt>
              </c:strCache>
            </c:strRef>
          </c:tx>
          <c:spPr>
            <a:ln w="63500">
              <a:solidFill>
                <a:srgbClr val="FFFF00"/>
              </a:solidFill>
            </a:ln>
          </c:spPr>
          <c:marker>
            <c:symbol val="none"/>
          </c:marker>
          <c:cat>
            <c:numRef>
              <c:f>('Targets and Countries'!$A$14,'Targets and Countries'!$A$28:$A$35)</c:f>
              <c:numCache>
                <c:formatCode>General</c:formatCode>
                <c:ptCount val="8"/>
                <c:pt idx="0">
                  <c:v>2007</c:v>
                </c:pt>
                <c:pt idx="1">
                  <c:v>2008</c:v>
                </c:pt>
                <c:pt idx="2">
                  <c:v>2009</c:v>
                </c:pt>
                <c:pt idx="3">
                  <c:v>2010</c:v>
                </c:pt>
                <c:pt idx="4">
                  <c:v>2011</c:v>
                </c:pt>
                <c:pt idx="5">
                  <c:v>2012</c:v>
                </c:pt>
                <c:pt idx="6">
                  <c:v>2013</c:v>
                </c:pt>
                <c:pt idx="7">
                  <c:v>2014</c:v>
                </c:pt>
              </c:numCache>
            </c:numRef>
          </c:cat>
          <c:val>
            <c:numRef>
              <c:f>('Targets and Countries'!$EU$14,'Targets and Countries'!$EU$28:$EU$35)</c:f>
              <c:numCache>
                <c:formatCode>General</c:formatCode>
                <c:ptCount val="8"/>
                <c:pt idx="0">
                  <c:v>0</c:v>
                </c:pt>
                <c:pt idx="1">
                  <c:v>0</c:v>
                </c:pt>
                <c:pt idx="2">
                  <c:v>0</c:v>
                </c:pt>
                <c:pt idx="3">
                  <c:v>0</c:v>
                </c:pt>
                <c:pt idx="4">
                  <c:v>0</c:v>
                </c:pt>
                <c:pt idx="5">
                  <c:v>3</c:v>
                </c:pt>
                <c:pt idx="6">
                  <c:v>3</c:v>
                </c:pt>
                <c:pt idx="7">
                  <c:v>7</c:v>
                </c:pt>
              </c:numCache>
            </c:numRef>
          </c:val>
          <c:smooth val="1"/>
        </c:ser>
        <c:ser>
          <c:idx val="23"/>
          <c:order val="4"/>
          <c:tx>
            <c:strRef>
              <c:f>'Targets and Countries'!$EV$1</c:f>
              <c:strCache>
                <c:ptCount val="1"/>
                <c:pt idx="0">
                  <c:v>Civilian</c:v>
                </c:pt>
              </c:strCache>
            </c:strRef>
          </c:tx>
          <c:spPr>
            <a:ln w="63500">
              <a:solidFill>
                <a:srgbClr val="00B0F0"/>
              </a:solidFill>
            </a:ln>
          </c:spPr>
          <c:marker>
            <c:symbol val="none"/>
          </c:marker>
          <c:cat>
            <c:numRef>
              <c:f>('Targets and Countries'!$A$14,'Targets and Countries'!$A$28:$A$35)</c:f>
              <c:numCache>
                <c:formatCode>General</c:formatCode>
                <c:ptCount val="8"/>
                <c:pt idx="0">
                  <c:v>2007</c:v>
                </c:pt>
                <c:pt idx="1">
                  <c:v>2008</c:v>
                </c:pt>
                <c:pt idx="2">
                  <c:v>2009</c:v>
                </c:pt>
                <c:pt idx="3">
                  <c:v>2010</c:v>
                </c:pt>
                <c:pt idx="4">
                  <c:v>2011</c:v>
                </c:pt>
                <c:pt idx="5">
                  <c:v>2012</c:v>
                </c:pt>
                <c:pt idx="6">
                  <c:v>2013</c:v>
                </c:pt>
                <c:pt idx="7">
                  <c:v>2014</c:v>
                </c:pt>
              </c:numCache>
            </c:numRef>
          </c:cat>
          <c:val>
            <c:numRef>
              <c:f>('Targets and Countries'!$EV$14,'Targets and Countries'!$EV$28:$EV$35)</c:f>
              <c:numCache>
                <c:formatCode>General</c:formatCode>
                <c:ptCount val="8"/>
                <c:pt idx="0">
                  <c:v>0</c:v>
                </c:pt>
                <c:pt idx="1">
                  <c:v>1</c:v>
                </c:pt>
                <c:pt idx="2">
                  <c:v>0</c:v>
                </c:pt>
                <c:pt idx="3">
                  <c:v>0</c:v>
                </c:pt>
                <c:pt idx="4">
                  <c:v>0</c:v>
                </c:pt>
                <c:pt idx="5">
                  <c:v>10</c:v>
                </c:pt>
                <c:pt idx="6">
                  <c:v>14</c:v>
                </c:pt>
                <c:pt idx="7">
                  <c:v>11</c:v>
                </c:pt>
              </c:numCache>
            </c:numRef>
          </c:val>
          <c:smooth val="1"/>
        </c:ser>
        <c:ser>
          <c:idx val="24"/>
          <c:order val="5"/>
          <c:tx>
            <c:strRef>
              <c:f>'Targets and Countries'!$EW$1</c:f>
              <c:strCache>
                <c:ptCount val="1"/>
                <c:pt idx="0">
                  <c:v>Informal Groups</c:v>
                </c:pt>
              </c:strCache>
            </c:strRef>
          </c:tx>
          <c:spPr>
            <a:ln w="63500">
              <a:solidFill>
                <a:srgbClr val="F79646"/>
              </a:solidFill>
            </a:ln>
          </c:spPr>
          <c:marker>
            <c:symbol val="none"/>
          </c:marker>
          <c:cat>
            <c:numRef>
              <c:f>('Targets and Countries'!$A$14,'Targets and Countries'!$A$28:$A$35)</c:f>
              <c:numCache>
                <c:formatCode>General</c:formatCode>
                <c:ptCount val="8"/>
                <c:pt idx="0">
                  <c:v>2007</c:v>
                </c:pt>
                <c:pt idx="1">
                  <c:v>2008</c:v>
                </c:pt>
                <c:pt idx="2">
                  <c:v>2009</c:v>
                </c:pt>
                <c:pt idx="3">
                  <c:v>2010</c:v>
                </c:pt>
                <c:pt idx="4">
                  <c:v>2011</c:v>
                </c:pt>
                <c:pt idx="5">
                  <c:v>2012</c:v>
                </c:pt>
                <c:pt idx="6">
                  <c:v>2013</c:v>
                </c:pt>
                <c:pt idx="7">
                  <c:v>2014</c:v>
                </c:pt>
              </c:numCache>
            </c:numRef>
          </c:cat>
          <c:val>
            <c:numRef>
              <c:f>('Targets and Countries'!$EW$14,'Targets and Countries'!$EW$28:$EW$35)</c:f>
              <c:numCache>
                <c:formatCode>General</c:formatCode>
                <c:ptCount val="8"/>
                <c:pt idx="0">
                  <c:v>0</c:v>
                </c:pt>
                <c:pt idx="1">
                  <c:v>0</c:v>
                </c:pt>
                <c:pt idx="2">
                  <c:v>0</c:v>
                </c:pt>
                <c:pt idx="3">
                  <c:v>0</c:v>
                </c:pt>
                <c:pt idx="4">
                  <c:v>0</c:v>
                </c:pt>
                <c:pt idx="5">
                  <c:v>0</c:v>
                </c:pt>
                <c:pt idx="6">
                  <c:v>1</c:v>
                </c:pt>
                <c:pt idx="7">
                  <c:v>13</c:v>
                </c:pt>
              </c:numCache>
            </c:numRef>
          </c:val>
          <c:smooth val="1"/>
        </c:ser>
        <c:dLbls>
          <c:showLegendKey val="0"/>
          <c:showVal val="0"/>
          <c:showCatName val="0"/>
          <c:showSerName val="0"/>
          <c:showPercent val="0"/>
          <c:showBubbleSize val="0"/>
        </c:dLbls>
        <c:marker val="1"/>
        <c:smooth val="0"/>
        <c:axId val="154494080"/>
        <c:axId val="154495616"/>
      </c:lineChart>
      <c:catAx>
        <c:axId val="154494080"/>
        <c:scaling>
          <c:orientation val="minMax"/>
        </c:scaling>
        <c:delete val="0"/>
        <c:axPos val="b"/>
        <c:numFmt formatCode="General" sourceLinked="1"/>
        <c:majorTickMark val="none"/>
        <c:minorTickMark val="none"/>
        <c:tickLblPos val="nextTo"/>
        <c:txPr>
          <a:bodyPr rot="-5400000" vert="horz"/>
          <a:lstStyle/>
          <a:p>
            <a:pPr>
              <a:defRPr/>
            </a:pPr>
            <a:endParaRPr lang="en-US"/>
          </a:p>
        </c:txPr>
        <c:crossAx val="154495616"/>
        <c:crosses val="autoZero"/>
        <c:auto val="1"/>
        <c:lblAlgn val="ctr"/>
        <c:lblOffset val="100"/>
        <c:noMultiLvlLbl val="0"/>
      </c:catAx>
      <c:valAx>
        <c:axId val="154495616"/>
        <c:scaling>
          <c:orientation val="minMax"/>
          <c:min val="0"/>
        </c:scaling>
        <c:delete val="0"/>
        <c:axPos val="l"/>
        <c:majorGridlines>
          <c:spPr>
            <a:ln>
              <a:noFill/>
            </a:ln>
          </c:spPr>
        </c:majorGridlines>
        <c:numFmt formatCode="General" sourceLinked="1"/>
        <c:majorTickMark val="none"/>
        <c:minorTickMark val="none"/>
        <c:tickLblPos val="nextTo"/>
        <c:crossAx val="154494080"/>
        <c:crosses val="autoZero"/>
        <c:crossBetween val="between"/>
      </c:valAx>
    </c:plotArea>
    <c:legend>
      <c:legendPos val="l"/>
      <c:layout>
        <c:manualLayout>
          <c:xMode val="edge"/>
          <c:yMode val="edge"/>
          <c:x val="7.9061814024149524E-2"/>
          <c:y val="0.25485097696121345"/>
          <c:w val="0.40933220892514788"/>
          <c:h val="0.31963487897346204"/>
        </c:manualLayout>
      </c:layout>
      <c:overlay val="1"/>
      <c:spPr>
        <a:ln>
          <a:solidFill>
            <a:sysClr val="windowText" lastClr="000000"/>
          </a:solidFill>
        </a:ln>
        <a:effectLst>
          <a:outerShdw sx="1000" sy="1000" algn="ctr" rotWithShape="0">
            <a:srgbClr val="000000"/>
          </a:outerShdw>
        </a:effectLst>
      </c:spPr>
      <c:txPr>
        <a:bodyPr/>
        <a:lstStyle/>
        <a:p>
          <a:pPr>
            <a:defRPr lang="en-US" sz="1000" b="0" i="0" u="none" strike="noStrike" kern="1200" baseline="0">
              <a:solidFill>
                <a:sysClr val="window" lastClr="FFFFFF"/>
              </a:solidFill>
              <a:latin typeface="+mn-lt"/>
              <a:ea typeface="+mn-ea"/>
              <a:cs typeface="+mn-cs"/>
            </a:defRPr>
          </a:pPr>
          <a:endParaRPr lang="en-US"/>
        </a:p>
      </c:txPr>
    </c:legend>
    <c:plotVisOnly val="1"/>
    <c:dispBlanksAs val="gap"/>
    <c:showDLblsOverMax val="0"/>
  </c:chart>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42"/>
    </mc:Choice>
    <mc:Fallback>
      <c:style val="42"/>
    </mc:Fallback>
  </mc:AlternateContent>
  <c:clrMapOvr bg1="lt1" tx1="dk1" bg2="lt2" tx2="dk2" accent1="accent1" accent2="accent2" accent3="accent3" accent4="accent4" accent5="accent5" accent6="accent6" hlink="hlink" folHlink="folHlink"/>
  <c:chart>
    <c:title>
      <c:tx>
        <c:rich>
          <a:bodyPr/>
          <a:lstStyle/>
          <a:p>
            <a:pPr>
              <a:defRPr/>
            </a:pPr>
            <a:r>
              <a:rPr lang="en-US"/>
              <a:t>Pakistan  Total Suicide Attacks (START)</a:t>
            </a:r>
          </a:p>
        </c:rich>
      </c:tx>
      <c:overlay val="0"/>
    </c:title>
    <c:autoTitleDeleted val="0"/>
    <c:plotArea>
      <c:layout/>
      <c:lineChart>
        <c:grouping val="standard"/>
        <c:varyColors val="0"/>
        <c:ser>
          <c:idx val="12"/>
          <c:order val="0"/>
          <c:tx>
            <c:strRef>
              <c:f>'Targets and Countries'!$DK$1</c:f>
              <c:strCache>
                <c:ptCount val="1"/>
                <c:pt idx="0">
                  <c:v>Pakistan</c:v>
                </c:pt>
              </c:strCache>
            </c:strRef>
          </c:tx>
          <c:spPr>
            <a:ln w="63500">
              <a:solidFill>
                <a:srgbClr val="7030A0"/>
              </a:solidFill>
            </a:ln>
          </c:spPr>
          <c:marker>
            <c:symbol val="none"/>
          </c:marker>
          <c:cat>
            <c:numRef>
              <c:f>('Targets and Countries'!$A$14,'Targets and Countries'!$A$16:$A$35)</c:f>
              <c:numCache>
                <c:formatCode>General</c:formatCode>
                <c:ptCount val="20"/>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numCache>
            </c:numRef>
          </c:cat>
          <c:val>
            <c:numRef>
              <c:f>('Targets and Countries'!$DK$14,'Targets and Countries'!$DK$16:$DK$35)</c:f>
              <c:numCache>
                <c:formatCode>General</c:formatCode>
                <c:ptCount val="20"/>
                <c:pt idx="0">
                  <c:v>2</c:v>
                </c:pt>
                <c:pt idx="1">
                  <c:v>0</c:v>
                </c:pt>
                <c:pt idx="2">
                  <c:v>0</c:v>
                </c:pt>
                <c:pt idx="3">
                  <c:v>2</c:v>
                </c:pt>
                <c:pt idx="4">
                  <c:v>0</c:v>
                </c:pt>
                <c:pt idx="5">
                  <c:v>0</c:v>
                </c:pt>
                <c:pt idx="6">
                  <c:v>0</c:v>
                </c:pt>
                <c:pt idx="7">
                  <c:v>2</c:v>
                </c:pt>
                <c:pt idx="8">
                  <c:v>3</c:v>
                </c:pt>
                <c:pt idx="9">
                  <c:v>5</c:v>
                </c:pt>
                <c:pt idx="10">
                  <c:v>5</c:v>
                </c:pt>
                <c:pt idx="11">
                  <c:v>6</c:v>
                </c:pt>
                <c:pt idx="12">
                  <c:v>56</c:v>
                </c:pt>
                <c:pt idx="13">
                  <c:v>37</c:v>
                </c:pt>
                <c:pt idx="14">
                  <c:v>45</c:v>
                </c:pt>
                <c:pt idx="15">
                  <c:v>33</c:v>
                </c:pt>
                <c:pt idx="16">
                  <c:v>40</c:v>
                </c:pt>
                <c:pt idx="17">
                  <c:v>52</c:v>
                </c:pt>
                <c:pt idx="18">
                  <c:v>80</c:v>
                </c:pt>
                <c:pt idx="19">
                  <c:v>43</c:v>
                </c:pt>
              </c:numCache>
            </c:numRef>
          </c:val>
          <c:smooth val="1"/>
        </c:ser>
        <c:ser>
          <c:idx val="20"/>
          <c:order val="1"/>
          <c:tx>
            <c:strRef>
              <c:f>'Targets and Countries'!$DL$1</c:f>
              <c:strCache>
                <c:ptCount val="1"/>
                <c:pt idx="0">
                  <c:v>Military</c:v>
                </c:pt>
              </c:strCache>
            </c:strRef>
          </c:tx>
          <c:spPr>
            <a:ln w="63500">
              <a:solidFill>
                <a:srgbClr val="FF0000"/>
              </a:solidFill>
            </a:ln>
          </c:spPr>
          <c:marker>
            <c:symbol val="none"/>
          </c:marker>
          <c:cat>
            <c:numRef>
              <c:f>('Targets and Countries'!$A$14,'Targets and Countries'!$A$16:$A$35)</c:f>
              <c:numCache>
                <c:formatCode>General</c:formatCode>
                <c:ptCount val="20"/>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numCache>
            </c:numRef>
          </c:cat>
          <c:val>
            <c:numRef>
              <c:f>('Targets and Countries'!$DL$14,'Targets and Countries'!$DL$16:$DL$35)</c:f>
              <c:numCache>
                <c:formatCode>General</c:formatCode>
                <c:ptCount val="20"/>
                <c:pt idx="0">
                  <c:v>0</c:v>
                </c:pt>
                <c:pt idx="1">
                  <c:v>0</c:v>
                </c:pt>
                <c:pt idx="2">
                  <c:v>0</c:v>
                </c:pt>
                <c:pt idx="3">
                  <c:v>0</c:v>
                </c:pt>
                <c:pt idx="4">
                  <c:v>0</c:v>
                </c:pt>
                <c:pt idx="5">
                  <c:v>0</c:v>
                </c:pt>
                <c:pt idx="6">
                  <c:v>0</c:v>
                </c:pt>
                <c:pt idx="7">
                  <c:v>1</c:v>
                </c:pt>
                <c:pt idx="8">
                  <c:v>0</c:v>
                </c:pt>
                <c:pt idx="9">
                  <c:v>0</c:v>
                </c:pt>
                <c:pt idx="10">
                  <c:v>0</c:v>
                </c:pt>
                <c:pt idx="11">
                  <c:v>1</c:v>
                </c:pt>
                <c:pt idx="12">
                  <c:v>22</c:v>
                </c:pt>
                <c:pt idx="13">
                  <c:v>7</c:v>
                </c:pt>
                <c:pt idx="14">
                  <c:v>2</c:v>
                </c:pt>
                <c:pt idx="15">
                  <c:v>1</c:v>
                </c:pt>
                <c:pt idx="16">
                  <c:v>6</c:v>
                </c:pt>
                <c:pt idx="17">
                  <c:v>8</c:v>
                </c:pt>
                <c:pt idx="18">
                  <c:v>15</c:v>
                </c:pt>
                <c:pt idx="19">
                  <c:v>11</c:v>
                </c:pt>
              </c:numCache>
            </c:numRef>
          </c:val>
          <c:smooth val="1"/>
        </c:ser>
        <c:ser>
          <c:idx val="21"/>
          <c:order val="2"/>
          <c:tx>
            <c:strRef>
              <c:f>'Targets and Countries'!$DM$1</c:f>
              <c:strCache>
                <c:ptCount val="1"/>
                <c:pt idx="0">
                  <c:v>Government</c:v>
                </c:pt>
              </c:strCache>
            </c:strRef>
          </c:tx>
          <c:spPr>
            <a:ln w="63500">
              <a:solidFill>
                <a:srgbClr val="00B050"/>
              </a:solidFill>
            </a:ln>
          </c:spPr>
          <c:marker>
            <c:symbol val="none"/>
          </c:marker>
          <c:cat>
            <c:numRef>
              <c:f>('Targets and Countries'!$A$14,'Targets and Countries'!$A$16:$A$35)</c:f>
              <c:numCache>
                <c:formatCode>General</c:formatCode>
                <c:ptCount val="20"/>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numCache>
            </c:numRef>
          </c:cat>
          <c:val>
            <c:numRef>
              <c:f>('Targets and Countries'!$DM$14,'Targets and Countries'!$DM$16:$DM$35)</c:f>
              <c:numCache>
                <c:formatCode>General</c:formatCode>
                <c:ptCount val="20"/>
                <c:pt idx="0">
                  <c:v>1</c:v>
                </c:pt>
                <c:pt idx="1">
                  <c:v>0</c:v>
                </c:pt>
                <c:pt idx="2">
                  <c:v>0</c:v>
                </c:pt>
                <c:pt idx="3">
                  <c:v>0</c:v>
                </c:pt>
                <c:pt idx="4">
                  <c:v>0</c:v>
                </c:pt>
                <c:pt idx="5">
                  <c:v>0</c:v>
                </c:pt>
                <c:pt idx="6">
                  <c:v>0</c:v>
                </c:pt>
                <c:pt idx="7">
                  <c:v>1</c:v>
                </c:pt>
                <c:pt idx="8">
                  <c:v>1</c:v>
                </c:pt>
                <c:pt idx="9">
                  <c:v>1</c:v>
                </c:pt>
                <c:pt idx="10">
                  <c:v>0</c:v>
                </c:pt>
                <c:pt idx="11">
                  <c:v>1</c:v>
                </c:pt>
                <c:pt idx="12">
                  <c:v>7</c:v>
                </c:pt>
                <c:pt idx="13">
                  <c:v>6</c:v>
                </c:pt>
                <c:pt idx="14">
                  <c:v>11</c:v>
                </c:pt>
                <c:pt idx="15">
                  <c:v>6</c:v>
                </c:pt>
                <c:pt idx="16">
                  <c:v>7</c:v>
                </c:pt>
                <c:pt idx="17">
                  <c:v>3</c:v>
                </c:pt>
                <c:pt idx="18">
                  <c:v>9</c:v>
                </c:pt>
                <c:pt idx="19">
                  <c:v>2</c:v>
                </c:pt>
              </c:numCache>
            </c:numRef>
          </c:val>
          <c:smooth val="1"/>
        </c:ser>
        <c:ser>
          <c:idx val="22"/>
          <c:order val="3"/>
          <c:tx>
            <c:strRef>
              <c:f>'Targets and Countries'!$DN$1</c:f>
              <c:strCache>
                <c:ptCount val="1"/>
                <c:pt idx="0">
                  <c:v>Police</c:v>
                </c:pt>
              </c:strCache>
            </c:strRef>
          </c:tx>
          <c:spPr>
            <a:ln w="63500">
              <a:solidFill>
                <a:srgbClr val="FFFF00"/>
              </a:solidFill>
            </a:ln>
          </c:spPr>
          <c:marker>
            <c:symbol val="none"/>
          </c:marker>
          <c:cat>
            <c:numRef>
              <c:f>('Targets and Countries'!$A$14,'Targets and Countries'!$A$16:$A$35)</c:f>
              <c:numCache>
                <c:formatCode>General</c:formatCode>
                <c:ptCount val="20"/>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numCache>
            </c:numRef>
          </c:cat>
          <c:val>
            <c:numRef>
              <c:f>('Targets and Countries'!$DN$14,'Targets and Countries'!$DN$16:$DN$35)</c:f>
              <c:numCache>
                <c:formatCode>General</c:formatCode>
                <c:ptCount val="20"/>
                <c:pt idx="0">
                  <c:v>0</c:v>
                </c:pt>
                <c:pt idx="1">
                  <c:v>0</c:v>
                </c:pt>
                <c:pt idx="2">
                  <c:v>0</c:v>
                </c:pt>
                <c:pt idx="3">
                  <c:v>0</c:v>
                </c:pt>
                <c:pt idx="4">
                  <c:v>0</c:v>
                </c:pt>
                <c:pt idx="5">
                  <c:v>0</c:v>
                </c:pt>
                <c:pt idx="6">
                  <c:v>0</c:v>
                </c:pt>
                <c:pt idx="7">
                  <c:v>0</c:v>
                </c:pt>
                <c:pt idx="8">
                  <c:v>0</c:v>
                </c:pt>
                <c:pt idx="9">
                  <c:v>1</c:v>
                </c:pt>
                <c:pt idx="10">
                  <c:v>0</c:v>
                </c:pt>
                <c:pt idx="11">
                  <c:v>2</c:v>
                </c:pt>
                <c:pt idx="12">
                  <c:v>14</c:v>
                </c:pt>
                <c:pt idx="13">
                  <c:v>7</c:v>
                </c:pt>
                <c:pt idx="14">
                  <c:v>5</c:v>
                </c:pt>
                <c:pt idx="15">
                  <c:v>3</c:v>
                </c:pt>
                <c:pt idx="16">
                  <c:v>7</c:v>
                </c:pt>
                <c:pt idx="17">
                  <c:v>14</c:v>
                </c:pt>
                <c:pt idx="18">
                  <c:v>18</c:v>
                </c:pt>
                <c:pt idx="19">
                  <c:v>9</c:v>
                </c:pt>
              </c:numCache>
            </c:numRef>
          </c:val>
          <c:smooth val="1"/>
        </c:ser>
        <c:ser>
          <c:idx val="23"/>
          <c:order val="4"/>
          <c:tx>
            <c:strRef>
              <c:f>'Targets and Countries'!$DO$1</c:f>
              <c:strCache>
                <c:ptCount val="1"/>
                <c:pt idx="0">
                  <c:v>Civilian</c:v>
                </c:pt>
              </c:strCache>
            </c:strRef>
          </c:tx>
          <c:spPr>
            <a:ln w="63500">
              <a:solidFill>
                <a:srgbClr val="00B0F0"/>
              </a:solidFill>
            </a:ln>
          </c:spPr>
          <c:marker>
            <c:symbol val="none"/>
          </c:marker>
          <c:cat>
            <c:numRef>
              <c:f>('Targets and Countries'!$A$14,'Targets and Countries'!$A$16:$A$35)</c:f>
              <c:numCache>
                <c:formatCode>General</c:formatCode>
                <c:ptCount val="20"/>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numCache>
            </c:numRef>
          </c:cat>
          <c:val>
            <c:numRef>
              <c:f>('Targets and Countries'!$DO$14,'Targets and Countries'!$DO$16:$DO$35)</c:f>
              <c:numCache>
                <c:formatCode>General</c:formatCode>
                <c:ptCount val="20"/>
                <c:pt idx="0">
                  <c:v>1</c:v>
                </c:pt>
                <c:pt idx="1">
                  <c:v>0</c:v>
                </c:pt>
                <c:pt idx="2">
                  <c:v>0</c:v>
                </c:pt>
                <c:pt idx="3">
                  <c:v>2</c:v>
                </c:pt>
                <c:pt idx="4">
                  <c:v>0</c:v>
                </c:pt>
                <c:pt idx="5">
                  <c:v>0</c:v>
                </c:pt>
                <c:pt idx="6">
                  <c:v>0</c:v>
                </c:pt>
                <c:pt idx="7">
                  <c:v>0</c:v>
                </c:pt>
                <c:pt idx="8">
                  <c:v>2</c:v>
                </c:pt>
                <c:pt idx="9">
                  <c:v>3</c:v>
                </c:pt>
                <c:pt idx="10">
                  <c:v>5</c:v>
                </c:pt>
                <c:pt idx="11">
                  <c:v>2</c:v>
                </c:pt>
                <c:pt idx="12">
                  <c:v>12</c:v>
                </c:pt>
                <c:pt idx="13">
                  <c:v>17</c:v>
                </c:pt>
                <c:pt idx="14">
                  <c:v>24</c:v>
                </c:pt>
                <c:pt idx="15">
                  <c:v>22</c:v>
                </c:pt>
                <c:pt idx="16">
                  <c:v>17</c:v>
                </c:pt>
                <c:pt idx="17">
                  <c:v>15</c:v>
                </c:pt>
                <c:pt idx="18">
                  <c:v>30</c:v>
                </c:pt>
                <c:pt idx="19">
                  <c:v>14</c:v>
                </c:pt>
              </c:numCache>
            </c:numRef>
          </c:val>
          <c:smooth val="1"/>
        </c:ser>
        <c:ser>
          <c:idx val="24"/>
          <c:order val="5"/>
          <c:tx>
            <c:strRef>
              <c:f>'Targets and Countries'!$DP$1</c:f>
              <c:strCache>
                <c:ptCount val="1"/>
                <c:pt idx="0">
                  <c:v>Informal Groups</c:v>
                </c:pt>
              </c:strCache>
            </c:strRef>
          </c:tx>
          <c:spPr>
            <a:ln w="63500">
              <a:solidFill>
                <a:srgbClr val="F79646"/>
              </a:solidFill>
            </a:ln>
          </c:spPr>
          <c:marker>
            <c:symbol val="none"/>
          </c:marker>
          <c:cat>
            <c:numRef>
              <c:f>('Targets and Countries'!$A$14,'Targets and Countries'!$A$16:$A$35)</c:f>
              <c:numCache>
                <c:formatCode>General</c:formatCode>
                <c:ptCount val="20"/>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numCache>
            </c:numRef>
          </c:cat>
          <c:val>
            <c:numRef>
              <c:f>('Targets and Countries'!$DP$14,'Targets and Countries'!$DP$16:$DP$35)</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1</c:v>
                </c:pt>
                <c:pt idx="13">
                  <c:v>0</c:v>
                </c:pt>
                <c:pt idx="14">
                  <c:v>2</c:v>
                </c:pt>
                <c:pt idx="15">
                  <c:v>1</c:v>
                </c:pt>
                <c:pt idx="16">
                  <c:v>1</c:v>
                </c:pt>
                <c:pt idx="17">
                  <c:v>9</c:v>
                </c:pt>
                <c:pt idx="18">
                  <c:v>3</c:v>
                </c:pt>
                <c:pt idx="19">
                  <c:v>3</c:v>
                </c:pt>
              </c:numCache>
            </c:numRef>
          </c:val>
          <c:smooth val="1"/>
        </c:ser>
        <c:dLbls>
          <c:showLegendKey val="0"/>
          <c:showVal val="0"/>
          <c:showCatName val="0"/>
          <c:showSerName val="0"/>
          <c:showPercent val="0"/>
          <c:showBubbleSize val="0"/>
        </c:dLbls>
        <c:marker val="1"/>
        <c:smooth val="0"/>
        <c:axId val="161213056"/>
        <c:axId val="161214848"/>
      </c:lineChart>
      <c:catAx>
        <c:axId val="161213056"/>
        <c:scaling>
          <c:orientation val="minMax"/>
        </c:scaling>
        <c:delete val="0"/>
        <c:axPos val="b"/>
        <c:numFmt formatCode="General" sourceLinked="1"/>
        <c:majorTickMark val="none"/>
        <c:minorTickMark val="none"/>
        <c:tickLblPos val="nextTo"/>
        <c:txPr>
          <a:bodyPr rot="-5400000" vert="horz"/>
          <a:lstStyle/>
          <a:p>
            <a:pPr>
              <a:defRPr/>
            </a:pPr>
            <a:endParaRPr lang="en-US"/>
          </a:p>
        </c:txPr>
        <c:crossAx val="161214848"/>
        <c:crosses val="autoZero"/>
        <c:auto val="1"/>
        <c:lblAlgn val="ctr"/>
        <c:lblOffset val="100"/>
        <c:noMultiLvlLbl val="0"/>
      </c:catAx>
      <c:valAx>
        <c:axId val="161214848"/>
        <c:scaling>
          <c:orientation val="minMax"/>
          <c:min val="0"/>
        </c:scaling>
        <c:delete val="0"/>
        <c:axPos val="l"/>
        <c:majorGridlines>
          <c:spPr>
            <a:ln>
              <a:noFill/>
            </a:ln>
          </c:spPr>
        </c:majorGridlines>
        <c:numFmt formatCode="General" sourceLinked="1"/>
        <c:majorTickMark val="none"/>
        <c:minorTickMark val="none"/>
        <c:tickLblPos val="nextTo"/>
        <c:crossAx val="161213056"/>
        <c:crosses val="autoZero"/>
        <c:crossBetween val="between"/>
      </c:valAx>
    </c:plotArea>
    <c:legend>
      <c:legendPos val="l"/>
      <c:layout>
        <c:manualLayout>
          <c:xMode val="edge"/>
          <c:yMode val="edge"/>
          <c:x val="6.0984392530291073E-2"/>
          <c:y val="0.19858618152962043"/>
          <c:w val="0.5138637195285366"/>
          <c:h val="0.52762342998302725"/>
        </c:manualLayout>
      </c:layout>
      <c:overlay val="1"/>
      <c:spPr>
        <a:ln>
          <a:solidFill>
            <a:sysClr val="windowText" lastClr="000000"/>
          </a:solidFill>
        </a:ln>
        <a:effectLst>
          <a:outerShdw sx="1000" sy="1000" algn="ctr" rotWithShape="0">
            <a:srgbClr val="000000"/>
          </a:outerShdw>
        </a:effectLst>
      </c:spPr>
      <c:txPr>
        <a:bodyPr/>
        <a:lstStyle/>
        <a:p>
          <a:pPr>
            <a:defRPr lang="en-US" sz="1000" b="0" i="0" u="none" strike="noStrike" kern="1200" baseline="0">
              <a:solidFill>
                <a:sysClr val="window" lastClr="FFFFFF"/>
              </a:solidFill>
              <a:latin typeface="+mn-lt"/>
              <a:ea typeface="+mn-ea"/>
              <a:cs typeface="+mn-cs"/>
            </a:defRPr>
          </a:pPr>
          <a:endParaRPr lang="en-US"/>
        </a:p>
      </c:txPr>
    </c:legend>
    <c:plotVisOnly val="1"/>
    <c:dispBlanksAs val="gap"/>
    <c:showDLblsOverMax val="0"/>
  </c:chart>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42"/>
    </mc:Choice>
    <mc:Fallback>
      <c:style val="42"/>
    </mc:Fallback>
  </mc:AlternateContent>
  <c:clrMapOvr bg1="lt1" tx1="dk1" bg2="lt2" tx2="dk2" accent1="accent1" accent2="accent2" accent3="accent3" accent4="accent4" accent5="accent5" accent6="accent6" hlink="hlink" folHlink="folHlink"/>
  <c:chart>
    <c:title>
      <c:tx>
        <c:rich>
          <a:bodyPr/>
          <a:lstStyle/>
          <a:p>
            <a:pPr>
              <a:defRPr/>
            </a:pPr>
            <a:r>
              <a:rPr lang="en-US"/>
              <a:t>Afghanistan Total Suicide Attacks (START)</a:t>
            </a:r>
          </a:p>
        </c:rich>
      </c:tx>
      <c:overlay val="0"/>
    </c:title>
    <c:autoTitleDeleted val="0"/>
    <c:plotArea>
      <c:layout/>
      <c:lineChart>
        <c:grouping val="standard"/>
        <c:varyColors val="0"/>
        <c:ser>
          <c:idx val="12"/>
          <c:order val="0"/>
          <c:tx>
            <c:strRef>
              <c:f>'Targets and Countries'!$Q$1</c:f>
              <c:strCache>
                <c:ptCount val="1"/>
                <c:pt idx="0">
                  <c:v>Afghanistan</c:v>
                </c:pt>
              </c:strCache>
            </c:strRef>
          </c:tx>
          <c:spPr>
            <a:ln w="63500">
              <a:solidFill>
                <a:srgbClr val="7030A0"/>
              </a:solidFill>
            </a:ln>
          </c:spPr>
          <c:marker>
            <c:symbol val="none"/>
          </c:marker>
          <c:cat>
            <c:numRef>
              <c:f>('Targets and Countries'!$A$14,'Targets and Countries'!$A$22:$A$35)</c:f>
              <c:numCache>
                <c:formatCode>General</c:formatCode>
                <c:ptCount val="1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numCache>
            </c:numRef>
          </c:cat>
          <c:val>
            <c:numRef>
              <c:f>('Targets and Countries'!$Q$14,'Targets and Countries'!$Q$22:$Q$35)</c:f>
              <c:numCache>
                <c:formatCode>General</c:formatCode>
                <c:ptCount val="14"/>
                <c:pt idx="0">
                  <c:v>1</c:v>
                </c:pt>
                <c:pt idx="1">
                  <c:v>2</c:v>
                </c:pt>
                <c:pt idx="2">
                  <c:v>1</c:v>
                </c:pt>
                <c:pt idx="3">
                  <c:v>3</c:v>
                </c:pt>
                <c:pt idx="4">
                  <c:v>13</c:v>
                </c:pt>
                <c:pt idx="5">
                  <c:v>49</c:v>
                </c:pt>
                <c:pt idx="6">
                  <c:v>73</c:v>
                </c:pt>
                <c:pt idx="7">
                  <c:v>56</c:v>
                </c:pt>
                <c:pt idx="8">
                  <c:v>44</c:v>
                </c:pt>
                <c:pt idx="9">
                  <c:v>50</c:v>
                </c:pt>
                <c:pt idx="10">
                  <c:v>78</c:v>
                </c:pt>
                <c:pt idx="11">
                  <c:v>136</c:v>
                </c:pt>
                <c:pt idx="12">
                  <c:v>131</c:v>
                </c:pt>
                <c:pt idx="13">
                  <c:v>187</c:v>
                </c:pt>
              </c:numCache>
            </c:numRef>
          </c:val>
          <c:smooth val="1"/>
        </c:ser>
        <c:ser>
          <c:idx val="20"/>
          <c:order val="1"/>
          <c:tx>
            <c:strRef>
              <c:f>'Targets and Countries'!$R$1</c:f>
              <c:strCache>
                <c:ptCount val="1"/>
                <c:pt idx="0">
                  <c:v>Military</c:v>
                </c:pt>
              </c:strCache>
            </c:strRef>
          </c:tx>
          <c:spPr>
            <a:ln w="63500">
              <a:solidFill>
                <a:srgbClr val="FF0000"/>
              </a:solidFill>
            </a:ln>
          </c:spPr>
          <c:marker>
            <c:symbol val="none"/>
          </c:marker>
          <c:cat>
            <c:numRef>
              <c:f>('Targets and Countries'!$A$14,'Targets and Countries'!$A$22:$A$35)</c:f>
              <c:numCache>
                <c:formatCode>General</c:formatCode>
                <c:ptCount val="1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numCache>
            </c:numRef>
          </c:cat>
          <c:val>
            <c:numRef>
              <c:f>('Targets and Countries'!$R$14,'Targets and Countries'!$R$22:$R$35)</c:f>
              <c:numCache>
                <c:formatCode>0</c:formatCode>
                <c:ptCount val="14"/>
                <c:pt idx="0">
                  <c:v>0</c:v>
                </c:pt>
                <c:pt idx="1">
                  <c:v>1</c:v>
                </c:pt>
                <c:pt idx="2">
                  <c:v>1</c:v>
                </c:pt>
                <c:pt idx="3">
                  <c:v>2</c:v>
                </c:pt>
                <c:pt idx="4">
                  <c:v>7</c:v>
                </c:pt>
                <c:pt idx="5">
                  <c:v>12</c:v>
                </c:pt>
                <c:pt idx="6">
                  <c:v>17</c:v>
                </c:pt>
                <c:pt idx="7">
                  <c:v>10</c:v>
                </c:pt>
                <c:pt idx="8">
                  <c:v>0</c:v>
                </c:pt>
                <c:pt idx="9">
                  <c:v>7</c:v>
                </c:pt>
                <c:pt idx="10">
                  <c:v>7</c:v>
                </c:pt>
                <c:pt idx="11">
                  <c:v>42</c:v>
                </c:pt>
                <c:pt idx="12">
                  <c:v>37</c:v>
                </c:pt>
                <c:pt idx="13">
                  <c:v>40</c:v>
                </c:pt>
              </c:numCache>
            </c:numRef>
          </c:val>
          <c:smooth val="1"/>
        </c:ser>
        <c:ser>
          <c:idx val="21"/>
          <c:order val="2"/>
          <c:tx>
            <c:strRef>
              <c:f>'Targets and Countries'!$S$1</c:f>
              <c:strCache>
                <c:ptCount val="1"/>
                <c:pt idx="0">
                  <c:v>Government</c:v>
                </c:pt>
              </c:strCache>
            </c:strRef>
          </c:tx>
          <c:spPr>
            <a:ln w="63500">
              <a:solidFill>
                <a:srgbClr val="00B050"/>
              </a:solidFill>
            </a:ln>
          </c:spPr>
          <c:marker>
            <c:symbol val="none"/>
          </c:marker>
          <c:cat>
            <c:numRef>
              <c:f>('Targets and Countries'!$A$14,'Targets and Countries'!$A$22:$A$35)</c:f>
              <c:numCache>
                <c:formatCode>General</c:formatCode>
                <c:ptCount val="1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numCache>
            </c:numRef>
          </c:cat>
          <c:val>
            <c:numRef>
              <c:f>('Targets and Countries'!$S$14,'Targets and Countries'!$S$22:$S$35)</c:f>
              <c:numCache>
                <c:formatCode>0</c:formatCode>
                <c:ptCount val="14"/>
                <c:pt idx="0">
                  <c:v>1</c:v>
                </c:pt>
                <c:pt idx="1">
                  <c:v>0</c:v>
                </c:pt>
                <c:pt idx="2">
                  <c:v>0</c:v>
                </c:pt>
                <c:pt idx="3">
                  <c:v>0</c:v>
                </c:pt>
                <c:pt idx="4">
                  <c:v>3</c:v>
                </c:pt>
                <c:pt idx="5">
                  <c:v>10</c:v>
                </c:pt>
                <c:pt idx="6">
                  <c:v>10</c:v>
                </c:pt>
                <c:pt idx="7">
                  <c:v>18</c:v>
                </c:pt>
                <c:pt idx="8">
                  <c:v>25</c:v>
                </c:pt>
                <c:pt idx="9">
                  <c:v>17</c:v>
                </c:pt>
                <c:pt idx="10">
                  <c:v>26</c:v>
                </c:pt>
                <c:pt idx="11">
                  <c:v>19</c:v>
                </c:pt>
                <c:pt idx="12">
                  <c:v>36</c:v>
                </c:pt>
                <c:pt idx="13">
                  <c:v>37</c:v>
                </c:pt>
              </c:numCache>
            </c:numRef>
          </c:val>
          <c:smooth val="1"/>
        </c:ser>
        <c:ser>
          <c:idx val="22"/>
          <c:order val="3"/>
          <c:tx>
            <c:strRef>
              <c:f>'Targets and Countries'!$T$1</c:f>
              <c:strCache>
                <c:ptCount val="1"/>
                <c:pt idx="0">
                  <c:v>Police</c:v>
                </c:pt>
              </c:strCache>
            </c:strRef>
          </c:tx>
          <c:spPr>
            <a:ln w="63500">
              <a:solidFill>
                <a:srgbClr val="FFFF00"/>
              </a:solidFill>
            </a:ln>
          </c:spPr>
          <c:marker>
            <c:symbol val="none"/>
          </c:marker>
          <c:cat>
            <c:numRef>
              <c:f>('Targets and Countries'!$A$14,'Targets and Countries'!$A$22:$A$35)</c:f>
              <c:numCache>
                <c:formatCode>General</c:formatCode>
                <c:ptCount val="1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numCache>
            </c:numRef>
          </c:cat>
          <c:val>
            <c:numRef>
              <c:f>('Targets and Countries'!$T$14,'Targets and Countries'!$T$22:$T$35)</c:f>
              <c:numCache>
                <c:formatCode>General</c:formatCode>
                <c:ptCount val="14"/>
                <c:pt idx="0">
                  <c:v>0</c:v>
                </c:pt>
                <c:pt idx="1">
                  <c:v>1</c:v>
                </c:pt>
                <c:pt idx="2">
                  <c:v>0</c:v>
                </c:pt>
                <c:pt idx="3">
                  <c:v>0</c:v>
                </c:pt>
                <c:pt idx="4">
                  <c:v>0</c:v>
                </c:pt>
                <c:pt idx="5">
                  <c:v>10</c:v>
                </c:pt>
                <c:pt idx="6">
                  <c:v>31</c:v>
                </c:pt>
                <c:pt idx="7">
                  <c:v>15</c:v>
                </c:pt>
                <c:pt idx="8">
                  <c:v>3</c:v>
                </c:pt>
                <c:pt idx="9">
                  <c:v>4</c:v>
                </c:pt>
                <c:pt idx="10">
                  <c:v>15</c:v>
                </c:pt>
                <c:pt idx="11">
                  <c:v>41</c:v>
                </c:pt>
                <c:pt idx="12">
                  <c:v>42</c:v>
                </c:pt>
                <c:pt idx="13">
                  <c:v>63</c:v>
                </c:pt>
              </c:numCache>
            </c:numRef>
          </c:val>
          <c:smooth val="1"/>
        </c:ser>
        <c:ser>
          <c:idx val="23"/>
          <c:order val="4"/>
          <c:tx>
            <c:strRef>
              <c:f>'Targets and Countries'!$U$1</c:f>
              <c:strCache>
                <c:ptCount val="1"/>
                <c:pt idx="0">
                  <c:v>Civilian</c:v>
                </c:pt>
              </c:strCache>
            </c:strRef>
          </c:tx>
          <c:spPr>
            <a:ln w="63500">
              <a:solidFill>
                <a:srgbClr val="00B0F0"/>
              </a:solidFill>
            </a:ln>
          </c:spPr>
          <c:marker>
            <c:symbol val="none"/>
          </c:marker>
          <c:cat>
            <c:numRef>
              <c:f>('Targets and Countries'!$A$14,'Targets and Countries'!$A$22:$A$35)</c:f>
              <c:numCache>
                <c:formatCode>General</c:formatCode>
                <c:ptCount val="1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numCache>
            </c:numRef>
          </c:cat>
          <c:val>
            <c:numRef>
              <c:f>('Targets and Countries'!$U$14,'Targets and Countries'!$U$22:$U$35)</c:f>
              <c:numCache>
                <c:formatCode>General</c:formatCode>
                <c:ptCount val="14"/>
                <c:pt idx="0">
                  <c:v>0</c:v>
                </c:pt>
                <c:pt idx="1">
                  <c:v>0</c:v>
                </c:pt>
                <c:pt idx="2">
                  <c:v>0</c:v>
                </c:pt>
                <c:pt idx="3">
                  <c:v>1</c:v>
                </c:pt>
                <c:pt idx="4">
                  <c:v>2</c:v>
                </c:pt>
                <c:pt idx="5">
                  <c:v>14</c:v>
                </c:pt>
                <c:pt idx="6">
                  <c:v>15</c:v>
                </c:pt>
                <c:pt idx="7">
                  <c:v>11</c:v>
                </c:pt>
                <c:pt idx="8">
                  <c:v>16</c:v>
                </c:pt>
                <c:pt idx="9">
                  <c:v>21</c:v>
                </c:pt>
                <c:pt idx="10">
                  <c:v>27</c:v>
                </c:pt>
                <c:pt idx="11">
                  <c:v>27</c:v>
                </c:pt>
                <c:pt idx="12">
                  <c:v>11</c:v>
                </c:pt>
                <c:pt idx="13">
                  <c:v>29</c:v>
                </c:pt>
              </c:numCache>
            </c:numRef>
          </c:val>
          <c:smooth val="1"/>
        </c:ser>
        <c:ser>
          <c:idx val="24"/>
          <c:order val="5"/>
          <c:tx>
            <c:strRef>
              <c:f>'Targets and Countries'!$V$1</c:f>
              <c:strCache>
                <c:ptCount val="1"/>
                <c:pt idx="0">
                  <c:v>Informal Groups</c:v>
                </c:pt>
              </c:strCache>
            </c:strRef>
          </c:tx>
          <c:spPr>
            <a:ln w="63500">
              <a:solidFill>
                <a:srgbClr val="F79646"/>
              </a:solidFill>
            </a:ln>
          </c:spPr>
          <c:marker>
            <c:symbol val="none"/>
          </c:marker>
          <c:cat>
            <c:numRef>
              <c:f>('Targets and Countries'!$A$14,'Targets and Countries'!$A$22:$A$35)</c:f>
              <c:numCache>
                <c:formatCode>General</c:formatCode>
                <c:ptCount val="1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numCache>
            </c:numRef>
          </c:cat>
          <c:val>
            <c:numRef>
              <c:f>('Targets and Countries'!$V$14,'Targets and Countries'!$V$22:$V$35)</c:f>
              <c:numCache>
                <c:formatCode>General</c:formatCode>
                <c:ptCount val="14"/>
                <c:pt idx="0">
                  <c:v>0</c:v>
                </c:pt>
                <c:pt idx="1">
                  <c:v>0</c:v>
                </c:pt>
                <c:pt idx="2">
                  <c:v>0</c:v>
                </c:pt>
                <c:pt idx="3">
                  <c:v>0</c:v>
                </c:pt>
                <c:pt idx="4">
                  <c:v>1</c:v>
                </c:pt>
                <c:pt idx="5">
                  <c:v>0</c:v>
                </c:pt>
                <c:pt idx="6">
                  <c:v>0</c:v>
                </c:pt>
                <c:pt idx="7">
                  <c:v>1</c:v>
                </c:pt>
                <c:pt idx="8">
                  <c:v>0</c:v>
                </c:pt>
                <c:pt idx="9">
                  <c:v>1</c:v>
                </c:pt>
                <c:pt idx="10">
                  <c:v>0</c:v>
                </c:pt>
                <c:pt idx="11">
                  <c:v>0</c:v>
                </c:pt>
                <c:pt idx="12">
                  <c:v>0</c:v>
                </c:pt>
                <c:pt idx="13">
                  <c:v>0</c:v>
                </c:pt>
              </c:numCache>
            </c:numRef>
          </c:val>
          <c:smooth val="1"/>
        </c:ser>
        <c:dLbls>
          <c:showLegendKey val="0"/>
          <c:showVal val="0"/>
          <c:showCatName val="0"/>
          <c:showSerName val="0"/>
          <c:showPercent val="0"/>
          <c:showBubbleSize val="0"/>
        </c:dLbls>
        <c:marker val="1"/>
        <c:smooth val="0"/>
        <c:axId val="161329152"/>
        <c:axId val="161330688"/>
      </c:lineChart>
      <c:catAx>
        <c:axId val="161329152"/>
        <c:scaling>
          <c:orientation val="minMax"/>
        </c:scaling>
        <c:delete val="0"/>
        <c:axPos val="b"/>
        <c:numFmt formatCode="General" sourceLinked="1"/>
        <c:majorTickMark val="none"/>
        <c:minorTickMark val="none"/>
        <c:tickLblPos val="nextTo"/>
        <c:txPr>
          <a:bodyPr rot="-5400000" vert="horz"/>
          <a:lstStyle/>
          <a:p>
            <a:pPr>
              <a:defRPr/>
            </a:pPr>
            <a:endParaRPr lang="en-US"/>
          </a:p>
        </c:txPr>
        <c:crossAx val="161330688"/>
        <c:crosses val="autoZero"/>
        <c:auto val="1"/>
        <c:lblAlgn val="ctr"/>
        <c:lblOffset val="100"/>
        <c:noMultiLvlLbl val="0"/>
      </c:catAx>
      <c:valAx>
        <c:axId val="161330688"/>
        <c:scaling>
          <c:orientation val="minMax"/>
          <c:min val="0"/>
        </c:scaling>
        <c:delete val="0"/>
        <c:axPos val="l"/>
        <c:majorGridlines>
          <c:spPr>
            <a:ln>
              <a:noFill/>
            </a:ln>
          </c:spPr>
        </c:majorGridlines>
        <c:numFmt formatCode="General" sourceLinked="1"/>
        <c:majorTickMark val="none"/>
        <c:minorTickMark val="none"/>
        <c:tickLblPos val="nextTo"/>
        <c:crossAx val="161329152"/>
        <c:crosses val="autoZero"/>
        <c:crossBetween val="between"/>
      </c:valAx>
    </c:plotArea>
    <c:legend>
      <c:legendPos val="l"/>
      <c:layout>
        <c:manualLayout>
          <c:xMode val="edge"/>
          <c:yMode val="edge"/>
          <c:x val="8.2948807284045231E-2"/>
          <c:y val="0.21968681680027027"/>
          <c:w val="0.61559529635066834"/>
          <c:h val="0.26275661130549022"/>
        </c:manualLayout>
      </c:layout>
      <c:overlay val="1"/>
      <c:spPr>
        <a:ln>
          <a:solidFill>
            <a:sysClr val="windowText" lastClr="000000"/>
          </a:solidFill>
        </a:ln>
        <a:effectLst>
          <a:outerShdw sx="1000" sy="1000" algn="ctr" rotWithShape="0">
            <a:srgbClr val="000000"/>
          </a:outerShdw>
        </a:effectLst>
      </c:spPr>
      <c:txPr>
        <a:bodyPr/>
        <a:lstStyle/>
        <a:p>
          <a:pPr>
            <a:defRPr lang="en-US" sz="1000" b="0" i="0" u="none" strike="noStrike" kern="1200" baseline="0">
              <a:solidFill>
                <a:sysClr val="window" lastClr="FFFFFF"/>
              </a:solidFill>
              <a:latin typeface="+mn-lt"/>
              <a:ea typeface="+mn-ea"/>
              <a:cs typeface="+mn-cs"/>
            </a:defRPr>
          </a:pPr>
          <a:endParaRPr lang="en-US"/>
        </a:p>
      </c:txPr>
    </c:legend>
    <c:plotVisOnly val="1"/>
    <c:dispBlanksAs val="gap"/>
    <c:showDLblsOverMax val="0"/>
  </c:chart>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42"/>
    </mc:Choice>
    <mc:Fallback>
      <c:style val="42"/>
    </mc:Fallback>
  </mc:AlternateContent>
  <c:clrMapOvr bg1="lt1" tx1="dk1" bg2="lt2" tx2="dk2" accent1="accent1" accent2="accent2" accent3="accent3" accent4="accent4" accent5="accent5" accent6="accent6" hlink="hlink" folHlink="folHlink"/>
  <c:chart>
    <c:title>
      <c:tx>
        <c:rich>
          <a:bodyPr/>
          <a:lstStyle/>
          <a:p>
            <a:pPr>
              <a:defRPr/>
            </a:pPr>
            <a:r>
              <a:rPr lang="en-US"/>
              <a:t>Somalia Total Suicide Attacks (START)</a:t>
            </a:r>
          </a:p>
        </c:rich>
      </c:tx>
      <c:overlay val="0"/>
    </c:title>
    <c:autoTitleDeleted val="0"/>
    <c:plotArea>
      <c:layout/>
      <c:lineChart>
        <c:grouping val="standard"/>
        <c:varyColors val="0"/>
        <c:ser>
          <c:idx val="12"/>
          <c:order val="0"/>
          <c:tx>
            <c:strRef>
              <c:f>'Targets and Countries'!$EA$1</c:f>
              <c:strCache>
                <c:ptCount val="1"/>
                <c:pt idx="0">
                  <c:v>Somalia</c:v>
                </c:pt>
              </c:strCache>
            </c:strRef>
          </c:tx>
          <c:spPr>
            <a:ln w="63500">
              <a:solidFill>
                <a:srgbClr val="7030A0"/>
              </a:solidFill>
            </a:ln>
          </c:spPr>
          <c:marker>
            <c:symbol val="none"/>
          </c:marker>
          <c:cat>
            <c:numRef>
              <c:f>('Targets and Countries'!$A$14,'Targets and Countries'!$A$26:$A$35)</c:f>
              <c:numCache>
                <c:formatCode>General</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('Targets and Countries'!$EA$14,'Targets and Countries'!$EA$26:$EA$35)</c:f>
              <c:numCache>
                <c:formatCode>General</c:formatCode>
                <c:ptCount val="10"/>
                <c:pt idx="0">
                  <c:v>0</c:v>
                </c:pt>
                <c:pt idx="1">
                  <c:v>2</c:v>
                </c:pt>
                <c:pt idx="2">
                  <c:v>3</c:v>
                </c:pt>
                <c:pt idx="3">
                  <c:v>3</c:v>
                </c:pt>
                <c:pt idx="4">
                  <c:v>2</c:v>
                </c:pt>
                <c:pt idx="5">
                  <c:v>4</c:v>
                </c:pt>
                <c:pt idx="6">
                  <c:v>8</c:v>
                </c:pt>
                <c:pt idx="7">
                  <c:v>16</c:v>
                </c:pt>
                <c:pt idx="8">
                  <c:v>17</c:v>
                </c:pt>
                <c:pt idx="9">
                  <c:v>24</c:v>
                </c:pt>
              </c:numCache>
            </c:numRef>
          </c:val>
          <c:smooth val="1"/>
        </c:ser>
        <c:ser>
          <c:idx val="20"/>
          <c:order val="1"/>
          <c:tx>
            <c:strRef>
              <c:f>'Targets and Countries'!$EB$1</c:f>
              <c:strCache>
                <c:ptCount val="1"/>
                <c:pt idx="0">
                  <c:v>Military</c:v>
                </c:pt>
              </c:strCache>
            </c:strRef>
          </c:tx>
          <c:spPr>
            <a:ln w="63500">
              <a:solidFill>
                <a:srgbClr val="FF0000"/>
              </a:solidFill>
            </a:ln>
          </c:spPr>
          <c:marker>
            <c:symbol val="none"/>
          </c:marker>
          <c:cat>
            <c:numRef>
              <c:f>('Targets and Countries'!$A$14,'Targets and Countries'!$A$26:$A$35)</c:f>
              <c:numCache>
                <c:formatCode>General</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('Targets and Countries'!$EB$14,'Targets and Countries'!$EB$26:$EB$35)</c:f>
              <c:numCache>
                <c:formatCode>General</c:formatCode>
                <c:ptCount val="10"/>
                <c:pt idx="0">
                  <c:v>0</c:v>
                </c:pt>
                <c:pt idx="1">
                  <c:v>0</c:v>
                </c:pt>
                <c:pt idx="2">
                  <c:v>1</c:v>
                </c:pt>
                <c:pt idx="3">
                  <c:v>0</c:v>
                </c:pt>
                <c:pt idx="4">
                  <c:v>0</c:v>
                </c:pt>
                <c:pt idx="5">
                  <c:v>0</c:v>
                </c:pt>
                <c:pt idx="6">
                  <c:v>1</c:v>
                </c:pt>
                <c:pt idx="7">
                  <c:v>6</c:v>
                </c:pt>
                <c:pt idx="8">
                  <c:v>4</c:v>
                </c:pt>
                <c:pt idx="9">
                  <c:v>7</c:v>
                </c:pt>
              </c:numCache>
            </c:numRef>
          </c:val>
          <c:smooth val="1"/>
        </c:ser>
        <c:ser>
          <c:idx val="21"/>
          <c:order val="2"/>
          <c:tx>
            <c:strRef>
              <c:f>'Targets and Countries'!$EC$1</c:f>
              <c:strCache>
                <c:ptCount val="1"/>
                <c:pt idx="0">
                  <c:v>Government</c:v>
                </c:pt>
              </c:strCache>
            </c:strRef>
          </c:tx>
          <c:spPr>
            <a:ln w="63500">
              <a:solidFill>
                <a:srgbClr val="00B050"/>
              </a:solidFill>
            </a:ln>
          </c:spPr>
          <c:marker>
            <c:symbol val="none"/>
          </c:marker>
          <c:cat>
            <c:numRef>
              <c:f>('Targets and Countries'!$A$14,'Targets and Countries'!$A$26:$A$35)</c:f>
              <c:numCache>
                <c:formatCode>General</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('Targets and Countries'!$EC$14,'Targets and Countries'!$EC$26:$EC$35)</c:f>
              <c:numCache>
                <c:formatCode>General</c:formatCode>
                <c:ptCount val="10"/>
                <c:pt idx="0">
                  <c:v>0</c:v>
                </c:pt>
                <c:pt idx="1">
                  <c:v>1</c:v>
                </c:pt>
                <c:pt idx="2">
                  <c:v>0</c:v>
                </c:pt>
                <c:pt idx="3">
                  <c:v>3</c:v>
                </c:pt>
                <c:pt idx="4">
                  <c:v>1</c:v>
                </c:pt>
                <c:pt idx="5">
                  <c:v>2</c:v>
                </c:pt>
                <c:pt idx="6">
                  <c:v>4</c:v>
                </c:pt>
                <c:pt idx="7">
                  <c:v>6</c:v>
                </c:pt>
                <c:pt idx="8">
                  <c:v>7</c:v>
                </c:pt>
                <c:pt idx="9">
                  <c:v>7</c:v>
                </c:pt>
              </c:numCache>
            </c:numRef>
          </c:val>
          <c:smooth val="1"/>
        </c:ser>
        <c:ser>
          <c:idx val="22"/>
          <c:order val="3"/>
          <c:tx>
            <c:strRef>
              <c:f>'Targets and Countries'!$ED$1</c:f>
              <c:strCache>
                <c:ptCount val="1"/>
                <c:pt idx="0">
                  <c:v>Police</c:v>
                </c:pt>
              </c:strCache>
            </c:strRef>
          </c:tx>
          <c:spPr>
            <a:ln w="63500">
              <a:solidFill>
                <a:srgbClr val="FFFF00"/>
              </a:solidFill>
            </a:ln>
          </c:spPr>
          <c:marker>
            <c:symbol val="none"/>
          </c:marker>
          <c:cat>
            <c:numRef>
              <c:f>('Targets and Countries'!$A$14,'Targets and Countries'!$A$26:$A$35)</c:f>
              <c:numCache>
                <c:formatCode>General</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('Targets and Countries'!$ED$14,'Targets and Countries'!$ED$26:$ED$35)</c:f>
              <c:numCache>
                <c:formatCode>General</c:formatCode>
                <c:ptCount val="10"/>
                <c:pt idx="0">
                  <c:v>0</c:v>
                </c:pt>
                <c:pt idx="1">
                  <c:v>0</c:v>
                </c:pt>
                <c:pt idx="2">
                  <c:v>2</c:v>
                </c:pt>
                <c:pt idx="3">
                  <c:v>0</c:v>
                </c:pt>
                <c:pt idx="4">
                  <c:v>0</c:v>
                </c:pt>
                <c:pt idx="5">
                  <c:v>0</c:v>
                </c:pt>
                <c:pt idx="6">
                  <c:v>3</c:v>
                </c:pt>
                <c:pt idx="7">
                  <c:v>1</c:v>
                </c:pt>
                <c:pt idx="8">
                  <c:v>3</c:v>
                </c:pt>
                <c:pt idx="9">
                  <c:v>1</c:v>
                </c:pt>
              </c:numCache>
            </c:numRef>
          </c:val>
          <c:smooth val="1"/>
        </c:ser>
        <c:ser>
          <c:idx val="23"/>
          <c:order val="4"/>
          <c:tx>
            <c:strRef>
              <c:f>'Targets and Countries'!$EE$1</c:f>
              <c:strCache>
                <c:ptCount val="1"/>
                <c:pt idx="0">
                  <c:v>Civilian</c:v>
                </c:pt>
              </c:strCache>
            </c:strRef>
          </c:tx>
          <c:spPr>
            <a:ln w="63500">
              <a:solidFill>
                <a:srgbClr val="00B0F0"/>
              </a:solidFill>
            </a:ln>
          </c:spPr>
          <c:marker>
            <c:symbol val="none"/>
          </c:marker>
          <c:cat>
            <c:numRef>
              <c:f>('Targets and Countries'!$A$14,'Targets and Countries'!$A$26:$A$35)</c:f>
              <c:numCache>
                <c:formatCode>General</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('Targets and Countries'!$EE$14,'Targets and Countries'!$EE$26:$EE$35)</c:f>
              <c:numCache>
                <c:formatCode>General</c:formatCode>
                <c:ptCount val="10"/>
                <c:pt idx="0">
                  <c:v>0</c:v>
                </c:pt>
                <c:pt idx="1">
                  <c:v>1</c:v>
                </c:pt>
                <c:pt idx="2">
                  <c:v>0</c:v>
                </c:pt>
                <c:pt idx="3">
                  <c:v>0</c:v>
                </c:pt>
                <c:pt idx="4">
                  <c:v>1</c:v>
                </c:pt>
                <c:pt idx="5">
                  <c:v>2</c:v>
                </c:pt>
                <c:pt idx="6">
                  <c:v>0</c:v>
                </c:pt>
                <c:pt idx="7">
                  <c:v>2</c:v>
                </c:pt>
                <c:pt idx="8">
                  <c:v>3</c:v>
                </c:pt>
                <c:pt idx="9">
                  <c:v>7</c:v>
                </c:pt>
              </c:numCache>
            </c:numRef>
          </c:val>
          <c:smooth val="1"/>
        </c:ser>
        <c:ser>
          <c:idx val="24"/>
          <c:order val="5"/>
          <c:tx>
            <c:strRef>
              <c:f>'Targets and Countries'!$EF$1</c:f>
              <c:strCache>
                <c:ptCount val="1"/>
                <c:pt idx="0">
                  <c:v>Informal Groups</c:v>
                </c:pt>
              </c:strCache>
            </c:strRef>
          </c:tx>
          <c:spPr>
            <a:ln w="63500">
              <a:solidFill>
                <a:srgbClr val="F79646"/>
              </a:solidFill>
            </a:ln>
          </c:spPr>
          <c:marker>
            <c:symbol val="none"/>
          </c:marker>
          <c:cat>
            <c:numRef>
              <c:f>('Targets and Countries'!$A$14,'Targets and Countries'!$A$26:$A$35)</c:f>
              <c:numCache>
                <c:formatCode>General</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('Targets and Countries'!$EF$14,'Targets and Countries'!$EF$26:$EF$35)</c:f>
              <c:numCache>
                <c:formatCode>General</c:formatCode>
                <c:ptCount val="10"/>
                <c:pt idx="0">
                  <c:v>0</c:v>
                </c:pt>
                <c:pt idx="1">
                  <c:v>0</c:v>
                </c:pt>
                <c:pt idx="2">
                  <c:v>0</c:v>
                </c:pt>
                <c:pt idx="3">
                  <c:v>0</c:v>
                </c:pt>
                <c:pt idx="4">
                  <c:v>0</c:v>
                </c:pt>
                <c:pt idx="5">
                  <c:v>0</c:v>
                </c:pt>
                <c:pt idx="6">
                  <c:v>0</c:v>
                </c:pt>
                <c:pt idx="7">
                  <c:v>0</c:v>
                </c:pt>
                <c:pt idx="8">
                  <c:v>0</c:v>
                </c:pt>
                <c:pt idx="9">
                  <c:v>1</c:v>
                </c:pt>
              </c:numCache>
            </c:numRef>
          </c:val>
          <c:smooth val="1"/>
        </c:ser>
        <c:dLbls>
          <c:showLegendKey val="0"/>
          <c:showVal val="0"/>
          <c:showCatName val="0"/>
          <c:showSerName val="0"/>
          <c:showPercent val="0"/>
          <c:showBubbleSize val="0"/>
        </c:dLbls>
        <c:marker val="1"/>
        <c:smooth val="0"/>
        <c:axId val="161367552"/>
        <c:axId val="161369088"/>
      </c:lineChart>
      <c:catAx>
        <c:axId val="161367552"/>
        <c:scaling>
          <c:orientation val="minMax"/>
        </c:scaling>
        <c:delete val="0"/>
        <c:axPos val="b"/>
        <c:numFmt formatCode="General" sourceLinked="1"/>
        <c:majorTickMark val="none"/>
        <c:minorTickMark val="none"/>
        <c:tickLblPos val="nextTo"/>
        <c:txPr>
          <a:bodyPr rot="-5400000" vert="horz"/>
          <a:lstStyle/>
          <a:p>
            <a:pPr>
              <a:defRPr/>
            </a:pPr>
            <a:endParaRPr lang="en-US"/>
          </a:p>
        </c:txPr>
        <c:crossAx val="161369088"/>
        <c:crosses val="autoZero"/>
        <c:auto val="1"/>
        <c:lblAlgn val="ctr"/>
        <c:lblOffset val="100"/>
        <c:noMultiLvlLbl val="0"/>
      </c:catAx>
      <c:valAx>
        <c:axId val="161369088"/>
        <c:scaling>
          <c:orientation val="minMax"/>
          <c:min val="0"/>
        </c:scaling>
        <c:delete val="0"/>
        <c:axPos val="l"/>
        <c:majorGridlines>
          <c:spPr>
            <a:ln>
              <a:noFill/>
            </a:ln>
          </c:spPr>
        </c:majorGridlines>
        <c:numFmt formatCode="General" sourceLinked="1"/>
        <c:majorTickMark val="none"/>
        <c:minorTickMark val="none"/>
        <c:tickLblPos val="nextTo"/>
        <c:crossAx val="161367552"/>
        <c:crosses val="autoZero"/>
        <c:crossBetween val="between"/>
      </c:valAx>
    </c:plotArea>
    <c:legend>
      <c:legendPos val="l"/>
      <c:layout>
        <c:manualLayout>
          <c:xMode val="edge"/>
          <c:yMode val="edge"/>
          <c:x val="8.5429592385289355E-2"/>
          <c:y val="0.23693589732341691"/>
          <c:w val="0.56014727530121167"/>
          <c:h val="0.28021220211228032"/>
        </c:manualLayout>
      </c:layout>
      <c:overlay val="1"/>
      <c:spPr>
        <a:ln>
          <a:solidFill>
            <a:sysClr val="windowText" lastClr="000000"/>
          </a:solidFill>
        </a:ln>
        <a:effectLst>
          <a:outerShdw sx="1000" sy="1000" algn="ctr" rotWithShape="0">
            <a:srgbClr val="000000"/>
          </a:outerShdw>
        </a:effectLst>
      </c:spPr>
      <c:txPr>
        <a:bodyPr/>
        <a:lstStyle/>
        <a:p>
          <a:pPr>
            <a:defRPr lang="en-US" sz="1000" b="0" i="0" u="none" strike="noStrike" kern="1200" baseline="0">
              <a:solidFill>
                <a:sysClr val="window" lastClr="FFFFFF"/>
              </a:solidFill>
              <a:latin typeface="+mn-lt"/>
              <a:ea typeface="+mn-ea"/>
              <a:cs typeface="+mn-cs"/>
            </a:defRPr>
          </a:pPr>
          <a:endParaRPr lang="en-US"/>
        </a:p>
      </c:txPr>
    </c:legend>
    <c:plotVisOnly val="1"/>
    <c:dispBlanksAs val="gap"/>
    <c:showDLblsOverMax val="0"/>
  </c:chart>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42"/>
    </mc:Choice>
    <mc:Fallback>
      <c:style val="42"/>
    </mc:Fallback>
  </mc:AlternateContent>
  <c:clrMapOvr bg1="lt1" tx1="dk1" bg2="lt2" tx2="dk2" accent1="accent1" accent2="accent2" accent3="accent3" accent4="accent4" accent5="accent5" accent6="accent6" hlink="hlink" folHlink="folHlink"/>
  <c:chart>
    <c:title>
      <c:tx>
        <c:rich>
          <a:bodyPr/>
          <a:lstStyle/>
          <a:p>
            <a:pPr>
              <a:defRPr/>
            </a:pPr>
            <a:r>
              <a:rPr lang="en-US"/>
              <a:t>Nigera Total Suicide Attacks</a:t>
            </a:r>
            <a:r>
              <a:rPr lang="en-US" baseline="0"/>
              <a:t> (START)</a:t>
            </a:r>
            <a:endParaRPr lang="en-US"/>
          </a:p>
        </c:rich>
      </c:tx>
      <c:overlay val="0"/>
    </c:title>
    <c:autoTitleDeleted val="0"/>
    <c:plotArea>
      <c:layout/>
      <c:lineChart>
        <c:grouping val="standard"/>
        <c:varyColors val="0"/>
        <c:ser>
          <c:idx val="12"/>
          <c:order val="0"/>
          <c:tx>
            <c:strRef>
              <c:f>'Targets and Countries'!$DC$1</c:f>
              <c:strCache>
                <c:ptCount val="1"/>
                <c:pt idx="0">
                  <c:v>Nigeria</c:v>
                </c:pt>
              </c:strCache>
            </c:strRef>
          </c:tx>
          <c:spPr>
            <a:ln w="63500">
              <a:solidFill>
                <a:srgbClr val="7030A0"/>
              </a:solidFill>
            </a:ln>
          </c:spPr>
          <c:marker>
            <c:symbol val="none"/>
          </c:marker>
          <c:cat>
            <c:numRef>
              <c:f>('Targets and Countries'!$A$14,'Targets and Countries'!$A$31:$A$35)</c:f>
              <c:numCache>
                <c:formatCode>General</c:formatCode>
                <c:ptCount val="5"/>
                <c:pt idx="0">
                  <c:v>2010</c:v>
                </c:pt>
                <c:pt idx="1">
                  <c:v>2011</c:v>
                </c:pt>
                <c:pt idx="2">
                  <c:v>2012</c:v>
                </c:pt>
                <c:pt idx="3">
                  <c:v>2013</c:v>
                </c:pt>
                <c:pt idx="4">
                  <c:v>2014</c:v>
                </c:pt>
              </c:numCache>
            </c:numRef>
          </c:cat>
          <c:val>
            <c:numRef>
              <c:f>('Targets and Countries'!$DC$14,'Targets and Countries'!$DC$31:$DC$35)</c:f>
              <c:numCache>
                <c:formatCode>General</c:formatCode>
                <c:ptCount val="5"/>
                <c:pt idx="0">
                  <c:v>0</c:v>
                </c:pt>
                <c:pt idx="1">
                  <c:v>4</c:v>
                </c:pt>
                <c:pt idx="2">
                  <c:v>36</c:v>
                </c:pt>
                <c:pt idx="3">
                  <c:v>4</c:v>
                </c:pt>
                <c:pt idx="4">
                  <c:v>40</c:v>
                </c:pt>
              </c:numCache>
            </c:numRef>
          </c:val>
          <c:smooth val="1"/>
        </c:ser>
        <c:ser>
          <c:idx val="20"/>
          <c:order val="1"/>
          <c:tx>
            <c:strRef>
              <c:f>'Targets and Countries'!$DD$1</c:f>
              <c:strCache>
                <c:ptCount val="1"/>
                <c:pt idx="0">
                  <c:v>Military</c:v>
                </c:pt>
              </c:strCache>
            </c:strRef>
          </c:tx>
          <c:spPr>
            <a:ln w="63500">
              <a:solidFill>
                <a:srgbClr val="FF0000"/>
              </a:solidFill>
            </a:ln>
          </c:spPr>
          <c:marker>
            <c:symbol val="none"/>
          </c:marker>
          <c:cat>
            <c:numRef>
              <c:f>('Targets and Countries'!$A$14,'Targets and Countries'!$A$31:$A$35)</c:f>
              <c:numCache>
                <c:formatCode>General</c:formatCode>
                <c:ptCount val="5"/>
                <c:pt idx="0">
                  <c:v>2010</c:v>
                </c:pt>
                <c:pt idx="1">
                  <c:v>2011</c:v>
                </c:pt>
                <c:pt idx="2">
                  <c:v>2012</c:v>
                </c:pt>
                <c:pt idx="3">
                  <c:v>2013</c:v>
                </c:pt>
                <c:pt idx="4">
                  <c:v>2014</c:v>
                </c:pt>
              </c:numCache>
            </c:numRef>
          </c:cat>
          <c:val>
            <c:numRef>
              <c:f>('Targets and Countries'!$DD$14,'Targets and Countries'!$DD$31:$DD$35)</c:f>
              <c:numCache>
                <c:formatCode>General</c:formatCode>
                <c:ptCount val="5"/>
                <c:pt idx="0">
                  <c:v>0</c:v>
                </c:pt>
                <c:pt idx="1">
                  <c:v>1</c:v>
                </c:pt>
                <c:pt idx="2">
                  <c:v>6</c:v>
                </c:pt>
                <c:pt idx="3">
                  <c:v>2</c:v>
                </c:pt>
                <c:pt idx="4">
                  <c:v>5</c:v>
                </c:pt>
              </c:numCache>
            </c:numRef>
          </c:val>
          <c:smooth val="1"/>
        </c:ser>
        <c:ser>
          <c:idx val="21"/>
          <c:order val="2"/>
          <c:tx>
            <c:strRef>
              <c:f>'Targets and Countries'!$DE$1</c:f>
              <c:strCache>
                <c:ptCount val="1"/>
                <c:pt idx="0">
                  <c:v>Government</c:v>
                </c:pt>
              </c:strCache>
            </c:strRef>
          </c:tx>
          <c:spPr>
            <a:ln w="63500">
              <a:solidFill>
                <a:srgbClr val="00B050"/>
              </a:solidFill>
            </a:ln>
          </c:spPr>
          <c:marker>
            <c:symbol val="none"/>
          </c:marker>
          <c:cat>
            <c:numRef>
              <c:f>('Targets and Countries'!$A$14,'Targets and Countries'!$A$31:$A$35)</c:f>
              <c:numCache>
                <c:formatCode>General</c:formatCode>
                <c:ptCount val="5"/>
                <c:pt idx="0">
                  <c:v>2010</c:v>
                </c:pt>
                <c:pt idx="1">
                  <c:v>2011</c:v>
                </c:pt>
                <c:pt idx="2">
                  <c:v>2012</c:v>
                </c:pt>
                <c:pt idx="3">
                  <c:v>2013</c:v>
                </c:pt>
                <c:pt idx="4">
                  <c:v>2014</c:v>
                </c:pt>
              </c:numCache>
            </c:numRef>
          </c:cat>
          <c:val>
            <c:numRef>
              <c:f>('Targets and Countries'!$DE$14,'Targets and Countries'!$DE$31:$DE$35)</c:f>
              <c:numCache>
                <c:formatCode>General</c:formatCode>
                <c:ptCount val="5"/>
                <c:pt idx="0">
                  <c:v>0</c:v>
                </c:pt>
                <c:pt idx="1">
                  <c:v>1</c:v>
                </c:pt>
                <c:pt idx="2">
                  <c:v>3</c:v>
                </c:pt>
                <c:pt idx="3">
                  <c:v>0</c:v>
                </c:pt>
                <c:pt idx="4">
                  <c:v>1</c:v>
                </c:pt>
              </c:numCache>
            </c:numRef>
          </c:val>
          <c:smooth val="1"/>
        </c:ser>
        <c:ser>
          <c:idx val="22"/>
          <c:order val="3"/>
          <c:tx>
            <c:strRef>
              <c:f>'Targets and Countries'!$DF$1</c:f>
              <c:strCache>
                <c:ptCount val="1"/>
                <c:pt idx="0">
                  <c:v>Police</c:v>
                </c:pt>
              </c:strCache>
            </c:strRef>
          </c:tx>
          <c:spPr>
            <a:ln w="63500">
              <a:solidFill>
                <a:srgbClr val="FFFF00"/>
              </a:solidFill>
            </a:ln>
          </c:spPr>
          <c:marker>
            <c:symbol val="none"/>
          </c:marker>
          <c:cat>
            <c:numRef>
              <c:f>('Targets and Countries'!$A$14,'Targets and Countries'!$A$31:$A$35)</c:f>
              <c:numCache>
                <c:formatCode>General</c:formatCode>
                <c:ptCount val="5"/>
                <c:pt idx="0">
                  <c:v>2010</c:v>
                </c:pt>
                <c:pt idx="1">
                  <c:v>2011</c:v>
                </c:pt>
                <c:pt idx="2">
                  <c:v>2012</c:v>
                </c:pt>
                <c:pt idx="3">
                  <c:v>2013</c:v>
                </c:pt>
                <c:pt idx="4">
                  <c:v>2014</c:v>
                </c:pt>
              </c:numCache>
            </c:numRef>
          </c:cat>
          <c:val>
            <c:numRef>
              <c:f>('Targets and Countries'!$DF$14,'Targets and Countries'!$DF$31:$DF$35)</c:f>
              <c:numCache>
                <c:formatCode>General</c:formatCode>
                <c:ptCount val="5"/>
                <c:pt idx="0">
                  <c:v>0</c:v>
                </c:pt>
                <c:pt idx="1">
                  <c:v>2</c:v>
                </c:pt>
                <c:pt idx="2">
                  <c:v>4</c:v>
                </c:pt>
                <c:pt idx="3">
                  <c:v>0</c:v>
                </c:pt>
                <c:pt idx="4">
                  <c:v>1</c:v>
                </c:pt>
              </c:numCache>
            </c:numRef>
          </c:val>
          <c:smooth val="1"/>
        </c:ser>
        <c:ser>
          <c:idx val="23"/>
          <c:order val="4"/>
          <c:tx>
            <c:strRef>
              <c:f>'Targets and Countries'!$DG$1</c:f>
              <c:strCache>
                <c:ptCount val="1"/>
                <c:pt idx="0">
                  <c:v>Civilian</c:v>
                </c:pt>
              </c:strCache>
            </c:strRef>
          </c:tx>
          <c:spPr>
            <a:ln w="63500">
              <a:solidFill>
                <a:srgbClr val="00B0F0"/>
              </a:solidFill>
            </a:ln>
          </c:spPr>
          <c:marker>
            <c:symbol val="none"/>
          </c:marker>
          <c:cat>
            <c:numRef>
              <c:f>('Targets and Countries'!$A$14,'Targets and Countries'!$A$31:$A$35)</c:f>
              <c:numCache>
                <c:formatCode>General</c:formatCode>
                <c:ptCount val="5"/>
                <c:pt idx="0">
                  <c:v>2010</c:v>
                </c:pt>
                <c:pt idx="1">
                  <c:v>2011</c:v>
                </c:pt>
                <c:pt idx="2">
                  <c:v>2012</c:v>
                </c:pt>
                <c:pt idx="3">
                  <c:v>2013</c:v>
                </c:pt>
                <c:pt idx="4">
                  <c:v>2014</c:v>
                </c:pt>
              </c:numCache>
            </c:numRef>
          </c:cat>
          <c:val>
            <c:numRef>
              <c:f>('Targets and Countries'!$DG$14,'Targets and Countries'!$DG$31:$DG$35)</c:f>
              <c:numCache>
                <c:formatCode>General</c:formatCode>
                <c:ptCount val="5"/>
                <c:pt idx="0">
                  <c:v>0</c:v>
                </c:pt>
                <c:pt idx="1">
                  <c:v>0</c:v>
                </c:pt>
                <c:pt idx="2">
                  <c:v>21</c:v>
                </c:pt>
                <c:pt idx="3">
                  <c:v>2</c:v>
                </c:pt>
                <c:pt idx="4">
                  <c:v>30</c:v>
                </c:pt>
              </c:numCache>
            </c:numRef>
          </c:val>
          <c:smooth val="1"/>
        </c:ser>
        <c:ser>
          <c:idx val="24"/>
          <c:order val="5"/>
          <c:tx>
            <c:strRef>
              <c:f>'Targets and Countries'!$DH$1</c:f>
              <c:strCache>
                <c:ptCount val="1"/>
                <c:pt idx="0">
                  <c:v>Informal Groups</c:v>
                </c:pt>
              </c:strCache>
            </c:strRef>
          </c:tx>
          <c:spPr>
            <a:ln w="63500">
              <a:solidFill>
                <a:srgbClr val="F79646"/>
              </a:solidFill>
            </a:ln>
          </c:spPr>
          <c:marker>
            <c:symbol val="none"/>
          </c:marker>
          <c:cat>
            <c:numRef>
              <c:f>('Targets and Countries'!$A$14,'Targets and Countries'!$A$31:$A$35)</c:f>
              <c:numCache>
                <c:formatCode>General</c:formatCode>
                <c:ptCount val="5"/>
                <c:pt idx="0">
                  <c:v>2010</c:v>
                </c:pt>
                <c:pt idx="1">
                  <c:v>2011</c:v>
                </c:pt>
                <c:pt idx="2">
                  <c:v>2012</c:v>
                </c:pt>
                <c:pt idx="3">
                  <c:v>2013</c:v>
                </c:pt>
                <c:pt idx="4">
                  <c:v>2014</c:v>
                </c:pt>
              </c:numCache>
            </c:numRef>
          </c:cat>
          <c:val>
            <c:numRef>
              <c:f>('Targets and Countries'!$DH$14,'Targets and Countries'!$DH$31:$DH$35)</c:f>
              <c:numCache>
                <c:formatCode>General</c:formatCode>
                <c:ptCount val="5"/>
                <c:pt idx="0">
                  <c:v>0</c:v>
                </c:pt>
                <c:pt idx="1">
                  <c:v>0</c:v>
                </c:pt>
                <c:pt idx="2">
                  <c:v>0</c:v>
                </c:pt>
                <c:pt idx="3">
                  <c:v>0</c:v>
                </c:pt>
                <c:pt idx="4">
                  <c:v>0</c:v>
                </c:pt>
              </c:numCache>
            </c:numRef>
          </c:val>
          <c:smooth val="1"/>
        </c:ser>
        <c:dLbls>
          <c:showLegendKey val="0"/>
          <c:showVal val="0"/>
          <c:showCatName val="0"/>
          <c:showSerName val="0"/>
          <c:showPercent val="0"/>
          <c:showBubbleSize val="0"/>
        </c:dLbls>
        <c:marker val="1"/>
        <c:smooth val="0"/>
        <c:axId val="161410048"/>
        <c:axId val="161411840"/>
      </c:lineChart>
      <c:catAx>
        <c:axId val="161410048"/>
        <c:scaling>
          <c:orientation val="minMax"/>
        </c:scaling>
        <c:delete val="0"/>
        <c:axPos val="b"/>
        <c:numFmt formatCode="General" sourceLinked="1"/>
        <c:majorTickMark val="none"/>
        <c:minorTickMark val="none"/>
        <c:tickLblPos val="nextTo"/>
        <c:txPr>
          <a:bodyPr rot="-5400000" vert="horz"/>
          <a:lstStyle/>
          <a:p>
            <a:pPr>
              <a:defRPr/>
            </a:pPr>
            <a:endParaRPr lang="en-US"/>
          </a:p>
        </c:txPr>
        <c:crossAx val="161411840"/>
        <c:crosses val="autoZero"/>
        <c:auto val="1"/>
        <c:lblAlgn val="ctr"/>
        <c:lblOffset val="100"/>
        <c:noMultiLvlLbl val="0"/>
      </c:catAx>
      <c:valAx>
        <c:axId val="161411840"/>
        <c:scaling>
          <c:orientation val="minMax"/>
          <c:min val="0"/>
        </c:scaling>
        <c:delete val="0"/>
        <c:axPos val="l"/>
        <c:majorGridlines>
          <c:spPr>
            <a:ln>
              <a:noFill/>
            </a:ln>
          </c:spPr>
        </c:majorGridlines>
        <c:numFmt formatCode="General" sourceLinked="1"/>
        <c:majorTickMark val="none"/>
        <c:minorTickMark val="none"/>
        <c:tickLblPos val="nextTo"/>
        <c:crossAx val="161410048"/>
        <c:crosses val="autoZero"/>
        <c:crossBetween val="between"/>
      </c:valAx>
    </c:plotArea>
    <c:legend>
      <c:legendPos val="l"/>
      <c:layout>
        <c:manualLayout>
          <c:xMode val="edge"/>
          <c:yMode val="edge"/>
          <c:x val="6.0026115703923036E-2"/>
          <c:y val="0.21966571886847489"/>
          <c:w val="0.23783720401052841"/>
          <c:h val="0.59278288130650336"/>
        </c:manualLayout>
      </c:layout>
      <c:overlay val="1"/>
      <c:spPr>
        <a:ln>
          <a:solidFill>
            <a:sysClr val="windowText" lastClr="000000"/>
          </a:solidFill>
        </a:ln>
        <a:effectLst>
          <a:outerShdw sx="1000" sy="1000" algn="ctr" rotWithShape="0">
            <a:srgbClr val="000000"/>
          </a:outerShdw>
        </a:effectLst>
      </c:spPr>
      <c:txPr>
        <a:bodyPr/>
        <a:lstStyle/>
        <a:p>
          <a:pPr>
            <a:defRPr lang="en-US" sz="1000" b="0" i="0" u="none" strike="noStrike" kern="1200" baseline="0">
              <a:solidFill>
                <a:sysClr val="window" lastClr="FFFFFF"/>
              </a:solidFill>
              <a:latin typeface="+mn-lt"/>
              <a:ea typeface="+mn-ea"/>
              <a:cs typeface="+mn-cs"/>
            </a:defRPr>
          </a:pPr>
          <a:endParaRPr lang="en-US"/>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42"/>
    </mc:Choice>
    <mc:Fallback>
      <c:style val="42"/>
    </mc:Fallback>
  </mc:AlternateContent>
  <c:clrMapOvr bg1="lt1" tx1="dk1" bg2="lt2" tx2="dk2" accent1="accent1" accent2="accent2" accent3="accent3" accent4="accent4" accent5="accent5" accent6="accent6" hlink="hlink" folHlink="folHlink"/>
  <c:chart>
    <c:title>
      <c:tx>
        <c:rich>
          <a:bodyPr/>
          <a:lstStyle/>
          <a:p>
            <a:pPr>
              <a:defRPr/>
            </a:pPr>
            <a:r>
              <a:rPr lang="en-US"/>
              <a:t>Suicide Attacks by Country Over Time (START)</a:t>
            </a:r>
          </a:p>
        </c:rich>
      </c:tx>
      <c:overlay val="0"/>
    </c:title>
    <c:autoTitleDeleted val="0"/>
    <c:plotArea>
      <c:layout/>
      <c:lineChart>
        <c:grouping val="standard"/>
        <c:varyColors val="0"/>
        <c:ser>
          <c:idx val="12"/>
          <c:order val="0"/>
          <c:tx>
            <c:strRef>
              <c:f>'Targets and Countries'!$BM$1</c:f>
              <c:strCache>
                <c:ptCount val="1"/>
                <c:pt idx="0">
                  <c:v>Iraq</c:v>
                </c:pt>
              </c:strCache>
            </c:strRef>
          </c:tx>
          <c:spPr>
            <a:ln w="63500">
              <a:solidFill>
                <a:srgbClr val="7030A0"/>
              </a:solidFill>
            </a:ln>
          </c:spPr>
          <c:marker>
            <c:symbol val="none"/>
          </c:marker>
          <c:cat>
            <c:numRef>
              <c:f>'Targets and Countries'!$A$2:$A$35</c:f>
              <c:numCache>
                <c:formatCode>General</c:formatCode>
                <c:ptCount val="33"/>
                <c:pt idx="0">
                  <c:v>1981</c:v>
                </c:pt>
                <c:pt idx="1">
                  <c:v>1982</c:v>
                </c:pt>
                <c:pt idx="2">
                  <c:v>1983</c:v>
                </c:pt>
                <c:pt idx="3">
                  <c:v>1984</c:v>
                </c:pt>
                <c:pt idx="4">
                  <c:v>1985</c:v>
                </c:pt>
                <c:pt idx="5">
                  <c:v>1986</c:v>
                </c:pt>
                <c:pt idx="6">
                  <c:v>1987</c:v>
                </c:pt>
                <c:pt idx="7">
                  <c:v>1988</c:v>
                </c:pt>
                <c:pt idx="8">
                  <c:v>1989</c:v>
                </c:pt>
                <c:pt idx="9">
                  <c:v>1990</c:v>
                </c:pt>
                <c:pt idx="10">
                  <c:v>1991</c:v>
                </c:pt>
                <c:pt idx="11">
                  <c:v>1992</c:v>
                </c:pt>
                <c:pt idx="12">
                  <c:v>1994</c:v>
                </c:pt>
                <c:pt idx="13">
                  <c:v>1995</c:v>
                </c:pt>
                <c:pt idx="14">
                  <c:v>1996</c:v>
                </c:pt>
                <c:pt idx="15">
                  <c:v>1997</c:v>
                </c:pt>
                <c:pt idx="16">
                  <c:v>1998</c:v>
                </c:pt>
                <c:pt idx="17">
                  <c:v>1999</c:v>
                </c:pt>
                <c:pt idx="18">
                  <c:v>2000</c:v>
                </c:pt>
                <c:pt idx="19">
                  <c:v>2001</c:v>
                </c:pt>
                <c:pt idx="20">
                  <c:v>2002</c:v>
                </c:pt>
                <c:pt idx="21">
                  <c:v>2003</c:v>
                </c:pt>
                <c:pt idx="22">
                  <c:v>2004</c:v>
                </c:pt>
                <c:pt idx="23">
                  <c:v>2005</c:v>
                </c:pt>
                <c:pt idx="24">
                  <c:v>2006</c:v>
                </c:pt>
                <c:pt idx="25">
                  <c:v>2007</c:v>
                </c:pt>
                <c:pt idx="26">
                  <c:v>2008</c:v>
                </c:pt>
                <c:pt idx="27">
                  <c:v>2009</c:v>
                </c:pt>
                <c:pt idx="28">
                  <c:v>2010</c:v>
                </c:pt>
                <c:pt idx="29">
                  <c:v>2011</c:v>
                </c:pt>
                <c:pt idx="30">
                  <c:v>2012</c:v>
                </c:pt>
                <c:pt idx="31">
                  <c:v>2013</c:v>
                </c:pt>
                <c:pt idx="32">
                  <c:v>2014</c:v>
                </c:pt>
              </c:numCache>
            </c:numRef>
          </c:cat>
          <c:val>
            <c:numRef>
              <c:f>'Targets and Countries'!$BM$2:$BM$35</c:f>
              <c:numCache>
                <c:formatCode>General</c:formatCode>
                <c:ptCount val="33"/>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1</c:v>
                </c:pt>
                <c:pt idx="16">
                  <c:v>0</c:v>
                </c:pt>
                <c:pt idx="17">
                  <c:v>1</c:v>
                </c:pt>
                <c:pt idx="18">
                  <c:v>0</c:v>
                </c:pt>
                <c:pt idx="19">
                  <c:v>0</c:v>
                </c:pt>
                <c:pt idx="20">
                  <c:v>0</c:v>
                </c:pt>
                <c:pt idx="21">
                  <c:v>16</c:v>
                </c:pt>
                <c:pt idx="22">
                  <c:v>70</c:v>
                </c:pt>
                <c:pt idx="23">
                  <c:v>157</c:v>
                </c:pt>
                <c:pt idx="24">
                  <c:v>94</c:v>
                </c:pt>
                <c:pt idx="25">
                  <c:v>202</c:v>
                </c:pt>
                <c:pt idx="26">
                  <c:v>105</c:v>
                </c:pt>
                <c:pt idx="27">
                  <c:v>53</c:v>
                </c:pt>
                <c:pt idx="28">
                  <c:v>50</c:v>
                </c:pt>
                <c:pt idx="29">
                  <c:v>45</c:v>
                </c:pt>
                <c:pt idx="30">
                  <c:v>69</c:v>
                </c:pt>
                <c:pt idx="31">
                  <c:v>274</c:v>
                </c:pt>
                <c:pt idx="32">
                  <c:v>305</c:v>
                </c:pt>
              </c:numCache>
            </c:numRef>
          </c:val>
          <c:smooth val="1"/>
        </c:ser>
        <c:ser>
          <c:idx val="20"/>
          <c:order val="1"/>
          <c:tx>
            <c:strRef>
              <c:f>'Targets and Countries'!$Q$1</c:f>
              <c:strCache>
                <c:ptCount val="1"/>
                <c:pt idx="0">
                  <c:v>Afghanistan</c:v>
                </c:pt>
              </c:strCache>
            </c:strRef>
          </c:tx>
          <c:spPr>
            <a:ln w="63500">
              <a:solidFill>
                <a:srgbClr val="FF0000"/>
              </a:solidFill>
            </a:ln>
          </c:spPr>
          <c:marker>
            <c:symbol val="none"/>
          </c:marker>
          <c:cat>
            <c:numRef>
              <c:f>'Targets and Countries'!$A$2:$A$35</c:f>
              <c:numCache>
                <c:formatCode>General</c:formatCode>
                <c:ptCount val="33"/>
                <c:pt idx="0">
                  <c:v>1981</c:v>
                </c:pt>
                <c:pt idx="1">
                  <c:v>1982</c:v>
                </c:pt>
                <c:pt idx="2">
                  <c:v>1983</c:v>
                </c:pt>
                <c:pt idx="3">
                  <c:v>1984</c:v>
                </c:pt>
                <c:pt idx="4">
                  <c:v>1985</c:v>
                </c:pt>
                <c:pt idx="5">
                  <c:v>1986</c:v>
                </c:pt>
                <c:pt idx="6">
                  <c:v>1987</c:v>
                </c:pt>
                <c:pt idx="7">
                  <c:v>1988</c:v>
                </c:pt>
                <c:pt idx="8">
                  <c:v>1989</c:v>
                </c:pt>
                <c:pt idx="9">
                  <c:v>1990</c:v>
                </c:pt>
                <c:pt idx="10">
                  <c:v>1991</c:v>
                </c:pt>
                <c:pt idx="11">
                  <c:v>1992</c:v>
                </c:pt>
                <c:pt idx="12">
                  <c:v>1994</c:v>
                </c:pt>
                <c:pt idx="13">
                  <c:v>1995</c:v>
                </c:pt>
                <c:pt idx="14">
                  <c:v>1996</c:v>
                </c:pt>
                <c:pt idx="15">
                  <c:v>1997</c:v>
                </c:pt>
                <c:pt idx="16">
                  <c:v>1998</c:v>
                </c:pt>
                <c:pt idx="17">
                  <c:v>1999</c:v>
                </c:pt>
                <c:pt idx="18">
                  <c:v>2000</c:v>
                </c:pt>
                <c:pt idx="19">
                  <c:v>2001</c:v>
                </c:pt>
                <c:pt idx="20">
                  <c:v>2002</c:v>
                </c:pt>
                <c:pt idx="21">
                  <c:v>2003</c:v>
                </c:pt>
                <c:pt idx="22">
                  <c:v>2004</c:v>
                </c:pt>
                <c:pt idx="23">
                  <c:v>2005</c:v>
                </c:pt>
                <c:pt idx="24">
                  <c:v>2006</c:v>
                </c:pt>
                <c:pt idx="25">
                  <c:v>2007</c:v>
                </c:pt>
                <c:pt idx="26">
                  <c:v>2008</c:v>
                </c:pt>
                <c:pt idx="27">
                  <c:v>2009</c:v>
                </c:pt>
                <c:pt idx="28">
                  <c:v>2010</c:v>
                </c:pt>
                <c:pt idx="29">
                  <c:v>2011</c:v>
                </c:pt>
                <c:pt idx="30">
                  <c:v>2012</c:v>
                </c:pt>
                <c:pt idx="31">
                  <c:v>2013</c:v>
                </c:pt>
                <c:pt idx="32">
                  <c:v>2014</c:v>
                </c:pt>
              </c:numCache>
            </c:numRef>
          </c:cat>
          <c:val>
            <c:numRef>
              <c:f>'Targets and Countries'!$Q$2:$Q$35</c:f>
              <c:numCache>
                <c:formatCode>General</c:formatCode>
                <c:ptCount val="33"/>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1</c:v>
                </c:pt>
                <c:pt idx="20">
                  <c:v>2</c:v>
                </c:pt>
                <c:pt idx="21">
                  <c:v>1</c:v>
                </c:pt>
                <c:pt idx="22">
                  <c:v>3</c:v>
                </c:pt>
                <c:pt idx="23">
                  <c:v>13</c:v>
                </c:pt>
                <c:pt idx="24">
                  <c:v>49</c:v>
                </c:pt>
                <c:pt idx="25">
                  <c:v>73</c:v>
                </c:pt>
                <c:pt idx="26">
                  <c:v>56</c:v>
                </c:pt>
                <c:pt idx="27">
                  <c:v>44</c:v>
                </c:pt>
                <c:pt idx="28">
                  <c:v>50</c:v>
                </c:pt>
                <c:pt idx="29">
                  <c:v>78</c:v>
                </c:pt>
                <c:pt idx="30">
                  <c:v>136</c:v>
                </c:pt>
                <c:pt idx="31">
                  <c:v>131</c:v>
                </c:pt>
                <c:pt idx="32">
                  <c:v>187</c:v>
                </c:pt>
              </c:numCache>
            </c:numRef>
          </c:val>
          <c:smooth val="1"/>
        </c:ser>
        <c:ser>
          <c:idx val="21"/>
          <c:order val="2"/>
          <c:tx>
            <c:strRef>
              <c:f>'Targets and Countries'!$DK$1</c:f>
              <c:strCache>
                <c:ptCount val="1"/>
                <c:pt idx="0">
                  <c:v>Pakistan</c:v>
                </c:pt>
              </c:strCache>
            </c:strRef>
          </c:tx>
          <c:spPr>
            <a:ln w="63500">
              <a:solidFill>
                <a:srgbClr val="00B050"/>
              </a:solidFill>
            </a:ln>
          </c:spPr>
          <c:marker>
            <c:symbol val="none"/>
          </c:marker>
          <c:cat>
            <c:numRef>
              <c:f>'Targets and Countries'!$A$2:$A$35</c:f>
              <c:numCache>
                <c:formatCode>General</c:formatCode>
                <c:ptCount val="33"/>
                <c:pt idx="0">
                  <c:v>1981</c:v>
                </c:pt>
                <c:pt idx="1">
                  <c:v>1982</c:v>
                </c:pt>
                <c:pt idx="2">
                  <c:v>1983</c:v>
                </c:pt>
                <c:pt idx="3">
                  <c:v>1984</c:v>
                </c:pt>
                <c:pt idx="4">
                  <c:v>1985</c:v>
                </c:pt>
                <c:pt idx="5">
                  <c:v>1986</c:v>
                </c:pt>
                <c:pt idx="6">
                  <c:v>1987</c:v>
                </c:pt>
                <c:pt idx="7">
                  <c:v>1988</c:v>
                </c:pt>
                <c:pt idx="8">
                  <c:v>1989</c:v>
                </c:pt>
                <c:pt idx="9">
                  <c:v>1990</c:v>
                </c:pt>
                <c:pt idx="10">
                  <c:v>1991</c:v>
                </c:pt>
                <c:pt idx="11">
                  <c:v>1992</c:v>
                </c:pt>
                <c:pt idx="12">
                  <c:v>1994</c:v>
                </c:pt>
                <c:pt idx="13">
                  <c:v>1995</c:v>
                </c:pt>
                <c:pt idx="14">
                  <c:v>1996</c:v>
                </c:pt>
                <c:pt idx="15">
                  <c:v>1997</c:v>
                </c:pt>
                <c:pt idx="16">
                  <c:v>1998</c:v>
                </c:pt>
                <c:pt idx="17">
                  <c:v>1999</c:v>
                </c:pt>
                <c:pt idx="18">
                  <c:v>2000</c:v>
                </c:pt>
                <c:pt idx="19">
                  <c:v>2001</c:v>
                </c:pt>
                <c:pt idx="20">
                  <c:v>2002</c:v>
                </c:pt>
                <c:pt idx="21">
                  <c:v>2003</c:v>
                </c:pt>
                <c:pt idx="22">
                  <c:v>2004</c:v>
                </c:pt>
                <c:pt idx="23">
                  <c:v>2005</c:v>
                </c:pt>
                <c:pt idx="24">
                  <c:v>2006</c:v>
                </c:pt>
                <c:pt idx="25">
                  <c:v>2007</c:v>
                </c:pt>
                <c:pt idx="26">
                  <c:v>2008</c:v>
                </c:pt>
                <c:pt idx="27">
                  <c:v>2009</c:v>
                </c:pt>
                <c:pt idx="28">
                  <c:v>2010</c:v>
                </c:pt>
                <c:pt idx="29">
                  <c:v>2011</c:v>
                </c:pt>
                <c:pt idx="30">
                  <c:v>2012</c:v>
                </c:pt>
                <c:pt idx="31">
                  <c:v>2013</c:v>
                </c:pt>
                <c:pt idx="32">
                  <c:v>2014</c:v>
                </c:pt>
              </c:numCache>
            </c:numRef>
          </c:cat>
          <c:val>
            <c:numRef>
              <c:f>'Targets and Countries'!$DK$2:$DK$35</c:f>
              <c:numCache>
                <c:formatCode>General</c:formatCode>
                <c:ptCount val="33"/>
                <c:pt idx="0">
                  <c:v>0</c:v>
                </c:pt>
                <c:pt idx="1">
                  <c:v>0</c:v>
                </c:pt>
                <c:pt idx="2">
                  <c:v>0</c:v>
                </c:pt>
                <c:pt idx="3">
                  <c:v>0</c:v>
                </c:pt>
                <c:pt idx="4">
                  <c:v>0</c:v>
                </c:pt>
                <c:pt idx="5">
                  <c:v>0</c:v>
                </c:pt>
                <c:pt idx="6">
                  <c:v>0</c:v>
                </c:pt>
                <c:pt idx="7">
                  <c:v>0</c:v>
                </c:pt>
                <c:pt idx="8">
                  <c:v>0</c:v>
                </c:pt>
                <c:pt idx="9">
                  <c:v>0</c:v>
                </c:pt>
                <c:pt idx="10">
                  <c:v>0</c:v>
                </c:pt>
                <c:pt idx="11">
                  <c:v>0</c:v>
                </c:pt>
                <c:pt idx="12">
                  <c:v>0</c:v>
                </c:pt>
                <c:pt idx="13">
                  <c:v>2</c:v>
                </c:pt>
                <c:pt idx="14">
                  <c:v>0</c:v>
                </c:pt>
                <c:pt idx="15">
                  <c:v>0</c:v>
                </c:pt>
                <c:pt idx="16">
                  <c:v>2</c:v>
                </c:pt>
                <c:pt idx="17">
                  <c:v>0</c:v>
                </c:pt>
                <c:pt idx="18">
                  <c:v>0</c:v>
                </c:pt>
                <c:pt idx="19">
                  <c:v>0</c:v>
                </c:pt>
                <c:pt idx="20">
                  <c:v>2</c:v>
                </c:pt>
                <c:pt idx="21">
                  <c:v>3</c:v>
                </c:pt>
                <c:pt idx="22">
                  <c:v>5</c:v>
                </c:pt>
                <c:pt idx="23">
                  <c:v>5</c:v>
                </c:pt>
                <c:pt idx="24">
                  <c:v>6</c:v>
                </c:pt>
                <c:pt idx="25">
                  <c:v>56</c:v>
                </c:pt>
                <c:pt idx="26">
                  <c:v>37</c:v>
                </c:pt>
                <c:pt idx="27">
                  <c:v>45</c:v>
                </c:pt>
                <c:pt idx="28">
                  <c:v>33</c:v>
                </c:pt>
                <c:pt idx="29">
                  <c:v>40</c:v>
                </c:pt>
                <c:pt idx="30">
                  <c:v>52</c:v>
                </c:pt>
                <c:pt idx="31">
                  <c:v>80</c:v>
                </c:pt>
                <c:pt idx="32">
                  <c:v>43</c:v>
                </c:pt>
              </c:numCache>
            </c:numRef>
          </c:val>
          <c:smooth val="1"/>
        </c:ser>
        <c:ser>
          <c:idx val="22"/>
          <c:order val="3"/>
          <c:tx>
            <c:strRef>
              <c:f>'Targets and Countries'!$BU$1</c:f>
              <c:strCache>
                <c:ptCount val="1"/>
                <c:pt idx="0">
                  <c:v>Israel</c:v>
                </c:pt>
              </c:strCache>
            </c:strRef>
          </c:tx>
          <c:spPr>
            <a:ln w="63500">
              <a:solidFill>
                <a:srgbClr val="FFFF00"/>
              </a:solidFill>
            </a:ln>
          </c:spPr>
          <c:marker>
            <c:symbol val="none"/>
          </c:marker>
          <c:cat>
            <c:numRef>
              <c:f>'Targets and Countries'!$A$2:$A$35</c:f>
              <c:numCache>
                <c:formatCode>General</c:formatCode>
                <c:ptCount val="33"/>
                <c:pt idx="0">
                  <c:v>1981</c:v>
                </c:pt>
                <c:pt idx="1">
                  <c:v>1982</c:v>
                </c:pt>
                <c:pt idx="2">
                  <c:v>1983</c:v>
                </c:pt>
                <c:pt idx="3">
                  <c:v>1984</c:v>
                </c:pt>
                <c:pt idx="4">
                  <c:v>1985</c:v>
                </c:pt>
                <c:pt idx="5">
                  <c:v>1986</c:v>
                </c:pt>
                <c:pt idx="6">
                  <c:v>1987</c:v>
                </c:pt>
                <c:pt idx="7">
                  <c:v>1988</c:v>
                </c:pt>
                <c:pt idx="8">
                  <c:v>1989</c:v>
                </c:pt>
                <c:pt idx="9">
                  <c:v>1990</c:v>
                </c:pt>
                <c:pt idx="10">
                  <c:v>1991</c:v>
                </c:pt>
                <c:pt idx="11">
                  <c:v>1992</c:v>
                </c:pt>
                <c:pt idx="12">
                  <c:v>1994</c:v>
                </c:pt>
                <c:pt idx="13">
                  <c:v>1995</c:v>
                </c:pt>
                <c:pt idx="14">
                  <c:v>1996</c:v>
                </c:pt>
                <c:pt idx="15">
                  <c:v>1997</c:v>
                </c:pt>
                <c:pt idx="16">
                  <c:v>1998</c:v>
                </c:pt>
                <c:pt idx="17">
                  <c:v>1999</c:v>
                </c:pt>
                <c:pt idx="18">
                  <c:v>2000</c:v>
                </c:pt>
                <c:pt idx="19">
                  <c:v>2001</c:v>
                </c:pt>
                <c:pt idx="20">
                  <c:v>2002</c:v>
                </c:pt>
                <c:pt idx="21">
                  <c:v>2003</c:v>
                </c:pt>
                <c:pt idx="22">
                  <c:v>2004</c:v>
                </c:pt>
                <c:pt idx="23">
                  <c:v>2005</c:v>
                </c:pt>
                <c:pt idx="24">
                  <c:v>2006</c:v>
                </c:pt>
                <c:pt idx="25">
                  <c:v>2007</c:v>
                </c:pt>
                <c:pt idx="26">
                  <c:v>2008</c:v>
                </c:pt>
                <c:pt idx="27">
                  <c:v>2009</c:v>
                </c:pt>
                <c:pt idx="28">
                  <c:v>2010</c:v>
                </c:pt>
                <c:pt idx="29">
                  <c:v>2011</c:v>
                </c:pt>
                <c:pt idx="30">
                  <c:v>2012</c:v>
                </c:pt>
                <c:pt idx="31">
                  <c:v>2013</c:v>
                </c:pt>
                <c:pt idx="32">
                  <c:v>2014</c:v>
                </c:pt>
              </c:numCache>
            </c:numRef>
          </c:cat>
          <c:val>
            <c:numRef>
              <c:f>'Targets and Countries'!$BU$2:$BU$35</c:f>
              <c:numCache>
                <c:formatCode>General</c:formatCode>
                <c:ptCount val="33"/>
                <c:pt idx="0">
                  <c:v>0</c:v>
                </c:pt>
                <c:pt idx="1">
                  <c:v>0</c:v>
                </c:pt>
                <c:pt idx="2">
                  <c:v>0</c:v>
                </c:pt>
                <c:pt idx="3">
                  <c:v>0</c:v>
                </c:pt>
                <c:pt idx="4">
                  <c:v>0</c:v>
                </c:pt>
                <c:pt idx="5">
                  <c:v>0</c:v>
                </c:pt>
                <c:pt idx="6">
                  <c:v>0</c:v>
                </c:pt>
                <c:pt idx="7">
                  <c:v>0</c:v>
                </c:pt>
                <c:pt idx="8">
                  <c:v>1</c:v>
                </c:pt>
                <c:pt idx="9">
                  <c:v>0</c:v>
                </c:pt>
                <c:pt idx="10">
                  <c:v>0</c:v>
                </c:pt>
                <c:pt idx="11">
                  <c:v>0</c:v>
                </c:pt>
                <c:pt idx="12">
                  <c:v>4</c:v>
                </c:pt>
                <c:pt idx="13">
                  <c:v>1</c:v>
                </c:pt>
                <c:pt idx="14">
                  <c:v>4</c:v>
                </c:pt>
                <c:pt idx="15">
                  <c:v>2</c:v>
                </c:pt>
                <c:pt idx="16">
                  <c:v>1</c:v>
                </c:pt>
                <c:pt idx="17">
                  <c:v>2</c:v>
                </c:pt>
                <c:pt idx="18">
                  <c:v>0</c:v>
                </c:pt>
                <c:pt idx="19">
                  <c:v>25</c:v>
                </c:pt>
                <c:pt idx="20">
                  <c:v>44</c:v>
                </c:pt>
                <c:pt idx="21">
                  <c:v>18</c:v>
                </c:pt>
                <c:pt idx="22">
                  <c:v>6</c:v>
                </c:pt>
                <c:pt idx="23">
                  <c:v>5</c:v>
                </c:pt>
                <c:pt idx="24">
                  <c:v>4</c:v>
                </c:pt>
                <c:pt idx="25">
                  <c:v>1</c:v>
                </c:pt>
                <c:pt idx="26">
                  <c:v>2</c:v>
                </c:pt>
                <c:pt idx="27">
                  <c:v>0</c:v>
                </c:pt>
                <c:pt idx="28">
                  <c:v>1</c:v>
                </c:pt>
                <c:pt idx="29">
                  <c:v>1</c:v>
                </c:pt>
                <c:pt idx="30">
                  <c:v>1</c:v>
                </c:pt>
                <c:pt idx="31">
                  <c:v>0</c:v>
                </c:pt>
                <c:pt idx="32">
                  <c:v>0</c:v>
                </c:pt>
              </c:numCache>
            </c:numRef>
          </c:val>
          <c:smooth val="1"/>
        </c:ser>
        <c:ser>
          <c:idx val="23"/>
          <c:order val="4"/>
          <c:tx>
            <c:strRef>
              <c:f>'Targets and Countries'!$CE$1</c:f>
              <c:strCache>
                <c:ptCount val="1"/>
                <c:pt idx="0">
                  <c:v>Lebanon</c:v>
                </c:pt>
              </c:strCache>
            </c:strRef>
          </c:tx>
          <c:spPr>
            <a:ln w="63500">
              <a:solidFill>
                <a:srgbClr val="00B0F0"/>
              </a:solidFill>
            </a:ln>
          </c:spPr>
          <c:marker>
            <c:symbol val="none"/>
          </c:marker>
          <c:cat>
            <c:numRef>
              <c:f>'Targets and Countries'!$A$2:$A$35</c:f>
              <c:numCache>
                <c:formatCode>General</c:formatCode>
                <c:ptCount val="33"/>
                <c:pt idx="0">
                  <c:v>1981</c:v>
                </c:pt>
                <c:pt idx="1">
                  <c:v>1982</c:v>
                </c:pt>
                <c:pt idx="2">
                  <c:v>1983</c:v>
                </c:pt>
                <c:pt idx="3">
                  <c:v>1984</c:v>
                </c:pt>
                <c:pt idx="4">
                  <c:v>1985</c:v>
                </c:pt>
                <c:pt idx="5">
                  <c:v>1986</c:v>
                </c:pt>
                <c:pt idx="6">
                  <c:v>1987</c:v>
                </c:pt>
                <c:pt idx="7">
                  <c:v>1988</c:v>
                </c:pt>
                <c:pt idx="8">
                  <c:v>1989</c:v>
                </c:pt>
                <c:pt idx="9">
                  <c:v>1990</c:v>
                </c:pt>
                <c:pt idx="10">
                  <c:v>1991</c:v>
                </c:pt>
                <c:pt idx="11">
                  <c:v>1992</c:v>
                </c:pt>
                <c:pt idx="12">
                  <c:v>1994</c:v>
                </c:pt>
                <c:pt idx="13">
                  <c:v>1995</c:v>
                </c:pt>
                <c:pt idx="14">
                  <c:v>1996</c:v>
                </c:pt>
                <c:pt idx="15">
                  <c:v>1997</c:v>
                </c:pt>
                <c:pt idx="16">
                  <c:v>1998</c:v>
                </c:pt>
                <c:pt idx="17">
                  <c:v>1999</c:v>
                </c:pt>
                <c:pt idx="18">
                  <c:v>2000</c:v>
                </c:pt>
                <c:pt idx="19">
                  <c:v>2001</c:v>
                </c:pt>
                <c:pt idx="20">
                  <c:v>2002</c:v>
                </c:pt>
                <c:pt idx="21">
                  <c:v>2003</c:v>
                </c:pt>
                <c:pt idx="22">
                  <c:v>2004</c:v>
                </c:pt>
                <c:pt idx="23">
                  <c:v>2005</c:v>
                </c:pt>
                <c:pt idx="24">
                  <c:v>2006</c:v>
                </c:pt>
                <c:pt idx="25">
                  <c:v>2007</c:v>
                </c:pt>
                <c:pt idx="26">
                  <c:v>2008</c:v>
                </c:pt>
                <c:pt idx="27">
                  <c:v>2009</c:v>
                </c:pt>
                <c:pt idx="28">
                  <c:v>2010</c:v>
                </c:pt>
                <c:pt idx="29">
                  <c:v>2011</c:v>
                </c:pt>
                <c:pt idx="30">
                  <c:v>2012</c:v>
                </c:pt>
                <c:pt idx="31">
                  <c:v>2013</c:v>
                </c:pt>
                <c:pt idx="32">
                  <c:v>2014</c:v>
                </c:pt>
              </c:numCache>
            </c:numRef>
          </c:cat>
          <c:val>
            <c:numRef>
              <c:f>'Targets and Countries'!$CE$2:$CE$35</c:f>
              <c:numCache>
                <c:formatCode>General</c:formatCode>
                <c:ptCount val="33"/>
                <c:pt idx="0">
                  <c:v>1</c:v>
                </c:pt>
                <c:pt idx="1">
                  <c:v>1</c:v>
                </c:pt>
                <c:pt idx="2">
                  <c:v>4</c:v>
                </c:pt>
                <c:pt idx="3">
                  <c:v>2</c:v>
                </c:pt>
                <c:pt idx="4">
                  <c:v>15</c:v>
                </c:pt>
                <c:pt idx="5">
                  <c:v>3</c:v>
                </c:pt>
                <c:pt idx="6">
                  <c:v>2</c:v>
                </c:pt>
                <c:pt idx="7">
                  <c:v>1</c:v>
                </c:pt>
                <c:pt idx="8">
                  <c:v>0</c:v>
                </c:pt>
                <c:pt idx="9">
                  <c:v>1</c:v>
                </c:pt>
                <c:pt idx="10">
                  <c:v>0</c:v>
                </c:pt>
                <c:pt idx="11">
                  <c:v>0</c:v>
                </c:pt>
                <c:pt idx="12">
                  <c:v>0</c:v>
                </c:pt>
                <c:pt idx="13">
                  <c:v>0</c:v>
                </c:pt>
                <c:pt idx="14">
                  <c:v>2</c:v>
                </c:pt>
                <c:pt idx="15">
                  <c:v>1</c:v>
                </c:pt>
                <c:pt idx="16">
                  <c:v>1</c:v>
                </c:pt>
                <c:pt idx="17">
                  <c:v>1</c:v>
                </c:pt>
                <c:pt idx="18">
                  <c:v>0</c:v>
                </c:pt>
                <c:pt idx="19">
                  <c:v>0</c:v>
                </c:pt>
                <c:pt idx="20">
                  <c:v>0</c:v>
                </c:pt>
                <c:pt idx="21">
                  <c:v>0</c:v>
                </c:pt>
                <c:pt idx="22">
                  <c:v>0</c:v>
                </c:pt>
                <c:pt idx="23">
                  <c:v>0</c:v>
                </c:pt>
                <c:pt idx="24">
                  <c:v>0</c:v>
                </c:pt>
                <c:pt idx="25">
                  <c:v>0</c:v>
                </c:pt>
                <c:pt idx="26">
                  <c:v>1</c:v>
                </c:pt>
                <c:pt idx="27">
                  <c:v>0</c:v>
                </c:pt>
                <c:pt idx="28">
                  <c:v>0</c:v>
                </c:pt>
                <c:pt idx="29">
                  <c:v>0</c:v>
                </c:pt>
                <c:pt idx="30">
                  <c:v>0</c:v>
                </c:pt>
                <c:pt idx="31">
                  <c:v>6</c:v>
                </c:pt>
                <c:pt idx="32">
                  <c:v>13</c:v>
                </c:pt>
              </c:numCache>
            </c:numRef>
          </c:val>
          <c:smooth val="1"/>
        </c:ser>
        <c:ser>
          <c:idx val="24"/>
          <c:order val="5"/>
          <c:tx>
            <c:strRef>
              <c:f>'Targets and Countries'!$ER$1</c:f>
              <c:strCache>
                <c:ptCount val="1"/>
                <c:pt idx="0">
                  <c:v>Syria</c:v>
                </c:pt>
              </c:strCache>
            </c:strRef>
          </c:tx>
          <c:spPr>
            <a:ln w="63500">
              <a:solidFill>
                <a:srgbClr val="F79646"/>
              </a:solidFill>
            </a:ln>
          </c:spPr>
          <c:marker>
            <c:symbol val="none"/>
          </c:marker>
          <c:cat>
            <c:numRef>
              <c:f>'Targets and Countries'!$A$2:$A$35</c:f>
              <c:numCache>
                <c:formatCode>General</c:formatCode>
                <c:ptCount val="33"/>
                <c:pt idx="0">
                  <c:v>1981</c:v>
                </c:pt>
                <c:pt idx="1">
                  <c:v>1982</c:v>
                </c:pt>
                <c:pt idx="2">
                  <c:v>1983</c:v>
                </c:pt>
                <c:pt idx="3">
                  <c:v>1984</c:v>
                </c:pt>
                <c:pt idx="4">
                  <c:v>1985</c:v>
                </c:pt>
                <c:pt idx="5">
                  <c:v>1986</c:v>
                </c:pt>
                <c:pt idx="6">
                  <c:v>1987</c:v>
                </c:pt>
                <c:pt idx="7">
                  <c:v>1988</c:v>
                </c:pt>
                <c:pt idx="8">
                  <c:v>1989</c:v>
                </c:pt>
                <c:pt idx="9">
                  <c:v>1990</c:v>
                </c:pt>
                <c:pt idx="10">
                  <c:v>1991</c:v>
                </c:pt>
                <c:pt idx="11">
                  <c:v>1992</c:v>
                </c:pt>
                <c:pt idx="12">
                  <c:v>1994</c:v>
                </c:pt>
                <c:pt idx="13">
                  <c:v>1995</c:v>
                </c:pt>
                <c:pt idx="14">
                  <c:v>1996</c:v>
                </c:pt>
                <c:pt idx="15">
                  <c:v>1997</c:v>
                </c:pt>
                <c:pt idx="16">
                  <c:v>1998</c:v>
                </c:pt>
                <c:pt idx="17">
                  <c:v>1999</c:v>
                </c:pt>
                <c:pt idx="18">
                  <c:v>2000</c:v>
                </c:pt>
                <c:pt idx="19">
                  <c:v>2001</c:v>
                </c:pt>
                <c:pt idx="20">
                  <c:v>2002</c:v>
                </c:pt>
                <c:pt idx="21">
                  <c:v>2003</c:v>
                </c:pt>
                <c:pt idx="22">
                  <c:v>2004</c:v>
                </c:pt>
                <c:pt idx="23">
                  <c:v>2005</c:v>
                </c:pt>
                <c:pt idx="24">
                  <c:v>2006</c:v>
                </c:pt>
                <c:pt idx="25">
                  <c:v>2007</c:v>
                </c:pt>
                <c:pt idx="26">
                  <c:v>2008</c:v>
                </c:pt>
                <c:pt idx="27">
                  <c:v>2009</c:v>
                </c:pt>
                <c:pt idx="28">
                  <c:v>2010</c:v>
                </c:pt>
                <c:pt idx="29">
                  <c:v>2011</c:v>
                </c:pt>
                <c:pt idx="30">
                  <c:v>2012</c:v>
                </c:pt>
                <c:pt idx="31">
                  <c:v>2013</c:v>
                </c:pt>
                <c:pt idx="32">
                  <c:v>2014</c:v>
                </c:pt>
              </c:numCache>
            </c:numRef>
          </c:cat>
          <c:val>
            <c:numRef>
              <c:f>'Targets and Countries'!$ER$2:$ER$35</c:f>
              <c:numCache>
                <c:formatCode>General</c:formatCode>
                <c:ptCount val="33"/>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1</c:v>
                </c:pt>
                <c:pt idx="27">
                  <c:v>0</c:v>
                </c:pt>
                <c:pt idx="28">
                  <c:v>0</c:v>
                </c:pt>
                <c:pt idx="29">
                  <c:v>2</c:v>
                </c:pt>
                <c:pt idx="30">
                  <c:v>37</c:v>
                </c:pt>
                <c:pt idx="31">
                  <c:v>36</c:v>
                </c:pt>
                <c:pt idx="32">
                  <c:v>53</c:v>
                </c:pt>
              </c:numCache>
            </c:numRef>
          </c:val>
          <c:smooth val="1"/>
        </c:ser>
        <c:ser>
          <c:idx val="0"/>
          <c:order val="6"/>
          <c:tx>
            <c:strRef>
              <c:f>'Targets and Countries'!$EI$1</c:f>
              <c:strCache>
                <c:ptCount val="1"/>
                <c:pt idx="0">
                  <c:v>Sri Lanka</c:v>
                </c:pt>
              </c:strCache>
            </c:strRef>
          </c:tx>
          <c:spPr>
            <a:ln w="63500">
              <a:solidFill>
                <a:srgbClr val="C00000"/>
              </a:solidFill>
            </a:ln>
          </c:spPr>
          <c:marker>
            <c:symbol val="none"/>
          </c:marker>
          <c:cat>
            <c:numRef>
              <c:f>'Targets and Countries'!$A$2:$A$35</c:f>
              <c:numCache>
                <c:formatCode>General</c:formatCode>
                <c:ptCount val="33"/>
                <c:pt idx="0">
                  <c:v>1981</c:v>
                </c:pt>
                <c:pt idx="1">
                  <c:v>1982</c:v>
                </c:pt>
                <c:pt idx="2">
                  <c:v>1983</c:v>
                </c:pt>
                <c:pt idx="3">
                  <c:v>1984</c:v>
                </c:pt>
                <c:pt idx="4">
                  <c:v>1985</c:v>
                </c:pt>
                <c:pt idx="5">
                  <c:v>1986</c:v>
                </c:pt>
                <c:pt idx="6">
                  <c:v>1987</c:v>
                </c:pt>
                <c:pt idx="7">
                  <c:v>1988</c:v>
                </c:pt>
                <c:pt idx="8">
                  <c:v>1989</c:v>
                </c:pt>
                <c:pt idx="9">
                  <c:v>1990</c:v>
                </c:pt>
                <c:pt idx="10">
                  <c:v>1991</c:v>
                </c:pt>
                <c:pt idx="11">
                  <c:v>1992</c:v>
                </c:pt>
                <c:pt idx="12">
                  <c:v>1994</c:v>
                </c:pt>
                <c:pt idx="13">
                  <c:v>1995</c:v>
                </c:pt>
                <c:pt idx="14">
                  <c:v>1996</c:v>
                </c:pt>
                <c:pt idx="15">
                  <c:v>1997</c:v>
                </c:pt>
                <c:pt idx="16">
                  <c:v>1998</c:v>
                </c:pt>
                <c:pt idx="17">
                  <c:v>1999</c:v>
                </c:pt>
                <c:pt idx="18">
                  <c:v>2000</c:v>
                </c:pt>
                <c:pt idx="19">
                  <c:v>2001</c:v>
                </c:pt>
                <c:pt idx="20">
                  <c:v>2002</c:v>
                </c:pt>
                <c:pt idx="21">
                  <c:v>2003</c:v>
                </c:pt>
                <c:pt idx="22">
                  <c:v>2004</c:v>
                </c:pt>
                <c:pt idx="23">
                  <c:v>2005</c:v>
                </c:pt>
                <c:pt idx="24">
                  <c:v>2006</c:v>
                </c:pt>
                <c:pt idx="25">
                  <c:v>2007</c:v>
                </c:pt>
                <c:pt idx="26">
                  <c:v>2008</c:v>
                </c:pt>
                <c:pt idx="27">
                  <c:v>2009</c:v>
                </c:pt>
                <c:pt idx="28">
                  <c:v>2010</c:v>
                </c:pt>
                <c:pt idx="29">
                  <c:v>2011</c:v>
                </c:pt>
                <c:pt idx="30">
                  <c:v>2012</c:v>
                </c:pt>
                <c:pt idx="31">
                  <c:v>2013</c:v>
                </c:pt>
                <c:pt idx="32">
                  <c:v>2014</c:v>
                </c:pt>
              </c:numCache>
            </c:numRef>
          </c:cat>
          <c:val>
            <c:numRef>
              <c:f>'Targets and Countries'!$EI$2:$EI$35</c:f>
              <c:numCache>
                <c:formatCode>General</c:formatCode>
                <c:ptCount val="33"/>
                <c:pt idx="0">
                  <c:v>0</c:v>
                </c:pt>
                <c:pt idx="1">
                  <c:v>0</c:v>
                </c:pt>
                <c:pt idx="2">
                  <c:v>0</c:v>
                </c:pt>
                <c:pt idx="3">
                  <c:v>0</c:v>
                </c:pt>
                <c:pt idx="4">
                  <c:v>0</c:v>
                </c:pt>
                <c:pt idx="5">
                  <c:v>0</c:v>
                </c:pt>
                <c:pt idx="6">
                  <c:v>0</c:v>
                </c:pt>
                <c:pt idx="7">
                  <c:v>0</c:v>
                </c:pt>
                <c:pt idx="8">
                  <c:v>0</c:v>
                </c:pt>
                <c:pt idx="9">
                  <c:v>1</c:v>
                </c:pt>
                <c:pt idx="10">
                  <c:v>2</c:v>
                </c:pt>
                <c:pt idx="11">
                  <c:v>1</c:v>
                </c:pt>
                <c:pt idx="12">
                  <c:v>3</c:v>
                </c:pt>
                <c:pt idx="13">
                  <c:v>11</c:v>
                </c:pt>
                <c:pt idx="14">
                  <c:v>6</c:v>
                </c:pt>
                <c:pt idx="15">
                  <c:v>5</c:v>
                </c:pt>
                <c:pt idx="16">
                  <c:v>9</c:v>
                </c:pt>
                <c:pt idx="17">
                  <c:v>10</c:v>
                </c:pt>
                <c:pt idx="18">
                  <c:v>15</c:v>
                </c:pt>
                <c:pt idx="19">
                  <c:v>6</c:v>
                </c:pt>
                <c:pt idx="20">
                  <c:v>0</c:v>
                </c:pt>
                <c:pt idx="21">
                  <c:v>1</c:v>
                </c:pt>
                <c:pt idx="22">
                  <c:v>1</c:v>
                </c:pt>
                <c:pt idx="23">
                  <c:v>0</c:v>
                </c:pt>
                <c:pt idx="24">
                  <c:v>9</c:v>
                </c:pt>
                <c:pt idx="25">
                  <c:v>5</c:v>
                </c:pt>
                <c:pt idx="26">
                  <c:v>13</c:v>
                </c:pt>
                <c:pt idx="27">
                  <c:v>11</c:v>
                </c:pt>
                <c:pt idx="28">
                  <c:v>0</c:v>
                </c:pt>
                <c:pt idx="29">
                  <c:v>0</c:v>
                </c:pt>
                <c:pt idx="30">
                  <c:v>0</c:v>
                </c:pt>
                <c:pt idx="31">
                  <c:v>0</c:v>
                </c:pt>
                <c:pt idx="32">
                  <c:v>0</c:v>
                </c:pt>
              </c:numCache>
            </c:numRef>
          </c:val>
          <c:smooth val="0"/>
        </c:ser>
        <c:ser>
          <c:idx val="1"/>
          <c:order val="7"/>
          <c:tx>
            <c:strRef>
              <c:f>'Targets and Countries'!$EZ$1</c:f>
              <c:strCache>
                <c:ptCount val="1"/>
                <c:pt idx="0">
                  <c:v>Turkey</c:v>
                </c:pt>
              </c:strCache>
            </c:strRef>
          </c:tx>
          <c:spPr>
            <a:ln w="63500">
              <a:solidFill>
                <a:srgbClr val="9BBB59">
                  <a:lumMod val="60000"/>
                  <a:lumOff val="40000"/>
                </a:srgbClr>
              </a:solidFill>
            </a:ln>
          </c:spPr>
          <c:marker>
            <c:symbol val="none"/>
          </c:marker>
          <c:cat>
            <c:numRef>
              <c:f>'Targets and Countries'!$A$2:$A$35</c:f>
              <c:numCache>
                <c:formatCode>General</c:formatCode>
                <c:ptCount val="33"/>
                <c:pt idx="0">
                  <c:v>1981</c:v>
                </c:pt>
                <c:pt idx="1">
                  <c:v>1982</c:v>
                </c:pt>
                <c:pt idx="2">
                  <c:v>1983</c:v>
                </c:pt>
                <c:pt idx="3">
                  <c:v>1984</c:v>
                </c:pt>
                <c:pt idx="4">
                  <c:v>1985</c:v>
                </c:pt>
                <c:pt idx="5">
                  <c:v>1986</c:v>
                </c:pt>
                <c:pt idx="6">
                  <c:v>1987</c:v>
                </c:pt>
                <c:pt idx="7">
                  <c:v>1988</c:v>
                </c:pt>
                <c:pt idx="8">
                  <c:v>1989</c:v>
                </c:pt>
                <c:pt idx="9">
                  <c:v>1990</c:v>
                </c:pt>
                <c:pt idx="10">
                  <c:v>1991</c:v>
                </c:pt>
                <c:pt idx="11">
                  <c:v>1992</c:v>
                </c:pt>
                <c:pt idx="12">
                  <c:v>1994</c:v>
                </c:pt>
                <c:pt idx="13">
                  <c:v>1995</c:v>
                </c:pt>
                <c:pt idx="14">
                  <c:v>1996</c:v>
                </c:pt>
                <c:pt idx="15">
                  <c:v>1997</c:v>
                </c:pt>
                <c:pt idx="16">
                  <c:v>1998</c:v>
                </c:pt>
                <c:pt idx="17">
                  <c:v>1999</c:v>
                </c:pt>
                <c:pt idx="18">
                  <c:v>2000</c:v>
                </c:pt>
                <c:pt idx="19">
                  <c:v>2001</c:v>
                </c:pt>
                <c:pt idx="20">
                  <c:v>2002</c:v>
                </c:pt>
                <c:pt idx="21">
                  <c:v>2003</c:v>
                </c:pt>
                <c:pt idx="22">
                  <c:v>2004</c:v>
                </c:pt>
                <c:pt idx="23">
                  <c:v>2005</c:v>
                </c:pt>
                <c:pt idx="24">
                  <c:v>2006</c:v>
                </c:pt>
                <c:pt idx="25">
                  <c:v>2007</c:v>
                </c:pt>
                <c:pt idx="26">
                  <c:v>2008</c:v>
                </c:pt>
                <c:pt idx="27">
                  <c:v>2009</c:v>
                </c:pt>
                <c:pt idx="28">
                  <c:v>2010</c:v>
                </c:pt>
                <c:pt idx="29">
                  <c:v>2011</c:v>
                </c:pt>
                <c:pt idx="30">
                  <c:v>2012</c:v>
                </c:pt>
                <c:pt idx="31">
                  <c:v>2013</c:v>
                </c:pt>
                <c:pt idx="32">
                  <c:v>2014</c:v>
                </c:pt>
              </c:numCache>
            </c:numRef>
          </c:cat>
          <c:val>
            <c:numRef>
              <c:f>'Targets and Countries'!$EZ$2:$EZ$35</c:f>
              <c:numCache>
                <c:formatCode>General</c:formatCode>
                <c:ptCount val="33"/>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3</c:v>
                </c:pt>
                <c:pt idx="15">
                  <c:v>0</c:v>
                </c:pt>
                <c:pt idx="16">
                  <c:v>3</c:v>
                </c:pt>
                <c:pt idx="17">
                  <c:v>10</c:v>
                </c:pt>
                <c:pt idx="18">
                  <c:v>0</c:v>
                </c:pt>
                <c:pt idx="19">
                  <c:v>2</c:v>
                </c:pt>
                <c:pt idx="20">
                  <c:v>0</c:v>
                </c:pt>
                <c:pt idx="21">
                  <c:v>5</c:v>
                </c:pt>
                <c:pt idx="22">
                  <c:v>1</c:v>
                </c:pt>
                <c:pt idx="23">
                  <c:v>1</c:v>
                </c:pt>
                <c:pt idx="24">
                  <c:v>1</c:v>
                </c:pt>
                <c:pt idx="25">
                  <c:v>0</c:v>
                </c:pt>
                <c:pt idx="26">
                  <c:v>1</c:v>
                </c:pt>
                <c:pt idx="27">
                  <c:v>1</c:v>
                </c:pt>
                <c:pt idx="28">
                  <c:v>0</c:v>
                </c:pt>
                <c:pt idx="29">
                  <c:v>1</c:v>
                </c:pt>
                <c:pt idx="30">
                  <c:v>3</c:v>
                </c:pt>
                <c:pt idx="31">
                  <c:v>1</c:v>
                </c:pt>
                <c:pt idx="32">
                  <c:v>0</c:v>
                </c:pt>
              </c:numCache>
            </c:numRef>
          </c:val>
          <c:smooth val="0"/>
        </c:ser>
        <c:ser>
          <c:idx val="2"/>
          <c:order val="8"/>
          <c:tx>
            <c:strRef>
              <c:f>'Targets and Countries'!$DS$1</c:f>
              <c:strCache>
                <c:ptCount val="1"/>
                <c:pt idx="0">
                  <c:v>Russia</c:v>
                </c:pt>
              </c:strCache>
            </c:strRef>
          </c:tx>
          <c:spPr>
            <a:ln w="63500">
              <a:solidFill>
                <a:srgbClr val="EEECE1">
                  <a:lumMod val="50000"/>
                </a:srgbClr>
              </a:solidFill>
            </a:ln>
          </c:spPr>
          <c:marker>
            <c:symbol val="none"/>
          </c:marker>
          <c:cat>
            <c:numRef>
              <c:f>'Targets and Countries'!$A$2:$A$35</c:f>
              <c:numCache>
                <c:formatCode>General</c:formatCode>
                <c:ptCount val="33"/>
                <c:pt idx="0">
                  <c:v>1981</c:v>
                </c:pt>
                <c:pt idx="1">
                  <c:v>1982</c:v>
                </c:pt>
                <c:pt idx="2">
                  <c:v>1983</c:v>
                </c:pt>
                <c:pt idx="3">
                  <c:v>1984</c:v>
                </c:pt>
                <c:pt idx="4">
                  <c:v>1985</c:v>
                </c:pt>
                <c:pt idx="5">
                  <c:v>1986</c:v>
                </c:pt>
                <c:pt idx="6">
                  <c:v>1987</c:v>
                </c:pt>
                <c:pt idx="7">
                  <c:v>1988</c:v>
                </c:pt>
                <c:pt idx="8">
                  <c:v>1989</c:v>
                </c:pt>
                <c:pt idx="9">
                  <c:v>1990</c:v>
                </c:pt>
                <c:pt idx="10">
                  <c:v>1991</c:v>
                </c:pt>
                <c:pt idx="11">
                  <c:v>1992</c:v>
                </c:pt>
                <c:pt idx="12">
                  <c:v>1994</c:v>
                </c:pt>
                <c:pt idx="13">
                  <c:v>1995</c:v>
                </c:pt>
                <c:pt idx="14">
                  <c:v>1996</c:v>
                </c:pt>
                <c:pt idx="15">
                  <c:v>1997</c:v>
                </c:pt>
                <c:pt idx="16">
                  <c:v>1998</c:v>
                </c:pt>
                <c:pt idx="17">
                  <c:v>1999</c:v>
                </c:pt>
                <c:pt idx="18">
                  <c:v>2000</c:v>
                </c:pt>
                <c:pt idx="19">
                  <c:v>2001</c:v>
                </c:pt>
                <c:pt idx="20">
                  <c:v>2002</c:v>
                </c:pt>
                <c:pt idx="21">
                  <c:v>2003</c:v>
                </c:pt>
                <c:pt idx="22">
                  <c:v>2004</c:v>
                </c:pt>
                <c:pt idx="23">
                  <c:v>2005</c:v>
                </c:pt>
                <c:pt idx="24">
                  <c:v>2006</c:v>
                </c:pt>
                <c:pt idx="25">
                  <c:v>2007</c:v>
                </c:pt>
                <c:pt idx="26">
                  <c:v>2008</c:v>
                </c:pt>
                <c:pt idx="27">
                  <c:v>2009</c:v>
                </c:pt>
                <c:pt idx="28">
                  <c:v>2010</c:v>
                </c:pt>
                <c:pt idx="29">
                  <c:v>2011</c:v>
                </c:pt>
                <c:pt idx="30">
                  <c:v>2012</c:v>
                </c:pt>
                <c:pt idx="31">
                  <c:v>2013</c:v>
                </c:pt>
                <c:pt idx="32">
                  <c:v>2014</c:v>
                </c:pt>
              </c:numCache>
            </c:numRef>
          </c:cat>
          <c:val>
            <c:numRef>
              <c:f>'Targets and Countries'!$DS$2:$DS$35</c:f>
              <c:numCache>
                <c:formatCode>General</c:formatCode>
                <c:ptCount val="33"/>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11</c:v>
                </c:pt>
                <c:pt idx="19">
                  <c:v>2</c:v>
                </c:pt>
                <c:pt idx="20">
                  <c:v>2</c:v>
                </c:pt>
                <c:pt idx="21">
                  <c:v>10</c:v>
                </c:pt>
                <c:pt idx="22">
                  <c:v>5</c:v>
                </c:pt>
                <c:pt idx="23">
                  <c:v>0</c:v>
                </c:pt>
                <c:pt idx="24">
                  <c:v>2</c:v>
                </c:pt>
                <c:pt idx="25">
                  <c:v>2</c:v>
                </c:pt>
                <c:pt idx="26">
                  <c:v>1</c:v>
                </c:pt>
                <c:pt idx="27">
                  <c:v>5</c:v>
                </c:pt>
                <c:pt idx="28">
                  <c:v>11</c:v>
                </c:pt>
                <c:pt idx="29">
                  <c:v>7</c:v>
                </c:pt>
                <c:pt idx="30">
                  <c:v>8</c:v>
                </c:pt>
                <c:pt idx="31">
                  <c:v>9</c:v>
                </c:pt>
                <c:pt idx="32">
                  <c:v>1</c:v>
                </c:pt>
              </c:numCache>
            </c:numRef>
          </c:val>
          <c:smooth val="0"/>
        </c:ser>
        <c:ser>
          <c:idx val="3"/>
          <c:order val="9"/>
          <c:tx>
            <c:strRef>
              <c:f>'Targets and Countries'!$DC$1</c:f>
              <c:strCache>
                <c:ptCount val="1"/>
                <c:pt idx="0">
                  <c:v>Nigeria</c:v>
                </c:pt>
              </c:strCache>
            </c:strRef>
          </c:tx>
          <c:spPr>
            <a:ln w="63500">
              <a:solidFill>
                <a:sysClr val="window" lastClr="FFFFFF"/>
              </a:solidFill>
            </a:ln>
          </c:spPr>
          <c:marker>
            <c:symbol val="none"/>
          </c:marker>
          <c:cat>
            <c:numRef>
              <c:f>'Targets and Countries'!$A$2:$A$35</c:f>
              <c:numCache>
                <c:formatCode>General</c:formatCode>
                <c:ptCount val="33"/>
                <c:pt idx="0">
                  <c:v>1981</c:v>
                </c:pt>
                <c:pt idx="1">
                  <c:v>1982</c:v>
                </c:pt>
                <c:pt idx="2">
                  <c:v>1983</c:v>
                </c:pt>
                <c:pt idx="3">
                  <c:v>1984</c:v>
                </c:pt>
                <c:pt idx="4">
                  <c:v>1985</c:v>
                </c:pt>
                <c:pt idx="5">
                  <c:v>1986</c:v>
                </c:pt>
                <c:pt idx="6">
                  <c:v>1987</c:v>
                </c:pt>
                <c:pt idx="7">
                  <c:v>1988</c:v>
                </c:pt>
                <c:pt idx="8">
                  <c:v>1989</c:v>
                </c:pt>
                <c:pt idx="9">
                  <c:v>1990</c:v>
                </c:pt>
                <c:pt idx="10">
                  <c:v>1991</c:v>
                </c:pt>
                <c:pt idx="11">
                  <c:v>1992</c:v>
                </c:pt>
                <c:pt idx="12">
                  <c:v>1994</c:v>
                </c:pt>
                <c:pt idx="13">
                  <c:v>1995</c:v>
                </c:pt>
                <c:pt idx="14">
                  <c:v>1996</c:v>
                </c:pt>
                <c:pt idx="15">
                  <c:v>1997</c:v>
                </c:pt>
                <c:pt idx="16">
                  <c:v>1998</c:v>
                </c:pt>
                <c:pt idx="17">
                  <c:v>1999</c:v>
                </c:pt>
                <c:pt idx="18">
                  <c:v>2000</c:v>
                </c:pt>
                <c:pt idx="19">
                  <c:v>2001</c:v>
                </c:pt>
                <c:pt idx="20">
                  <c:v>2002</c:v>
                </c:pt>
                <c:pt idx="21">
                  <c:v>2003</c:v>
                </c:pt>
                <c:pt idx="22">
                  <c:v>2004</c:v>
                </c:pt>
                <c:pt idx="23">
                  <c:v>2005</c:v>
                </c:pt>
                <c:pt idx="24">
                  <c:v>2006</c:v>
                </c:pt>
                <c:pt idx="25">
                  <c:v>2007</c:v>
                </c:pt>
                <c:pt idx="26">
                  <c:v>2008</c:v>
                </c:pt>
                <c:pt idx="27">
                  <c:v>2009</c:v>
                </c:pt>
                <c:pt idx="28">
                  <c:v>2010</c:v>
                </c:pt>
                <c:pt idx="29">
                  <c:v>2011</c:v>
                </c:pt>
                <c:pt idx="30">
                  <c:v>2012</c:v>
                </c:pt>
                <c:pt idx="31">
                  <c:v>2013</c:v>
                </c:pt>
                <c:pt idx="32">
                  <c:v>2014</c:v>
                </c:pt>
              </c:numCache>
            </c:numRef>
          </c:cat>
          <c:val>
            <c:numRef>
              <c:f>'Targets and Countries'!$DC$2:$DC$35</c:f>
              <c:numCache>
                <c:formatCode>General</c:formatCode>
                <c:ptCount val="33"/>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4</c:v>
                </c:pt>
                <c:pt idx="30">
                  <c:v>36</c:v>
                </c:pt>
                <c:pt idx="31">
                  <c:v>4</c:v>
                </c:pt>
                <c:pt idx="32">
                  <c:v>40</c:v>
                </c:pt>
              </c:numCache>
            </c:numRef>
          </c:val>
          <c:smooth val="0"/>
        </c:ser>
        <c:ser>
          <c:idx val="4"/>
          <c:order val="10"/>
          <c:tx>
            <c:strRef>
              <c:f>'Targets and Countries'!$FH$1</c:f>
              <c:strCache>
                <c:ptCount val="1"/>
                <c:pt idx="0">
                  <c:v>Yemen</c:v>
                </c:pt>
              </c:strCache>
            </c:strRef>
          </c:tx>
          <c:spPr>
            <a:ln w="63500">
              <a:solidFill>
                <a:srgbClr val="8064A2">
                  <a:lumMod val="40000"/>
                  <a:lumOff val="60000"/>
                </a:srgbClr>
              </a:solidFill>
            </a:ln>
          </c:spPr>
          <c:marker>
            <c:symbol val="none"/>
          </c:marker>
          <c:cat>
            <c:numRef>
              <c:f>'Targets and Countries'!$A$2:$A$35</c:f>
              <c:numCache>
                <c:formatCode>General</c:formatCode>
                <c:ptCount val="33"/>
                <c:pt idx="0">
                  <c:v>1981</c:v>
                </c:pt>
                <c:pt idx="1">
                  <c:v>1982</c:v>
                </c:pt>
                <c:pt idx="2">
                  <c:v>1983</c:v>
                </c:pt>
                <c:pt idx="3">
                  <c:v>1984</c:v>
                </c:pt>
                <c:pt idx="4">
                  <c:v>1985</c:v>
                </c:pt>
                <c:pt idx="5">
                  <c:v>1986</c:v>
                </c:pt>
                <c:pt idx="6">
                  <c:v>1987</c:v>
                </c:pt>
                <c:pt idx="7">
                  <c:v>1988</c:v>
                </c:pt>
                <c:pt idx="8">
                  <c:v>1989</c:v>
                </c:pt>
                <c:pt idx="9">
                  <c:v>1990</c:v>
                </c:pt>
                <c:pt idx="10">
                  <c:v>1991</c:v>
                </c:pt>
                <c:pt idx="11">
                  <c:v>1992</c:v>
                </c:pt>
                <c:pt idx="12">
                  <c:v>1994</c:v>
                </c:pt>
                <c:pt idx="13">
                  <c:v>1995</c:v>
                </c:pt>
                <c:pt idx="14">
                  <c:v>1996</c:v>
                </c:pt>
                <c:pt idx="15">
                  <c:v>1997</c:v>
                </c:pt>
                <c:pt idx="16">
                  <c:v>1998</c:v>
                </c:pt>
                <c:pt idx="17">
                  <c:v>1999</c:v>
                </c:pt>
                <c:pt idx="18">
                  <c:v>2000</c:v>
                </c:pt>
                <c:pt idx="19">
                  <c:v>2001</c:v>
                </c:pt>
                <c:pt idx="20">
                  <c:v>2002</c:v>
                </c:pt>
                <c:pt idx="21">
                  <c:v>2003</c:v>
                </c:pt>
                <c:pt idx="22">
                  <c:v>2004</c:v>
                </c:pt>
                <c:pt idx="23">
                  <c:v>2005</c:v>
                </c:pt>
                <c:pt idx="24">
                  <c:v>2006</c:v>
                </c:pt>
                <c:pt idx="25">
                  <c:v>2007</c:v>
                </c:pt>
                <c:pt idx="26">
                  <c:v>2008</c:v>
                </c:pt>
                <c:pt idx="27">
                  <c:v>2009</c:v>
                </c:pt>
                <c:pt idx="28">
                  <c:v>2010</c:v>
                </c:pt>
                <c:pt idx="29">
                  <c:v>2011</c:v>
                </c:pt>
                <c:pt idx="30">
                  <c:v>2012</c:v>
                </c:pt>
                <c:pt idx="31">
                  <c:v>2013</c:v>
                </c:pt>
                <c:pt idx="32">
                  <c:v>2014</c:v>
                </c:pt>
              </c:numCache>
            </c:numRef>
          </c:cat>
          <c:val>
            <c:numRef>
              <c:f>'Targets and Countries'!$FH$2:$FH$35</c:f>
              <c:numCache>
                <c:formatCode>General</c:formatCode>
                <c:ptCount val="33"/>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2</c:v>
                </c:pt>
                <c:pt idx="19">
                  <c:v>0</c:v>
                </c:pt>
                <c:pt idx="20">
                  <c:v>0</c:v>
                </c:pt>
                <c:pt idx="21">
                  <c:v>0</c:v>
                </c:pt>
                <c:pt idx="22">
                  <c:v>0</c:v>
                </c:pt>
                <c:pt idx="23">
                  <c:v>0</c:v>
                </c:pt>
                <c:pt idx="24">
                  <c:v>1</c:v>
                </c:pt>
                <c:pt idx="25">
                  <c:v>1</c:v>
                </c:pt>
                <c:pt idx="26">
                  <c:v>2</c:v>
                </c:pt>
                <c:pt idx="27">
                  <c:v>2</c:v>
                </c:pt>
                <c:pt idx="28">
                  <c:v>8</c:v>
                </c:pt>
                <c:pt idx="29">
                  <c:v>7</c:v>
                </c:pt>
                <c:pt idx="30">
                  <c:v>36</c:v>
                </c:pt>
                <c:pt idx="31">
                  <c:v>20</c:v>
                </c:pt>
                <c:pt idx="32">
                  <c:v>37</c:v>
                </c:pt>
              </c:numCache>
            </c:numRef>
          </c:val>
          <c:smooth val="0"/>
        </c:ser>
        <c:ser>
          <c:idx val="5"/>
          <c:order val="11"/>
          <c:tx>
            <c:strRef>
              <c:f>'Targets and Countries'!$EA$1</c:f>
              <c:strCache>
                <c:ptCount val="1"/>
                <c:pt idx="0">
                  <c:v>Somalia</c:v>
                </c:pt>
              </c:strCache>
            </c:strRef>
          </c:tx>
          <c:spPr>
            <a:ln w="63500">
              <a:solidFill>
                <a:srgbClr val="4BACC6">
                  <a:lumMod val="40000"/>
                  <a:lumOff val="60000"/>
                </a:srgbClr>
              </a:solidFill>
            </a:ln>
          </c:spPr>
          <c:marker>
            <c:symbol val="none"/>
          </c:marker>
          <c:cat>
            <c:numRef>
              <c:f>'Targets and Countries'!$A$2:$A$35</c:f>
              <c:numCache>
                <c:formatCode>General</c:formatCode>
                <c:ptCount val="33"/>
                <c:pt idx="0">
                  <c:v>1981</c:v>
                </c:pt>
                <c:pt idx="1">
                  <c:v>1982</c:v>
                </c:pt>
                <c:pt idx="2">
                  <c:v>1983</c:v>
                </c:pt>
                <c:pt idx="3">
                  <c:v>1984</c:v>
                </c:pt>
                <c:pt idx="4">
                  <c:v>1985</c:v>
                </c:pt>
                <c:pt idx="5">
                  <c:v>1986</c:v>
                </c:pt>
                <c:pt idx="6">
                  <c:v>1987</c:v>
                </c:pt>
                <c:pt idx="7">
                  <c:v>1988</c:v>
                </c:pt>
                <c:pt idx="8">
                  <c:v>1989</c:v>
                </c:pt>
                <c:pt idx="9">
                  <c:v>1990</c:v>
                </c:pt>
                <c:pt idx="10">
                  <c:v>1991</c:v>
                </c:pt>
                <c:pt idx="11">
                  <c:v>1992</c:v>
                </c:pt>
                <c:pt idx="12">
                  <c:v>1994</c:v>
                </c:pt>
                <c:pt idx="13">
                  <c:v>1995</c:v>
                </c:pt>
                <c:pt idx="14">
                  <c:v>1996</c:v>
                </c:pt>
                <c:pt idx="15">
                  <c:v>1997</c:v>
                </c:pt>
                <c:pt idx="16">
                  <c:v>1998</c:v>
                </c:pt>
                <c:pt idx="17">
                  <c:v>1999</c:v>
                </c:pt>
                <c:pt idx="18">
                  <c:v>2000</c:v>
                </c:pt>
                <c:pt idx="19">
                  <c:v>2001</c:v>
                </c:pt>
                <c:pt idx="20">
                  <c:v>2002</c:v>
                </c:pt>
                <c:pt idx="21">
                  <c:v>2003</c:v>
                </c:pt>
                <c:pt idx="22">
                  <c:v>2004</c:v>
                </c:pt>
                <c:pt idx="23">
                  <c:v>2005</c:v>
                </c:pt>
                <c:pt idx="24">
                  <c:v>2006</c:v>
                </c:pt>
                <c:pt idx="25">
                  <c:v>2007</c:v>
                </c:pt>
                <c:pt idx="26">
                  <c:v>2008</c:v>
                </c:pt>
                <c:pt idx="27">
                  <c:v>2009</c:v>
                </c:pt>
                <c:pt idx="28">
                  <c:v>2010</c:v>
                </c:pt>
                <c:pt idx="29">
                  <c:v>2011</c:v>
                </c:pt>
                <c:pt idx="30">
                  <c:v>2012</c:v>
                </c:pt>
                <c:pt idx="31">
                  <c:v>2013</c:v>
                </c:pt>
                <c:pt idx="32">
                  <c:v>2014</c:v>
                </c:pt>
              </c:numCache>
            </c:numRef>
          </c:cat>
          <c:val>
            <c:numRef>
              <c:f>'Targets and Countries'!$EA$2:$EA$35</c:f>
              <c:numCache>
                <c:formatCode>General</c:formatCode>
                <c:ptCount val="33"/>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2</c:v>
                </c:pt>
                <c:pt idx="25">
                  <c:v>3</c:v>
                </c:pt>
                <c:pt idx="26">
                  <c:v>3</c:v>
                </c:pt>
                <c:pt idx="27">
                  <c:v>2</c:v>
                </c:pt>
                <c:pt idx="28">
                  <c:v>4</c:v>
                </c:pt>
                <c:pt idx="29">
                  <c:v>8</c:v>
                </c:pt>
                <c:pt idx="30">
                  <c:v>16</c:v>
                </c:pt>
                <c:pt idx="31">
                  <c:v>17</c:v>
                </c:pt>
                <c:pt idx="32">
                  <c:v>24</c:v>
                </c:pt>
              </c:numCache>
            </c:numRef>
          </c:val>
          <c:smooth val="0"/>
        </c:ser>
        <c:dLbls>
          <c:showLegendKey val="0"/>
          <c:showVal val="0"/>
          <c:showCatName val="0"/>
          <c:showSerName val="0"/>
          <c:showPercent val="0"/>
          <c:showBubbleSize val="0"/>
        </c:dLbls>
        <c:marker val="1"/>
        <c:smooth val="0"/>
        <c:axId val="104297984"/>
        <c:axId val="104299520"/>
      </c:lineChart>
      <c:catAx>
        <c:axId val="104297984"/>
        <c:scaling>
          <c:orientation val="minMax"/>
        </c:scaling>
        <c:delete val="0"/>
        <c:axPos val="b"/>
        <c:numFmt formatCode="General" sourceLinked="1"/>
        <c:majorTickMark val="none"/>
        <c:minorTickMark val="none"/>
        <c:tickLblPos val="nextTo"/>
        <c:txPr>
          <a:bodyPr rot="-5400000" vert="horz"/>
          <a:lstStyle/>
          <a:p>
            <a:pPr>
              <a:defRPr sz="800" baseline="0"/>
            </a:pPr>
            <a:endParaRPr lang="en-US"/>
          </a:p>
        </c:txPr>
        <c:crossAx val="104299520"/>
        <c:crosses val="autoZero"/>
        <c:auto val="1"/>
        <c:lblAlgn val="ctr"/>
        <c:lblOffset val="100"/>
        <c:noMultiLvlLbl val="0"/>
      </c:catAx>
      <c:valAx>
        <c:axId val="104299520"/>
        <c:scaling>
          <c:orientation val="minMax"/>
          <c:min val="0"/>
        </c:scaling>
        <c:delete val="0"/>
        <c:axPos val="l"/>
        <c:majorGridlines>
          <c:spPr>
            <a:ln>
              <a:noFill/>
            </a:ln>
          </c:spPr>
        </c:majorGridlines>
        <c:numFmt formatCode="General" sourceLinked="1"/>
        <c:majorTickMark val="none"/>
        <c:minorTickMark val="none"/>
        <c:tickLblPos val="nextTo"/>
        <c:crossAx val="104297984"/>
        <c:crosses val="autoZero"/>
        <c:crossBetween val="between"/>
      </c:valAx>
    </c:plotArea>
    <c:legend>
      <c:legendPos val="l"/>
      <c:layout>
        <c:manualLayout>
          <c:xMode val="edge"/>
          <c:yMode val="edge"/>
          <c:x val="0.1229231442223571"/>
          <c:y val="0.20727937152600312"/>
          <c:w val="0.23593125378558399"/>
          <c:h val="0.39991601751510641"/>
        </c:manualLayout>
      </c:layout>
      <c:overlay val="1"/>
      <c:spPr>
        <a:ln>
          <a:solidFill>
            <a:sysClr val="windowText" lastClr="000000"/>
          </a:solidFill>
        </a:ln>
        <a:effectLst>
          <a:outerShdw sx="1000" sy="1000" algn="ctr" rotWithShape="0">
            <a:srgbClr val="000000"/>
          </a:outerShdw>
        </a:effectLst>
      </c:spPr>
      <c:txPr>
        <a:bodyPr/>
        <a:lstStyle/>
        <a:p>
          <a:pPr>
            <a:defRPr lang="en-US" sz="1000" b="0" i="0" u="none" strike="noStrike" kern="1200" baseline="0">
              <a:solidFill>
                <a:sysClr val="window" lastClr="FFFFFF"/>
              </a:solidFill>
              <a:latin typeface="+mn-lt"/>
              <a:ea typeface="+mn-ea"/>
              <a:cs typeface="+mn-cs"/>
            </a:defRPr>
          </a:pPr>
          <a:endParaRPr lang="en-US"/>
        </a:p>
      </c:txPr>
    </c:legend>
    <c:plotVisOnly val="1"/>
    <c:dispBlanksAs val="gap"/>
    <c:showDLblsOverMax val="0"/>
  </c:chart>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42"/>
    </mc:Choice>
    <mc:Fallback>
      <c:style val="42"/>
    </mc:Fallback>
  </mc:AlternateContent>
  <c:clrMapOvr bg1="lt1" tx1="dk1" bg2="lt2" tx2="dk2" accent1="accent1" accent2="accent2" accent3="accent3" accent4="accent4" accent5="accent5" accent6="accent6" hlink="hlink" folHlink="folHlink"/>
  <c:chart>
    <c:title>
      <c:tx>
        <c:rich>
          <a:bodyPr/>
          <a:lstStyle/>
          <a:p>
            <a:pPr>
              <a:defRPr/>
            </a:pPr>
            <a:r>
              <a:rPr lang="en-US"/>
              <a:t>Yemen Total Suicide Attacks (START)</a:t>
            </a:r>
          </a:p>
        </c:rich>
      </c:tx>
      <c:overlay val="0"/>
    </c:title>
    <c:autoTitleDeleted val="0"/>
    <c:plotArea>
      <c:layout/>
      <c:lineChart>
        <c:grouping val="standard"/>
        <c:varyColors val="0"/>
        <c:ser>
          <c:idx val="12"/>
          <c:order val="0"/>
          <c:tx>
            <c:strRef>
              <c:f>'Targets and Countries'!$FH$1</c:f>
              <c:strCache>
                <c:ptCount val="1"/>
                <c:pt idx="0">
                  <c:v>Yemen</c:v>
                </c:pt>
              </c:strCache>
            </c:strRef>
          </c:tx>
          <c:spPr>
            <a:ln w="63500">
              <a:solidFill>
                <a:srgbClr val="7030A0"/>
              </a:solidFill>
            </a:ln>
          </c:spPr>
          <c:marker>
            <c:symbol val="none"/>
          </c:marker>
          <c:cat>
            <c:numRef>
              <c:f>('Targets and Countries'!$A$14,'Targets and Countries'!$A$20:$A$35)</c:f>
              <c:numCache>
                <c:formatCode>General</c:formatCode>
                <c:ptCount val="16"/>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numCache>
            </c:numRef>
          </c:cat>
          <c:val>
            <c:numRef>
              <c:f>('Targets and Countries'!$FH$14,'Targets and Countries'!$FH$20:$FH$35)</c:f>
              <c:numCache>
                <c:formatCode>General</c:formatCode>
                <c:ptCount val="16"/>
                <c:pt idx="0">
                  <c:v>0</c:v>
                </c:pt>
                <c:pt idx="1">
                  <c:v>2</c:v>
                </c:pt>
                <c:pt idx="2">
                  <c:v>0</c:v>
                </c:pt>
                <c:pt idx="3">
                  <c:v>0</c:v>
                </c:pt>
                <c:pt idx="4">
                  <c:v>0</c:v>
                </c:pt>
                <c:pt idx="5">
                  <c:v>0</c:v>
                </c:pt>
                <c:pt idx="6">
                  <c:v>0</c:v>
                </c:pt>
                <c:pt idx="7">
                  <c:v>1</c:v>
                </c:pt>
                <c:pt idx="8">
                  <c:v>1</c:v>
                </c:pt>
                <c:pt idx="9">
                  <c:v>2</c:v>
                </c:pt>
                <c:pt idx="10">
                  <c:v>2</c:v>
                </c:pt>
                <c:pt idx="11">
                  <c:v>8</c:v>
                </c:pt>
                <c:pt idx="12">
                  <c:v>7</c:v>
                </c:pt>
                <c:pt idx="13">
                  <c:v>36</c:v>
                </c:pt>
                <c:pt idx="14">
                  <c:v>20</c:v>
                </c:pt>
                <c:pt idx="15">
                  <c:v>37</c:v>
                </c:pt>
              </c:numCache>
            </c:numRef>
          </c:val>
          <c:smooth val="1"/>
        </c:ser>
        <c:ser>
          <c:idx val="20"/>
          <c:order val="1"/>
          <c:tx>
            <c:strRef>
              <c:f>'Targets and Countries'!$FI$1</c:f>
              <c:strCache>
                <c:ptCount val="1"/>
                <c:pt idx="0">
                  <c:v>Military</c:v>
                </c:pt>
              </c:strCache>
            </c:strRef>
          </c:tx>
          <c:spPr>
            <a:ln w="63500">
              <a:solidFill>
                <a:srgbClr val="FF0000"/>
              </a:solidFill>
            </a:ln>
          </c:spPr>
          <c:marker>
            <c:symbol val="none"/>
          </c:marker>
          <c:cat>
            <c:numRef>
              <c:f>('Targets and Countries'!$A$14,'Targets and Countries'!$A$20:$A$35)</c:f>
              <c:numCache>
                <c:formatCode>General</c:formatCode>
                <c:ptCount val="16"/>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numCache>
            </c:numRef>
          </c:cat>
          <c:val>
            <c:numRef>
              <c:f>('Targets and Countries'!$FI$14,'Targets and Countries'!$FI$20:$FI$35)</c:f>
              <c:numCache>
                <c:formatCode>General</c:formatCode>
                <c:ptCount val="16"/>
                <c:pt idx="0">
                  <c:v>0</c:v>
                </c:pt>
                <c:pt idx="1">
                  <c:v>2</c:v>
                </c:pt>
                <c:pt idx="2">
                  <c:v>0</c:v>
                </c:pt>
                <c:pt idx="3">
                  <c:v>0</c:v>
                </c:pt>
                <c:pt idx="4">
                  <c:v>0</c:v>
                </c:pt>
                <c:pt idx="5">
                  <c:v>0</c:v>
                </c:pt>
                <c:pt idx="6">
                  <c:v>0</c:v>
                </c:pt>
                <c:pt idx="7">
                  <c:v>0</c:v>
                </c:pt>
                <c:pt idx="8">
                  <c:v>0</c:v>
                </c:pt>
                <c:pt idx="9">
                  <c:v>0</c:v>
                </c:pt>
                <c:pt idx="10">
                  <c:v>0</c:v>
                </c:pt>
                <c:pt idx="11">
                  <c:v>3</c:v>
                </c:pt>
                <c:pt idx="12">
                  <c:v>4</c:v>
                </c:pt>
                <c:pt idx="13">
                  <c:v>13</c:v>
                </c:pt>
                <c:pt idx="14">
                  <c:v>9</c:v>
                </c:pt>
                <c:pt idx="15">
                  <c:v>21</c:v>
                </c:pt>
              </c:numCache>
            </c:numRef>
          </c:val>
          <c:smooth val="1"/>
        </c:ser>
        <c:ser>
          <c:idx val="21"/>
          <c:order val="2"/>
          <c:tx>
            <c:strRef>
              <c:f>'Targets and Countries'!$FJ$1</c:f>
              <c:strCache>
                <c:ptCount val="1"/>
                <c:pt idx="0">
                  <c:v>Government</c:v>
                </c:pt>
              </c:strCache>
            </c:strRef>
          </c:tx>
          <c:spPr>
            <a:ln w="63500">
              <a:solidFill>
                <a:srgbClr val="00B050"/>
              </a:solidFill>
            </a:ln>
          </c:spPr>
          <c:marker>
            <c:symbol val="none"/>
          </c:marker>
          <c:cat>
            <c:numRef>
              <c:f>('Targets and Countries'!$A$14,'Targets and Countries'!$A$20:$A$35)</c:f>
              <c:numCache>
                <c:formatCode>General</c:formatCode>
                <c:ptCount val="16"/>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numCache>
            </c:numRef>
          </c:cat>
          <c:val>
            <c:numRef>
              <c:f>('Targets and Countries'!$FJ$14,'Targets and Countries'!$FJ$20:$FJ$35)</c:f>
              <c:numCache>
                <c:formatCode>General</c:formatCode>
                <c:ptCount val="16"/>
                <c:pt idx="0">
                  <c:v>0</c:v>
                </c:pt>
                <c:pt idx="1">
                  <c:v>0</c:v>
                </c:pt>
                <c:pt idx="2">
                  <c:v>0</c:v>
                </c:pt>
                <c:pt idx="3">
                  <c:v>0</c:v>
                </c:pt>
                <c:pt idx="4">
                  <c:v>0</c:v>
                </c:pt>
                <c:pt idx="5">
                  <c:v>0</c:v>
                </c:pt>
                <c:pt idx="6">
                  <c:v>0</c:v>
                </c:pt>
                <c:pt idx="7">
                  <c:v>0</c:v>
                </c:pt>
                <c:pt idx="8">
                  <c:v>0</c:v>
                </c:pt>
                <c:pt idx="9">
                  <c:v>2</c:v>
                </c:pt>
                <c:pt idx="10">
                  <c:v>1</c:v>
                </c:pt>
                <c:pt idx="11">
                  <c:v>2</c:v>
                </c:pt>
                <c:pt idx="12">
                  <c:v>2</c:v>
                </c:pt>
                <c:pt idx="13">
                  <c:v>6</c:v>
                </c:pt>
                <c:pt idx="14">
                  <c:v>2</c:v>
                </c:pt>
                <c:pt idx="15">
                  <c:v>3</c:v>
                </c:pt>
              </c:numCache>
            </c:numRef>
          </c:val>
          <c:smooth val="1"/>
        </c:ser>
        <c:ser>
          <c:idx val="22"/>
          <c:order val="3"/>
          <c:tx>
            <c:strRef>
              <c:f>'Targets and Countries'!$FK$1</c:f>
              <c:strCache>
                <c:ptCount val="1"/>
                <c:pt idx="0">
                  <c:v>Police</c:v>
                </c:pt>
              </c:strCache>
            </c:strRef>
          </c:tx>
          <c:spPr>
            <a:ln w="63500">
              <a:solidFill>
                <a:srgbClr val="FFFF00"/>
              </a:solidFill>
            </a:ln>
          </c:spPr>
          <c:marker>
            <c:symbol val="none"/>
          </c:marker>
          <c:cat>
            <c:numRef>
              <c:f>('Targets and Countries'!$A$14,'Targets and Countries'!$A$20:$A$35)</c:f>
              <c:numCache>
                <c:formatCode>General</c:formatCode>
                <c:ptCount val="16"/>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numCache>
            </c:numRef>
          </c:cat>
          <c:val>
            <c:numRef>
              <c:f>('Targets and Countries'!$FK$14,'Targets and Countries'!$FK$20:$FK$35)</c:f>
              <c:numCache>
                <c:formatCode>General</c:formatCode>
                <c:ptCount val="16"/>
                <c:pt idx="0">
                  <c:v>0</c:v>
                </c:pt>
                <c:pt idx="1">
                  <c:v>0</c:v>
                </c:pt>
                <c:pt idx="2">
                  <c:v>0</c:v>
                </c:pt>
                <c:pt idx="3">
                  <c:v>0</c:v>
                </c:pt>
                <c:pt idx="4">
                  <c:v>0</c:v>
                </c:pt>
                <c:pt idx="5">
                  <c:v>0</c:v>
                </c:pt>
                <c:pt idx="6">
                  <c:v>0</c:v>
                </c:pt>
                <c:pt idx="7">
                  <c:v>0</c:v>
                </c:pt>
                <c:pt idx="8">
                  <c:v>0</c:v>
                </c:pt>
                <c:pt idx="9">
                  <c:v>0</c:v>
                </c:pt>
                <c:pt idx="10">
                  <c:v>0</c:v>
                </c:pt>
                <c:pt idx="11">
                  <c:v>0</c:v>
                </c:pt>
                <c:pt idx="12">
                  <c:v>1</c:v>
                </c:pt>
                <c:pt idx="13">
                  <c:v>1</c:v>
                </c:pt>
                <c:pt idx="14">
                  <c:v>1</c:v>
                </c:pt>
                <c:pt idx="15">
                  <c:v>3</c:v>
                </c:pt>
              </c:numCache>
            </c:numRef>
          </c:val>
          <c:smooth val="1"/>
        </c:ser>
        <c:ser>
          <c:idx val="23"/>
          <c:order val="4"/>
          <c:tx>
            <c:strRef>
              <c:f>'Targets and Countries'!$FL$1</c:f>
              <c:strCache>
                <c:ptCount val="1"/>
                <c:pt idx="0">
                  <c:v>Civilian</c:v>
                </c:pt>
              </c:strCache>
            </c:strRef>
          </c:tx>
          <c:spPr>
            <a:ln w="63500">
              <a:solidFill>
                <a:srgbClr val="00B0F0"/>
              </a:solidFill>
            </a:ln>
          </c:spPr>
          <c:marker>
            <c:symbol val="none"/>
          </c:marker>
          <c:cat>
            <c:numRef>
              <c:f>('Targets and Countries'!$A$14,'Targets and Countries'!$A$20:$A$35)</c:f>
              <c:numCache>
                <c:formatCode>General</c:formatCode>
                <c:ptCount val="16"/>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numCache>
            </c:numRef>
          </c:cat>
          <c:val>
            <c:numRef>
              <c:f>('Targets and Countries'!$FL$14,'Targets and Countries'!$FL$20:$FL$35)</c:f>
              <c:numCache>
                <c:formatCode>General</c:formatCode>
                <c:ptCount val="16"/>
                <c:pt idx="0">
                  <c:v>0</c:v>
                </c:pt>
                <c:pt idx="1">
                  <c:v>0</c:v>
                </c:pt>
                <c:pt idx="2">
                  <c:v>0</c:v>
                </c:pt>
                <c:pt idx="3">
                  <c:v>0</c:v>
                </c:pt>
                <c:pt idx="4">
                  <c:v>0</c:v>
                </c:pt>
                <c:pt idx="5">
                  <c:v>0</c:v>
                </c:pt>
                <c:pt idx="6">
                  <c:v>0</c:v>
                </c:pt>
                <c:pt idx="7">
                  <c:v>1</c:v>
                </c:pt>
                <c:pt idx="8">
                  <c:v>1</c:v>
                </c:pt>
                <c:pt idx="9">
                  <c:v>0</c:v>
                </c:pt>
                <c:pt idx="10">
                  <c:v>1</c:v>
                </c:pt>
                <c:pt idx="11">
                  <c:v>3</c:v>
                </c:pt>
                <c:pt idx="12">
                  <c:v>0</c:v>
                </c:pt>
                <c:pt idx="13">
                  <c:v>5</c:v>
                </c:pt>
                <c:pt idx="14">
                  <c:v>5</c:v>
                </c:pt>
                <c:pt idx="15">
                  <c:v>6</c:v>
                </c:pt>
              </c:numCache>
            </c:numRef>
          </c:val>
          <c:smooth val="1"/>
        </c:ser>
        <c:ser>
          <c:idx val="24"/>
          <c:order val="5"/>
          <c:tx>
            <c:strRef>
              <c:f>'Targets and Countries'!$FM$1</c:f>
              <c:strCache>
                <c:ptCount val="1"/>
                <c:pt idx="0">
                  <c:v>Informal Groups</c:v>
                </c:pt>
              </c:strCache>
            </c:strRef>
          </c:tx>
          <c:spPr>
            <a:ln w="63500">
              <a:solidFill>
                <a:srgbClr val="F79646"/>
              </a:solidFill>
            </a:ln>
          </c:spPr>
          <c:marker>
            <c:symbol val="none"/>
          </c:marker>
          <c:cat>
            <c:numRef>
              <c:f>('Targets and Countries'!$A$14,'Targets and Countries'!$A$20:$A$35)</c:f>
              <c:numCache>
                <c:formatCode>General</c:formatCode>
                <c:ptCount val="16"/>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numCache>
            </c:numRef>
          </c:cat>
          <c:val>
            <c:numRef>
              <c:f>('Targets and Countries'!$FM$14,'Targets and Countries'!$FM$20:$FM$35)</c:f>
              <c:numCache>
                <c:formatCode>General</c:formatCode>
                <c:ptCount val="16"/>
                <c:pt idx="0">
                  <c:v>0</c:v>
                </c:pt>
                <c:pt idx="1">
                  <c:v>0</c:v>
                </c:pt>
                <c:pt idx="2">
                  <c:v>0</c:v>
                </c:pt>
                <c:pt idx="3">
                  <c:v>0</c:v>
                </c:pt>
                <c:pt idx="4">
                  <c:v>0</c:v>
                </c:pt>
                <c:pt idx="5">
                  <c:v>0</c:v>
                </c:pt>
                <c:pt idx="6">
                  <c:v>0</c:v>
                </c:pt>
                <c:pt idx="7">
                  <c:v>0</c:v>
                </c:pt>
                <c:pt idx="8">
                  <c:v>0</c:v>
                </c:pt>
                <c:pt idx="9">
                  <c:v>0</c:v>
                </c:pt>
                <c:pt idx="10">
                  <c:v>0</c:v>
                </c:pt>
                <c:pt idx="11">
                  <c:v>0</c:v>
                </c:pt>
                <c:pt idx="12">
                  <c:v>0</c:v>
                </c:pt>
                <c:pt idx="13">
                  <c:v>10</c:v>
                </c:pt>
                <c:pt idx="14">
                  <c:v>3</c:v>
                </c:pt>
                <c:pt idx="15">
                  <c:v>4</c:v>
                </c:pt>
              </c:numCache>
            </c:numRef>
          </c:val>
          <c:smooth val="1"/>
        </c:ser>
        <c:dLbls>
          <c:showLegendKey val="0"/>
          <c:showVal val="0"/>
          <c:showCatName val="0"/>
          <c:showSerName val="0"/>
          <c:showPercent val="0"/>
          <c:showBubbleSize val="0"/>
        </c:dLbls>
        <c:marker val="1"/>
        <c:smooth val="0"/>
        <c:axId val="161448704"/>
        <c:axId val="161450240"/>
      </c:lineChart>
      <c:catAx>
        <c:axId val="161448704"/>
        <c:scaling>
          <c:orientation val="minMax"/>
        </c:scaling>
        <c:delete val="0"/>
        <c:axPos val="b"/>
        <c:numFmt formatCode="General" sourceLinked="1"/>
        <c:majorTickMark val="none"/>
        <c:minorTickMark val="none"/>
        <c:tickLblPos val="nextTo"/>
        <c:txPr>
          <a:bodyPr rot="-5400000" vert="horz"/>
          <a:lstStyle/>
          <a:p>
            <a:pPr>
              <a:defRPr/>
            </a:pPr>
            <a:endParaRPr lang="en-US"/>
          </a:p>
        </c:txPr>
        <c:crossAx val="161450240"/>
        <c:crosses val="autoZero"/>
        <c:auto val="1"/>
        <c:lblAlgn val="ctr"/>
        <c:lblOffset val="100"/>
        <c:noMultiLvlLbl val="0"/>
      </c:catAx>
      <c:valAx>
        <c:axId val="161450240"/>
        <c:scaling>
          <c:orientation val="minMax"/>
          <c:min val="0"/>
        </c:scaling>
        <c:delete val="0"/>
        <c:axPos val="l"/>
        <c:majorGridlines>
          <c:spPr>
            <a:ln>
              <a:noFill/>
            </a:ln>
          </c:spPr>
        </c:majorGridlines>
        <c:numFmt formatCode="General" sourceLinked="1"/>
        <c:majorTickMark val="none"/>
        <c:minorTickMark val="none"/>
        <c:tickLblPos val="nextTo"/>
        <c:crossAx val="161448704"/>
        <c:crosses val="autoZero"/>
        <c:crossBetween val="between"/>
      </c:valAx>
    </c:plotArea>
    <c:legend>
      <c:legendPos val="l"/>
      <c:layout>
        <c:manualLayout>
          <c:xMode val="edge"/>
          <c:yMode val="edge"/>
          <c:x val="9.8239733853603947E-2"/>
          <c:y val="0.23227891789116925"/>
          <c:w val="0.6540452570547336"/>
          <c:h val="0.30111626827897603"/>
        </c:manualLayout>
      </c:layout>
      <c:overlay val="1"/>
      <c:spPr>
        <a:ln>
          <a:solidFill>
            <a:sysClr val="windowText" lastClr="000000"/>
          </a:solidFill>
        </a:ln>
        <a:effectLst>
          <a:outerShdw sx="1000" sy="1000" algn="ctr" rotWithShape="0">
            <a:srgbClr val="000000"/>
          </a:outerShdw>
        </a:effectLst>
      </c:spPr>
      <c:txPr>
        <a:bodyPr/>
        <a:lstStyle/>
        <a:p>
          <a:pPr>
            <a:defRPr lang="en-US" sz="1000" b="0" i="0" u="none" strike="noStrike" kern="1200" baseline="0">
              <a:solidFill>
                <a:sysClr val="window" lastClr="FFFFFF"/>
              </a:solidFill>
              <a:latin typeface="+mn-lt"/>
              <a:ea typeface="+mn-ea"/>
              <a:cs typeface="+mn-cs"/>
            </a:defRPr>
          </a:pPr>
          <a:endParaRPr lang="en-US"/>
        </a:p>
      </c:txPr>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42"/>
    </mc:Choice>
    <mc:Fallback>
      <c:style val="4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 lastClr="FFFFFF"/>
                </a:solidFill>
                <a:latin typeface="+mn-lt"/>
                <a:ea typeface="+mn-ea"/>
                <a:cs typeface="+mn-cs"/>
              </a:defRPr>
            </a:pPr>
            <a:r>
              <a:rPr lang="en-US"/>
              <a:t>Suicide Attacks by </a:t>
            </a:r>
            <a:r>
              <a:rPr lang="en-US" baseline="0"/>
              <a:t>Target Over Time (CPOST)</a:t>
            </a:r>
            <a:endParaRPr lang="en-US">
              <a:effectLst/>
            </a:endParaRPr>
          </a:p>
        </c:rich>
      </c:tx>
      <c:overlay val="0"/>
    </c:title>
    <c:autoTitleDeleted val="0"/>
    <c:plotArea>
      <c:layout/>
      <c:lineChart>
        <c:grouping val="standard"/>
        <c:varyColors val="0"/>
        <c:ser>
          <c:idx val="12"/>
          <c:order val="0"/>
          <c:tx>
            <c:strRef>
              <c:f>'Targets and Countries'!$B$1</c:f>
              <c:strCache>
                <c:ptCount val="1"/>
                <c:pt idx="0">
                  <c:v>Total</c:v>
                </c:pt>
              </c:strCache>
            </c:strRef>
          </c:tx>
          <c:spPr>
            <a:ln w="63500">
              <a:solidFill>
                <a:srgbClr val="7030A0"/>
              </a:solidFill>
            </a:ln>
          </c:spPr>
          <c:marker>
            <c:symbol val="none"/>
          </c:marker>
          <c:cat>
            <c:numRef>
              <c:f>'Targets and Countries'!$A$2:$A$34</c:f>
              <c:numCache>
                <c:formatCode>General</c:formatCode>
                <c:ptCount val="32"/>
                <c:pt idx="0">
                  <c:v>1982</c:v>
                </c:pt>
                <c:pt idx="1">
                  <c:v>1983</c:v>
                </c:pt>
                <c:pt idx="2">
                  <c:v>1984</c:v>
                </c:pt>
                <c:pt idx="3">
                  <c:v>1985</c:v>
                </c:pt>
                <c:pt idx="4">
                  <c:v>1986</c:v>
                </c:pt>
                <c:pt idx="5">
                  <c:v>1987</c:v>
                </c:pt>
                <c:pt idx="6">
                  <c:v>1988</c:v>
                </c:pt>
                <c:pt idx="7">
                  <c:v>1989</c:v>
                </c:pt>
                <c:pt idx="8">
                  <c:v>1990</c:v>
                </c:pt>
                <c:pt idx="9">
                  <c:v>1991</c:v>
                </c:pt>
                <c:pt idx="10">
                  <c:v>1992</c:v>
                </c:pt>
                <c:pt idx="11">
                  <c:v>1994</c:v>
                </c:pt>
                <c:pt idx="12">
                  <c:v>1995</c:v>
                </c:pt>
                <c:pt idx="13">
                  <c:v>1996</c:v>
                </c:pt>
                <c:pt idx="14">
                  <c:v>1997</c:v>
                </c:pt>
                <c:pt idx="15">
                  <c:v>1998</c:v>
                </c:pt>
                <c:pt idx="16">
                  <c:v>1999</c:v>
                </c:pt>
                <c:pt idx="17">
                  <c:v>2000</c:v>
                </c:pt>
                <c:pt idx="18">
                  <c:v>2001</c:v>
                </c:pt>
                <c:pt idx="19">
                  <c:v>2002</c:v>
                </c:pt>
                <c:pt idx="20">
                  <c:v>2003</c:v>
                </c:pt>
                <c:pt idx="21">
                  <c:v>2004</c:v>
                </c:pt>
                <c:pt idx="22">
                  <c:v>2005</c:v>
                </c:pt>
                <c:pt idx="23">
                  <c:v>2006</c:v>
                </c:pt>
                <c:pt idx="24">
                  <c:v>2007</c:v>
                </c:pt>
                <c:pt idx="25">
                  <c:v>2008</c:v>
                </c:pt>
                <c:pt idx="26">
                  <c:v>2009</c:v>
                </c:pt>
                <c:pt idx="27">
                  <c:v>2010</c:v>
                </c:pt>
                <c:pt idx="28">
                  <c:v>2011</c:v>
                </c:pt>
                <c:pt idx="29">
                  <c:v>2012</c:v>
                </c:pt>
                <c:pt idx="30">
                  <c:v>2013</c:v>
                </c:pt>
                <c:pt idx="31">
                  <c:v>2014</c:v>
                </c:pt>
              </c:numCache>
            </c:numRef>
          </c:cat>
          <c:val>
            <c:numRef>
              <c:f>'Targets and Countries'!$B$2:$B$34</c:f>
              <c:numCache>
                <c:formatCode>General</c:formatCode>
                <c:ptCount val="32"/>
                <c:pt idx="0">
                  <c:v>1</c:v>
                </c:pt>
                <c:pt idx="1">
                  <c:v>5</c:v>
                </c:pt>
                <c:pt idx="2">
                  <c:v>3</c:v>
                </c:pt>
                <c:pt idx="3">
                  <c:v>22</c:v>
                </c:pt>
                <c:pt idx="4">
                  <c:v>3</c:v>
                </c:pt>
                <c:pt idx="5">
                  <c:v>3</c:v>
                </c:pt>
                <c:pt idx="6">
                  <c:v>2</c:v>
                </c:pt>
                <c:pt idx="7">
                  <c:v>2</c:v>
                </c:pt>
                <c:pt idx="8">
                  <c:v>3</c:v>
                </c:pt>
                <c:pt idx="9">
                  <c:v>4</c:v>
                </c:pt>
                <c:pt idx="10">
                  <c:v>1</c:v>
                </c:pt>
                <c:pt idx="11">
                  <c:v>11</c:v>
                </c:pt>
                <c:pt idx="12">
                  <c:v>19</c:v>
                </c:pt>
                <c:pt idx="13">
                  <c:v>17</c:v>
                </c:pt>
                <c:pt idx="14">
                  <c:v>9</c:v>
                </c:pt>
                <c:pt idx="15">
                  <c:v>15</c:v>
                </c:pt>
                <c:pt idx="16">
                  <c:v>20</c:v>
                </c:pt>
                <c:pt idx="17">
                  <c:v>28</c:v>
                </c:pt>
                <c:pt idx="18">
                  <c:v>46</c:v>
                </c:pt>
                <c:pt idx="19">
                  <c:v>66</c:v>
                </c:pt>
                <c:pt idx="20">
                  <c:v>92</c:v>
                </c:pt>
                <c:pt idx="21">
                  <c:v>175</c:v>
                </c:pt>
                <c:pt idx="22">
                  <c:v>355</c:v>
                </c:pt>
                <c:pt idx="23">
                  <c:v>339</c:v>
                </c:pt>
                <c:pt idx="24">
                  <c:v>525</c:v>
                </c:pt>
                <c:pt idx="25">
                  <c:v>414</c:v>
                </c:pt>
                <c:pt idx="26">
                  <c:v>307</c:v>
                </c:pt>
                <c:pt idx="27">
                  <c:v>283</c:v>
                </c:pt>
                <c:pt idx="28">
                  <c:v>257</c:v>
                </c:pt>
                <c:pt idx="29">
                  <c:v>290</c:v>
                </c:pt>
                <c:pt idx="30">
                  <c:v>447</c:v>
                </c:pt>
                <c:pt idx="31">
                  <c:v>545</c:v>
                </c:pt>
              </c:numCache>
            </c:numRef>
          </c:val>
          <c:smooth val="1"/>
        </c:ser>
        <c:ser>
          <c:idx val="20"/>
          <c:order val="1"/>
          <c:tx>
            <c:strRef>
              <c:f>'Targets and Countries'!$C$1</c:f>
              <c:strCache>
                <c:ptCount val="1"/>
                <c:pt idx="0">
                  <c:v>Security</c:v>
                </c:pt>
              </c:strCache>
            </c:strRef>
          </c:tx>
          <c:spPr>
            <a:ln w="63500">
              <a:solidFill>
                <a:srgbClr val="FF0000"/>
              </a:solidFill>
            </a:ln>
          </c:spPr>
          <c:marker>
            <c:symbol val="none"/>
          </c:marker>
          <c:cat>
            <c:numRef>
              <c:f>'Targets and Countries'!$A$2:$A$34</c:f>
              <c:numCache>
                <c:formatCode>General</c:formatCode>
                <c:ptCount val="32"/>
                <c:pt idx="0">
                  <c:v>1982</c:v>
                </c:pt>
                <c:pt idx="1">
                  <c:v>1983</c:v>
                </c:pt>
                <c:pt idx="2">
                  <c:v>1984</c:v>
                </c:pt>
                <c:pt idx="3">
                  <c:v>1985</c:v>
                </c:pt>
                <c:pt idx="4">
                  <c:v>1986</c:v>
                </c:pt>
                <c:pt idx="5">
                  <c:v>1987</c:v>
                </c:pt>
                <c:pt idx="6">
                  <c:v>1988</c:v>
                </c:pt>
                <c:pt idx="7">
                  <c:v>1989</c:v>
                </c:pt>
                <c:pt idx="8">
                  <c:v>1990</c:v>
                </c:pt>
                <c:pt idx="9">
                  <c:v>1991</c:v>
                </c:pt>
                <c:pt idx="10">
                  <c:v>1992</c:v>
                </c:pt>
                <c:pt idx="11">
                  <c:v>1994</c:v>
                </c:pt>
                <c:pt idx="12">
                  <c:v>1995</c:v>
                </c:pt>
                <c:pt idx="13">
                  <c:v>1996</c:v>
                </c:pt>
                <c:pt idx="14">
                  <c:v>1997</c:v>
                </c:pt>
                <c:pt idx="15">
                  <c:v>1998</c:v>
                </c:pt>
                <c:pt idx="16">
                  <c:v>1999</c:v>
                </c:pt>
                <c:pt idx="17">
                  <c:v>2000</c:v>
                </c:pt>
                <c:pt idx="18">
                  <c:v>2001</c:v>
                </c:pt>
                <c:pt idx="19">
                  <c:v>2002</c:v>
                </c:pt>
                <c:pt idx="20">
                  <c:v>2003</c:v>
                </c:pt>
                <c:pt idx="21">
                  <c:v>2004</c:v>
                </c:pt>
                <c:pt idx="22">
                  <c:v>2005</c:v>
                </c:pt>
                <c:pt idx="23">
                  <c:v>2006</c:v>
                </c:pt>
                <c:pt idx="24">
                  <c:v>2007</c:v>
                </c:pt>
                <c:pt idx="25">
                  <c:v>2008</c:v>
                </c:pt>
                <c:pt idx="26">
                  <c:v>2009</c:v>
                </c:pt>
                <c:pt idx="27">
                  <c:v>2010</c:v>
                </c:pt>
                <c:pt idx="28">
                  <c:v>2011</c:v>
                </c:pt>
                <c:pt idx="29">
                  <c:v>2012</c:v>
                </c:pt>
                <c:pt idx="30">
                  <c:v>2013</c:v>
                </c:pt>
                <c:pt idx="31">
                  <c:v>2014</c:v>
                </c:pt>
              </c:numCache>
            </c:numRef>
          </c:cat>
          <c:val>
            <c:numRef>
              <c:f>'Targets and Countries'!$C$2:$C$34</c:f>
              <c:numCache>
                <c:formatCode>General</c:formatCode>
                <c:ptCount val="32"/>
                <c:pt idx="0">
                  <c:v>1</c:v>
                </c:pt>
                <c:pt idx="1">
                  <c:v>3</c:v>
                </c:pt>
                <c:pt idx="2">
                  <c:v>2</c:v>
                </c:pt>
                <c:pt idx="3">
                  <c:v>20</c:v>
                </c:pt>
                <c:pt idx="4">
                  <c:v>3</c:v>
                </c:pt>
                <c:pt idx="5">
                  <c:v>1</c:v>
                </c:pt>
                <c:pt idx="6">
                  <c:v>2</c:v>
                </c:pt>
                <c:pt idx="7">
                  <c:v>2</c:v>
                </c:pt>
                <c:pt idx="8">
                  <c:v>3</c:v>
                </c:pt>
                <c:pt idx="9">
                  <c:v>3</c:v>
                </c:pt>
                <c:pt idx="10">
                  <c:v>1</c:v>
                </c:pt>
                <c:pt idx="11">
                  <c:v>6</c:v>
                </c:pt>
                <c:pt idx="12">
                  <c:v>11</c:v>
                </c:pt>
                <c:pt idx="13">
                  <c:v>11</c:v>
                </c:pt>
                <c:pt idx="14">
                  <c:v>4</c:v>
                </c:pt>
                <c:pt idx="15">
                  <c:v>7</c:v>
                </c:pt>
                <c:pt idx="16">
                  <c:v>13</c:v>
                </c:pt>
                <c:pt idx="17">
                  <c:v>20</c:v>
                </c:pt>
                <c:pt idx="18">
                  <c:v>18</c:v>
                </c:pt>
                <c:pt idx="19">
                  <c:v>19</c:v>
                </c:pt>
                <c:pt idx="20">
                  <c:v>44</c:v>
                </c:pt>
                <c:pt idx="21">
                  <c:v>110</c:v>
                </c:pt>
                <c:pt idx="22">
                  <c:v>225</c:v>
                </c:pt>
                <c:pt idx="23">
                  <c:v>230</c:v>
                </c:pt>
                <c:pt idx="24">
                  <c:v>360</c:v>
                </c:pt>
                <c:pt idx="25">
                  <c:v>304</c:v>
                </c:pt>
                <c:pt idx="26">
                  <c:v>208</c:v>
                </c:pt>
                <c:pt idx="27">
                  <c:v>178</c:v>
                </c:pt>
                <c:pt idx="28">
                  <c:v>164</c:v>
                </c:pt>
                <c:pt idx="29">
                  <c:v>192</c:v>
                </c:pt>
                <c:pt idx="30">
                  <c:v>282</c:v>
                </c:pt>
                <c:pt idx="31">
                  <c:v>378</c:v>
                </c:pt>
              </c:numCache>
            </c:numRef>
          </c:val>
          <c:smooth val="1"/>
        </c:ser>
        <c:ser>
          <c:idx val="21"/>
          <c:order val="2"/>
          <c:tx>
            <c:strRef>
              <c:f>'Targets and Countries'!$D$1</c:f>
              <c:strCache>
                <c:ptCount val="1"/>
                <c:pt idx="0">
                  <c:v>Political</c:v>
                </c:pt>
              </c:strCache>
            </c:strRef>
          </c:tx>
          <c:spPr>
            <a:ln w="63500">
              <a:solidFill>
                <a:srgbClr val="00B050"/>
              </a:solidFill>
            </a:ln>
          </c:spPr>
          <c:marker>
            <c:symbol val="none"/>
          </c:marker>
          <c:cat>
            <c:numRef>
              <c:f>'Targets and Countries'!$A$2:$A$34</c:f>
              <c:numCache>
                <c:formatCode>General</c:formatCode>
                <c:ptCount val="32"/>
                <c:pt idx="0">
                  <c:v>1982</c:v>
                </c:pt>
                <c:pt idx="1">
                  <c:v>1983</c:v>
                </c:pt>
                <c:pt idx="2">
                  <c:v>1984</c:v>
                </c:pt>
                <c:pt idx="3">
                  <c:v>1985</c:v>
                </c:pt>
                <c:pt idx="4">
                  <c:v>1986</c:v>
                </c:pt>
                <c:pt idx="5">
                  <c:v>1987</c:v>
                </c:pt>
                <c:pt idx="6">
                  <c:v>1988</c:v>
                </c:pt>
                <c:pt idx="7">
                  <c:v>1989</c:v>
                </c:pt>
                <c:pt idx="8">
                  <c:v>1990</c:v>
                </c:pt>
                <c:pt idx="9">
                  <c:v>1991</c:v>
                </c:pt>
                <c:pt idx="10">
                  <c:v>1992</c:v>
                </c:pt>
                <c:pt idx="11">
                  <c:v>1994</c:v>
                </c:pt>
                <c:pt idx="12">
                  <c:v>1995</c:v>
                </c:pt>
                <c:pt idx="13">
                  <c:v>1996</c:v>
                </c:pt>
                <c:pt idx="14">
                  <c:v>1997</c:v>
                </c:pt>
                <c:pt idx="15">
                  <c:v>1998</c:v>
                </c:pt>
                <c:pt idx="16">
                  <c:v>1999</c:v>
                </c:pt>
                <c:pt idx="17">
                  <c:v>2000</c:v>
                </c:pt>
                <c:pt idx="18">
                  <c:v>2001</c:v>
                </c:pt>
                <c:pt idx="19">
                  <c:v>2002</c:v>
                </c:pt>
                <c:pt idx="20">
                  <c:v>2003</c:v>
                </c:pt>
                <c:pt idx="21">
                  <c:v>2004</c:v>
                </c:pt>
                <c:pt idx="22">
                  <c:v>2005</c:v>
                </c:pt>
                <c:pt idx="23">
                  <c:v>2006</c:v>
                </c:pt>
                <c:pt idx="24">
                  <c:v>2007</c:v>
                </c:pt>
                <c:pt idx="25">
                  <c:v>2008</c:v>
                </c:pt>
                <c:pt idx="26">
                  <c:v>2009</c:v>
                </c:pt>
                <c:pt idx="27">
                  <c:v>2010</c:v>
                </c:pt>
                <c:pt idx="28">
                  <c:v>2011</c:v>
                </c:pt>
                <c:pt idx="29">
                  <c:v>2012</c:v>
                </c:pt>
                <c:pt idx="30">
                  <c:v>2013</c:v>
                </c:pt>
                <c:pt idx="31">
                  <c:v>2014</c:v>
                </c:pt>
              </c:numCache>
            </c:numRef>
          </c:cat>
          <c:val>
            <c:numRef>
              <c:f>'Targets and Countries'!$D$2:$D$34</c:f>
              <c:numCache>
                <c:formatCode>General</c:formatCode>
                <c:ptCount val="32"/>
                <c:pt idx="0">
                  <c:v>0</c:v>
                </c:pt>
                <c:pt idx="1">
                  <c:v>2</c:v>
                </c:pt>
                <c:pt idx="2">
                  <c:v>1</c:v>
                </c:pt>
                <c:pt idx="3">
                  <c:v>2</c:v>
                </c:pt>
                <c:pt idx="4">
                  <c:v>0</c:v>
                </c:pt>
                <c:pt idx="5">
                  <c:v>0</c:v>
                </c:pt>
                <c:pt idx="6">
                  <c:v>0</c:v>
                </c:pt>
                <c:pt idx="7">
                  <c:v>0</c:v>
                </c:pt>
                <c:pt idx="8">
                  <c:v>0</c:v>
                </c:pt>
                <c:pt idx="9">
                  <c:v>1</c:v>
                </c:pt>
                <c:pt idx="10">
                  <c:v>0</c:v>
                </c:pt>
                <c:pt idx="11">
                  <c:v>1</c:v>
                </c:pt>
                <c:pt idx="12">
                  <c:v>3</c:v>
                </c:pt>
                <c:pt idx="13">
                  <c:v>0</c:v>
                </c:pt>
                <c:pt idx="14">
                  <c:v>0</c:v>
                </c:pt>
                <c:pt idx="15">
                  <c:v>3</c:v>
                </c:pt>
                <c:pt idx="16">
                  <c:v>5</c:v>
                </c:pt>
                <c:pt idx="17">
                  <c:v>7</c:v>
                </c:pt>
                <c:pt idx="18">
                  <c:v>5</c:v>
                </c:pt>
                <c:pt idx="19">
                  <c:v>2</c:v>
                </c:pt>
                <c:pt idx="20">
                  <c:v>15</c:v>
                </c:pt>
                <c:pt idx="21">
                  <c:v>27</c:v>
                </c:pt>
                <c:pt idx="22">
                  <c:v>53</c:v>
                </c:pt>
                <c:pt idx="23">
                  <c:v>33</c:v>
                </c:pt>
                <c:pt idx="24">
                  <c:v>69</c:v>
                </c:pt>
                <c:pt idx="25">
                  <c:v>65</c:v>
                </c:pt>
                <c:pt idx="26">
                  <c:v>54</c:v>
                </c:pt>
                <c:pt idx="27">
                  <c:v>47</c:v>
                </c:pt>
                <c:pt idx="28">
                  <c:v>54</c:v>
                </c:pt>
                <c:pt idx="29">
                  <c:v>46</c:v>
                </c:pt>
                <c:pt idx="30">
                  <c:v>64</c:v>
                </c:pt>
                <c:pt idx="31">
                  <c:v>55</c:v>
                </c:pt>
              </c:numCache>
            </c:numRef>
          </c:val>
          <c:smooth val="1"/>
        </c:ser>
        <c:ser>
          <c:idx val="22"/>
          <c:order val="3"/>
          <c:tx>
            <c:strRef>
              <c:f>'Targets and Countries'!$E$1</c:f>
              <c:strCache>
                <c:ptCount val="1"/>
                <c:pt idx="0">
                  <c:v>Civilian</c:v>
                </c:pt>
              </c:strCache>
            </c:strRef>
          </c:tx>
          <c:spPr>
            <a:ln w="63500">
              <a:solidFill>
                <a:srgbClr val="FFFF00"/>
              </a:solidFill>
            </a:ln>
          </c:spPr>
          <c:marker>
            <c:symbol val="none"/>
          </c:marker>
          <c:cat>
            <c:numRef>
              <c:f>'Targets and Countries'!$A$2:$A$34</c:f>
              <c:numCache>
                <c:formatCode>General</c:formatCode>
                <c:ptCount val="32"/>
                <c:pt idx="0">
                  <c:v>1982</c:v>
                </c:pt>
                <c:pt idx="1">
                  <c:v>1983</c:v>
                </c:pt>
                <c:pt idx="2">
                  <c:v>1984</c:v>
                </c:pt>
                <c:pt idx="3">
                  <c:v>1985</c:v>
                </c:pt>
                <c:pt idx="4">
                  <c:v>1986</c:v>
                </c:pt>
                <c:pt idx="5">
                  <c:v>1987</c:v>
                </c:pt>
                <c:pt idx="6">
                  <c:v>1988</c:v>
                </c:pt>
                <c:pt idx="7">
                  <c:v>1989</c:v>
                </c:pt>
                <c:pt idx="8">
                  <c:v>1990</c:v>
                </c:pt>
                <c:pt idx="9">
                  <c:v>1991</c:v>
                </c:pt>
                <c:pt idx="10">
                  <c:v>1992</c:v>
                </c:pt>
                <c:pt idx="11">
                  <c:v>1994</c:v>
                </c:pt>
                <c:pt idx="12">
                  <c:v>1995</c:v>
                </c:pt>
                <c:pt idx="13">
                  <c:v>1996</c:v>
                </c:pt>
                <c:pt idx="14">
                  <c:v>1997</c:v>
                </c:pt>
                <c:pt idx="15">
                  <c:v>1998</c:v>
                </c:pt>
                <c:pt idx="16">
                  <c:v>1999</c:v>
                </c:pt>
                <c:pt idx="17">
                  <c:v>2000</c:v>
                </c:pt>
                <c:pt idx="18">
                  <c:v>2001</c:v>
                </c:pt>
                <c:pt idx="19">
                  <c:v>2002</c:v>
                </c:pt>
                <c:pt idx="20">
                  <c:v>2003</c:v>
                </c:pt>
                <c:pt idx="21">
                  <c:v>2004</c:v>
                </c:pt>
                <c:pt idx="22">
                  <c:v>2005</c:v>
                </c:pt>
                <c:pt idx="23">
                  <c:v>2006</c:v>
                </c:pt>
                <c:pt idx="24">
                  <c:v>2007</c:v>
                </c:pt>
                <c:pt idx="25">
                  <c:v>2008</c:v>
                </c:pt>
                <c:pt idx="26">
                  <c:v>2009</c:v>
                </c:pt>
                <c:pt idx="27">
                  <c:v>2010</c:v>
                </c:pt>
                <c:pt idx="28">
                  <c:v>2011</c:v>
                </c:pt>
                <c:pt idx="29">
                  <c:v>2012</c:v>
                </c:pt>
                <c:pt idx="30">
                  <c:v>2013</c:v>
                </c:pt>
                <c:pt idx="31">
                  <c:v>2014</c:v>
                </c:pt>
              </c:numCache>
            </c:numRef>
          </c:cat>
          <c:val>
            <c:numRef>
              <c:f>'Targets and Countries'!$E$2:$E$34</c:f>
              <c:numCache>
                <c:formatCode>General</c:formatCode>
                <c:ptCount val="32"/>
                <c:pt idx="0">
                  <c:v>0</c:v>
                </c:pt>
                <c:pt idx="1">
                  <c:v>0</c:v>
                </c:pt>
                <c:pt idx="2">
                  <c:v>0</c:v>
                </c:pt>
                <c:pt idx="3">
                  <c:v>0</c:v>
                </c:pt>
                <c:pt idx="4">
                  <c:v>0</c:v>
                </c:pt>
                <c:pt idx="5">
                  <c:v>2</c:v>
                </c:pt>
                <c:pt idx="6">
                  <c:v>0</c:v>
                </c:pt>
                <c:pt idx="7">
                  <c:v>0</c:v>
                </c:pt>
                <c:pt idx="8">
                  <c:v>0</c:v>
                </c:pt>
                <c:pt idx="9">
                  <c:v>0</c:v>
                </c:pt>
                <c:pt idx="10">
                  <c:v>0</c:v>
                </c:pt>
                <c:pt idx="11">
                  <c:v>4</c:v>
                </c:pt>
                <c:pt idx="12">
                  <c:v>5</c:v>
                </c:pt>
                <c:pt idx="13">
                  <c:v>6</c:v>
                </c:pt>
                <c:pt idx="14">
                  <c:v>5</c:v>
                </c:pt>
                <c:pt idx="15">
                  <c:v>5</c:v>
                </c:pt>
                <c:pt idx="16">
                  <c:v>2</c:v>
                </c:pt>
                <c:pt idx="17">
                  <c:v>1</c:v>
                </c:pt>
                <c:pt idx="18">
                  <c:v>23</c:v>
                </c:pt>
                <c:pt idx="19">
                  <c:v>45</c:v>
                </c:pt>
                <c:pt idx="20">
                  <c:v>33</c:v>
                </c:pt>
                <c:pt idx="21">
                  <c:v>38</c:v>
                </c:pt>
                <c:pt idx="22">
                  <c:v>77</c:v>
                </c:pt>
                <c:pt idx="23">
                  <c:v>74</c:v>
                </c:pt>
                <c:pt idx="24">
                  <c:v>95</c:v>
                </c:pt>
                <c:pt idx="25">
                  <c:v>43</c:v>
                </c:pt>
                <c:pt idx="26">
                  <c:v>44</c:v>
                </c:pt>
                <c:pt idx="27">
                  <c:v>57</c:v>
                </c:pt>
                <c:pt idx="28">
                  <c:v>38</c:v>
                </c:pt>
                <c:pt idx="29">
                  <c:v>51</c:v>
                </c:pt>
                <c:pt idx="30">
                  <c:v>99</c:v>
                </c:pt>
                <c:pt idx="31">
                  <c:v>110</c:v>
                </c:pt>
              </c:numCache>
            </c:numRef>
          </c:val>
          <c:smooth val="1"/>
        </c:ser>
        <c:dLbls>
          <c:showLegendKey val="0"/>
          <c:showVal val="0"/>
          <c:showCatName val="0"/>
          <c:showSerName val="0"/>
          <c:showPercent val="0"/>
          <c:showBubbleSize val="0"/>
        </c:dLbls>
        <c:marker val="1"/>
        <c:smooth val="0"/>
        <c:axId val="104359424"/>
        <c:axId val="104360960"/>
      </c:lineChart>
      <c:catAx>
        <c:axId val="104359424"/>
        <c:scaling>
          <c:orientation val="minMax"/>
        </c:scaling>
        <c:delete val="0"/>
        <c:axPos val="b"/>
        <c:numFmt formatCode="General" sourceLinked="1"/>
        <c:majorTickMark val="none"/>
        <c:minorTickMark val="none"/>
        <c:tickLblPos val="nextTo"/>
        <c:txPr>
          <a:bodyPr rot="-5400000" vert="horz"/>
          <a:lstStyle/>
          <a:p>
            <a:pPr>
              <a:defRPr sz="800" baseline="0"/>
            </a:pPr>
            <a:endParaRPr lang="en-US"/>
          </a:p>
        </c:txPr>
        <c:crossAx val="104360960"/>
        <c:crosses val="autoZero"/>
        <c:auto val="1"/>
        <c:lblAlgn val="ctr"/>
        <c:lblOffset val="100"/>
        <c:noMultiLvlLbl val="0"/>
      </c:catAx>
      <c:valAx>
        <c:axId val="104360960"/>
        <c:scaling>
          <c:orientation val="minMax"/>
          <c:min val="0"/>
        </c:scaling>
        <c:delete val="0"/>
        <c:axPos val="l"/>
        <c:majorGridlines>
          <c:spPr>
            <a:ln>
              <a:noFill/>
            </a:ln>
          </c:spPr>
        </c:majorGridlines>
        <c:numFmt formatCode="General" sourceLinked="1"/>
        <c:majorTickMark val="none"/>
        <c:minorTickMark val="none"/>
        <c:tickLblPos val="nextTo"/>
        <c:crossAx val="104359424"/>
        <c:crosses val="autoZero"/>
        <c:crossBetween val="between"/>
      </c:valAx>
    </c:plotArea>
    <c:legend>
      <c:legendPos val="l"/>
      <c:layout>
        <c:manualLayout>
          <c:xMode val="edge"/>
          <c:yMode val="edge"/>
          <c:x val="9.4388265443197505E-2"/>
          <c:y val="0.22679989046660412"/>
          <c:w val="0.28413437493541721"/>
          <c:h val="0.30111626827897636"/>
        </c:manualLayout>
      </c:layout>
      <c:overlay val="1"/>
      <c:spPr>
        <a:ln>
          <a:solidFill>
            <a:sysClr val="windowText" lastClr="000000"/>
          </a:solidFill>
        </a:ln>
        <a:effectLst>
          <a:outerShdw sx="1000" sy="1000" algn="ctr" rotWithShape="0">
            <a:srgbClr val="000000"/>
          </a:outerShdw>
        </a:effectLst>
      </c:spPr>
      <c:txPr>
        <a:bodyPr/>
        <a:lstStyle/>
        <a:p>
          <a:pPr>
            <a:defRPr lang="en-US" sz="1000" b="0" i="0" u="none" strike="noStrike" kern="1200" baseline="0">
              <a:solidFill>
                <a:sysClr val="window" lastClr="FFFFFF"/>
              </a:solidFill>
              <a:latin typeface="+mn-lt"/>
              <a:ea typeface="+mn-ea"/>
              <a:cs typeface="+mn-cs"/>
            </a:defRPr>
          </a:pPr>
          <a:endParaRPr lang="en-US"/>
        </a:p>
      </c:txPr>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42"/>
    </mc:Choice>
    <mc:Fallback>
      <c:style val="42"/>
    </mc:Fallback>
  </mc:AlternateContent>
  <c:clrMapOvr bg1="lt1" tx1="dk1" bg2="lt2" tx2="dk2" accent1="accent1" accent2="accent2" accent3="accent3" accent4="accent4" accent5="accent5" accent6="accent6" hlink="hlink" folHlink="folHlink"/>
  <c:chart>
    <c:title>
      <c:tx>
        <c:rich>
          <a:bodyPr/>
          <a:lstStyle/>
          <a:p>
            <a:pPr>
              <a:defRPr/>
            </a:pPr>
            <a:r>
              <a:rPr lang="en-US"/>
              <a:t>Suicide</a:t>
            </a:r>
            <a:r>
              <a:rPr lang="en-US" baseline="0"/>
              <a:t> Attack Target Breakdown, All Time (CPOST)</a:t>
            </a:r>
            <a:endParaRPr lang="en-US"/>
          </a:p>
        </c:rich>
      </c:tx>
      <c:overlay val="0"/>
    </c:title>
    <c:autoTitleDeleted val="0"/>
    <c:plotArea>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('Targets and Countries'!$H$1,'Targets and Countries'!$I$1,'Targets and Countries'!$J$1)</c:f>
              <c:strCache>
                <c:ptCount val="3"/>
                <c:pt idx="0">
                  <c:v>Security</c:v>
                </c:pt>
                <c:pt idx="1">
                  <c:v>Political</c:v>
                </c:pt>
                <c:pt idx="2">
                  <c:v>Civilian</c:v>
                </c:pt>
              </c:strCache>
            </c:strRef>
          </c:cat>
          <c:val>
            <c:numRef>
              <c:f>('Targets and Countries'!$H$35,'Targets and Countries'!$I$35,'Targets and Countries'!$J$35)</c:f>
              <c:numCache>
                <c:formatCode>0%</c:formatCode>
                <c:ptCount val="3"/>
                <c:pt idx="0">
                  <c:v>0.65446118192352198</c:v>
                </c:pt>
                <c:pt idx="1">
                  <c:v>0.14183082271147199</c:v>
                </c:pt>
                <c:pt idx="2">
                  <c:v>0.198609501738123</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42"/>
    </mc:Choice>
    <mc:Fallback>
      <c:style val="42"/>
    </mc:Fallback>
  </mc:AlternateContent>
  <c:clrMapOvr bg1="lt1" tx1="dk1" bg2="lt2" tx2="dk2" accent1="accent1" accent2="accent2" accent3="accent3" accent4="accent4" accent5="accent5" accent6="accent6" hlink="hlink" folHlink="folHlink"/>
  <c:chart>
    <c:title>
      <c:tx>
        <c:rich>
          <a:bodyPr/>
          <a:lstStyle/>
          <a:p>
            <a:pPr>
              <a:defRPr/>
            </a:pPr>
            <a:r>
              <a:rPr lang="en-US"/>
              <a:t>Suicide Attack Target Breakdown,</a:t>
            </a:r>
            <a:r>
              <a:rPr lang="en-US" baseline="0"/>
              <a:t> All Time</a:t>
            </a:r>
            <a:endParaRPr lang="en-US"/>
          </a:p>
        </c:rich>
      </c:tx>
      <c:overlay val="0"/>
    </c:title>
    <c:autoTitleDeleted val="0"/>
    <c:plotArea>
      <c:layout/>
      <c:pieChart>
        <c:varyColors val="1"/>
        <c:ser>
          <c:idx val="0"/>
          <c:order val="0"/>
          <c:dLbls>
            <c:spPr>
              <a:noFill/>
              <a:ln>
                <a:noFill/>
              </a:ln>
              <a:effectLst/>
            </c:spPr>
            <c:txPr>
              <a:bodyPr/>
              <a:lstStyle/>
              <a:p>
                <a:pPr>
                  <a:defRPr sz="800" baseline="0"/>
                </a:pPr>
                <a:endParaRPr lang="en-US"/>
              </a:p>
            </c:txPr>
            <c:dLblPos val="bestFit"/>
            <c:showLegendKey val="0"/>
            <c:showVal val="1"/>
            <c:showCatName val="1"/>
            <c:showSerName val="0"/>
            <c:showPercent val="0"/>
            <c:showBubbleSize val="0"/>
            <c:showLeaderLines val="1"/>
            <c:extLst>
              <c:ext xmlns:c15="http://schemas.microsoft.com/office/drawing/2012/chart" uri="{CE6537A1-D6FC-4f65-9D91-7224C49458BB}"/>
            </c:extLst>
          </c:dLbls>
          <c:cat>
            <c:strRef>
              <c:f>(Targets!$C$1:$F$1,Targets!$H$1:$S$1)</c:f>
              <c:strCache>
                <c:ptCount val="16"/>
                <c:pt idx="0">
                  <c:v>Military</c:v>
                </c:pt>
                <c:pt idx="1">
                  <c:v>Government (Diplomatic)</c:v>
                </c:pt>
                <c:pt idx="2">
                  <c:v>Government (General)</c:v>
                </c:pt>
                <c:pt idx="3">
                  <c:v>Police</c:v>
                </c:pt>
                <c:pt idx="4">
                  <c:v>Violent Political Party</c:v>
                </c:pt>
                <c:pt idx="5">
                  <c:v>Private Citizens &amp; Property</c:v>
                </c:pt>
                <c:pt idx="6">
                  <c:v>Business</c:v>
                </c:pt>
                <c:pt idx="7">
                  <c:v>Religious Figures/Institutions</c:v>
                </c:pt>
                <c:pt idx="8">
                  <c:v>Educational Institution</c:v>
                </c:pt>
                <c:pt idx="9">
                  <c:v>NGO</c:v>
                </c:pt>
                <c:pt idx="10">
                  <c:v>Tourists</c:v>
                </c:pt>
                <c:pt idx="11">
                  <c:v>Journalists &amp; Media</c:v>
                </c:pt>
                <c:pt idx="12">
                  <c:v>Airports &amp; Aircraft</c:v>
                </c:pt>
                <c:pt idx="13">
                  <c:v>Transportation</c:v>
                </c:pt>
                <c:pt idx="14">
                  <c:v>Maritime</c:v>
                </c:pt>
                <c:pt idx="15">
                  <c:v>Utilities</c:v>
                </c:pt>
              </c:strCache>
            </c:strRef>
          </c:cat>
          <c:val>
            <c:numRef>
              <c:f>(Targets!$C$37:$F$37,Targets!$H$37:$S$37)</c:f>
              <c:numCache>
                <c:formatCode>0.0%</c:formatCode>
                <c:ptCount val="16"/>
                <c:pt idx="0">
                  <c:v>0.229512516469038</c:v>
                </c:pt>
                <c:pt idx="1">
                  <c:v>1.8972332015810313E-2</c:v>
                </c:pt>
                <c:pt idx="2">
                  <c:v>0.13517786561264786</c:v>
                </c:pt>
                <c:pt idx="3">
                  <c:v>0.22108036890645597</c:v>
                </c:pt>
                <c:pt idx="4">
                  <c:v>3.9525691699604697E-3</c:v>
                </c:pt>
                <c:pt idx="5">
                  <c:v>0.15177865612648211</c:v>
                </c:pt>
                <c:pt idx="6">
                  <c:v>6.7984189723320099E-2</c:v>
                </c:pt>
                <c:pt idx="7">
                  <c:v>4.453227931488804E-2</c:v>
                </c:pt>
                <c:pt idx="8">
                  <c:v>1.1330698287220001E-2</c:v>
                </c:pt>
                <c:pt idx="9">
                  <c:v>2.37154150197628E-3</c:v>
                </c:pt>
                <c:pt idx="10">
                  <c:v>3.4255599472990802E-3</c:v>
                </c:pt>
                <c:pt idx="11">
                  <c:v>3.6890645586297841E-3</c:v>
                </c:pt>
                <c:pt idx="12">
                  <c:v>7.378129117259556E-3</c:v>
                </c:pt>
                <c:pt idx="13">
                  <c:v>2.8985507246376802E-2</c:v>
                </c:pt>
                <c:pt idx="14">
                  <c:v>3.1620553359683798E-3</c:v>
                </c:pt>
                <c:pt idx="15">
                  <c:v>1.31752305665349E-3</c:v>
                </c:pt>
              </c:numCache>
            </c:numRef>
          </c:val>
        </c:ser>
        <c:dLbls>
          <c:showLegendKey val="0"/>
          <c:showVal val="1"/>
          <c:showCatName val="0"/>
          <c:showSerName val="0"/>
          <c:showPercent val="0"/>
          <c:showBubbleSize val="0"/>
          <c:showLeaderLines val="1"/>
        </c:dLbls>
        <c:firstSliceAng val="0"/>
      </c:pieChart>
    </c:plotArea>
    <c:legend>
      <c:legendPos val="r"/>
      <c:layout>
        <c:manualLayout>
          <c:xMode val="edge"/>
          <c:yMode val="edge"/>
          <c:x val="0.82801716106714329"/>
          <c:y val="0.26478531605671179"/>
          <c:w val="0.164652995900194"/>
          <c:h val="0.57422927664516088"/>
        </c:manualLayout>
      </c:layout>
      <c:overlay val="0"/>
      <c:txPr>
        <a:bodyPr/>
        <a:lstStyle/>
        <a:p>
          <a:pPr rtl="0">
            <a:defRPr/>
          </a:pPr>
          <a:endParaRPr lang="en-US"/>
        </a:p>
      </c:txPr>
    </c:legend>
    <c:plotVisOnly val="1"/>
    <c:dispBlanksAs val="zero"/>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42"/>
    </mc:Choice>
    <mc:Fallback>
      <c:style val="42"/>
    </mc:Fallback>
  </mc:AlternateContent>
  <c:chart>
    <c:title>
      <c:tx>
        <c:rich>
          <a:bodyPr/>
          <a:lstStyle/>
          <a:p>
            <a:pPr>
              <a:defRPr/>
            </a:pPr>
            <a:r>
              <a:rPr lang="en-US"/>
              <a:t>Era of Nationalism Targets (START)</a:t>
            </a:r>
          </a:p>
        </c:rich>
      </c:tx>
      <c:overlay val="0"/>
    </c:title>
    <c:autoTitleDeleted val="0"/>
    <c:plotArea>
      <c:layout/>
      <c:pieChart>
        <c:varyColors val="1"/>
        <c:ser>
          <c:idx val="0"/>
          <c:order val="0"/>
          <c:dLbls>
            <c:showLegendKey val="0"/>
            <c:showVal val="1"/>
            <c:showCatName val="0"/>
            <c:showSerName val="0"/>
            <c:showPercent val="0"/>
            <c:showBubbleSize val="0"/>
            <c:showLeaderLines val="0"/>
          </c:dLbls>
          <c:cat>
            <c:strRef>
              <c:f>'Targets and Countries %'!$J$1:$N$1</c:f>
              <c:strCache>
                <c:ptCount val="5"/>
                <c:pt idx="0">
                  <c:v>Military</c:v>
                </c:pt>
                <c:pt idx="1">
                  <c:v>Government</c:v>
                </c:pt>
                <c:pt idx="2">
                  <c:v>Police</c:v>
                </c:pt>
                <c:pt idx="3">
                  <c:v>Civilians</c:v>
                </c:pt>
                <c:pt idx="4">
                  <c:v>Informal Groups</c:v>
                </c:pt>
              </c:strCache>
            </c:strRef>
          </c:cat>
          <c:val>
            <c:numRef>
              <c:f>'Targets and Countries %'!$J$37:$N$37</c:f>
              <c:numCache>
                <c:formatCode>0%</c:formatCode>
                <c:ptCount val="5"/>
                <c:pt idx="0">
                  <c:v>0.52631578947368418</c:v>
                </c:pt>
                <c:pt idx="1">
                  <c:v>0.18421052631578938</c:v>
                </c:pt>
                <c:pt idx="2">
                  <c:v>0.10526315789473686</c:v>
                </c:pt>
                <c:pt idx="3">
                  <c:v>0.13157894736842116</c:v>
                </c:pt>
                <c:pt idx="4">
                  <c:v>5.2631578947368432E-2</c:v>
                </c:pt>
              </c:numCache>
            </c:numRef>
          </c:val>
        </c:ser>
        <c:ser>
          <c:idx val="1"/>
          <c:order val="1"/>
          <c:cat>
            <c:strRef>
              <c:f>'Targets and Countries %'!$J$1:$N$1</c:f>
              <c:strCache>
                <c:ptCount val="5"/>
                <c:pt idx="0">
                  <c:v>Military</c:v>
                </c:pt>
                <c:pt idx="1">
                  <c:v>Government</c:v>
                </c:pt>
                <c:pt idx="2">
                  <c:v>Police</c:v>
                </c:pt>
                <c:pt idx="3">
                  <c:v>Civilians</c:v>
                </c:pt>
                <c:pt idx="4">
                  <c:v>Informal Groups</c:v>
                </c:pt>
              </c:strCache>
            </c:strRef>
          </c:cat>
          <c:val>
            <c:numRef>
              <c:f>'Targets and Countries %'!$J$1:$N$1</c:f>
              <c:numCache>
                <c:formatCode>0%</c:formatCode>
                <c:ptCount val="5"/>
                <c:pt idx="0">
                  <c:v>0</c:v>
                </c:pt>
                <c:pt idx="1">
                  <c:v>0</c:v>
                </c:pt>
                <c:pt idx="2" formatCode="@">
                  <c:v>0</c:v>
                </c:pt>
                <c:pt idx="3" formatCode="@">
                  <c:v>0</c:v>
                </c:pt>
                <c:pt idx="4" formatCode="@">
                  <c:v>0</c:v>
                </c:pt>
              </c:numCache>
            </c:numRef>
          </c:val>
        </c:ser>
        <c:ser>
          <c:idx val="2"/>
          <c:order val="2"/>
          <c:cat>
            <c:strRef>
              <c:f>'Targets and Countries %'!$J$1:$N$1</c:f>
              <c:strCache>
                <c:ptCount val="5"/>
                <c:pt idx="0">
                  <c:v>Military</c:v>
                </c:pt>
                <c:pt idx="1">
                  <c:v>Government</c:v>
                </c:pt>
                <c:pt idx="2">
                  <c:v>Police</c:v>
                </c:pt>
                <c:pt idx="3">
                  <c:v>Civilians</c:v>
                </c:pt>
                <c:pt idx="4">
                  <c:v>Informal Groups</c:v>
                </c:pt>
              </c:strCache>
            </c:strRef>
          </c:cat>
          <c:val>
            <c:numRef>
              <c:f>'Targets and Countries %'!$A$37</c:f>
              <c:numCache>
                <c:formatCode>General</c:formatCode>
                <c:ptCount val="1"/>
                <c:pt idx="0">
                  <c:v>0</c:v>
                </c:pt>
              </c:numCache>
            </c:numRef>
          </c:val>
        </c:ser>
        <c:dLbls>
          <c:showLegendKey val="0"/>
          <c:showVal val="0"/>
          <c:showCatName val="0"/>
          <c:showSerName val="0"/>
          <c:showPercent val="0"/>
          <c:showBubbleSize val="0"/>
          <c:showLeaderLines val="0"/>
        </c:dLbls>
        <c:firstSliceAng val="0"/>
      </c:pieChart>
    </c:plotArea>
    <c:legend>
      <c:legendPos val="r"/>
      <c:layout>
        <c:manualLayout>
          <c:xMode val="edge"/>
          <c:yMode val="edge"/>
          <c:x val="0.62557800239943795"/>
          <c:y val="0.40025828414450232"/>
          <c:w val="0.35340623577919683"/>
          <c:h val="0.49157268120389669"/>
        </c:manualLayout>
      </c:layout>
      <c:overlay val="0"/>
    </c:legend>
    <c:plotVisOnly val="1"/>
    <c:dispBlanksAs val="zero"/>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42"/>
    </mc:Choice>
    <mc:Fallback>
      <c:style val="42"/>
    </mc:Fallback>
  </mc:AlternateContent>
  <c:chart>
    <c:title>
      <c:tx>
        <c:rich>
          <a:bodyPr/>
          <a:lstStyle/>
          <a:p>
            <a:pPr>
              <a:defRPr/>
            </a:pPr>
            <a:r>
              <a:rPr lang="en-US"/>
              <a:t>Era</a:t>
            </a:r>
            <a:r>
              <a:rPr lang="en-US" baseline="0"/>
              <a:t> of Religious Nationalism Targets (START)</a:t>
            </a:r>
            <a:endParaRPr lang="en-US"/>
          </a:p>
        </c:rich>
      </c:tx>
      <c:overlay val="0"/>
    </c:title>
    <c:autoTitleDeleted val="0"/>
    <c:plotArea>
      <c:layout/>
      <c:pieChart>
        <c:varyColors val="1"/>
        <c:ser>
          <c:idx val="0"/>
          <c:order val="0"/>
          <c:dLbls>
            <c:showLegendKey val="0"/>
            <c:showVal val="1"/>
            <c:showCatName val="0"/>
            <c:showSerName val="0"/>
            <c:showPercent val="0"/>
            <c:showBubbleSize val="0"/>
            <c:showLeaderLines val="1"/>
          </c:dLbls>
          <c:cat>
            <c:strRef>
              <c:f>'Targets and Countries %'!$J$1:$N$1</c:f>
              <c:strCache>
                <c:ptCount val="5"/>
                <c:pt idx="0">
                  <c:v>Military %</c:v>
                </c:pt>
                <c:pt idx="1">
                  <c:v>Government Total %</c:v>
                </c:pt>
                <c:pt idx="2">
                  <c:v>Police %</c:v>
                </c:pt>
                <c:pt idx="3">
                  <c:v>Civilians and Infrastructure %</c:v>
                </c:pt>
                <c:pt idx="4">
                  <c:v>Informal Groups</c:v>
                </c:pt>
              </c:strCache>
            </c:strRef>
          </c:cat>
          <c:val>
            <c:numRef>
              <c:f>'Targets and Countries %'!$J$38:$N$38</c:f>
              <c:numCache>
                <c:formatCode>0%</c:formatCode>
                <c:ptCount val="5"/>
                <c:pt idx="0">
                  <c:v>0.2441113490364028</c:v>
                </c:pt>
                <c:pt idx="1">
                  <c:v>0.14346895074946492</c:v>
                </c:pt>
                <c:pt idx="2">
                  <c:v>0.1284796573875803</c:v>
                </c:pt>
                <c:pt idx="3">
                  <c:v>0.43897216274089979</c:v>
                </c:pt>
                <c:pt idx="4">
                  <c:v>1.284796573875804E-2</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58084861485337635"/>
          <c:y val="0.39491621620951817"/>
          <c:w val="0.40254008946556097"/>
          <c:h val="0.52744752515000759"/>
        </c:manualLayout>
      </c:layout>
      <c:overlay val="0"/>
    </c:legend>
    <c:plotVisOnly val="1"/>
    <c:dispBlanksAs val="zero"/>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42"/>
    </mc:Choice>
    <mc:Fallback>
      <c:style val="42"/>
    </mc:Fallback>
  </mc:AlternateContent>
  <c:clrMapOvr bg1="lt1" tx1="dk1" bg2="lt2" tx2="dk2" accent1="accent1" accent2="accent2" accent3="accent3" accent4="accent4" accent5="accent5" accent6="accent6" hlink="hlink" folHlink="folHlink"/>
  <c:chart>
    <c:title>
      <c:tx>
        <c:rich>
          <a:bodyPr/>
          <a:lstStyle/>
          <a:p>
            <a:pPr>
              <a:defRPr/>
            </a:pPr>
            <a:r>
              <a:rPr lang="en-US"/>
              <a:t>Era of Fitna Targets </a:t>
            </a:r>
            <a:r>
              <a:rPr lang="en-US" baseline="0"/>
              <a:t>(START)</a:t>
            </a:r>
            <a:endParaRPr lang="en-US"/>
          </a:p>
        </c:rich>
      </c:tx>
      <c:layout>
        <c:manualLayout>
          <c:xMode val="edge"/>
          <c:yMode val="edge"/>
          <c:x val="0.20023600174978129"/>
          <c:y val="3.2407407407407433E-2"/>
        </c:manualLayout>
      </c:layout>
      <c:overlay val="0"/>
    </c:title>
    <c:autoTitleDeleted val="0"/>
    <c:plotArea>
      <c:layout/>
      <c:pieChart>
        <c:varyColors val="1"/>
        <c:ser>
          <c:idx val="0"/>
          <c:order val="0"/>
          <c:dLbls>
            <c:showLegendKey val="0"/>
            <c:showVal val="1"/>
            <c:showCatName val="0"/>
            <c:showSerName val="0"/>
            <c:showPercent val="0"/>
            <c:showBubbleSize val="0"/>
            <c:showLeaderLines val="1"/>
          </c:dLbls>
          <c:cat>
            <c:strRef>
              <c:f>'Targets and Countries %'!$J$1:$N$1</c:f>
              <c:strCache>
                <c:ptCount val="5"/>
                <c:pt idx="0">
                  <c:v>Military %</c:v>
                </c:pt>
                <c:pt idx="1">
                  <c:v>Government Total %</c:v>
                </c:pt>
                <c:pt idx="2">
                  <c:v>Police %</c:v>
                </c:pt>
                <c:pt idx="3">
                  <c:v>Civilians and Infrastructure %</c:v>
                </c:pt>
                <c:pt idx="4">
                  <c:v>Informal Groups</c:v>
                </c:pt>
              </c:strCache>
            </c:strRef>
          </c:cat>
          <c:val>
            <c:numRef>
              <c:f>'Targets and Countries %'!$J$40:$N$40</c:f>
              <c:numCache>
                <c:formatCode>0%</c:formatCode>
                <c:ptCount val="5"/>
                <c:pt idx="0">
                  <c:v>0.2255319148936169</c:v>
                </c:pt>
                <c:pt idx="1">
                  <c:v>0.15653495440729506</c:v>
                </c:pt>
                <c:pt idx="2">
                  <c:v>0.23556231003039532</c:v>
                </c:pt>
                <c:pt idx="3">
                  <c:v>0.31610942249240132</c:v>
                </c:pt>
                <c:pt idx="4">
                  <c:v>3.8905775075987845E-2</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42"/>
    </mc:Choice>
    <mc:Fallback>
      <c:style val="42"/>
    </mc:Fallback>
  </mc:AlternateContent>
  <c:clrMapOvr bg1="lt1" tx1="dk1" bg2="lt2" tx2="dk2" accent1="accent1" accent2="accent2" accent3="accent3" accent4="accent4" accent5="accent5" accent6="accent6" hlink="hlink" folHlink="folHlink"/>
  <c:chart>
    <c:title>
      <c:tx>
        <c:rich>
          <a:bodyPr/>
          <a:lstStyle/>
          <a:p>
            <a:pPr>
              <a:defRPr/>
            </a:pPr>
            <a:r>
              <a:rPr lang="en-US"/>
              <a:t>Lebanon Total Suicide Attacks (START)</a:t>
            </a:r>
          </a:p>
        </c:rich>
      </c:tx>
      <c:overlay val="0"/>
    </c:title>
    <c:autoTitleDeleted val="0"/>
    <c:plotArea>
      <c:layout/>
      <c:lineChart>
        <c:grouping val="standard"/>
        <c:varyColors val="0"/>
        <c:ser>
          <c:idx val="12"/>
          <c:order val="0"/>
          <c:tx>
            <c:strRef>
              <c:f>'Targets and Countries'!$CE$1</c:f>
              <c:strCache>
                <c:ptCount val="1"/>
                <c:pt idx="0">
                  <c:v>Lebanon</c:v>
                </c:pt>
              </c:strCache>
            </c:strRef>
          </c:tx>
          <c:spPr>
            <a:ln w="63500">
              <a:solidFill>
                <a:srgbClr val="7030A0"/>
              </a:solidFill>
            </a:ln>
          </c:spPr>
          <c:marker>
            <c:symbol val="none"/>
          </c:marker>
          <c:cat>
            <c:numRef>
              <c:f>'Targets and Countries'!$A$2:$A$35</c:f>
              <c:numCache>
                <c:formatCode>General</c:formatCode>
                <c:ptCount val="33"/>
                <c:pt idx="0">
                  <c:v>1981</c:v>
                </c:pt>
                <c:pt idx="1">
                  <c:v>1982</c:v>
                </c:pt>
                <c:pt idx="2">
                  <c:v>1983</c:v>
                </c:pt>
                <c:pt idx="3">
                  <c:v>1984</c:v>
                </c:pt>
                <c:pt idx="4">
                  <c:v>1985</c:v>
                </c:pt>
                <c:pt idx="5">
                  <c:v>1986</c:v>
                </c:pt>
                <c:pt idx="6">
                  <c:v>1987</c:v>
                </c:pt>
                <c:pt idx="7">
                  <c:v>1988</c:v>
                </c:pt>
                <c:pt idx="8">
                  <c:v>1989</c:v>
                </c:pt>
                <c:pt idx="9">
                  <c:v>1990</c:v>
                </c:pt>
                <c:pt idx="10">
                  <c:v>1991</c:v>
                </c:pt>
                <c:pt idx="11">
                  <c:v>1992</c:v>
                </c:pt>
                <c:pt idx="12">
                  <c:v>1994</c:v>
                </c:pt>
                <c:pt idx="13">
                  <c:v>1995</c:v>
                </c:pt>
                <c:pt idx="14">
                  <c:v>1996</c:v>
                </c:pt>
                <c:pt idx="15">
                  <c:v>1997</c:v>
                </c:pt>
                <c:pt idx="16">
                  <c:v>1998</c:v>
                </c:pt>
                <c:pt idx="17">
                  <c:v>1999</c:v>
                </c:pt>
                <c:pt idx="18">
                  <c:v>2000</c:v>
                </c:pt>
                <c:pt idx="19">
                  <c:v>2001</c:v>
                </c:pt>
                <c:pt idx="20">
                  <c:v>2002</c:v>
                </c:pt>
                <c:pt idx="21">
                  <c:v>2003</c:v>
                </c:pt>
                <c:pt idx="22">
                  <c:v>2004</c:v>
                </c:pt>
                <c:pt idx="23">
                  <c:v>2005</c:v>
                </c:pt>
                <c:pt idx="24">
                  <c:v>2006</c:v>
                </c:pt>
                <c:pt idx="25">
                  <c:v>2007</c:v>
                </c:pt>
                <c:pt idx="26">
                  <c:v>2008</c:v>
                </c:pt>
                <c:pt idx="27">
                  <c:v>2009</c:v>
                </c:pt>
                <c:pt idx="28">
                  <c:v>2010</c:v>
                </c:pt>
                <c:pt idx="29">
                  <c:v>2011</c:v>
                </c:pt>
                <c:pt idx="30">
                  <c:v>2012</c:v>
                </c:pt>
                <c:pt idx="31">
                  <c:v>2013</c:v>
                </c:pt>
                <c:pt idx="32">
                  <c:v>2014</c:v>
                </c:pt>
              </c:numCache>
            </c:numRef>
          </c:cat>
          <c:val>
            <c:numRef>
              <c:f>'Targets and Countries'!$CE$2:$CE$35</c:f>
              <c:numCache>
                <c:formatCode>General</c:formatCode>
                <c:ptCount val="33"/>
                <c:pt idx="0">
                  <c:v>1</c:v>
                </c:pt>
                <c:pt idx="1">
                  <c:v>1</c:v>
                </c:pt>
                <c:pt idx="2">
                  <c:v>4</c:v>
                </c:pt>
                <c:pt idx="3">
                  <c:v>2</c:v>
                </c:pt>
                <c:pt idx="4">
                  <c:v>15</c:v>
                </c:pt>
                <c:pt idx="5">
                  <c:v>3</c:v>
                </c:pt>
                <c:pt idx="6">
                  <c:v>2</c:v>
                </c:pt>
                <c:pt idx="7">
                  <c:v>1</c:v>
                </c:pt>
                <c:pt idx="8">
                  <c:v>0</c:v>
                </c:pt>
                <c:pt idx="9">
                  <c:v>1</c:v>
                </c:pt>
                <c:pt idx="10">
                  <c:v>0</c:v>
                </c:pt>
                <c:pt idx="11">
                  <c:v>0</c:v>
                </c:pt>
                <c:pt idx="12">
                  <c:v>0</c:v>
                </c:pt>
                <c:pt idx="13">
                  <c:v>0</c:v>
                </c:pt>
                <c:pt idx="14">
                  <c:v>2</c:v>
                </c:pt>
                <c:pt idx="15">
                  <c:v>1</c:v>
                </c:pt>
                <c:pt idx="16">
                  <c:v>1</c:v>
                </c:pt>
                <c:pt idx="17">
                  <c:v>1</c:v>
                </c:pt>
                <c:pt idx="18">
                  <c:v>0</c:v>
                </c:pt>
                <c:pt idx="19">
                  <c:v>0</c:v>
                </c:pt>
                <c:pt idx="20">
                  <c:v>0</c:v>
                </c:pt>
                <c:pt idx="21">
                  <c:v>0</c:v>
                </c:pt>
                <c:pt idx="22">
                  <c:v>0</c:v>
                </c:pt>
                <c:pt idx="23">
                  <c:v>0</c:v>
                </c:pt>
                <c:pt idx="24">
                  <c:v>0</c:v>
                </c:pt>
                <c:pt idx="25">
                  <c:v>0</c:v>
                </c:pt>
                <c:pt idx="26">
                  <c:v>1</c:v>
                </c:pt>
                <c:pt idx="27">
                  <c:v>0</c:v>
                </c:pt>
                <c:pt idx="28">
                  <c:v>0</c:v>
                </c:pt>
                <c:pt idx="29">
                  <c:v>0</c:v>
                </c:pt>
                <c:pt idx="30">
                  <c:v>0</c:v>
                </c:pt>
                <c:pt idx="31">
                  <c:v>6</c:v>
                </c:pt>
                <c:pt idx="32">
                  <c:v>13</c:v>
                </c:pt>
              </c:numCache>
            </c:numRef>
          </c:val>
          <c:smooth val="1"/>
        </c:ser>
        <c:ser>
          <c:idx val="20"/>
          <c:order val="1"/>
          <c:tx>
            <c:strRef>
              <c:f>'Targets and Countries'!$CF$1</c:f>
              <c:strCache>
                <c:ptCount val="1"/>
                <c:pt idx="0">
                  <c:v>Military</c:v>
                </c:pt>
              </c:strCache>
            </c:strRef>
          </c:tx>
          <c:spPr>
            <a:ln w="63500">
              <a:solidFill>
                <a:srgbClr val="FF0000"/>
              </a:solidFill>
            </a:ln>
          </c:spPr>
          <c:marker>
            <c:symbol val="none"/>
          </c:marker>
          <c:cat>
            <c:numRef>
              <c:f>'Targets and Countries'!$A$2:$A$35</c:f>
              <c:numCache>
                <c:formatCode>General</c:formatCode>
                <c:ptCount val="33"/>
                <c:pt idx="0">
                  <c:v>1981</c:v>
                </c:pt>
                <c:pt idx="1">
                  <c:v>1982</c:v>
                </c:pt>
                <c:pt idx="2">
                  <c:v>1983</c:v>
                </c:pt>
                <c:pt idx="3">
                  <c:v>1984</c:v>
                </c:pt>
                <c:pt idx="4">
                  <c:v>1985</c:v>
                </c:pt>
                <c:pt idx="5">
                  <c:v>1986</c:v>
                </c:pt>
                <c:pt idx="6">
                  <c:v>1987</c:v>
                </c:pt>
                <c:pt idx="7">
                  <c:v>1988</c:v>
                </c:pt>
                <c:pt idx="8">
                  <c:v>1989</c:v>
                </c:pt>
                <c:pt idx="9">
                  <c:v>1990</c:v>
                </c:pt>
                <c:pt idx="10">
                  <c:v>1991</c:v>
                </c:pt>
                <c:pt idx="11">
                  <c:v>1992</c:v>
                </c:pt>
                <c:pt idx="12">
                  <c:v>1994</c:v>
                </c:pt>
                <c:pt idx="13">
                  <c:v>1995</c:v>
                </c:pt>
                <c:pt idx="14">
                  <c:v>1996</c:v>
                </c:pt>
                <c:pt idx="15">
                  <c:v>1997</c:v>
                </c:pt>
                <c:pt idx="16">
                  <c:v>1998</c:v>
                </c:pt>
                <c:pt idx="17">
                  <c:v>1999</c:v>
                </c:pt>
                <c:pt idx="18">
                  <c:v>2000</c:v>
                </c:pt>
                <c:pt idx="19">
                  <c:v>2001</c:v>
                </c:pt>
                <c:pt idx="20">
                  <c:v>2002</c:v>
                </c:pt>
                <c:pt idx="21">
                  <c:v>2003</c:v>
                </c:pt>
                <c:pt idx="22">
                  <c:v>2004</c:v>
                </c:pt>
                <c:pt idx="23">
                  <c:v>2005</c:v>
                </c:pt>
                <c:pt idx="24">
                  <c:v>2006</c:v>
                </c:pt>
                <c:pt idx="25">
                  <c:v>2007</c:v>
                </c:pt>
                <c:pt idx="26">
                  <c:v>2008</c:v>
                </c:pt>
                <c:pt idx="27">
                  <c:v>2009</c:v>
                </c:pt>
                <c:pt idx="28">
                  <c:v>2010</c:v>
                </c:pt>
                <c:pt idx="29">
                  <c:v>2011</c:v>
                </c:pt>
                <c:pt idx="30">
                  <c:v>2012</c:v>
                </c:pt>
                <c:pt idx="31">
                  <c:v>2013</c:v>
                </c:pt>
                <c:pt idx="32">
                  <c:v>2014</c:v>
                </c:pt>
              </c:numCache>
            </c:numRef>
          </c:cat>
          <c:val>
            <c:numRef>
              <c:f>'Targets and Countries'!$CF$2:$CF$35</c:f>
              <c:numCache>
                <c:formatCode>General</c:formatCode>
                <c:ptCount val="33"/>
                <c:pt idx="0">
                  <c:v>0</c:v>
                </c:pt>
                <c:pt idx="1">
                  <c:v>1</c:v>
                </c:pt>
                <c:pt idx="2">
                  <c:v>3</c:v>
                </c:pt>
                <c:pt idx="3">
                  <c:v>1</c:v>
                </c:pt>
                <c:pt idx="4">
                  <c:v>8</c:v>
                </c:pt>
                <c:pt idx="5">
                  <c:v>1</c:v>
                </c:pt>
                <c:pt idx="6">
                  <c:v>0</c:v>
                </c:pt>
                <c:pt idx="7">
                  <c:v>1</c:v>
                </c:pt>
                <c:pt idx="8">
                  <c:v>0</c:v>
                </c:pt>
                <c:pt idx="9">
                  <c:v>1</c:v>
                </c:pt>
                <c:pt idx="10">
                  <c:v>0</c:v>
                </c:pt>
                <c:pt idx="11">
                  <c:v>0</c:v>
                </c:pt>
                <c:pt idx="12">
                  <c:v>0</c:v>
                </c:pt>
                <c:pt idx="13">
                  <c:v>0</c:v>
                </c:pt>
                <c:pt idx="14">
                  <c:v>1</c:v>
                </c:pt>
                <c:pt idx="15">
                  <c:v>1</c:v>
                </c:pt>
                <c:pt idx="16">
                  <c:v>0</c:v>
                </c:pt>
                <c:pt idx="17">
                  <c:v>0</c:v>
                </c:pt>
                <c:pt idx="18">
                  <c:v>0</c:v>
                </c:pt>
                <c:pt idx="19">
                  <c:v>0</c:v>
                </c:pt>
                <c:pt idx="20">
                  <c:v>0</c:v>
                </c:pt>
                <c:pt idx="21">
                  <c:v>0</c:v>
                </c:pt>
                <c:pt idx="22">
                  <c:v>0</c:v>
                </c:pt>
                <c:pt idx="23">
                  <c:v>0</c:v>
                </c:pt>
                <c:pt idx="24">
                  <c:v>0</c:v>
                </c:pt>
                <c:pt idx="25">
                  <c:v>0</c:v>
                </c:pt>
                <c:pt idx="26">
                  <c:v>1</c:v>
                </c:pt>
                <c:pt idx="27">
                  <c:v>0</c:v>
                </c:pt>
                <c:pt idx="28">
                  <c:v>0</c:v>
                </c:pt>
                <c:pt idx="29">
                  <c:v>0</c:v>
                </c:pt>
                <c:pt idx="30">
                  <c:v>0</c:v>
                </c:pt>
                <c:pt idx="31">
                  <c:v>3</c:v>
                </c:pt>
                <c:pt idx="32">
                  <c:v>3</c:v>
                </c:pt>
              </c:numCache>
            </c:numRef>
          </c:val>
          <c:smooth val="1"/>
        </c:ser>
        <c:ser>
          <c:idx val="21"/>
          <c:order val="2"/>
          <c:tx>
            <c:strRef>
              <c:f>'Targets and Countries'!$CG$1</c:f>
              <c:strCache>
                <c:ptCount val="1"/>
                <c:pt idx="0">
                  <c:v>Government</c:v>
                </c:pt>
              </c:strCache>
            </c:strRef>
          </c:tx>
          <c:spPr>
            <a:ln w="63500">
              <a:solidFill>
                <a:srgbClr val="00B050"/>
              </a:solidFill>
            </a:ln>
          </c:spPr>
          <c:marker>
            <c:symbol val="none"/>
          </c:marker>
          <c:cat>
            <c:numRef>
              <c:f>'Targets and Countries'!$A$2:$A$35</c:f>
              <c:numCache>
                <c:formatCode>General</c:formatCode>
                <c:ptCount val="33"/>
                <c:pt idx="0">
                  <c:v>1981</c:v>
                </c:pt>
                <c:pt idx="1">
                  <c:v>1982</c:v>
                </c:pt>
                <c:pt idx="2">
                  <c:v>1983</c:v>
                </c:pt>
                <c:pt idx="3">
                  <c:v>1984</c:v>
                </c:pt>
                <c:pt idx="4">
                  <c:v>1985</c:v>
                </c:pt>
                <c:pt idx="5">
                  <c:v>1986</c:v>
                </c:pt>
                <c:pt idx="6">
                  <c:v>1987</c:v>
                </c:pt>
                <c:pt idx="7">
                  <c:v>1988</c:v>
                </c:pt>
                <c:pt idx="8">
                  <c:v>1989</c:v>
                </c:pt>
                <c:pt idx="9">
                  <c:v>1990</c:v>
                </c:pt>
                <c:pt idx="10">
                  <c:v>1991</c:v>
                </c:pt>
                <c:pt idx="11">
                  <c:v>1992</c:v>
                </c:pt>
                <c:pt idx="12">
                  <c:v>1994</c:v>
                </c:pt>
                <c:pt idx="13">
                  <c:v>1995</c:v>
                </c:pt>
                <c:pt idx="14">
                  <c:v>1996</c:v>
                </c:pt>
                <c:pt idx="15">
                  <c:v>1997</c:v>
                </c:pt>
                <c:pt idx="16">
                  <c:v>1998</c:v>
                </c:pt>
                <c:pt idx="17">
                  <c:v>1999</c:v>
                </c:pt>
                <c:pt idx="18">
                  <c:v>2000</c:v>
                </c:pt>
                <c:pt idx="19">
                  <c:v>2001</c:v>
                </c:pt>
                <c:pt idx="20">
                  <c:v>2002</c:v>
                </c:pt>
                <c:pt idx="21">
                  <c:v>2003</c:v>
                </c:pt>
                <c:pt idx="22">
                  <c:v>2004</c:v>
                </c:pt>
                <c:pt idx="23">
                  <c:v>2005</c:v>
                </c:pt>
                <c:pt idx="24">
                  <c:v>2006</c:v>
                </c:pt>
                <c:pt idx="25">
                  <c:v>2007</c:v>
                </c:pt>
                <c:pt idx="26">
                  <c:v>2008</c:v>
                </c:pt>
                <c:pt idx="27">
                  <c:v>2009</c:v>
                </c:pt>
                <c:pt idx="28">
                  <c:v>2010</c:v>
                </c:pt>
                <c:pt idx="29">
                  <c:v>2011</c:v>
                </c:pt>
                <c:pt idx="30">
                  <c:v>2012</c:v>
                </c:pt>
                <c:pt idx="31">
                  <c:v>2013</c:v>
                </c:pt>
                <c:pt idx="32">
                  <c:v>2014</c:v>
                </c:pt>
              </c:numCache>
            </c:numRef>
          </c:cat>
          <c:val>
            <c:numRef>
              <c:f>'Targets and Countries'!$CG$2:$CG$35</c:f>
              <c:numCache>
                <c:formatCode>General</c:formatCode>
                <c:ptCount val="33"/>
                <c:pt idx="0">
                  <c:v>1</c:v>
                </c:pt>
                <c:pt idx="1">
                  <c:v>0</c:v>
                </c:pt>
                <c:pt idx="2">
                  <c:v>1</c:v>
                </c:pt>
                <c:pt idx="3">
                  <c:v>1</c:v>
                </c:pt>
                <c:pt idx="4">
                  <c:v>0</c:v>
                </c:pt>
                <c:pt idx="5">
                  <c:v>1</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2</c:v>
                </c:pt>
                <c:pt idx="32">
                  <c:v>0</c:v>
                </c:pt>
              </c:numCache>
            </c:numRef>
          </c:val>
          <c:smooth val="1"/>
        </c:ser>
        <c:ser>
          <c:idx val="22"/>
          <c:order val="3"/>
          <c:tx>
            <c:strRef>
              <c:f>'Targets and Countries'!$CH$1</c:f>
              <c:strCache>
                <c:ptCount val="1"/>
                <c:pt idx="0">
                  <c:v>Police</c:v>
                </c:pt>
              </c:strCache>
            </c:strRef>
          </c:tx>
          <c:spPr>
            <a:ln w="63500">
              <a:solidFill>
                <a:srgbClr val="FFFF00"/>
              </a:solidFill>
            </a:ln>
          </c:spPr>
          <c:marker>
            <c:symbol val="none"/>
          </c:marker>
          <c:cat>
            <c:numRef>
              <c:f>'Targets and Countries'!$A$2:$A$35</c:f>
              <c:numCache>
                <c:formatCode>General</c:formatCode>
                <c:ptCount val="33"/>
                <c:pt idx="0">
                  <c:v>1981</c:v>
                </c:pt>
                <c:pt idx="1">
                  <c:v>1982</c:v>
                </c:pt>
                <c:pt idx="2">
                  <c:v>1983</c:v>
                </c:pt>
                <c:pt idx="3">
                  <c:v>1984</c:v>
                </c:pt>
                <c:pt idx="4">
                  <c:v>1985</c:v>
                </c:pt>
                <c:pt idx="5">
                  <c:v>1986</c:v>
                </c:pt>
                <c:pt idx="6">
                  <c:v>1987</c:v>
                </c:pt>
                <c:pt idx="7">
                  <c:v>1988</c:v>
                </c:pt>
                <c:pt idx="8">
                  <c:v>1989</c:v>
                </c:pt>
                <c:pt idx="9">
                  <c:v>1990</c:v>
                </c:pt>
                <c:pt idx="10">
                  <c:v>1991</c:v>
                </c:pt>
                <c:pt idx="11">
                  <c:v>1992</c:v>
                </c:pt>
                <c:pt idx="12">
                  <c:v>1994</c:v>
                </c:pt>
                <c:pt idx="13">
                  <c:v>1995</c:v>
                </c:pt>
                <c:pt idx="14">
                  <c:v>1996</c:v>
                </c:pt>
                <c:pt idx="15">
                  <c:v>1997</c:v>
                </c:pt>
                <c:pt idx="16">
                  <c:v>1998</c:v>
                </c:pt>
                <c:pt idx="17">
                  <c:v>1999</c:v>
                </c:pt>
                <c:pt idx="18">
                  <c:v>2000</c:v>
                </c:pt>
                <c:pt idx="19">
                  <c:v>2001</c:v>
                </c:pt>
                <c:pt idx="20">
                  <c:v>2002</c:v>
                </c:pt>
                <c:pt idx="21">
                  <c:v>2003</c:v>
                </c:pt>
                <c:pt idx="22">
                  <c:v>2004</c:v>
                </c:pt>
                <c:pt idx="23">
                  <c:v>2005</c:v>
                </c:pt>
                <c:pt idx="24">
                  <c:v>2006</c:v>
                </c:pt>
                <c:pt idx="25">
                  <c:v>2007</c:v>
                </c:pt>
                <c:pt idx="26">
                  <c:v>2008</c:v>
                </c:pt>
                <c:pt idx="27">
                  <c:v>2009</c:v>
                </c:pt>
                <c:pt idx="28">
                  <c:v>2010</c:v>
                </c:pt>
                <c:pt idx="29">
                  <c:v>2011</c:v>
                </c:pt>
                <c:pt idx="30">
                  <c:v>2012</c:v>
                </c:pt>
                <c:pt idx="31">
                  <c:v>2013</c:v>
                </c:pt>
                <c:pt idx="32">
                  <c:v>2014</c:v>
                </c:pt>
              </c:numCache>
            </c:numRef>
          </c:cat>
          <c:val>
            <c:numRef>
              <c:f>'Targets and Countries'!$CH$2:$CH$35</c:f>
              <c:numCache>
                <c:formatCode>General</c:formatCode>
                <c:ptCount val="33"/>
                <c:pt idx="0">
                  <c:v>0</c:v>
                </c:pt>
                <c:pt idx="1">
                  <c:v>0</c:v>
                </c:pt>
                <c:pt idx="2">
                  <c:v>0</c:v>
                </c:pt>
                <c:pt idx="3">
                  <c:v>0</c:v>
                </c:pt>
                <c:pt idx="4">
                  <c:v>3</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1</c:v>
                </c:pt>
              </c:numCache>
            </c:numRef>
          </c:val>
          <c:smooth val="1"/>
        </c:ser>
        <c:ser>
          <c:idx val="23"/>
          <c:order val="4"/>
          <c:tx>
            <c:strRef>
              <c:f>'Targets and Countries'!$CI$1</c:f>
              <c:strCache>
                <c:ptCount val="1"/>
                <c:pt idx="0">
                  <c:v>Civilian</c:v>
                </c:pt>
              </c:strCache>
            </c:strRef>
          </c:tx>
          <c:spPr>
            <a:ln w="63500">
              <a:solidFill>
                <a:srgbClr val="00B0F0"/>
              </a:solidFill>
            </a:ln>
          </c:spPr>
          <c:marker>
            <c:symbol val="none"/>
          </c:marker>
          <c:cat>
            <c:numRef>
              <c:f>'Targets and Countries'!$A$2:$A$35</c:f>
              <c:numCache>
                <c:formatCode>General</c:formatCode>
                <c:ptCount val="33"/>
                <c:pt idx="0">
                  <c:v>1981</c:v>
                </c:pt>
                <c:pt idx="1">
                  <c:v>1982</c:v>
                </c:pt>
                <c:pt idx="2">
                  <c:v>1983</c:v>
                </c:pt>
                <c:pt idx="3">
                  <c:v>1984</c:v>
                </c:pt>
                <c:pt idx="4">
                  <c:v>1985</c:v>
                </c:pt>
                <c:pt idx="5">
                  <c:v>1986</c:v>
                </c:pt>
                <c:pt idx="6">
                  <c:v>1987</c:v>
                </c:pt>
                <c:pt idx="7">
                  <c:v>1988</c:v>
                </c:pt>
                <c:pt idx="8">
                  <c:v>1989</c:v>
                </c:pt>
                <c:pt idx="9">
                  <c:v>1990</c:v>
                </c:pt>
                <c:pt idx="10">
                  <c:v>1991</c:v>
                </c:pt>
                <c:pt idx="11">
                  <c:v>1992</c:v>
                </c:pt>
                <c:pt idx="12">
                  <c:v>1994</c:v>
                </c:pt>
                <c:pt idx="13">
                  <c:v>1995</c:v>
                </c:pt>
                <c:pt idx="14">
                  <c:v>1996</c:v>
                </c:pt>
                <c:pt idx="15">
                  <c:v>1997</c:v>
                </c:pt>
                <c:pt idx="16">
                  <c:v>1998</c:v>
                </c:pt>
                <c:pt idx="17">
                  <c:v>1999</c:v>
                </c:pt>
                <c:pt idx="18">
                  <c:v>2000</c:v>
                </c:pt>
                <c:pt idx="19">
                  <c:v>2001</c:v>
                </c:pt>
                <c:pt idx="20">
                  <c:v>2002</c:v>
                </c:pt>
                <c:pt idx="21">
                  <c:v>2003</c:v>
                </c:pt>
                <c:pt idx="22">
                  <c:v>2004</c:v>
                </c:pt>
                <c:pt idx="23">
                  <c:v>2005</c:v>
                </c:pt>
                <c:pt idx="24">
                  <c:v>2006</c:v>
                </c:pt>
                <c:pt idx="25">
                  <c:v>2007</c:v>
                </c:pt>
                <c:pt idx="26">
                  <c:v>2008</c:v>
                </c:pt>
                <c:pt idx="27">
                  <c:v>2009</c:v>
                </c:pt>
                <c:pt idx="28">
                  <c:v>2010</c:v>
                </c:pt>
                <c:pt idx="29">
                  <c:v>2011</c:v>
                </c:pt>
                <c:pt idx="30">
                  <c:v>2012</c:v>
                </c:pt>
                <c:pt idx="31">
                  <c:v>2013</c:v>
                </c:pt>
                <c:pt idx="32">
                  <c:v>2014</c:v>
                </c:pt>
              </c:numCache>
            </c:numRef>
          </c:cat>
          <c:val>
            <c:numRef>
              <c:f>'Targets and Countries'!$CI$2:$CI$35</c:f>
              <c:numCache>
                <c:formatCode>General</c:formatCode>
                <c:ptCount val="33"/>
                <c:pt idx="0">
                  <c:v>0</c:v>
                </c:pt>
                <c:pt idx="1">
                  <c:v>0</c:v>
                </c:pt>
                <c:pt idx="2">
                  <c:v>0</c:v>
                </c:pt>
                <c:pt idx="3">
                  <c:v>0</c:v>
                </c:pt>
                <c:pt idx="4">
                  <c:v>2</c:v>
                </c:pt>
                <c:pt idx="5">
                  <c:v>1</c:v>
                </c:pt>
                <c:pt idx="6">
                  <c:v>2</c:v>
                </c:pt>
                <c:pt idx="7">
                  <c:v>0</c:v>
                </c:pt>
                <c:pt idx="8">
                  <c:v>0</c:v>
                </c:pt>
                <c:pt idx="9">
                  <c:v>0</c:v>
                </c:pt>
                <c:pt idx="10">
                  <c:v>0</c:v>
                </c:pt>
                <c:pt idx="11">
                  <c:v>0</c:v>
                </c:pt>
                <c:pt idx="12">
                  <c:v>0</c:v>
                </c:pt>
                <c:pt idx="13">
                  <c:v>0</c:v>
                </c:pt>
                <c:pt idx="14">
                  <c:v>0</c:v>
                </c:pt>
                <c:pt idx="15">
                  <c:v>0</c:v>
                </c:pt>
                <c:pt idx="16">
                  <c:v>0</c:v>
                </c:pt>
                <c:pt idx="17">
                  <c:v>1</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7</c:v>
                </c:pt>
              </c:numCache>
            </c:numRef>
          </c:val>
          <c:smooth val="1"/>
        </c:ser>
        <c:ser>
          <c:idx val="24"/>
          <c:order val="5"/>
          <c:tx>
            <c:strRef>
              <c:f>'Targets and Countries'!$CJ$1</c:f>
              <c:strCache>
                <c:ptCount val="1"/>
                <c:pt idx="0">
                  <c:v>Informal Groups</c:v>
                </c:pt>
              </c:strCache>
            </c:strRef>
          </c:tx>
          <c:spPr>
            <a:ln w="63500">
              <a:solidFill>
                <a:srgbClr val="F79646"/>
              </a:solidFill>
            </a:ln>
          </c:spPr>
          <c:marker>
            <c:symbol val="none"/>
          </c:marker>
          <c:cat>
            <c:numRef>
              <c:f>'Targets and Countries'!$A$2:$A$35</c:f>
              <c:numCache>
                <c:formatCode>General</c:formatCode>
                <c:ptCount val="33"/>
                <c:pt idx="0">
                  <c:v>1981</c:v>
                </c:pt>
                <c:pt idx="1">
                  <c:v>1982</c:v>
                </c:pt>
                <c:pt idx="2">
                  <c:v>1983</c:v>
                </c:pt>
                <c:pt idx="3">
                  <c:v>1984</c:v>
                </c:pt>
                <c:pt idx="4">
                  <c:v>1985</c:v>
                </c:pt>
                <c:pt idx="5">
                  <c:v>1986</c:v>
                </c:pt>
                <c:pt idx="6">
                  <c:v>1987</c:v>
                </c:pt>
                <c:pt idx="7">
                  <c:v>1988</c:v>
                </c:pt>
                <c:pt idx="8">
                  <c:v>1989</c:v>
                </c:pt>
                <c:pt idx="9">
                  <c:v>1990</c:v>
                </c:pt>
                <c:pt idx="10">
                  <c:v>1991</c:v>
                </c:pt>
                <c:pt idx="11">
                  <c:v>1992</c:v>
                </c:pt>
                <c:pt idx="12">
                  <c:v>1994</c:v>
                </c:pt>
                <c:pt idx="13">
                  <c:v>1995</c:v>
                </c:pt>
                <c:pt idx="14">
                  <c:v>1996</c:v>
                </c:pt>
                <c:pt idx="15">
                  <c:v>1997</c:v>
                </c:pt>
                <c:pt idx="16">
                  <c:v>1998</c:v>
                </c:pt>
                <c:pt idx="17">
                  <c:v>1999</c:v>
                </c:pt>
                <c:pt idx="18">
                  <c:v>2000</c:v>
                </c:pt>
                <c:pt idx="19">
                  <c:v>2001</c:v>
                </c:pt>
                <c:pt idx="20">
                  <c:v>2002</c:v>
                </c:pt>
                <c:pt idx="21">
                  <c:v>2003</c:v>
                </c:pt>
                <c:pt idx="22">
                  <c:v>2004</c:v>
                </c:pt>
                <c:pt idx="23">
                  <c:v>2005</c:v>
                </c:pt>
                <c:pt idx="24">
                  <c:v>2006</c:v>
                </c:pt>
                <c:pt idx="25">
                  <c:v>2007</c:v>
                </c:pt>
                <c:pt idx="26">
                  <c:v>2008</c:v>
                </c:pt>
                <c:pt idx="27">
                  <c:v>2009</c:v>
                </c:pt>
                <c:pt idx="28">
                  <c:v>2010</c:v>
                </c:pt>
                <c:pt idx="29">
                  <c:v>2011</c:v>
                </c:pt>
                <c:pt idx="30">
                  <c:v>2012</c:v>
                </c:pt>
                <c:pt idx="31">
                  <c:v>2013</c:v>
                </c:pt>
                <c:pt idx="32">
                  <c:v>2014</c:v>
                </c:pt>
              </c:numCache>
            </c:numRef>
          </c:cat>
          <c:val>
            <c:numRef>
              <c:f>'Targets and Countries'!$CJ$2:$CJ$35</c:f>
              <c:numCache>
                <c:formatCode>General</c:formatCode>
                <c:ptCount val="33"/>
                <c:pt idx="0">
                  <c:v>0</c:v>
                </c:pt>
                <c:pt idx="1">
                  <c:v>0</c:v>
                </c:pt>
                <c:pt idx="2">
                  <c:v>0</c:v>
                </c:pt>
                <c:pt idx="3">
                  <c:v>0</c:v>
                </c:pt>
                <c:pt idx="4">
                  <c:v>2</c:v>
                </c:pt>
                <c:pt idx="5">
                  <c:v>0</c:v>
                </c:pt>
                <c:pt idx="6">
                  <c:v>0</c:v>
                </c:pt>
                <c:pt idx="7">
                  <c:v>0</c:v>
                </c:pt>
                <c:pt idx="8">
                  <c:v>0</c:v>
                </c:pt>
                <c:pt idx="9">
                  <c:v>0</c:v>
                </c:pt>
                <c:pt idx="10">
                  <c:v>0</c:v>
                </c:pt>
                <c:pt idx="11">
                  <c:v>0</c:v>
                </c:pt>
                <c:pt idx="12">
                  <c:v>0</c:v>
                </c:pt>
                <c:pt idx="13">
                  <c:v>0</c:v>
                </c:pt>
                <c:pt idx="14">
                  <c:v>0</c:v>
                </c:pt>
                <c:pt idx="15">
                  <c:v>0</c:v>
                </c:pt>
                <c:pt idx="16">
                  <c:v>1</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1</c:v>
                </c:pt>
                <c:pt idx="32">
                  <c:v>2</c:v>
                </c:pt>
              </c:numCache>
            </c:numRef>
          </c:val>
          <c:smooth val="1"/>
        </c:ser>
        <c:dLbls>
          <c:showLegendKey val="0"/>
          <c:showVal val="0"/>
          <c:showCatName val="0"/>
          <c:showSerName val="0"/>
          <c:showPercent val="0"/>
          <c:showBubbleSize val="0"/>
        </c:dLbls>
        <c:marker val="1"/>
        <c:smooth val="0"/>
        <c:axId val="113171840"/>
        <c:axId val="113173632"/>
      </c:lineChart>
      <c:catAx>
        <c:axId val="113171840"/>
        <c:scaling>
          <c:orientation val="minMax"/>
        </c:scaling>
        <c:delete val="0"/>
        <c:axPos val="b"/>
        <c:numFmt formatCode="General" sourceLinked="1"/>
        <c:majorTickMark val="none"/>
        <c:minorTickMark val="none"/>
        <c:tickLblPos val="nextTo"/>
        <c:txPr>
          <a:bodyPr rot="-5400000" vert="horz"/>
          <a:lstStyle/>
          <a:p>
            <a:pPr>
              <a:defRPr/>
            </a:pPr>
            <a:endParaRPr lang="en-US"/>
          </a:p>
        </c:txPr>
        <c:crossAx val="113173632"/>
        <c:crosses val="autoZero"/>
        <c:auto val="1"/>
        <c:lblAlgn val="ctr"/>
        <c:lblOffset val="100"/>
        <c:noMultiLvlLbl val="0"/>
      </c:catAx>
      <c:valAx>
        <c:axId val="113173632"/>
        <c:scaling>
          <c:orientation val="minMax"/>
          <c:min val="0"/>
        </c:scaling>
        <c:delete val="0"/>
        <c:axPos val="l"/>
        <c:majorGridlines>
          <c:spPr>
            <a:ln>
              <a:noFill/>
            </a:ln>
          </c:spPr>
        </c:majorGridlines>
        <c:numFmt formatCode="General" sourceLinked="1"/>
        <c:majorTickMark val="none"/>
        <c:minorTickMark val="none"/>
        <c:tickLblPos val="nextTo"/>
        <c:crossAx val="113171840"/>
        <c:crosses val="autoZero"/>
        <c:crossBetween val="between"/>
      </c:valAx>
    </c:plotArea>
    <c:legend>
      <c:legendPos val="l"/>
      <c:layout>
        <c:manualLayout>
          <c:xMode val="edge"/>
          <c:yMode val="edge"/>
          <c:x val="0.22149920847320428"/>
          <c:y val="0.30762868183143804"/>
          <c:w val="0.64432817703228162"/>
          <c:h val="0.30111626827897603"/>
        </c:manualLayout>
      </c:layout>
      <c:overlay val="1"/>
      <c:spPr>
        <a:ln>
          <a:solidFill>
            <a:sysClr val="windowText" lastClr="000000"/>
          </a:solidFill>
        </a:ln>
        <a:effectLst>
          <a:outerShdw sx="1000" sy="1000" algn="ctr" rotWithShape="0">
            <a:srgbClr val="000000"/>
          </a:outerShdw>
        </a:effectLst>
      </c:spPr>
      <c:txPr>
        <a:bodyPr/>
        <a:lstStyle/>
        <a:p>
          <a:pPr>
            <a:defRPr lang="en-US" sz="1000" b="0" i="0" u="none" strike="noStrike" kern="1200" baseline="0">
              <a:solidFill>
                <a:sysClr val="window" lastClr="FFFFFF"/>
              </a:solidFill>
              <a:latin typeface="+mn-lt"/>
              <a:ea typeface="+mn-ea"/>
              <a:cs typeface="+mn-cs"/>
            </a:defRPr>
          </a:pPr>
          <a:endParaRPr lang="en-US"/>
        </a:p>
      </c:txPr>
    </c:legend>
    <c:plotVisOnly val="1"/>
    <c:dispBlanksAs val="gap"/>
    <c:showDLblsOverMax val="0"/>
  </c:chart>
  <c:externalData r:id="rId2">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617A9D" w:rsidP="00617A9D">
          <w:pPr>
            <w:pStyle w:val="FB6BC100256848A5A97B47EF9500A1F01"/>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64923E8763454755A8FA393A8D4C2399"/>
        <w:category>
          <w:name w:val="General"/>
          <w:gallery w:val="placeholder"/>
        </w:category>
        <w:types>
          <w:type w:val="bbPlcHdr"/>
        </w:types>
        <w:behaviors>
          <w:behavior w:val="content"/>
        </w:behaviors>
        <w:guid w:val="{8F07D0BE-5C82-4A47-B43E-6300D8968B3D}"/>
      </w:docPartPr>
      <w:docPartBody>
        <w:p w:rsidR="00707663" w:rsidRDefault="00D372A3" w:rsidP="00D372A3">
          <w:pPr>
            <w:pStyle w:val="64923E8763454755A8FA393A8D4C2399"/>
          </w:pPr>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045235"/>
    <w:rsid w:val="00001A1F"/>
    <w:rsid w:val="00045235"/>
    <w:rsid w:val="00063FC3"/>
    <w:rsid w:val="00111638"/>
    <w:rsid w:val="00151A9E"/>
    <w:rsid w:val="00167C32"/>
    <w:rsid w:val="001924A2"/>
    <w:rsid w:val="001D26AE"/>
    <w:rsid w:val="001F1822"/>
    <w:rsid w:val="002F2904"/>
    <w:rsid w:val="00303490"/>
    <w:rsid w:val="00314D73"/>
    <w:rsid w:val="003153C5"/>
    <w:rsid w:val="00327900"/>
    <w:rsid w:val="003344D3"/>
    <w:rsid w:val="003475A8"/>
    <w:rsid w:val="003B0A9C"/>
    <w:rsid w:val="003C1627"/>
    <w:rsid w:val="003C7059"/>
    <w:rsid w:val="003D0565"/>
    <w:rsid w:val="004008BC"/>
    <w:rsid w:val="004125EB"/>
    <w:rsid w:val="00464801"/>
    <w:rsid w:val="004830C5"/>
    <w:rsid w:val="004F10EE"/>
    <w:rsid w:val="00506E93"/>
    <w:rsid w:val="005121F0"/>
    <w:rsid w:val="0053599A"/>
    <w:rsid w:val="005C08FC"/>
    <w:rsid w:val="00617A9D"/>
    <w:rsid w:val="006327E7"/>
    <w:rsid w:val="00647CEF"/>
    <w:rsid w:val="006B34D5"/>
    <w:rsid w:val="00700C56"/>
    <w:rsid w:val="007057E8"/>
    <w:rsid w:val="00707663"/>
    <w:rsid w:val="00713126"/>
    <w:rsid w:val="007332C0"/>
    <w:rsid w:val="00771D4C"/>
    <w:rsid w:val="00782F36"/>
    <w:rsid w:val="0079544D"/>
    <w:rsid w:val="007C1ECA"/>
    <w:rsid w:val="007D11E5"/>
    <w:rsid w:val="0086030F"/>
    <w:rsid w:val="00860562"/>
    <w:rsid w:val="00863991"/>
    <w:rsid w:val="008809FC"/>
    <w:rsid w:val="00881FCA"/>
    <w:rsid w:val="008A7626"/>
    <w:rsid w:val="008B7CFD"/>
    <w:rsid w:val="008C0287"/>
    <w:rsid w:val="008C532B"/>
    <w:rsid w:val="008D1845"/>
    <w:rsid w:val="00903BAD"/>
    <w:rsid w:val="00932424"/>
    <w:rsid w:val="00943536"/>
    <w:rsid w:val="00993056"/>
    <w:rsid w:val="009A7815"/>
    <w:rsid w:val="009C102A"/>
    <w:rsid w:val="00A4381C"/>
    <w:rsid w:val="00AD7AA9"/>
    <w:rsid w:val="00AE5655"/>
    <w:rsid w:val="00B12DA6"/>
    <w:rsid w:val="00B16C0B"/>
    <w:rsid w:val="00B42057"/>
    <w:rsid w:val="00BB7BA1"/>
    <w:rsid w:val="00BC076B"/>
    <w:rsid w:val="00C509CB"/>
    <w:rsid w:val="00CC342E"/>
    <w:rsid w:val="00CF7D67"/>
    <w:rsid w:val="00D372A3"/>
    <w:rsid w:val="00D77C33"/>
    <w:rsid w:val="00D83ED3"/>
    <w:rsid w:val="00D96D8D"/>
    <w:rsid w:val="00E22CE1"/>
    <w:rsid w:val="00E5448F"/>
    <w:rsid w:val="00E61940"/>
    <w:rsid w:val="00E637F6"/>
    <w:rsid w:val="00EE3E20"/>
    <w:rsid w:val="00F662A2"/>
    <w:rsid w:val="00F7331E"/>
    <w:rsid w:val="00FC215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72A3"/>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1031F2ADF1524783BBE06BC50FE585A6">
    <w:name w:val="1031F2ADF1524783BBE06BC50FE585A6"/>
    <w:rsid w:val="00782F36"/>
  </w:style>
  <w:style w:type="paragraph" w:customStyle="1" w:styleId="64923E8763454755A8FA393A8D4C2399">
    <w:name w:val="64923E8763454755A8FA393A8D4C2399"/>
    <w:rsid w:val="00D372A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flat"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flat"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flat"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flat"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flat"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flat"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flat"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flat"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flat"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flat"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flat"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flat"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flat"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flat"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flat"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flat"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D1606-524F-460B-B4D1-FC614B6E9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143</Pages>
  <Words>33889</Words>
  <Characters>190118</Characters>
  <Application>Microsoft Office Word</Application>
  <DocSecurity>0</DocSecurity>
  <Lines>3727</Lines>
  <Paragraphs>1098</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222909</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Justin Walker</cp:lastModifiedBy>
  <cp:revision>6</cp:revision>
  <cp:lastPrinted>2016-04-25T17:07:00Z</cp:lastPrinted>
  <dcterms:created xsi:type="dcterms:W3CDTF">2016-05-10T22:59:00Z</dcterms:created>
  <dcterms:modified xsi:type="dcterms:W3CDTF">2016-05-11T22:03:00Z</dcterms:modified>
</cp:coreProperties>
</file>