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23796D">
      <w:pPr>
        <w:pStyle w:val="NoSpacing"/>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2606D1" w:rsidP="007C4A2A">
          <w:pPr>
            <w:pStyle w:val="NoSpacing"/>
            <w:spacing w:line="480" w:lineRule="auto"/>
            <w:jc w:val="center"/>
            <w:rPr>
              <w:caps/>
            </w:rPr>
          </w:pPr>
          <w:sdt>
            <w:sdtPr>
              <w:rPr>
                <w:caps/>
              </w:rPr>
              <w:alias w:val="Click to enter dissertation title"/>
              <w:tag w:val="Click to enter dissertation title"/>
              <w:id w:val="-964888086"/>
              <w:placeholder>
                <w:docPart w:val="197ECEE5B1A349AFB02C8593683F88F4"/>
              </w:placeholder>
            </w:sdtPr>
            <w:sdtEndPr/>
            <w:sdtContent>
              <w:r w:rsidR="00AC0D83" w:rsidRPr="00AA58E1">
                <w:rPr>
                  <w:caps/>
                </w:rPr>
                <w:t>Integrated Study on Sequence Stratigraphic Framework of Deepwater Jackfork Group and Woodford Shale</w:t>
              </w:r>
            </w:sdtContent>
          </w:sdt>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Default="0008176F" w:rsidP="0008176F">
      <w:pPr>
        <w:pStyle w:val="NoSpacing"/>
        <w:jc w:val="center"/>
        <w:rPr>
          <w:caps/>
        </w:rPr>
      </w:pPr>
    </w:p>
    <w:p w:rsidR="00321A00" w:rsidRPr="0008176F" w:rsidRDefault="00321A00" w:rsidP="0008176F">
      <w:pPr>
        <w:pStyle w:val="NoSpacing"/>
        <w:jc w:val="center"/>
        <w:rPr>
          <w:caps/>
        </w:rPr>
      </w:pPr>
    </w:p>
    <w:p w:rsidR="0008176F" w:rsidRPr="0008176F" w:rsidRDefault="00321A00" w:rsidP="0008176F">
      <w:pPr>
        <w:pStyle w:val="NoSpacing"/>
        <w:jc w:val="center"/>
        <w:rPr>
          <w:caps/>
        </w:rPr>
      </w:pPr>
      <w:r>
        <w:rPr>
          <w:caps/>
        </w:rPr>
        <w:t xml:space="preserve">A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26DD3">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B26DD3"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AC0D83" w:rsidP="00746E16">
          <w:pPr>
            <w:pStyle w:val="NoSpacing"/>
            <w:jc w:val="center"/>
            <w:rPr>
              <w:caps/>
            </w:rPr>
          </w:pPr>
          <w:r>
            <w:rPr>
              <w:caps/>
            </w:rPr>
            <w:t>FUGE ZOU</w:t>
          </w:r>
        </w:p>
      </w:sdtContent>
    </w:sdt>
    <w:sdt>
      <w:sdtPr>
        <w:id w:val="30091838"/>
        <w:lock w:val="contentLocked"/>
        <w:placeholder>
          <w:docPart w:val="A81F602006EA4C16A9F3206BB0D96450"/>
        </w:placeholder>
        <w:group/>
      </w:sdtPr>
      <w:sdtEndPr/>
      <w:sdtContent>
        <w:p w:rsidR="00730F0A" w:rsidRDefault="00730F0A" w:rsidP="00746E16">
          <w:pPr>
            <w:pStyle w:val="NoSpacing"/>
            <w:jc w:val="center"/>
          </w:pPr>
          <w:r>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23796D" w:rsidP="00730F0A">
          <w:pPr>
            <w:pStyle w:val="NoSpacing"/>
            <w:jc w:val="center"/>
          </w:pPr>
          <w:r>
            <w:t>201</w:t>
          </w:r>
          <w:r w:rsidR="00AC0D83">
            <w:t>5</w:t>
          </w:r>
        </w:p>
      </w:sdtContent>
    </w:sdt>
    <w:p w:rsidR="00730F0A" w:rsidRDefault="00730F0A" w:rsidP="00730F0A">
      <w:pPr>
        <w:pStyle w:val="NoSpacing"/>
        <w:jc w:val="center"/>
      </w:pPr>
    </w:p>
    <w:p w:rsidR="00AC0D83" w:rsidRDefault="00AC0D83"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AC0D83" w:rsidP="00730F0A">
          <w:pPr>
            <w:pStyle w:val="NoSpacing"/>
            <w:jc w:val="center"/>
            <w:rPr>
              <w:caps/>
            </w:rPr>
          </w:pPr>
          <w:r w:rsidRPr="00AA58E1">
            <w:rPr>
              <w:caps/>
            </w:rPr>
            <w:t>Integrated Study on Sequence Stratigraphic Framework of Deepwater Jackfork Group and Woodford Shale</w:t>
          </w:r>
        </w:p>
      </w:sdtContent>
    </w:sdt>
    <w:p w:rsidR="00730F0A" w:rsidRDefault="00730F0A" w:rsidP="00730F0A">
      <w:pPr>
        <w:pStyle w:val="NoSpacing"/>
        <w:jc w:val="center"/>
        <w:rPr>
          <w:caps/>
        </w:rPr>
      </w:pPr>
    </w:p>
    <w:p w:rsidR="009A39E3" w:rsidRPr="00730F0A" w:rsidRDefault="009A39E3" w:rsidP="00730F0A">
      <w:pPr>
        <w:pStyle w:val="NoSpacing"/>
        <w:jc w:val="center"/>
        <w:rPr>
          <w:caps/>
        </w:rPr>
      </w:pPr>
    </w:p>
    <w:p w:rsidR="00730F0A" w:rsidRPr="00730F0A" w:rsidRDefault="009A39E3" w:rsidP="00730F0A">
      <w:pPr>
        <w:pStyle w:val="NoSpacing"/>
        <w:jc w:val="center"/>
        <w:rPr>
          <w:caps/>
        </w:rPr>
      </w:pPr>
      <w:r>
        <w:rPr>
          <w:caps/>
        </w:rPr>
        <w:t xml:space="preserve">A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26DD3">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B26DD3"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2606D1"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sdt>
        <w:sdtPr>
          <w:alias w:val="Click to enter committee chair name"/>
          <w:tag w:val="committee chair"/>
          <w:id w:val="30091849"/>
          <w:lock w:val="sdtLocked"/>
          <w:placeholder>
            <w:docPart w:val="A81F602006EA4C16A9F3206BB0D96450"/>
          </w:placeholder>
        </w:sdtPr>
        <w:sdtEndPr/>
        <w:sdtContent>
          <w:r w:rsidR="00AC0D83">
            <w:t>Roger M. Slatt</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2606D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26DD3">
            <w:t>Dr.</w:t>
          </w:r>
        </w:sdtContent>
      </w:sdt>
      <w:sdt>
        <w:sdtPr>
          <w:alias w:val="Click to enter 2nd member name"/>
          <w:tag w:val="2nd member"/>
          <w:id w:val="30091850"/>
          <w:lock w:val="sdtLocked"/>
          <w:placeholder>
            <w:docPart w:val="4E747200787E4E0C91EFDA8465C0B418"/>
          </w:placeholder>
        </w:sdtPr>
        <w:sdtEndPr/>
        <w:sdtContent>
          <w:r w:rsidR="00AC0D83">
            <w:t>Matthew J. Pranter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2606D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26DD3">
            <w:t>Dr.</w:t>
          </w:r>
        </w:sdtContent>
      </w:sdt>
      <w:sdt>
        <w:sdtPr>
          <w:alias w:val="Click to enter 3rd member name"/>
          <w:tag w:val="3rd member"/>
          <w:id w:val="30091852"/>
          <w:lock w:val="sdtLocked"/>
          <w:placeholder>
            <w:docPart w:val="91E92CC32A8647FC976FCB879BC11161"/>
          </w:placeholder>
        </w:sdtPr>
        <w:sdtEndPr/>
        <w:sdtContent>
          <w:r w:rsidR="00AC0D83">
            <w:t>Shankar Mitra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2606D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26DD3">
            <w:t>Dr.</w:t>
          </w:r>
        </w:sdtContent>
      </w:sdt>
      <w:sdt>
        <w:sdtPr>
          <w:alias w:val="Click to enter 4th member name"/>
          <w:tag w:val="4th member"/>
          <w:id w:val="30091855"/>
          <w:lock w:val="sdtLocked"/>
          <w:placeholder>
            <w:docPart w:val="CDE79C69F22A480D9D131BF115AF9F60"/>
          </w:placeholder>
        </w:sdtPr>
        <w:sdtEndPr/>
        <w:sdtContent>
          <w:r w:rsidR="00444F00">
            <w:rPr>
              <w:rFonts w:ascii="Times New Roman" w:hAnsi="Times New Roman"/>
              <w:szCs w:val="24"/>
            </w:rPr>
            <w:t>Xingru Wu</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2606D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26DD3">
            <w:t>Dr.</w:t>
          </w:r>
        </w:sdtContent>
      </w:sdt>
      <w:sdt>
        <w:sdtPr>
          <w:alias w:val="Click to enter 5th member name"/>
          <w:tag w:val="5th member"/>
          <w:id w:val="11707804"/>
          <w:lock w:val="sdtLocked"/>
          <w:placeholder>
            <w:docPart w:val="7EC8D7C93170496D8C44606F111D3434"/>
          </w:placeholder>
        </w:sdtPr>
        <w:sdtEndPr/>
        <w:sdtContent>
          <w:r w:rsidR="00AC0D83">
            <w:rPr>
              <w:rFonts w:ascii="Times New Roman" w:hAnsi="Times New Roman"/>
              <w:szCs w:val="24"/>
            </w:rPr>
            <w:t>Erik D. Scott</w:t>
          </w:r>
        </w:sdtContent>
      </w:sdt>
    </w:p>
    <w:p w:rsidR="00730F0A" w:rsidRDefault="00730F0A" w:rsidP="00730F0A">
      <w:pPr>
        <w:pStyle w:val="NoSpacing"/>
        <w:jc w:val="right"/>
      </w:pPr>
    </w:p>
    <w:p w:rsidR="00AC0D83" w:rsidRDefault="00AC0D83" w:rsidP="00730F0A">
      <w:pPr>
        <w:pStyle w:val="NoSpacing"/>
        <w:jc w:val="right"/>
      </w:pPr>
    </w:p>
    <w:p w:rsidR="00AC0D83" w:rsidRDefault="00AC0D83" w:rsidP="00AC0D83">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09535F" w:rsidRDefault="0009535F" w:rsidP="00730F0A">
      <w:pPr>
        <w:pStyle w:val="NoSpacing"/>
        <w:jc w:val="center"/>
      </w:pPr>
    </w:p>
    <w:p w:rsidR="0009535F" w:rsidRDefault="0009535F" w:rsidP="00730F0A">
      <w:pPr>
        <w:pStyle w:val="NoSpacing"/>
        <w:jc w:val="center"/>
      </w:pPr>
    </w:p>
    <w:p w:rsidR="0009535F" w:rsidRDefault="0009535F" w:rsidP="00730F0A">
      <w:pPr>
        <w:pStyle w:val="NoSpacing"/>
        <w:jc w:val="center"/>
      </w:pPr>
    </w:p>
    <w:p w:rsidR="0009535F" w:rsidRDefault="0009535F"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2606D1"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A39E3">
            <w:t xml:space="preserve"> FUGE ZOU </w:t>
          </w:r>
        </w:sdtContent>
      </w:sdt>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A39E3">
            <w:t>2015</w:t>
          </w:r>
        </w:sdtContent>
      </w:sdt>
    </w:p>
    <w:p w:rsidR="00F31030" w:rsidRDefault="00730F0A" w:rsidP="009D7AB7">
      <w:pPr>
        <w:pStyle w:val="NoSpacing"/>
        <w:jc w:val="center"/>
      </w:pPr>
      <w:r>
        <w:t>All Rights Reserved.</w:t>
      </w:r>
    </w:p>
    <w:p w:rsidR="009D7AB7" w:rsidRDefault="009D7AB7" w:rsidP="008E1C26"/>
    <w:p w:rsidR="009D7AB7" w:rsidRDefault="009D7AB7" w:rsidP="008E1C26"/>
    <w:p w:rsidR="009D7AB7" w:rsidRDefault="009D7AB7" w:rsidP="008E1C26"/>
    <w:p w:rsidR="009D7AB7" w:rsidRDefault="009D7AB7" w:rsidP="008E1C26"/>
    <w:p w:rsidR="009D7AB7" w:rsidRDefault="009D7AB7" w:rsidP="008E1C26"/>
    <w:p w:rsidR="009D7AB7" w:rsidRDefault="009D7AB7" w:rsidP="008E1C26"/>
    <w:p w:rsidR="009D7AB7" w:rsidRDefault="009D7AB7" w:rsidP="008E1C26"/>
    <w:p w:rsidR="009D7AB7" w:rsidRDefault="009D7AB7" w:rsidP="008E1C26"/>
    <w:p w:rsidR="009D7AB7" w:rsidRDefault="009D7AB7" w:rsidP="008E1C26"/>
    <w:p w:rsidR="009D7AB7" w:rsidRDefault="009D7AB7" w:rsidP="005330AB"/>
    <w:p w:rsidR="008E1C26" w:rsidRDefault="00F31030" w:rsidP="005330AB">
      <w:pPr>
        <w:sectPr w:rsidR="008E1C26" w:rsidSect="007D76A6">
          <w:footerReference w:type="default" r:id="rId9"/>
          <w:pgSz w:w="12240" w:h="15840" w:code="1"/>
          <w:pgMar w:top="1440" w:right="1440" w:bottom="1440" w:left="2304" w:header="720" w:footer="720" w:gutter="0"/>
          <w:pgNumType w:fmt="lowerRoman" w:chapStyle="1"/>
          <w:cols w:space="720"/>
          <w:docGrid w:linePitch="360"/>
        </w:sectPr>
      </w:pPr>
      <w:r>
        <w:t>I would like to dedicate this dissertation to my family and friends whos</w:t>
      </w:r>
      <w:r w:rsidR="00862C97">
        <w:t>e</w:t>
      </w:r>
      <w:r>
        <w:t xml:space="preserve"> support, patience, and persistent </w:t>
      </w:r>
      <w:r w:rsidR="000B54F6">
        <w:t>encouragement was instrumental</w:t>
      </w:r>
      <w:r>
        <w:t xml:space="preserve"> in allowing me to complete this degree program. </w:t>
      </w:r>
    </w:p>
    <w:p w:rsidR="008E1C26" w:rsidRDefault="00775701" w:rsidP="00B64ED8">
      <w:pPr>
        <w:pStyle w:val="Heading1"/>
      </w:pPr>
      <w:bookmarkStart w:id="0" w:name="_Toc310579464"/>
      <w:bookmarkStart w:id="1" w:name="_Toc315681313"/>
      <w:r>
        <w:lastRenderedPageBreak/>
        <w:t>Acknowledgements</w:t>
      </w:r>
      <w:bookmarkEnd w:id="0"/>
      <w:bookmarkEnd w:id="1"/>
    </w:p>
    <w:p w:rsidR="005330AB" w:rsidRDefault="005330AB" w:rsidP="005330AB">
      <w:pPr>
        <w:jc w:val="both"/>
        <w:rPr>
          <w:rFonts w:ascii="Times New Roman" w:hAnsi="Times New Roman"/>
        </w:rPr>
      </w:pPr>
      <w:r>
        <w:rPr>
          <w:rFonts w:ascii="Times New Roman" w:hAnsi="Times New Roman"/>
        </w:rPr>
        <w:tab/>
        <w:t xml:space="preserve"> I would like to thank Dr. </w:t>
      </w:r>
      <w:r w:rsidR="00C1284D">
        <w:rPr>
          <w:rFonts w:ascii="Times New Roman" w:hAnsi="Times New Roman"/>
        </w:rPr>
        <w:t xml:space="preserve">Roger </w:t>
      </w:r>
      <w:r>
        <w:rPr>
          <w:rFonts w:ascii="Times New Roman" w:hAnsi="Times New Roman"/>
        </w:rPr>
        <w:t xml:space="preserve">Slatt, who is my mentor and advisor. He is one of the best geologists in the world with his life as a legend for others to follow. To me, he is not only a great academic advisor, but a career and life mentor. I treated him as my family </w:t>
      </w:r>
      <w:r w:rsidR="0054464B">
        <w:rPr>
          <w:rFonts w:ascii="Times New Roman" w:hAnsi="Times New Roman"/>
        </w:rPr>
        <w:t>and I</w:t>
      </w:r>
      <w:r>
        <w:rPr>
          <w:rFonts w:ascii="Times New Roman" w:hAnsi="Times New Roman"/>
        </w:rPr>
        <w:t xml:space="preserve"> am inspired by his hard work, optimism and responsibility, which will surely impact my fut</w:t>
      </w:r>
      <w:r w:rsidR="0054464B">
        <w:rPr>
          <w:rFonts w:ascii="Times New Roman" w:hAnsi="Times New Roman"/>
        </w:rPr>
        <w:t>ure work and life. I also thank all committee members</w:t>
      </w:r>
      <w:r w:rsidR="00C1284D">
        <w:rPr>
          <w:rFonts w:ascii="Times New Roman" w:hAnsi="Times New Roman"/>
        </w:rPr>
        <w:t xml:space="preserve"> for their</w:t>
      </w:r>
      <w:r w:rsidR="0054464B">
        <w:rPr>
          <w:rFonts w:ascii="Times New Roman" w:hAnsi="Times New Roman"/>
        </w:rPr>
        <w:t xml:space="preserve"> time and support for my PhD.</w:t>
      </w:r>
    </w:p>
    <w:p w:rsidR="005330AB" w:rsidRPr="006B0B8C" w:rsidRDefault="005330AB" w:rsidP="005330AB">
      <w:pPr>
        <w:jc w:val="both"/>
        <w:rPr>
          <w:rFonts w:ascii="Times New Roman" w:hAnsi="Times New Roman"/>
        </w:rPr>
      </w:pPr>
      <w:r>
        <w:rPr>
          <w:rFonts w:ascii="Times New Roman" w:hAnsi="Times New Roman"/>
        </w:rPr>
        <w:tab/>
      </w:r>
      <w:r w:rsidRPr="00E662BC">
        <w:rPr>
          <w:rFonts w:ascii="Times New Roman" w:hAnsi="Times New Roman"/>
        </w:rPr>
        <w:t xml:space="preserve">I would like to give my sincere thanks to my </w:t>
      </w:r>
      <w:r>
        <w:rPr>
          <w:rFonts w:ascii="Times New Roman" w:hAnsi="Times New Roman"/>
        </w:rPr>
        <w:t xml:space="preserve">wife Lingxin (Cindy), </w:t>
      </w:r>
      <w:r w:rsidR="00C1284D">
        <w:rPr>
          <w:rFonts w:ascii="Times New Roman" w:hAnsi="Times New Roman"/>
        </w:rPr>
        <w:t xml:space="preserve">without whose support I could not have completed </w:t>
      </w:r>
      <w:r>
        <w:rPr>
          <w:rFonts w:ascii="Times New Roman" w:hAnsi="Times New Roman"/>
        </w:rPr>
        <w:t>the PhD dissertation. She helped me with lots of graphics and visualization work. And she support</w:t>
      </w:r>
      <w:r w:rsidR="00C1284D">
        <w:rPr>
          <w:rFonts w:ascii="Times New Roman" w:hAnsi="Times New Roman"/>
        </w:rPr>
        <w:t>ed</w:t>
      </w:r>
      <w:r>
        <w:rPr>
          <w:rFonts w:ascii="Times New Roman" w:hAnsi="Times New Roman"/>
        </w:rPr>
        <w:t xml:space="preserve"> me with her deep </w:t>
      </w:r>
      <w:r w:rsidR="0054464B">
        <w:rPr>
          <w:rFonts w:ascii="Times New Roman" w:hAnsi="Times New Roman"/>
        </w:rPr>
        <w:t>love. I thank my good friend</w:t>
      </w:r>
      <w:r w:rsidR="00C1284D">
        <w:rPr>
          <w:rFonts w:ascii="Times New Roman" w:hAnsi="Times New Roman"/>
        </w:rPr>
        <w:t>s</w:t>
      </w:r>
      <w:r w:rsidR="0054464B">
        <w:rPr>
          <w:rFonts w:ascii="Times New Roman" w:hAnsi="Times New Roman"/>
        </w:rPr>
        <w:t xml:space="preserve"> Mr. Tao Huang, Mr. Hang Deng and Ms. Jing Zhang who helped me a lot during the research. </w:t>
      </w:r>
      <w:r w:rsidR="0054464B" w:rsidRPr="00E662BC">
        <w:rPr>
          <w:rFonts w:ascii="Times New Roman" w:hAnsi="Times New Roman"/>
        </w:rPr>
        <w:t>I</w:t>
      </w:r>
      <w:r w:rsidRPr="00E662BC">
        <w:rPr>
          <w:rFonts w:ascii="Times New Roman" w:hAnsi="Times New Roman"/>
        </w:rPr>
        <w:t xml:space="preserve"> want to extend my g</w:t>
      </w:r>
      <w:r w:rsidR="0054464B">
        <w:rPr>
          <w:rFonts w:ascii="Times New Roman" w:hAnsi="Times New Roman"/>
        </w:rPr>
        <w:t>ratitude to all</w:t>
      </w:r>
      <w:r w:rsidR="00C1284D">
        <w:rPr>
          <w:rFonts w:ascii="Times New Roman" w:hAnsi="Times New Roman"/>
        </w:rPr>
        <w:t xml:space="preserve"> of</w:t>
      </w:r>
      <w:r w:rsidR="0054464B">
        <w:rPr>
          <w:rFonts w:ascii="Times New Roman" w:hAnsi="Times New Roman"/>
        </w:rPr>
        <w:t xml:space="preserve"> </w:t>
      </w:r>
      <w:r w:rsidR="00814E87">
        <w:rPr>
          <w:rFonts w:ascii="Times New Roman" w:hAnsi="Times New Roman"/>
        </w:rPr>
        <w:t>my parents</w:t>
      </w:r>
      <w:r w:rsidR="0054464B">
        <w:rPr>
          <w:rFonts w:ascii="Times New Roman" w:hAnsi="Times New Roman"/>
        </w:rPr>
        <w:t xml:space="preserve"> and </w:t>
      </w:r>
      <w:r w:rsidR="00C1284D">
        <w:rPr>
          <w:rFonts w:ascii="Times New Roman" w:hAnsi="Times New Roman"/>
        </w:rPr>
        <w:t>friends---</w:t>
      </w:r>
      <w:r>
        <w:rPr>
          <w:rFonts w:ascii="Times New Roman" w:hAnsi="Times New Roman"/>
        </w:rPr>
        <w:t>thank you all for helping and support</w:t>
      </w:r>
      <w:r w:rsidR="00C1284D">
        <w:rPr>
          <w:rFonts w:ascii="Times New Roman" w:hAnsi="Times New Roman"/>
        </w:rPr>
        <w:t>ing</w:t>
      </w:r>
      <w:r>
        <w:rPr>
          <w:rFonts w:ascii="Times New Roman" w:hAnsi="Times New Roman"/>
        </w:rPr>
        <w:t xml:space="preserve"> me. </w:t>
      </w:r>
    </w:p>
    <w:p w:rsidR="007D76A6" w:rsidRDefault="007D76A6" w:rsidP="00A75405">
      <w:pPr>
        <w:pStyle w:val="Title"/>
      </w:pPr>
    </w:p>
    <w:p w:rsidR="007D76A6" w:rsidRDefault="007D76A6" w:rsidP="007D76A6"/>
    <w:p w:rsidR="00A557AB" w:rsidRDefault="00A557AB" w:rsidP="007D76A6"/>
    <w:p w:rsidR="00A557AB" w:rsidRDefault="00A557AB" w:rsidP="007D76A6"/>
    <w:p w:rsidR="00A557AB" w:rsidRDefault="00A557AB" w:rsidP="007D76A6"/>
    <w:p w:rsidR="00A557AB" w:rsidRDefault="00A557AB" w:rsidP="007D76A6"/>
    <w:p w:rsidR="00A557AB" w:rsidRDefault="00A557AB" w:rsidP="007D76A6"/>
    <w:p w:rsidR="00A557AB" w:rsidRPr="007D76A6" w:rsidRDefault="00A557AB" w:rsidP="007D76A6"/>
    <w:p w:rsidR="007D76A6" w:rsidRDefault="007D76A6" w:rsidP="007D76A6"/>
    <w:p w:rsidR="007D76A6" w:rsidRPr="007D76A6" w:rsidRDefault="007D76A6" w:rsidP="007D76A6"/>
    <w:p w:rsidR="00576C53" w:rsidRPr="008B32C9" w:rsidRDefault="00775701" w:rsidP="00576C53">
      <w:pPr>
        <w:pStyle w:val="Title"/>
        <w:rPr>
          <w:rFonts w:ascii="Times New Roman" w:hAnsi="Times New Roman"/>
          <w:sz w:val="24"/>
          <w:szCs w:val="24"/>
        </w:rPr>
      </w:pPr>
      <w:r w:rsidRPr="007D76A6">
        <w:br w:type="page"/>
      </w:r>
      <w:bookmarkStart w:id="2" w:name="_Toc310579468"/>
      <w:bookmarkStart w:id="3" w:name="_Toc315681317"/>
      <w:r w:rsidR="00576C53">
        <w:lastRenderedPageBreak/>
        <w:t xml:space="preserve"> </w:t>
      </w:r>
      <w:r w:rsidR="00576C53" w:rsidRPr="008B32C9">
        <w:rPr>
          <w:rFonts w:ascii="Times New Roman" w:hAnsi="Times New Roman"/>
        </w:rPr>
        <w:t>Table of Contents</w:t>
      </w:r>
    </w:p>
    <w:p w:rsidR="00576C53" w:rsidRPr="008B32C9" w:rsidRDefault="00576C53" w:rsidP="00576C53">
      <w:pPr>
        <w:pStyle w:val="TOC1"/>
        <w:rPr>
          <w:rFonts w:ascii="Times New Roman" w:hAnsi="Times New Roman"/>
          <w:b/>
          <w:noProof/>
          <w:sz w:val="22"/>
          <w:szCs w:val="22"/>
          <w:lang w:bidi="ar-SA"/>
        </w:rPr>
      </w:pPr>
      <w:r w:rsidRPr="008B32C9">
        <w:rPr>
          <w:rFonts w:ascii="Times New Roman" w:hAnsi="Times New Roman"/>
        </w:rPr>
        <w:fldChar w:fldCharType="begin"/>
      </w:r>
      <w:r w:rsidRPr="008B32C9">
        <w:rPr>
          <w:rFonts w:ascii="Times New Roman" w:hAnsi="Times New Roman"/>
        </w:rPr>
        <w:instrText xml:space="preserve"> TOC \o "3-3" \h \z \t "Heading 1,1,Heading 2,2,Chapter,1" </w:instrText>
      </w:r>
      <w:r w:rsidRPr="008B32C9">
        <w:rPr>
          <w:rFonts w:ascii="Times New Roman" w:hAnsi="Times New Roman"/>
        </w:rPr>
        <w:fldChar w:fldCharType="separate"/>
      </w:r>
      <w:hyperlink r:id="rId10" w:anchor="_Toc315681313" w:history="1">
        <w:r w:rsidRPr="008B32C9">
          <w:rPr>
            <w:rStyle w:val="Hyperlink"/>
            <w:rFonts w:ascii="Times New Roman" w:hAnsi="Times New Roman"/>
            <w:b/>
            <w:noProof/>
          </w:rPr>
          <w:t>Acknowledgements</w:t>
        </w:r>
        <w:r w:rsidRPr="008B32C9">
          <w:rPr>
            <w:rStyle w:val="Hyperlink"/>
            <w:rFonts w:ascii="Times New Roman" w:hAnsi="Times New Roman"/>
            <w:b/>
            <w:noProof/>
            <w:webHidden/>
          </w:rPr>
          <w:tab/>
        </w:r>
      </w:hyperlink>
      <w:r w:rsidRPr="008B32C9">
        <w:rPr>
          <w:rStyle w:val="Hyperlink"/>
          <w:rFonts w:ascii="Times New Roman" w:hAnsi="Times New Roman"/>
          <w:b/>
          <w:noProof/>
          <w:color w:val="auto"/>
          <w:u w:val="none"/>
        </w:rPr>
        <w:t>iv</w:t>
      </w:r>
    </w:p>
    <w:p w:rsidR="00877BCA" w:rsidRPr="008B32C9" w:rsidRDefault="002606D1" w:rsidP="00877BCA">
      <w:pPr>
        <w:pStyle w:val="TOC1"/>
        <w:rPr>
          <w:rFonts w:ascii="Times New Roman" w:hAnsi="Times New Roman"/>
          <w:b/>
          <w:noProof/>
          <w:sz w:val="22"/>
          <w:szCs w:val="22"/>
          <w:lang w:bidi="ar-SA"/>
        </w:rPr>
      </w:pPr>
      <w:hyperlink r:id="rId11" w:anchor="_Toc315681313" w:history="1">
        <w:r w:rsidR="00877BCA">
          <w:rPr>
            <w:rStyle w:val="Hyperlink"/>
            <w:rFonts w:ascii="Times New Roman" w:hAnsi="Times New Roman"/>
            <w:b/>
            <w:noProof/>
          </w:rPr>
          <w:t>List of Tables</w:t>
        </w:r>
        <w:r w:rsidR="00877BCA" w:rsidRPr="008B32C9">
          <w:rPr>
            <w:rStyle w:val="Hyperlink"/>
            <w:rFonts w:ascii="Times New Roman" w:hAnsi="Times New Roman"/>
            <w:b/>
            <w:noProof/>
            <w:webHidden/>
          </w:rPr>
          <w:tab/>
        </w:r>
      </w:hyperlink>
      <w:r w:rsidR="00877BCA" w:rsidRPr="008B32C9">
        <w:rPr>
          <w:rStyle w:val="Hyperlink"/>
          <w:rFonts w:ascii="Times New Roman" w:hAnsi="Times New Roman"/>
          <w:b/>
          <w:noProof/>
          <w:color w:val="auto"/>
          <w:u w:val="none"/>
        </w:rPr>
        <w:t>i</w:t>
      </w:r>
      <w:r w:rsidR="00877BCA">
        <w:rPr>
          <w:rStyle w:val="Hyperlink"/>
          <w:rFonts w:ascii="Times New Roman" w:hAnsi="Times New Roman"/>
          <w:b/>
          <w:noProof/>
          <w:color w:val="auto"/>
          <w:u w:val="none"/>
        </w:rPr>
        <w:t>x</w:t>
      </w:r>
    </w:p>
    <w:p w:rsidR="00576C53" w:rsidRPr="008B32C9" w:rsidRDefault="002606D1" w:rsidP="00576C53">
      <w:pPr>
        <w:pStyle w:val="TOC1"/>
        <w:rPr>
          <w:rFonts w:ascii="Times New Roman" w:eastAsia="Times New Roman" w:hAnsi="Times New Roman"/>
          <w:b/>
          <w:noProof/>
        </w:rPr>
      </w:pPr>
      <w:hyperlink r:id="rId12" w:anchor="_Toc315681315" w:history="1">
        <w:r w:rsidR="00576C53" w:rsidRPr="008B32C9">
          <w:rPr>
            <w:rStyle w:val="Hyperlink"/>
            <w:rFonts w:ascii="Times New Roman" w:hAnsi="Times New Roman"/>
            <w:b/>
            <w:noProof/>
          </w:rPr>
          <w:t>List of Figures</w:t>
        </w:r>
        <w:r w:rsidR="00576C53" w:rsidRPr="008B32C9">
          <w:rPr>
            <w:rStyle w:val="Hyperlink"/>
            <w:rFonts w:ascii="Times New Roman" w:hAnsi="Times New Roman"/>
            <w:b/>
            <w:noProof/>
            <w:webHidden/>
          </w:rPr>
          <w:tab/>
        </w:r>
      </w:hyperlink>
      <w:r w:rsidR="00576C53" w:rsidRPr="008B32C9">
        <w:rPr>
          <w:rFonts w:ascii="Times New Roman" w:hAnsi="Times New Roman"/>
          <w:b/>
          <w:noProof/>
        </w:rPr>
        <w:t>x</w:t>
      </w:r>
    </w:p>
    <w:p w:rsidR="00576C53" w:rsidRPr="008B32C9" w:rsidRDefault="002606D1" w:rsidP="00576C53">
      <w:pPr>
        <w:pStyle w:val="TOC1"/>
        <w:rPr>
          <w:rFonts w:ascii="Times New Roman" w:hAnsi="Times New Roman"/>
          <w:b/>
          <w:noProof/>
        </w:rPr>
      </w:pPr>
      <w:hyperlink r:id="rId13" w:anchor="_Toc315681316" w:history="1">
        <w:r w:rsidR="00576C53" w:rsidRPr="008B32C9">
          <w:rPr>
            <w:rStyle w:val="Hyperlink"/>
            <w:rFonts w:ascii="Times New Roman" w:hAnsi="Times New Roman"/>
            <w:b/>
            <w:noProof/>
          </w:rPr>
          <w:t>Abstract</w:t>
        </w:r>
        <w:r w:rsidR="00576C53" w:rsidRPr="008B32C9">
          <w:rPr>
            <w:rStyle w:val="Hyperlink"/>
            <w:rFonts w:ascii="Times New Roman" w:hAnsi="Times New Roman"/>
            <w:b/>
            <w:noProof/>
            <w:webHidden/>
          </w:rPr>
          <w:tab/>
        </w:r>
      </w:hyperlink>
      <w:r w:rsidR="00A43A29">
        <w:rPr>
          <w:rFonts w:ascii="Times New Roman" w:hAnsi="Times New Roman"/>
          <w:b/>
          <w:noProof/>
        </w:rPr>
        <w:t>xxvi</w:t>
      </w:r>
      <w:bookmarkStart w:id="4" w:name="_GoBack"/>
      <w:bookmarkEnd w:id="4"/>
    </w:p>
    <w:p w:rsidR="00576C53" w:rsidRPr="008B32C9" w:rsidRDefault="002606D1" w:rsidP="00576C53">
      <w:pPr>
        <w:pStyle w:val="TOC1"/>
        <w:rPr>
          <w:rFonts w:ascii="Times New Roman" w:hAnsi="Times New Roman"/>
          <w:noProof/>
          <w:lang w:eastAsia="zh-CN"/>
        </w:rPr>
      </w:pPr>
      <w:hyperlink r:id="rId14" w:anchor="_Toc315681317" w:history="1">
        <w:r w:rsidR="00576C53" w:rsidRPr="008B32C9">
          <w:rPr>
            <w:rStyle w:val="Hyperlink"/>
            <w:rFonts w:ascii="Times New Roman" w:hAnsi="Times New Roman"/>
            <w:b/>
            <w:noProof/>
          </w:rPr>
          <w:t>Chapter 1: Integrated outcrop reservoir characterization, modeling, and simulation of the Jackfork Group at the Baumgartner Quarry area, western Arkansas: Implications to Gulf of Mexico deep-water exploration and production</w:t>
        </w:r>
        <w:r w:rsidR="00576C53" w:rsidRPr="008B32C9">
          <w:rPr>
            <w:rStyle w:val="Hyperlink"/>
            <w:rFonts w:ascii="Times New Roman" w:hAnsi="Times New Roman"/>
            <w:noProof/>
            <w:webHidden/>
          </w:rPr>
          <w:tab/>
        </w:r>
      </w:hyperlink>
      <w:r w:rsidR="00576C53" w:rsidRPr="008B32C9">
        <w:rPr>
          <w:rFonts w:ascii="Times New Roman" w:hAnsi="Times New Roman"/>
        </w:rPr>
        <w:t>1</w:t>
      </w:r>
    </w:p>
    <w:p w:rsidR="00576C53" w:rsidRPr="008B32C9" w:rsidRDefault="002606D1" w:rsidP="00576C53">
      <w:pPr>
        <w:pStyle w:val="TOC2"/>
        <w:tabs>
          <w:tab w:val="right" w:leader="dot" w:pos="8486"/>
        </w:tabs>
        <w:rPr>
          <w:rFonts w:ascii="Times New Roman" w:hAnsi="Times New Roman"/>
          <w:noProof/>
          <w:lang w:eastAsia="zh-CN"/>
        </w:rPr>
      </w:pPr>
      <w:hyperlink r:id="rId15" w:anchor="_Toc315681318" w:history="1">
        <w:r w:rsidR="00576C53" w:rsidRPr="008B32C9">
          <w:rPr>
            <w:rStyle w:val="Hyperlink"/>
            <w:rFonts w:ascii="Times New Roman" w:hAnsi="Times New Roman"/>
            <w:b/>
            <w:noProof/>
          </w:rPr>
          <w:t>Abstract</w:t>
        </w:r>
        <w:r w:rsidR="00576C53" w:rsidRPr="008B32C9">
          <w:rPr>
            <w:rStyle w:val="Hyperlink"/>
            <w:rFonts w:ascii="Times New Roman" w:hAnsi="Times New Roman"/>
            <w:noProof/>
            <w:webHidden/>
          </w:rPr>
          <w:tab/>
        </w:r>
      </w:hyperlink>
      <w:r w:rsidR="00576C53" w:rsidRPr="008B32C9">
        <w:rPr>
          <w:rFonts w:ascii="Times New Roman" w:hAnsi="Times New Roman"/>
          <w:lang w:eastAsia="zh-CN"/>
        </w:rPr>
        <w:t>1</w:t>
      </w:r>
    </w:p>
    <w:p w:rsidR="00576C53" w:rsidRPr="008B32C9" w:rsidRDefault="002606D1" w:rsidP="00576C53">
      <w:pPr>
        <w:pStyle w:val="TOC2"/>
        <w:tabs>
          <w:tab w:val="right" w:leader="dot" w:pos="8486"/>
        </w:tabs>
        <w:rPr>
          <w:rFonts w:ascii="Times New Roman" w:hAnsi="Times New Roman"/>
          <w:noProof/>
          <w:lang w:eastAsia="zh-CN"/>
        </w:rPr>
      </w:pPr>
      <w:hyperlink r:id="rId16" w:anchor="_Toc315681318" w:history="1">
        <w:r w:rsidR="00576C53" w:rsidRPr="008B32C9">
          <w:rPr>
            <w:rStyle w:val="Hyperlink"/>
            <w:rFonts w:ascii="Times New Roman" w:hAnsi="Times New Roman"/>
            <w:b/>
            <w:noProof/>
          </w:rPr>
          <w:t>Introduction</w:t>
        </w:r>
        <w:r w:rsidR="00576C53" w:rsidRPr="008B32C9">
          <w:rPr>
            <w:rStyle w:val="Hyperlink"/>
            <w:rFonts w:ascii="Times New Roman" w:hAnsi="Times New Roman"/>
            <w:noProof/>
            <w:webHidden/>
          </w:rPr>
          <w:tab/>
        </w:r>
      </w:hyperlink>
      <w:r w:rsidR="00576C53" w:rsidRPr="008B32C9">
        <w:rPr>
          <w:rFonts w:ascii="Times New Roman" w:hAnsi="Times New Roman"/>
        </w:rPr>
        <w:t>3</w:t>
      </w:r>
    </w:p>
    <w:p w:rsidR="00576C53" w:rsidRPr="008B32C9" w:rsidRDefault="002606D1" w:rsidP="00576C53">
      <w:pPr>
        <w:pStyle w:val="TOC2"/>
        <w:tabs>
          <w:tab w:val="right" w:leader="dot" w:pos="8486"/>
        </w:tabs>
        <w:rPr>
          <w:rFonts w:ascii="Times New Roman" w:hAnsi="Times New Roman"/>
          <w:noProof/>
          <w:lang w:eastAsia="zh-CN"/>
        </w:rPr>
      </w:pPr>
      <w:hyperlink r:id="rId17" w:anchor="_Toc315681318" w:history="1">
        <w:r w:rsidR="00576C53" w:rsidRPr="008B32C9">
          <w:rPr>
            <w:rStyle w:val="Hyperlink"/>
            <w:rFonts w:ascii="Times New Roman" w:hAnsi="Times New Roman"/>
            <w:b/>
            <w:noProof/>
            <w:lang w:eastAsia="zh-CN"/>
          </w:rPr>
          <w:t>Geological Setting</w:t>
        </w:r>
        <w:r w:rsidR="00576C53" w:rsidRPr="008B32C9">
          <w:rPr>
            <w:rStyle w:val="Hyperlink"/>
            <w:rFonts w:ascii="Times New Roman" w:hAnsi="Times New Roman"/>
            <w:noProof/>
            <w:webHidden/>
          </w:rPr>
          <w:tab/>
        </w:r>
      </w:hyperlink>
      <w:r w:rsidR="00576C53" w:rsidRPr="008B32C9">
        <w:rPr>
          <w:rFonts w:ascii="Times New Roman" w:hAnsi="Times New Roman"/>
          <w:noProof/>
        </w:rPr>
        <w:t>6</w:t>
      </w:r>
    </w:p>
    <w:p w:rsidR="00576C53" w:rsidRPr="008B32C9" w:rsidRDefault="002606D1" w:rsidP="00576C53">
      <w:pPr>
        <w:pStyle w:val="TOC2"/>
        <w:tabs>
          <w:tab w:val="right" w:leader="dot" w:pos="8486"/>
        </w:tabs>
        <w:rPr>
          <w:rFonts w:ascii="Times New Roman" w:hAnsi="Times New Roman"/>
          <w:noProof/>
          <w:lang w:eastAsia="zh-CN"/>
        </w:rPr>
      </w:pPr>
      <w:hyperlink r:id="rId18" w:anchor="_Toc315681318" w:history="1">
        <w:r w:rsidR="00576C53">
          <w:rPr>
            <w:rStyle w:val="Hyperlink"/>
            <w:rFonts w:ascii="Times New Roman" w:hAnsi="Times New Roman"/>
            <w:b/>
            <w:noProof/>
            <w:lang w:eastAsia="zh-CN"/>
          </w:rPr>
          <w:t>Facies Definition</w:t>
        </w:r>
        <w:r w:rsidR="00576C53" w:rsidRPr="008B32C9">
          <w:rPr>
            <w:rStyle w:val="Hyperlink"/>
            <w:rFonts w:ascii="Times New Roman" w:hAnsi="Times New Roman"/>
            <w:noProof/>
            <w:webHidden/>
          </w:rPr>
          <w:tab/>
        </w:r>
      </w:hyperlink>
      <w:r w:rsidR="00576C53">
        <w:rPr>
          <w:rFonts w:ascii="Times New Roman" w:hAnsi="Times New Roman"/>
          <w:noProof/>
        </w:rPr>
        <w:t>7</w:t>
      </w:r>
    </w:p>
    <w:p w:rsidR="00576C53" w:rsidRPr="008B32C9" w:rsidRDefault="002606D1" w:rsidP="00576C53">
      <w:pPr>
        <w:pStyle w:val="TOC2"/>
        <w:tabs>
          <w:tab w:val="right" w:leader="dot" w:pos="8486"/>
        </w:tabs>
        <w:rPr>
          <w:rFonts w:ascii="Times New Roman" w:hAnsi="Times New Roman"/>
          <w:noProof/>
          <w:sz w:val="22"/>
          <w:szCs w:val="22"/>
          <w:lang w:bidi="ar-SA"/>
        </w:rPr>
      </w:pPr>
      <w:hyperlink r:id="rId19" w:anchor="_Toc315681318" w:history="1">
        <w:r w:rsidR="00576C53" w:rsidRPr="008B32C9">
          <w:rPr>
            <w:rStyle w:val="Hyperlink"/>
            <w:rFonts w:ascii="Times New Roman" w:hAnsi="Times New Roman"/>
            <w:b/>
            <w:noProof/>
          </w:rPr>
          <w:t>Stratigraphy and Architectural Elements</w:t>
        </w:r>
        <w:r w:rsidR="00576C53" w:rsidRPr="008B32C9">
          <w:rPr>
            <w:rStyle w:val="Hyperlink"/>
            <w:rFonts w:ascii="Times New Roman" w:hAnsi="Times New Roman"/>
            <w:noProof/>
            <w:webHidden/>
          </w:rPr>
          <w:tab/>
        </w:r>
      </w:hyperlink>
      <w:r w:rsidR="00576C53">
        <w:rPr>
          <w:rFonts w:ascii="Times New Roman" w:hAnsi="Times New Roman"/>
          <w:noProof/>
        </w:rPr>
        <w:t>9</w:t>
      </w:r>
    </w:p>
    <w:p w:rsidR="00576C53" w:rsidRPr="008B32C9" w:rsidRDefault="002606D1" w:rsidP="00576C53">
      <w:pPr>
        <w:pStyle w:val="TOC3"/>
        <w:tabs>
          <w:tab w:val="right" w:leader="dot" w:pos="8486"/>
          <w:tab w:val="right" w:pos="9360"/>
        </w:tabs>
        <w:rPr>
          <w:rFonts w:ascii="Times New Roman" w:eastAsia="Times New Roman" w:hAnsi="Times New Roman"/>
          <w:noProof/>
        </w:rPr>
      </w:pPr>
      <w:hyperlink r:id="rId20" w:anchor="_Toc315681319" w:history="1">
        <w:r w:rsidR="00576C53" w:rsidRPr="008B32C9">
          <w:rPr>
            <w:rStyle w:val="Hyperlink"/>
            <w:rFonts w:ascii="Times New Roman" w:hAnsi="Times New Roman"/>
            <w:noProof/>
          </w:rPr>
          <w:t>Lower Sandstones</w:t>
        </w:r>
        <w:r w:rsidR="00576C53" w:rsidRPr="008B32C9">
          <w:rPr>
            <w:rStyle w:val="Hyperlink"/>
            <w:rFonts w:ascii="Times New Roman" w:hAnsi="Times New Roman"/>
            <w:noProof/>
            <w:webHidden/>
          </w:rPr>
          <w:tab/>
        </w:r>
      </w:hyperlink>
      <w:r w:rsidR="00576C53">
        <w:rPr>
          <w:rFonts w:ascii="Times New Roman" w:hAnsi="Times New Roman"/>
          <w:noProof/>
        </w:rPr>
        <w:t>9</w:t>
      </w:r>
    </w:p>
    <w:p w:rsidR="00576C53" w:rsidRPr="008B32C9" w:rsidRDefault="002606D1" w:rsidP="00576C53">
      <w:pPr>
        <w:pStyle w:val="TOC3"/>
        <w:tabs>
          <w:tab w:val="right" w:leader="dot" w:pos="8486"/>
          <w:tab w:val="right" w:pos="9360"/>
        </w:tabs>
        <w:rPr>
          <w:rFonts w:ascii="Times New Roman" w:hAnsi="Times New Roman"/>
          <w:noProof/>
        </w:rPr>
      </w:pPr>
      <w:hyperlink r:id="rId21" w:anchor="_Toc315681319" w:history="1">
        <w:r w:rsidR="00576C53" w:rsidRPr="008B32C9">
          <w:rPr>
            <w:rStyle w:val="Hyperlink"/>
            <w:rFonts w:ascii="Times New Roman" w:hAnsi="Times New Roman"/>
            <w:noProof/>
          </w:rPr>
          <w:t>Middle Shale</w:t>
        </w:r>
        <w:r w:rsidR="00576C53" w:rsidRPr="008B32C9">
          <w:rPr>
            <w:rStyle w:val="Hyperlink"/>
            <w:rFonts w:ascii="Times New Roman" w:hAnsi="Times New Roman"/>
            <w:noProof/>
            <w:webHidden/>
          </w:rPr>
          <w:tab/>
        </w:r>
      </w:hyperlink>
      <w:r w:rsidR="00576C53">
        <w:rPr>
          <w:rFonts w:ascii="Times New Roman" w:hAnsi="Times New Roman"/>
          <w:noProof/>
        </w:rPr>
        <w:t>10</w:t>
      </w:r>
    </w:p>
    <w:p w:rsidR="00576C53" w:rsidRPr="008B32C9" w:rsidRDefault="00576C53" w:rsidP="00576C53">
      <w:pPr>
        <w:pStyle w:val="TOC3"/>
        <w:tabs>
          <w:tab w:val="right" w:leader="dot" w:pos="8486"/>
          <w:tab w:val="right" w:pos="9360"/>
        </w:tabs>
        <w:rPr>
          <w:rFonts w:ascii="Times New Roman" w:hAnsi="Times New Roman"/>
        </w:rPr>
      </w:pPr>
      <w:r w:rsidRPr="008B32C9">
        <w:rPr>
          <w:rFonts w:ascii="Times New Roman" w:hAnsi="Times New Roman"/>
        </w:rPr>
        <w:t xml:space="preserve">Upper Sandstones </w:t>
      </w:r>
      <w:hyperlink r:id="rId22" w:anchor="_Toc315681319" w:history="1">
        <w:r w:rsidRPr="008B32C9">
          <w:rPr>
            <w:rStyle w:val="Hyperlink"/>
            <w:rFonts w:ascii="Times New Roman" w:hAnsi="Times New Roman"/>
            <w:noProof/>
            <w:webHidden/>
          </w:rPr>
          <w:tab/>
        </w:r>
      </w:hyperlink>
      <w:r>
        <w:rPr>
          <w:rFonts w:ascii="Times New Roman" w:hAnsi="Times New Roman"/>
        </w:rPr>
        <w:t>11</w:t>
      </w:r>
    </w:p>
    <w:p w:rsidR="00576C53" w:rsidRPr="008B32C9" w:rsidRDefault="002606D1" w:rsidP="00576C53">
      <w:pPr>
        <w:pStyle w:val="TOC2"/>
        <w:tabs>
          <w:tab w:val="right" w:leader="dot" w:pos="8486"/>
        </w:tabs>
        <w:rPr>
          <w:rFonts w:ascii="Times New Roman" w:hAnsi="Times New Roman"/>
        </w:rPr>
      </w:pPr>
      <w:hyperlink r:id="rId23" w:anchor="_Toc315681318" w:history="1">
        <w:r w:rsidR="00576C53" w:rsidRPr="008B32C9">
          <w:rPr>
            <w:rStyle w:val="Hyperlink"/>
            <w:rFonts w:ascii="Times New Roman" w:hAnsi="Times New Roman"/>
            <w:b/>
            <w:noProof/>
          </w:rPr>
          <w:t>Depositional Model</w:t>
        </w:r>
        <w:r w:rsidR="00576C53" w:rsidRPr="008B32C9">
          <w:rPr>
            <w:rStyle w:val="Hyperlink"/>
            <w:rFonts w:ascii="Times New Roman" w:hAnsi="Times New Roman"/>
            <w:noProof/>
            <w:webHidden/>
          </w:rPr>
          <w:tab/>
          <w:t>1</w:t>
        </w:r>
      </w:hyperlink>
      <w:r w:rsidR="00576C53">
        <w:rPr>
          <w:rFonts w:ascii="Times New Roman" w:hAnsi="Times New Roman"/>
        </w:rPr>
        <w:t>2</w:t>
      </w:r>
    </w:p>
    <w:p w:rsidR="00576C53" w:rsidRPr="008B32C9" w:rsidRDefault="002606D1" w:rsidP="00576C53">
      <w:pPr>
        <w:pStyle w:val="TOC2"/>
        <w:tabs>
          <w:tab w:val="right" w:leader="dot" w:pos="8486"/>
        </w:tabs>
        <w:rPr>
          <w:rFonts w:ascii="Times New Roman" w:hAnsi="Times New Roman"/>
          <w:noProof/>
        </w:rPr>
      </w:pPr>
      <w:hyperlink r:id="rId24" w:anchor="_Toc315681318" w:history="1">
        <w:r w:rsidR="00576C53" w:rsidRPr="008B32C9">
          <w:rPr>
            <w:rStyle w:val="Hyperlink"/>
            <w:rFonts w:ascii="Times New Roman" w:hAnsi="Times New Roman"/>
            <w:b/>
            <w:noProof/>
          </w:rPr>
          <w:t>Three-Dimensional Geologic Model</w:t>
        </w:r>
        <w:r w:rsidR="00576C53" w:rsidRPr="008B32C9">
          <w:rPr>
            <w:rStyle w:val="Hyperlink"/>
            <w:rFonts w:ascii="Times New Roman" w:hAnsi="Times New Roman"/>
            <w:noProof/>
            <w:webHidden/>
          </w:rPr>
          <w:tab/>
          <w:t>1</w:t>
        </w:r>
      </w:hyperlink>
      <w:r w:rsidR="00576C53">
        <w:rPr>
          <w:rFonts w:ascii="Times New Roman" w:hAnsi="Times New Roman"/>
        </w:rPr>
        <w:t>3</w:t>
      </w:r>
    </w:p>
    <w:p w:rsidR="00576C53" w:rsidRPr="008B32C9" w:rsidRDefault="002606D1" w:rsidP="00576C53">
      <w:pPr>
        <w:pStyle w:val="TOC2"/>
        <w:tabs>
          <w:tab w:val="right" w:leader="dot" w:pos="8486"/>
        </w:tabs>
        <w:rPr>
          <w:rFonts w:ascii="Times New Roman" w:hAnsi="Times New Roman"/>
        </w:rPr>
      </w:pPr>
      <w:hyperlink r:id="rId25" w:anchor="_Toc315681318" w:history="1">
        <w:r w:rsidR="00576C53" w:rsidRPr="008B32C9">
          <w:rPr>
            <w:rStyle w:val="Hyperlink"/>
            <w:rFonts w:ascii="Times New Roman" w:hAnsi="Times New Roman"/>
            <w:b/>
            <w:noProof/>
          </w:rPr>
          <w:t>Reservoir Simulation</w:t>
        </w:r>
        <w:r w:rsidR="00576C53" w:rsidRPr="008B32C9">
          <w:rPr>
            <w:rStyle w:val="Hyperlink"/>
            <w:rFonts w:ascii="Times New Roman" w:hAnsi="Times New Roman"/>
            <w:noProof/>
            <w:webHidden/>
          </w:rPr>
          <w:tab/>
          <w:t>1</w:t>
        </w:r>
      </w:hyperlink>
      <w:r w:rsidR="00576C53">
        <w:rPr>
          <w:rFonts w:ascii="Times New Roman" w:hAnsi="Times New Roman"/>
        </w:rPr>
        <w:t>6</w:t>
      </w:r>
    </w:p>
    <w:p w:rsidR="00576C53" w:rsidRPr="008B32C9" w:rsidRDefault="002606D1" w:rsidP="00576C53">
      <w:pPr>
        <w:pStyle w:val="TOC2"/>
        <w:tabs>
          <w:tab w:val="right" w:leader="dot" w:pos="8486"/>
        </w:tabs>
        <w:rPr>
          <w:rFonts w:ascii="Times New Roman" w:hAnsi="Times New Roman"/>
        </w:rPr>
      </w:pPr>
      <w:hyperlink r:id="rId26" w:anchor="_Toc315681318" w:history="1">
        <w:r w:rsidR="00576C53" w:rsidRPr="008B32C9">
          <w:rPr>
            <w:rStyle w:val="Hyperlink"/>
            <w:rFonts w:ascii="Times New Roman" w:hAnsi="Times New Roman"/>
            <w:b/>
            <w:noProof/>
          </w:rPr>
          <w:t>Discussion</w:t>
        </w:r>
        <w:r w:rsidR="00576C53" w:rsidRPr="008B32C9">
          <w:rPr>
            <w:rStyle w:val="Hyperlink"/>
            <w:rFonts w:ascii="Times New Roman" w:hAnsi="Times New Roman"/>
            <w:noProof/>
            <w:webHidden/>
          </w:rPr>
          <w:tab/>
          <w:t>1</w:t>
        </w:r>
      </w:hyperlink>
      <w:r w:rsidR="00576C53">
        <w:rPr>
          <w:rFonts w:ascii="Times New Roman" w:hAnsi="Times New Roman"/>
        </w:rPr>
        <w:t>7</w:t>
      </w:r>
    </w:p>
    <w:p w:rsidR="00576C53" w:rsidRPr="008B32C9" w:rsidRDefault="002606D1" w:rsidP="00576C53">
      <w:pPr>
        <w:pStyle w:val="TOC2"/>
        <w:tabs>
          <w:tab w:val="right" w:leader="dot" w:pos="8486"/>
        </w:tabs>
        <w:rPr>
          <w:rFonts w:ascii="Times New Roman" w:hAnsi="Times New Roman"/>
          <w:noProof/>
        </w:rPr>
      </w:pPr>
      <w:hyperlink r:id="rId27" w:anchor="_Toc315681318" w:history="1">
        <w:r w:rsidR="00576C53" w:rsidRPr="008B32C9">
          <w:rPr>
            <w:rStyle w:val="Hyperlink"/>
            <w:rFonts w:ascii="Times New Roman" w:hAnsi="Times New Roman"/>
            <w:b/>
            <w:noProof/>
          </w:rPr>
          <w:t>Conclusions</w:t>
        </w:r>
        <w:r w:rsidR="00576C53" w:rsidRPr="008B32C9">
          <w:rPr>
            <w:rStyle w:val="Hyperlink"/>
            <w:rFonts w:ascii="Times New Roman" w:hAnsi="Times New Roman"/>
            <w:noProof/>
            <w:webHidden/>
          </w:rPr>
          <w:tab/>
        </w:r>
      </w:hyperlink>
      <w:r w:rsidR="00576C53" w:rsidRPr="008B32C9">
        <w:rPr>
          <w:rFonts w:ascii="Times New Roman" w:hAnsi="Times New Roman"/>
        </w:rPr>
        <w:t>1</w:t>
      </w:r>
      <w:r w:rsidR="00576C53">
        <w:rPr>
          <w:rFonts w:ascii="Times New Roman" w:hAnsi="Times New Roman"/>
          <w:noProof/>
        </w:rPr>
        <w:t>9</w:t>
      </w:r>
    </w:p>
    <w:p w:rsidR="00576C53" w:rsidRPr="008B32C9" w:rsidRDefault="002606D1" w:rsidP="00576C53">
      <w:pPr>
        <w:pStyle w:val="TOC2"/>
        <w:tabs>
          <w:tab w:val="right" w:leader="dot" w:pos="8486"/>
        </w:tabs>
        <w:rPr>
          <w:rFonts w:ascii="Times New Roman" w:hAnsi="Times New Roman"/>
          <w:noProof/>
        </w:rPr>
      </w:pPr>
      <w:hyperlink r:id="rId28" w:anchor="_Toc315681318" w:history="1">
        <w:r w:rsidR="00576C53" w:rsidRPr="008B32C9">
          <w:rPr>
            <w:rStyle w:val="Hyperlink"/>
            <w:rFonts w:ascii="Times New Roman" w:hAnsi="Times New Roman"/>
            <w:b/>
            <w:noProof/>
          </w:rPr>
          <w:t>Acknowledgements</w:t>
        </w:r>
        <w:r w:rsidR="00576C53" w:rsidRPr="008B32C9">
          <w:rPr>
            <w:rStyle w:val="Hyperlink"/>
            <w:rFonts w:ascii="Times New Roman" w:hAnsi="Times New Roman"/>
            <w:noProof/>
            <w:webHidden/>
          </w:rPr>
          <w:tab/>
        </w:r>
      </w:hyperlink>
      <w:r w:rsidR="00576C53">
        <w:rPr>
          <w:rFonts w:ascii="Times New Roman" w:hAnsi="Times New Roman"/>
        </w:rPr>
        <w:t>20</w:t>
      </w:r>
    </w:p>
    <w:p w:rsidR="00576C53" w:rsidRPr="008B32C9" w:rsidRDefault="002606D1" w:rsidP="00576C53">
      <w:pPr>
        <w:pStyle w:val="TOC2"/>
        <w:tabs>
          <w:tab w:val="right" w:leader="dot" w:pos="8486"/>
        </w:tabs>
        <w:rPr>
          <w:rFonts w:ascii="Times New Roman" w:hAnsi="Times New Roman"/>
          <w:noProof/>
          <w:sz w:val="22"/>
          <w:szCs w:val="22"/>
          <w:lang w:bidi="ar-SA"/>
        </w:rPr>
      </w:pPr>
      <w:hyperlink r:id="rId29" w:anchor="_Toc315681318" w:history="1">
        <w:r w:rsidR="00576C53" w:rsidRPr="008B32C9">
          <w:rPr>
            <w:rStyle w:val="Hyperlink"/>
            <w:rFonts w:ascii="Times New Roman" w:hAnsi="Times New Roman"/>
            <w:b/>
            <w:noProof/>
          </w:rPr>
          <w:t>List of figures</w:t>
        </w:r>
        <w:r w:rsidR="00576C53" w:rsidRPr="008B32C9">
          <w:rPr>
            <w:rStyle w:val="Hyperlink"/>
            <w:rFonts w:ascii="Times New Roman" w:hAnsi="Times New Roman"/>
            <w:noProof/>
            <w:webHidden/>
          </w:rPr>
          <w:tab/>
        </w:r>
      </w:hyperlink>
      <w:r w:rsidR="00576C53">
        <w:rPr>
          <w:rFonts w:ascii="Times New Roman" w:hAnsi="Times New Roman"/>
        </w:rPr>
        <w:t>21</w:t>
      </w:r>
    </w:p>
    <w:p w:rsidR="00576C53" w:rsidRPr="008B32C9" w:rsidRDefault="002606D1" w:rsidP="00576C53">
      <w:pPr>
        <w:pStyle w:val="TOC2"/>
        <w:tabs>
          <w:tab w:val="right" w:leader="dot" w:pos="8486"/>
        </w:tabs>
        <w:rPr>
          <w:rFonts w:ascii="Times New Roman" w:eastAsia="Times New Roman" w:hAnsi="Times New Roman"/>
          <w:noProof/>
        </w:rPr>
      </w:pPr>
      <w:hyperlink r:id="rId30" w:anchor="_Toc315681318" w:history="1">
        <w:r w:rsidR="00576C53" w:rsidRPr="008B32C9">
          <w:rPr>
            <w:rStyle w:val="Hyperlink"/>
            <w:rFonts w:ascii="Times New Roman" w:hAnsi="Times New Roman"/>
            <w:b/>
            <w:noProof/>
          </w:rPr>
          <w:t>References</w:t>
        </w:r>
        <w:r w:rsidR="00576C53" w:rsidRPr="008B32C9">
          <w:rPr>
            <w:rStyle w:val="Hyperlink"/>
            <w:rFonts w:ascii="Times New Roman" w:hAnsi="Times New Roman"/>
            <w:noProof/>
            <w:webHidden/>
          </w:rPr>
          <w:tab/>
        </w:r>
      </w:hyperlink>
      <w:r w:rsidR="00576C53" w:rsidRPr="008B32C9">
        <w:rPr>
          <w:rFonts w:ascii="Times New Roman" w:hAnsi="Times New Roman"/>
          <w:noProof/>
        </w:rPr>
        <w:t>3</w:t>
      </w:r>
      <w:r w:rsidR="00576C53">
        <w:rPr>
          <w:rFonts w:ascii="Times New Roman" w:hAnsi="Times New Roman"/>
          <w:noProof/>
        </w:rPr>
        <w:t>6</w:t>
      </w:r>
    </w:p>
    <w:p w:rsidR="00576C53" w:rsidRPr="008B32C9" w:rsidRDefault="002606D1" w:rsidP="00576C53">
      <w:pPr>
        <w:pStyle w:val="TOC1"/>
        <w:rPr>
          <w:rFonts w:ascii="Times New Roman" w:hAnsi="Times New Roman"/>
          <w:noProof/>
        </w:rPr>
      </w:pPr>
      <w:hyperlink r:id="rId31" w:anchor="_Toc315681317" w:history="1">
        <w:r w:rsidR="00576C53" w:rsidRPr="008B32C9">
          <w:rPr>
            <w:rStyle w:val="Hyperlink"/>
            <w:rFonts w:ascii="Times New Roman" w:hAnsi="Times New Roman"/>
            <w:b/>
            <w:noProof/>
          </w:rPr>
          <w:t xml:space="preserve">Chapter 2: </w:t>
        </w:r>
        <w:r w:rsidR="00576C53" w:rsidRPr="008B32C9">
          <w:rPr>
            <w:rStyle w:val="Hyperlink"/>
            <w:rFonts w:ascii="Times New Roman" w:hAnsi="Times New Roman"/>
            <w:b/>
          </w:rPr>
          <w:t>An Integrated Chemo- and Sequence- Stratigraphic Framework of the Early Pennsylvanian Deepwater Outcrops near Kirby, Arkansas, USA, and its Implications on Remnant Basin Tectonics and Hydrocarbon E&amp;P</w:t>
        </w:r>
        <w:r w:rsidR="00576C53" w:rsidRPr="008B32C9">
          <w:rPr>
            <w:rStyle w:val="Hyperlink"/>
            <w:rFonts w:ascii="Times New Roman" w:hAnsi="Times New Roman"/>
            <w:noProof/>
            <w:webHidden/>
          </w:rPr>
          <w:tab/>
        </w:r>
      </w:hyperlink>
      <w:r w:rsidR="00576C53">
        <w:rPr>
          <w:rFonts w:ascii="Times New Roman" w:hAnsi="Times New Roman"/>
        </w:rPr>
        <w:t>42</w:t>
      </w:r>
    </w:p>
    <w:p w:rsidR="00576C53" w:rsidRPr="008B32C9" w:rsidRDefault="002606D1" w:rsidP="00576C53">
      <w:pPr>
        <w:pStyle w:val="TOC2"/>
        <w:tabs>
          <w:tab w:val="right" w:leader="dot" w:pos="8486"/>
        </w:tabs>
        <w:rPr>
          <w:rFonts w:ascii="Times New Roman" w:hAnsi="Times New Roman"/>
          <w:noProof/>
        </w:rPr>
      </w:pPr>
      <w:hyperlink r:id="rId32" w:anchor="_Toc315681318" w:history="1">
        <w:r w:rsidR="00576C53" w:rsidRPr="008B32C9">
          <w:rPr>
            <w:rStyle w:val="Hyperlink"/>
            <w:rFonts w:ascii="Times New Roman" w:hAnsi="Times New Roman"/>
            <w:b/>
            <w:noProof/>
          </w:rPr>
          <w:t>Abstract</w:t>
        </w:r>
        <w:r w:rsidR="00576C53" w:rsidRPr="008B32C9">
          <w:rPr>
            <w:rStyle w:val="Hyperlink"/>
            <w:rFonts w:ascii="Times New Roman" w:hAnsi="Times New Roman"/>
            <w:noProof/>
            <w:webHidden/>
          </w:rPr>
          <w:tab/>
        </w:r>
      </w:hyperlink>
      <w:r w:rsidR="00576C53" w:rsidRPr="006768E6">
        <w:t>42</w:t>
      </w:r>
    </w:p>
    <w:p w:rsidR="00576C53" w:rsidRPr="008B32C9" w:rsidRDefault="002606D1" w:rsidP="00576C53">
      <w:pPr>
        <w:pStyle w:val="TOC2"/>
        <w:tabs>
          <w:tab w:val="right" w:leader="dot" w:pos="8486"/>
        </w:tabs>
        <w:rPr>
          <w:rFonts w:ascii="Times New Roman" w:hAnsi="Times New Roman"/>
          <w:noProof/>
        </w:rPr>
      </w:pPr>
      <w:hyperlink r:id="rId33" w:anchor="_Toc315681318" w:history="1">
        <w:r w:rsidR="00576C53" w:rsidRPr="008B32C9">
          <w:rPr>
            <w:rStyle w:val="Hyperlink"/>
            <w:rFonts w:ascii="Times New Roman" w:hAnsi="Times New Roman"/>
            <w:b/>
            <w:noProof/>
          </w:rPr>
          <w:t>Introduction</w:t>
        </w:r>
        <w:r w:rsidR="00576C53" w:rsidRPr="008B32C9">
          <w:rPr>
            <w:rStyle w:val="Hyperlink"/>
            <w:rFonts w:ascii="Times New Roman" w:hAnsi="Times New Roman"/>
            <w:noProof/>
            <w:webHidden/>
          </w:rPr>
          <w:tab/>
        </w:r>
      </w:hyperlink>
      <w:r w:rsidR="00576C53">
        <w:rPr>
          <w:rFonts w:ascii="Times New Roman" w:hAnsi="Times New Roman"/>
          <w:noProof/>
        </w:rPr>
        <w:t>44</w:t>
      </w:r>
    </w:p>
    <w:p w:rsidR="00576C53" w:rsidRPr="008B32C9" w:rsidRDefault="002606D1" w:rsidP="00576C53">
      <w:pPr>
        <w:pStyle w:val="TOC2"/>
        <w:tabs>
          <w:tab w:val="right" w:leader="dot" w:pos="8486"/>
        </w:tabs>
        <w:rPr>
          <w:rFonts w:ascii="Times New Roman" w:hAnsi="Times New Roman"/>
          <w:noProof/>
        </w:rPr>
      </w:pPr>
      <w:hyperlink r:id="rId34" w:anchor="_Toc315681318" w:history="1">
        <w:r w:rsidR="00576C53" w:rsidRPr="008B32C9">
          <w:rPr>
            <w:rStyle w:val="Hyperlink"/>
            <w:rFonts w:ascii="Times New Roman" w:hAnsi="Times New Roman"/>
            <w:b/>
            <w:noProof/>
          </w:rPr>
          <w:t>Geological Setting</w:t>
        </w:r>
        <w:r w:rsidR="00576C53" w:rsidRPr="008B32C9">
          <w:rPr>
            <w:rStyle w:val="Hyperlink"/>
            <w:rFonts w:ascii="Times New Roman" w:hAnsi="Times New Roman"/>
            <w:noProof/>
            <w:webHidden/>
          </w:rPr>
          <w:tab/>
        </w:r>
      </w:hyperlink>
      <w:r w:rsidR="00576C53">
        <w:rPr>
          <w:rFonts w:ascii="Times New Roman" w:hAnsi="Times New Roman"/>
          <w:noProof/>
        </w:rPr>
        <w:t>46</w:t>
      </w:r>
    </w:p>
    <w:p w:rsidR="00576C53" w:rsidRPr="008B32C9" w:rsidRDefault="002606D1" w:rsidP="00576C53">
      <w:pPr>
        <w:pStyle w:val="TOC3"/>
        <w:tabs>
          <w:tab w:val="right" w:leader="dot" w:pos="8486"/>
        </w:tabs>
        <w:rPr>
          <w:rFonts w:ascii="Times New Roman" w:hAnsi="Times New Roman"/>
          <w:noProof/>
        </w:rPr>
      </w:pPr>
      <w:hyperlink r:id="rId35" w:anchor="_Toc315681319" w:history="1">
        <w:r w:rsidR="00576C53" w:rsidRPr="008B32C9">
          <w:rPr>
            <w:rStyle w:val="Hyperlink"/>
            <w:rFonts w:ascii="Times New Roman" w:hAnsi="Times New Roman"/>
            <w:noProof/>
          </w:rPr>
          <w:t>Regional tectonic history</w:t>
        </w:r>
        <w:r w:rsidR="00576C53" w:rsidRPr="008B32C9">
          <w:rPr>
            <w:rStyle w:val="Hyperlink"/>
            <w:rFonts w:ascii="Times New Roman" w:hAnsi="Times New Roman"/>
            <w:noProof/>
            <w:webHidden/>
          </w:rPr>
          <w:tab/>
        </w:r>
      </w:hyperlink>
      <w:r w:rsidR="00576C53">
        <w:rPr>
          <w:rFonts w:ascii="Times New Roman" w:hAnsi="Times New Roman"/>
          <w:noProof/>
        </w:rPr>
        <w:t>46</w:t>
      </w:r>
    </w:p>
    <w:p w:rsidR="00576C53" w:rsidRPr="008B32C9" w:rsidRDefault="002606D1" w:rsidP="00576C53">
      <w:pPr>
        <w:pStyle w:val="TOC3"/>
        <w:tabs>
          <w:tab w:val="right" w:leader="dot" w:pos="8486"/>
        </w:tabs>
        <w:rPr>
          <w:rFonts w:ascii="Times New Roman" w:hAnsi="Times New Roman"/>
          <w:noProof/>
        </w:rPr>
      </w:pPr>
      <w:hyperlink r:id="rId36" w:anchor="_Toc315681319" w:history="1">
        <w:r w:rsidR="00576C53" w:rsidRPr="008B32C9">
          <w:rPr>
            <w:rStyle w:val="Hyperlink"/>
            <w:rFonts w:ascii="Times New Roman" w:hAnsi="Times New Roman"/>
            <w:noProof/>
          </w:rPr>
          <w:t>General stratigraphy</w:t>
        </w:r>
        <w:r w:rsidR="00576C53" w:rsidRPr="008B32C9">
          <w:rPr>
            <w:rStyle w:val="Hyperlink"/>
            <w:rFonts w:ascii="Times New Roman" w:hAnsi="Times New Roman"/>
            <w:noProof/>
            <w:webHidden/>
          </w:rPr>
          <w:tab/>
        </w:r>
      </w:hyperlink>
      <w:r w:rsidR="00576C53" w:rsidRPr="008B32C9">
        <w:rPr>
          <w:rFonts w:ascii="Times New Roman" w:hAnsi="Times New Roman"/>
          <w:noProof/>
        </w:rPr>
        <w:t>4</w:t>
      </w:r>
      <w:r w:rsidR="00576C53">
        <w:rPr>
          <w:rFonts w:ascii="Times New Roman" w:hAnsi="Times New Roman"/>
          <w:noProof/>
        </w:rPr>
        <w:t>7</w:t>
      </w:r>
    </w:p>
    <w:p w:rsidR="00576C53" w:rsidRPr="008B32C9" w:rsidRDefault="002606D1" w:rsidP="00576C53">
      <w:pPr>
        <w:pStyle w:val="TOC2"/>
        <w:tabs>
          <w:tab w:val="right" w:leader="dot" w:pos="8486"/>
        </w:tabs>
        <w:rPr>
          <w:rFonts w:ascii="Times New Roman" w:hAnsi="Times New Roman"/>
          <w:noProof/>
          <w:sz w:val="22"/>
          <w:szCs w:val="22"/>
          <w:lang w:bidi="ar-SA"/>
        </w:rPr>
      </w:pPr>
      <w:hyperlink r:id="rId37" w:anchor="_Toc315681318" w:history="1">
        <w:r w:rsidR="00576C53" w:rsidRPr="008B32C9">
          <w:rPr>
            <w:rStyle w:val="Hyperlink"/>
            <w:rFonts w:ascii="Times New Roman" w:hAnsi="Times New Roman"/>
            <w:b/>
            <w:noProof/>
          </w:rPr>
          <w:t>Characterizationof Kirby Sections</w:t>
        </w:r>
        <w:r w:rsidR="00576C53" w:rsidRPr="008B32C9">
          <w:rPr>
            <w:rStyle w:val="Hyperlink"/>
            <w:rFonts w:ascii="Times New Roman" w:hAnsi="Times New Roman"/>
            <w:noProof/>
            <w:webHidden/>
          </w:rPr>
          <w:tab/>
        </w:r>
      </w:hyperlink>
      <w:r w:rsidR="00576C53">
        <w:rPr>
          <w:rFonts w:ascii="Times New Roman" w:hAnsi="Times New Roman"/>
          <w:noProof/>
        </w:rPr>
        <w:t>49</w:t>
      </w:r>
    </w:p>
    <w:p w:rsidR="00576C53" w:rsidRPr="008B32C9" w:rsidRDefault="002606D1" w:rsidP="00576C53">
      <w:pPr>
        <w:pStyle w:val="TOC3"/>
        <w:tabs>
          <w:tab w:val="right" w:leader="dot" w:pos="8486"/>
          <w:tab w:val="right" w:pos="9360"/>
        </w:tabs>
        <w:rPr>
          <w:rFonts w:ascii="Times New Roman" w:eastAsia="Times New Roman" w:hAnsi="Times New Roman"/>
          <w:noProof/>
        </w:rPr>
      </w:pPr>
      <w:hyperlink r:id="rId38" w:anchor="_Toc315681319" w:history="1">
        <w:r w:rsidR="00576C53" w:rsidRPr="008B32C9">
          <w:rPr>
            <w:rStyle w:val="Hyperlink"/>
            <w:rFonts w:ascii="Times New Roman" w:hAnsi="Times New Roman"/>
            <w:noProof/>
          </w:rPr>
          <w:t>Lower Jackfork Group</w:t>
        </w:r>
        <w:r w:rsidR="00576C53" w:rsidRPr="008B32C9">
          <w:rPr>
            <w:rStyle w:val="Hyperlink"/>
            <w:rFonts w:ascii="Times New Roman" w:hAnsi="Times New Roman"/>
            <w:noProof/>
            <w:webHidden/>
          </w:rPr>
          <w:tab/>
        </w:r>
      </w:hyperlink>
      <w:r w:rsidR="00576C53">
        <w:rPr>
          <w:rFonts w:ascii="Times New Roman" w:hAnsi="Times New Roman"/>
          <w:noProof/>
        </w:rPr>
        <w:t>50</w:t>
      </w:r>
    </w:p>
    <w:p w:rsidR="00576C53" w:rsidRPr="008B32C9" w:rsidRDefault="002606D1" w:rsidP="00576C53">
      <w:pPr>
        <w:pStyle w:val="TOC3"/>
        <w:tabs>
          <w:tab w:val="right" w:leader="dot" w:pos="8486"/>
          <w:tab w:val="right" w:pos="9360"/>
        </w:tabs>
        <w:rPr>
          <w:rFonts w:ascii="Times New Roman" w:hAnsi="Times New Roman"/>
          <w:noProof/>
        </w:rPr>
      </w:pPr>
      <w:hyperlink r:id="rId39" w:anchor="_Toc315681319" w:history="1">
        <w:r w:rsidR="00576C53" w:rsidRPr="008B32C9">
          <w:rPr>
            <w:rStyle w:val="Hyperlink"/>
            <w:rFonts w:ascii="Times New Roman" w:hAnsi="Times New Roman"/>
            <w:noProof/>
          </w:rPr>
          <w:t>Middle Jackfork Group</w:t>
        </w:r>
        <w:r w:rsidR="00576C53" w:rsidRPr="008B32C9">
          <w:rPr>
            <w:rStyle w:val="Hyperlink"/>
            <w:rFonts w:ascii="Times New Roman" w:hAnsi="Times New Roman"/>
            <w:noProof/>
            <w:webHidden/>
          </w:rPr>
          <w:tab/>
        </w:r>
      </w:hyperlink>
      <w:r w:rsidR="00576C53">
        <w:rPr>
          <w:rFonts w:ascii="Times New Roman" w:hAnsi="Times New Roman"/>
          <w:noProof/>
        </w:rPr>
        <w:t>52</w:t>
      </w:r>
    </w:p>
    <w:p w:rsidR="00576C53" w:rsidRPr="008B32C9" w:rsidRDefault="00576C53" w:rsidP="00576C53">
      <w:pPr>
        <w:pStyle w:val="TOC3"/>
        <w:tabs>
          <w:tab w:val="right" w:leader="dot" w:pos="8486"/>
          <w:tab w:val="right" w:pos="9360"/>
        </w:tabs>
        <w:rPr>
          <w:rFonts w:ascii="Times New Roman" w:hAnsi="Times New Roman"/>
        </w:rPr>
      </w:pPr>
      <w:r w:rsidRPr="008B32C9">
        <w:rPr>
          <w:rFonts w:ascii="Times New Roman" w:hAnsi="Times New Roman"/>
        </w:rPr>
        <w:t>Upper Jackfork Group</w:t>
      </w:r>
      <w:hyperlink r:id="rId40" w:anchor="_Toc315681319" w:history="1">
        <w:r w:rsidRPr="008B32C9">
          <w:rPr>
            <w:rStyle w:val="Hyperlink"/>
            <w:rFonts w:ascii="Times New Roman" w:hAnsi="Times New Roman"/>
            <w:noProof/>
            <w:webHidden/>
          </w:rPr>
          <w:tab/>
        </w:r>
      </w:hyperlink>
      <w:r>
        <w:rPr>
          <w:rFonts w:ascii="Times New Roman" w:hAnsi="Times New Roman"/>
        </w:rPr>
        <w:t>54</w:t>
      </w:r>
    </w:p>
    <w:p w:rsidR="00576C53" w:rsidRPr="008B32C9" w:rsidRDefault="00576C53" w:rsidP="00576C53">
      <w:pPr>
        <w:pStyle w:val="TOC3"/>
        <w:tabs>
          <w:tab w:val="right" w:leader="dot" w:pos="8486"/>
          <w:tab w:val="right" w:pos="9360"/>
        </w:tabs>
        <w:rPr>
          <w:rFonts w:ascii="Times New Roman" w:hAnsi="Times New Roman"/>
        </w:rPr>
      </w:pPr>
      <w:r w:rsidRPr="008B32C9">
        <w:rPr>
          <w:rFonts w:ascii="Times New Roman" w:hAnsi="Times New Roman"/>
        </w:rPr>
        <w:t>Johns Valley Shale</w:t>
      </w:r>
      <w:hyperlink r:id="rId41" w:anchor="_Toc315681319" w:history="1">
        <w:r w:rsidRPr="008B32C9">
          <w:rPr>
            <w:rStyle w:val="Hyperlink"/>
            <w:rFonts w:ascii="Times New Roman" w:hAnsi="Times New Roman"/>
            <w:noProof/>
            <w:webHidden/>
          </w:rPr>
          <w:tab/>
        </w:r>
      </w:hyperlink>
      <w:r>
        <w:rPr>
          <w:rFonts w:ascii="Times New Roman" w:hAnsi="Times New Roman"/>
        </w:rPr>
        <w:t>55</w:t>
      </w:r>
    </w:p>
    <w:p w:rsidR="00576C53" w:rsidRPr="008B32C9" w:rsidRDefault="002606D1" w:rsidP="00576C53">
      <w:pPr>
        <w:pStyle w:val="TOC2"/>
        <w:tabs>
          <w:tab w:val="right" w:leader="dot" w:pos="8486"/>
        </w:tabs>
        <w:rPr>
          <w:rFonts w:ascii="Times New Roman" w:hAnsi="Times New Roman"/>
          <w:noProof/>
          <w:sz w:val="22"/>
          <w:szCs w:val="22"/>
          <w:lang w:bidi="ar-SA"/>
        </w:rPr>
      </w:pPr>
      <w:hyperlink r:id="rId42" w:anchor="_Toc315681318" w:history="1">
        <w:r w:rsidR="00576C53" w:rsidRPr="008B32C9">
          <w:rPr>
            <w:rStyle w:val="Hyperlink"/>
            <w:rFonts w:ascii="Times New Roman" w:hAnsi="Times New Roman"/>
            <w:b/>
            <w:noProof/>
          </w:rPr>
          <w:t>Regional Correlation</w:t>
        </w:r>
        <w:r w:rsidR="00576C53" w:rsidRPr="008B32C9">
          <w:rPr>
            <w:rStyle w:val="Hyperlink"/>
            <w:rFonts w:ascii="Times New Roman" w:hAnsi="Times New Roman"/>
            <w:noProof/>
            <w:webHidden/>
          </w:rPr>
          <w:tab/>
        </w:r>
      </w:hyperlink>
      <w:r w:rsidR="00576C53">
        <w:rPr>
          <w:rFonts w:ascii="Times New Roman" w:hAnsi="Times New Roman"/>
          <w:noProof/>
        </w:rPr>
        <w:t>56</w:t>
      </w:r>
    </w:p>
    <w:p w:rsidR="00576C53" w:rsidRPr="008B32C9" w:rsidRDefault="002606D1" w:rsidP="00576C53">
      <w:pPr>
        <w:pStyle w:val="TOC3"/>
        <w:tabs>
          <w:tab w:val="right" w:leader="dot" w:pos="8486"/>
          <w:tab w:val="right" w:pos="9360"/>
        </w:tabs>
        <w:rPr>
          <w:rFonts w:ascii="Times New Roman" w:eastAsia="Times New Roman" w:hAnsi="Times New Roman"/>
          <w:noProof/>
        </w:rPr>
      </w:pPr>
      <w:hyperlink r:id="rId43" w:anchor="_Toc315681319" w:history="1">
        <w:r w:rsidR="00576C53" w:rsidRPr="008B32C9">
          <w:rPr>
            <w:rStyle w:val="Hyperlink"/>
            <w:rFonts w:ascii="Times New Roman" w:hAnsi="Times New Roman"/>
            <w:noProof/>
          </w:rPr>
          <w:t>Review of DeGray Lake Area Geology</w:t>
        </w:r>
        <w:r w:rsidR="00576C53" w:rsidRPr="008B32C9">
          <w:rPr>
            <w:rStyle w:val="Hyperlink"/>
            <w:rFonts w:ascii="Times New Roman" w:hAnsi="Times New Roman"/>
            <w:noProof/>
            <w:webHidden/>
          </w:rPr>
          <w:tab/>
        </w:r>
      </w:hyperlink>
      <w:r w:rsidR="00576C53">
        <w:rPr>
          <w:rFonts w:ascii="Times New Roman" w:hAnsi="Times New Roman"/>
          <w:noProof/>
        </w:rPr>
        <w:t>57</w:t>
      </w:r>
    </w:p>
    <w:p w:rsidR="00576C53" w:rsidRPr="008B32C9" w:rsidRDefault="002606D1" w:rsidP="00576C53">
      <w:pPr>
        <w:pStyle w:val="TOC3"/>
        <w:tabs>
          <w:tab w:val="right" w:leader="dot" w:pos="8486"/>
          <w:tab w:val="right" w:pos="9360"/>
        </w:tabs>
        <w:rPr>
          <w:rFonts w:ascii="Times New Roman" w:hAnsi="Times New Roman"/>
          <w:noProof/>
        </w:rPr>
      </w:pPr>
      <w:hyperlink r:id="rId44" w:anchor="_Toc315681319" w:history="1">
        <w:r w:rsidR="00576C53" w:rsidRPr="008B32C9">
          <w:rPr>
            <w:rStyle w:val="Hyperlink"/>
            <w:rFonts w:ascii="Times New Roman" w:hAnsi="Times New Roman"/>
            <w:noProof/>
          </w:rPr>
          <w:t>Review of Dierks Area Geology</w:t>
        </w:r>
        <w:r w:rsidR="00576C53" w:rsidRPr="008B32C9">
          <w:rPr>
            <w:rStyle w:val="Hyperlink"/>
            <w:rFonts w:ascii="Times New Roman" w:hAnsi="Times New Roman"/>
            <w:noProof/>
            <w:webHidden/>
          </w:rPr>
          <w:tab/>
        </w:r>
      </w:hyperlink>
      <w:r w:rsidR="00576C53">
        <w:rPr>
          <w:rFonts w:ascii="Times New Roman" w:hAnsi="Times New Roman"/>
          <w:noProof/>
        </w:rPr>
        <w:t>59</w:t>
      </w:r>
    </w:p>
    <w:p w:rsidR="00576C53" w:rsidRPr="008B32C9" w:rsidRDefault="00576C53" w:rsidP="00576C53">
      <w:pPr>
        <w:pStyle w:val="TOC3"/>
        <w:tabs>
          <w:tab w:val="right" w:leader="dot" w:pos="8486"/>
          <w:tab w:val="right" w:pos="9360"/>
        </w:tabs>
        <w:rPr>
          <w:rFonts w:ascii="Times New Roman" w:hAnsi="Times New Roman"/>
        </w:rPr>
      </w:pPr>
      <w:r w:rsidRPr="008B32C9">
        <w:rPr>
          <w:rFonts w:ascii="Times New Roman" w:hAnsi="Times New Roman"/>
        </w:rPr>
        <w:t>Chemostratigraphy</w:t>
      </w:r>
      <w:hyperlink r:id="rId45" w:anchor="_Toc315681319" w:history="1">
        <w:r w:rsidRPr="008B32C9">
          <w:rPr>
            <w:rStyle w:val="Hyperlink"/>
            <w:rFonts w:ascii="Times New Roman" w:hAnsi="Times New Roman"/>
            <w:noProof/>
            <w:webHidden/>
          </w:rPr>
          <w:tab/>
        </w:r>
      </w:hyperlink>
      <w:r>
        <w:rPr>
          <w:rFonts w:ascii="Times New Roman" w:hAnsi="Times New Roman"/>
        </w:rPr>
        <w:t>60</w:t>
      </w:r>
    </w:p>
    <w:p w:rsidR="00576C53" w:rsidRPr="008B32C9" w:rsidRDefault="002606D1" w:rsidP="00576C53">
      <w:pPr>
        <w:pStyle w:val="TOC2"/>
        <w:tabs>
          <w:tab w:val="right" w:leader="dot" w:pos="8486"/>
        </w:tabs>
        <w:rPr>
          <w:rFonts w:ascii="Times New Roman" w:hAnsi="Times New Roman"/>
          <w:noProof/>
        </w:rPr>
      </w:pPr>
      <w:hyperlink r:id="rId46" w:anchor="_Toc315681318" w:history="1">
        <w:r w:rsidR="00576C53" w:rsidRPr="008B32C9">
          <w:rPr>
            <w:rStyle w:val="Hyperlink"/>
            <w:rFonts w:ascii="Times New Roman" w:hAnsi="Times New Roman"/>
            <w:b/>
            <w:noProof/>
          </w:rPr>
          <w:t>Depositional Environments And Sequence Stratigraphy</w:t>
        </w:r>
        <w:r w:rsidR="00576C53" w:rsidRPr="008B32C9">
          <w:rPr>
            <w:rStyle w:val="Hyperlink"/>
            <w:rFonts w:ascii="Times New Roman" w:hAnsi="Times New Roman"/>
            <w:noProof/>
            <w:webHidden/>
          </w:rPr>
          <w:tab/>
        </w:r>
      </w:hyperlink>
      <w:r w:rsidR="00576C53">
        <w:rPr>
          <w:rFonts w:ascii="Times New Roman" w:hAnsi="Times New Roman"/>
          <w:noProof/>
        </w:rPr>
        <w:t>64</w:t>
      </w:r>
    </w:p>
    <w:p w:rsidR="00576C53" w:rsidRPr="008B32C9" w:rsidRDefault="002606D1" w:rsidP="00576C53">
      <w:pPr>
        <w:pStyle w:val="TOC2"/>
        <w:tabs>
          <w:tab w:val="right" w:leader="dot" w:pos="8486"/>
        </w:tabs>
        <w:rPr>
          <w:rFonts w:ascii="Times New Roman" w:hAnsi="Times New Roman"/>
          <w:noProof/>
        </w:rPr>
      </w:pPr>
      <w:hyperlink r:id="rId47" w:anchor="_Toc315681318" w:history="1">
        <w:r w:rsidR="00576C53" w:rsidRPr="008B32C9">
          <w:rPr>
            <w:rStyle w:val="Hyperlink"/>
            <w:rFonts w:ascii="Times New Roman" w:hAnsi="Times New Roman"/>
            <w:b/>
            <w:noProof/>
          </w:rPr>
          <w:t>Discussion</w:t>
        </w:r>
        <w:r w:rsidR="00576C53" w:rsidRPr="008B32C9">
          <w:rPr>
            <w:rStyle w:val="Hyperlink"/>
            <w:rFonts w:ascii="Times New Roman" w:hAnsi="Times New Roman"/>
            <w:noProof/>
            <w:webHidden/>
          </w:rPr>
          <w:tab/>
        </w:r>
      </w:hyperlink>
      <w:r w:rsidR="00576C53">
        <w:rPr>
          <w:rFonts w:ascii="Times New Roman" w:hAnsi="Times New Roman"/>
          <w:noProof/>
        </w:rPr>
        <w:t>69</w:t>
      </w:r>
    </w:p>
    <w:p w:rsidR="00576C53" w:rsidRPr="008B32C9" w:rsidRDefault="002606D1" w:rsidP="00576C53">
      <w:pPr>
        <w:pStyle w:val="TOC2"/>
        <w:tabs>
          <w:tab w:val="right" w:leader="dot" w:pos="8486"/>
        </w:tabs>
        <w:rPr>
          <w:rFonts w:ascii="Times New Roman" w:hAnsi="Times New Roman"/>
          <w:noProof/>
        </w:rPr>
      </w:pPr>
      <w:hyperlink r:id="rId48" w:anchor="_Toc315681318" w:history="1">
        <w:r w:rsidR="00576C53" w:rsidRPr="008B32C9">
          <w:rPr>
            <w:rStyle w:val="Hyperlink"/>
            <w:rFonts w:ascii="Times New Roman" w:hAnsi="Times New Roman"/>
            <w:b/>
            <w:noProof/>
          </w:rPr>
          <w:t>Conclusions</w:t>
        </w:r>
        <w:r w:rsidR="00576C53" w:rsidRPr="008B32C9">
          <w:rPr>
            <w:rStyle w:val="Hyperlink"/>
            <w:rFonts w:ascii="Times New Roman" w:hAnsi="Times New Roman"/>
            <w:noProof/>
            <w:webHidden/>
          </w:rPr>
          <w:tab/>
        </w:r>
      </w:hyperlink>
      <w:r w:rsidR="00576C53">
        <w:rPr>
          <w:rFonts w:ascii="Times New Roman" w:hAnsi="Times New Roman"/>
          <w:noProof/>
        </w:rPr>
        <w:t>71</w:t>
      </w:r>
    </w:p>
    <w:p w:rsidR="00576C53" w:rsidRPr="008B32C9" w:rsidRDefault="002606D1" w:rsidP="00576C53">
      <w:pPr>
        <w:pStyle w:val="TOC2"/>
        <w:tabs>
          <w:tab w:val="right" w:leader="dot" w:pos="8486"/>
        </w:tabs>
        <w:rPr>
          <w:rFonts w:ascii="Times New Roman" w:hAnsi="Times New Roman"/>
          <w:noProof/>
          <w:sz w:val="22"/>
          <w:szCs w:val="22"/>
          <w:lang w:bidi="ar-SA"/>
        </w:rPr>
      </w:pPr>
      <w:hyperlink r:id="rId49" w:anchor="_Toc315681318" w:history="1">
        <w:r w:rsidR="00576C53" w:rsidRPr="008B32C9">
          <w:rPr>
            <w:rStyle w:val="Hyperlink"/>
            <w:rFonts w:ascii="Times New Roman" w:hAnsi="Times New Roman"/>
            <w:b/>
            <w:noProof/>
          </w:rPr>
          <w:t xml:space="preserve">List of </w:t>
        </w:r>
        <w:r w:rsidR="00576C53">
          <w:rPr>
            <w:rStyle w:val="Hyperlink"/>
            <w:rFonts w:ascii="Times New Roman" w:hAnsi="Times New Roman"/>
            <w:b/>
            <w:noProof/>
          </w:rPr>
          <w:t>F</w:t>
        </w:r>
        <w:r w:rsidR="00576C53" w:rsidRPr="008B32C9">
          <w:rPr>
            <w:rStyle w:val="Hyperlink"/>
            <w:rFonts w:ascii="Times New Roman" w:hAnsi="Times New Roman"/>
            <w:b/>
            <w:noProof/>
          </w:rPr>
          <w:t>igures</w:t>
        </w:r>
        <w:r w:rsidR="00576C53" w:rsidRPr="008B32C9">
          <w:rPr>
            <w:rStyle w:val="Hyperlink"/>
            <w:rFonts w:ascii="Times New Roman" w:hAnsi="Times New Roman"/>
            <w:noProof/>
            <w:webHidden/>
          </w:rPr>
          <w:tab/>
        </w:r>
      </w:hyperlink>
      <w:r w:rsidR="00576C53">
        <w:rPr>
          <w:rFonts w:ascii="Times New Roman" w:hAnsi="Times New Roman"/>
          <w:noProof/>
        </w:rPr>
        <w:t>72</w:t>
      </w:r>
    </w:p>
    <w:p w:rsidR="00576C53" w:rsidRPr="008B32C9" w:rsidRDefault="002606D1" w:rsidP="00576C53">
      <w:pPr>
        <w:pStyle w:val="TOC2"/>
        <w:tabs>
          <w:tab w:val="right" w:leader="dot" w:pos="8486"/>
        </w:tabs>
        <w:rPr>
          <w:rFonts w:ascii="Times New Roman" w:eastAsia="Times New Roman" w:hAnsi="Times New Roman"/>
          <w:noProof/>
        </w:rPr>
      </w:pPr>
      <w:hyperlink r:id="rId50" w:anchor="_Toc315681318" w:history="1">
        <w:r w:rsidR="00576C53" w:rsidRPr="008B32C9">
          <w:rPr>
            <w:rStyle w:val="Hyperlink"/>
            <w:rFonts w:ascii="Times New Roman" w:hAnsi="Times New Roman"/>
            <w:b/>
            <w:noProof/>
          </w:rPr>
          <w:t>References</w:t>
        </w:r>
        <w:r w:rsidR="00576C53" w:rsidRPr="008B32C9">
          <w:rPr>
            <w:rStyle w:val="Hyperlink"/>
            <w:rFonts w:ascii="Times New Roman" w:hAnsi="Times New Roman"/>
            <w:noProof/>
            <w:webHidden/>
          </w:rPr>
          <w:tab/>
        </w:r>
      </w:hyperlink>
      <w:r w:rsidR="00576C53">
        <w:rPr>
          <w:rFonts w:ascii="Times New Roman" w:hAnsi="Times New Roman"/>
          <w:noProof/>
        </w:rPr>
        <w:t>113</w:t>
      </w:r>
    </w:p>
    <w:p w:rsidR="00576C53" w:rsidRPr="008B32C9" w:rsidRDefault="002606D1" w:rsidP="00576C53">
      <w:pPr>
        <w:pStyle w:val="TOC1"/>
        <w:rPr>
          <w:rFonts w:ascii="Times New Roman" w:hAnsi="Times New Roman"/>
          <w:noProof/>
        </w:rPr>
      </w:pPr>
      <w:hyperlink r:id="rId51" w:anchor="_Toc315681317" w:history="1">
        <w:r w:rsidR="00576C53" w:rsidRPr="008B32C9">
          <w:rPr>
            <w:rStyle w:val="Hyperlink"/>
            <w:rFonts w:ascii="Times New Roman" w:hAnsi="Times New Roman"/>
            <w:b/>
            <w:noProof/>
          </w:rPr>
          <w:t xml:space="preserve">Chapter 3: </w:t>
        </w:r>
        <w:r w:rsidR="00576C53" w:rsidRPr="008B32C9">
          <w:rPr>
            <w:rStyle w:val="Hyperlink"/>
            <w:rFonts w:ascii="Times New Roman" w:hAnsi="Times New Roman"/>
            <w:b/>
          </w:rPr>
          <w:t>Turbidite Petroleum Geology Updates in the Deepwater and Subsalt Gulf of Mexico</w:t>
        </w:r>
        <w:r w:rsidR="00576C53" w:rsidRPr="008B32C9">
          <w:rPr>
            <w:rStyle w:val="Hyperlink"/>
            <w:rFonts w:ascii="Times New Roman" w:hAnsi="Times New Roman"/>
            <w:noProof/>
            <w:webHidden/>
          </w:rPr>
          <w:tab/>
        </w:r>
      </w:hyperlink>
      <w:r w:rsidR="00576C53">
        <w:rPr>
          <w:rFonts w:ascii="Times New Roman" w:hAnsi="Times New Roman"/>
          <w:noProof/>
        </w:rPr>
        <w:t>121</w:t>
      </w:r>
    </w:p>
    <w:p w:rsidR="00576C53" w:rsidRPr="008B32C9" w:rsidRDefault="002606D1" w:rsidP="00576C53">
      <w:pPr>
        <w:pStyle w:val="TOC2"/>
        <w:tabs>
          <w:tab w:val="right" w:leader="dot" w:pos="8486"/>
        </w:tabs>
        <w:rPr>
          <w:rFonts w:ascii="Times New Roman" w:hAnsi="Times New Roman"/>
          <w:noProof/>
        </w:rPr>
      </w:pPr>
      <w:hyperlink r:id="rId52" w:anchor="_Toc315681318" w:history="1">
        <w:r w:rsidR="00576C53" w:rsidRPr="008B32C9">
          <w:rPr>
            <w:rStyle w:val="Hyperlink"/>
            <w:rFonts w:ascii="Times New Roman" w:hAnsi="Times New Roman"/>
            <w:b/>
            <w:noProof/>
          </w:rPr>
          <w:t>Abstract</w:t>
        </w:r>
        <w:r w:rsidR="00576C53" w:rsidRPr="008B32C9">
          <w:rPr>
            <w:rStyle w:val="Hyperlink"/>
            <w:rFonts w:ascii="Times New Roman" w:hAnsi="Times New Roman"/>
            <w:noProof/>
            <w:webHidden/>
          </w:rPr>
          <w:tab/>
        </w:r>
      </w:hyperlink>
      <w:r w:rsidR="00576C53">
        <w:rPr>
          <w:rFonts w:ascii="Times New Roman" w:hAnsi="Times New Roman"/>
          <w:noProof/>
        </w:rPr>
        <w:t>122</w:t>
      </w:r>
    </w:p>
    <w:p w:rsidR="00576C53" w:rsidRPr="008B32C9" w:rsidRDefault="002606D1" w:rsidP="00576C53">
      <w:pPr>
        <w:pStyle w:val="TOC2"/>
        <w:tabs>
          <w:tab w:val="right" w:leader="dot" w:pos="8486"/>
        </w:tabs>
        <w:rPr>
          <w:rFonts w:ascii="Times New Roman" w:hAnsi="Times New Roman"/>
          <w:noProof/>
        </w:rPr>
      </w:pPr>
      <w:hyperlink r:id="rId53" w:anchor="_Toc315681318" w:history="1">
        <w:r w:rsidR="00576C53" w:rsidRPr="008B32C9">
          <w:rPr>
            <w:rStyle w:val="Hyperlink"/>
            <w:rFonts w:ascii="Times New Roman" w:hAnsi="Times New Roman"/>
            <w:b/>
            <w:noProof/>
          </w:rPr>
          <w:t>Introduction</w:t>
        </w:r>
        <w:r w:rsidR="00576C53" w:rsidRPr="008B32C9">
          <w:rPr>
            <w:rStyle w:val="Hyperlink"/>
            <w:rFonts w:ascii="Times New Roman" w:hAnsi="Times New Roman"/>
            <w:noProof/>
            <w:webHidden/>
          </w:rPr>
          <w:tab/>
        </w:r>
      </w:hyperlink>
      <w:r w:rsidR="00576C53">
        <w:rPr>
          <w:rFonts w:ascii="Times New Roman" w:hAnsi="Times New Roman"/>
          <w:noProof/>
        </w:rPr>
        <w:t>122</w:t>
      </w:r>
    </w:p>
    <w:p w:rsidR="00576C53" w:rsidRPr="008B32C9" w:rsidRDefault="002606D1" w:rsidP="00576C53">
      <w:pPr>
        <w:pStyle w:val="TOC2"/>
        <w:tabs>
          <w:tab w:val="right" w:leader="dot" w:pos="8486"/>
        </w:tabs>
        <w:rPr>
          <w:rFonts w:ascii="Times New Roman" w:hAnsi="Times New Roman"/>
          <w:noProof/>
        </w:rPr>
      </w:pPr>
      <w:hyperlink r:id="rId54" w:anchor="_Toc315681318" w:history="1">
        <w:r w:rsidR="00576C53" w:rsidRPr="008B32C9">
          <w:rPr>
            <w:rStyle w:val="Hyperlink"/>
            <w:rFonts w:ascii="Times New Roman" w:hAnsi="Times New Roman"/>
            <w:b/>
            <w:noProof/>
          </w:rPr>
          <w:t>Sediment Gravity Flows (Turbidites)</w:t>
        </w:r>
        <w:r w:rsidR="00576C53" w:rsidRPr="008B32C9">
          <w:rPr>
            <w:rStyle w:val="Hyperlink"/>
            <w:rFonts w:ascii="Times New Roman" w:hAnsi="Times New Roman"/>
            <w:noProof/>
            <w:webHidden/>
          </w:rPr>
          <w:tab/>
        </w:r>
      </w:hyperlink>
      <w:r w:rsidR="00576C53">
        <w:rPr>
          <w:rFonts w:ascii="Times New Roman" w:hAnsi="Times New Roman"/>
          <w:noProof/>
        </w:rPr>
        <w:t>123</w:t>
      </w:r>
    </w:p>
    <w:p w:rsidR="00576C53" w:rsidRPr="008B32C9" w:rsidRDefault="002606D1" w:rsidP="00576C53">
      <w:pPr>
        <w:pStyle w:val="TOC2"/>
        <w:tabs>
          <w:tab w:val="right" w:leader="dot" w:pos="8486"/>
        </w:tabs>
        <w:rPr>
          <w:rFonts w:ascii="Times New Roman" w:hAnsi="Times New Roman"/>
          <w:noProof/>
        </w:rPr>
      </w:pPr>
      <w:hyperlink r:id="rId55" w:anchor="_Toc315681318" w:history="1">
        <w:r w:rsidR="00576C53" w:rsidRPr="008B32C9">
          <w:rPr>
            <w:rStyle w:val="Hyperlink"/>
            <w:rFonts w:ascii="Times New Roman" w:hAnsi="Times New Roman"/>
            <w:b/>
            <w:noProof/>
          </w:rPr>
          <w:t>Salt Structures And Traps</w:t>
        </w:r>
        <w:r w:rsidR="00576C53" w:rsidRPr="008B32C9">
          <w:rPr>
            <w:rStyle w:val="Hyperlink"/>
            <w:rFonts w:ascii="Times New Roman" w:hAnsi="Times New Roman"/>
            <w:noProof/>
            <w:webHidden/>
          </w:rPr>
          <w:tab/>
        </w:r>
      </w:hyperlink>
      <w:r w:rsidR="00576C53">
        <w:rPr>
          <w:rFonts w:ascii="Times New Roman" w:hAnsi="Times New Roman"/>
          <w:noProof/>
        </w:rPr>
        <w:t>126</w:t>
      </w:r>
    </w:p>
    <w:p w:rsidR="00576C53" w:rsidRPr="008B32C9" w:rsidRDefault="002606D1" w:rsidP="00576C53">
      <w:pPr>
        <w:pStyle w:val="TOC2"/>
        <w:tabs>
          <w:tab w:val="right" w:leader="dot" w:pos="8486"/>
        </w:tabs>
        <w:rPr>
          <w:rFonts w:ascii="Times New Roman" w:hAnsi="Times New Roman"/>
          <w:noProof/>
        </w:rPr>
      </w:pPr>
      <w:hyperlink r:id="rId56" w:anchor="_Toc315681318" w:history="1">
        <w:r w:rsidR="00576C53" w:rsidRPr="008B32C9">
          <w:rPr>
            <w:rStyle w:val="Hyperlink"/>
            <w:rFonts w:ascii="Times New Roman" w:hAnsi="Times New Roman"/>
            <w:b/>
            <w:noProof/>
          </w:rPr>
          <w:t>Casae Study</w:t>
        </w:r>
        <w:r w:rsidR="00576C53" w:rsidRPr="008B32C9">
          <w:rPr>
            <w:rStyle w:val="Hyperlink"/>
            <w:rFonts w:ascii="Times New Roman" w:hAnsi="Times New Roman"/>
            <w:noProof/>
            <w:webHidden/>
          </w:rPr>
          <w:tab/>
        </w:r>
      </w:hyperlink>
      <w:r w:rsidR="00576C53">
        <w:rPr>
          <w:rFonts w:ascii="Times New Roman" w:hAnsi="Times New Roman"/>
          <w:noProof/>
        </w:rPr>
        <w:t>128</w:t>
      </w:r>
    </w:p>
    <w:p w:rsidR="00576C53" w:rsidRPr="008B32C9" w:rsidRDefault="002606D1" w:rsidP="00576C53">
      <w:pPr>
        <w:pStyle w:val="TOC2"/>
        <w:tabs>
          <w:tab w:val="right" w:leader="dot" w:pos="8486"/>
        </w:tabs>
        <w:rPr>
          <w:rFonts w:ascii="Times New Roman" w:hAnsi="Times New Roman"/>
          <w:noProof/>
        </w:rPr>
      </w:pPr>
      <w:hyperlink r:id="rId57" w:anchor="_Toc315681318" w:history="1">
        <w:r w:rsidR="00576C53" w:rsidRPr="008B32C9">
          <w:rPr>
            <w:rStyle w:val="Hyperlink"/>
            <w:rFonts w:ascii="Times New Roman" w:hAnsi="Times New Roman"/>
            <w:b/>
            <w:noProof/>
          </w:rPr>
          <w:t>Exploration Updates</w:t>
        </w:r>
        <w:r w:rsidR="00576C53" w:rsidRPr="008B32C9">
          <w:rPr>
            <w:rStyle w:val="Hyperlink"/>
            <w:rFonts w:ascii="Times New Roman" w:hAnsi="Times New Roman"/>
            <w:noProof/>
            <w:webHidden/>
          </w:rPr>
          <w:tab/>
        </w:r>
      </w:hyperlink>
      <w:r w:rsidR="00576C53">
        <w:rPr>
          <w:rFonts w:ascii="Times New Roman" w:hAnsi="Times New Roman"/>
          <w:noProof/>
        </w:rPr>
        <w:t>130</w:t>
      </w:r>
    </w:p>
    <w:p w:rsidR="00576C53" w:rsidRPr="008B32C9" w:rsidRDefault="002606D1" w:rsidP="00576C53">
      <w:pPr>
        <w:pStyle w:val="TOC3"/>
        <w:tabs>
          <w:tab w:val="right" w:leader="dot" w:pos="8486"/>
        </w:tabs>
        <w:rPr>
          <w:rFonts w:ascii="Times New Roman" w:hAnsi="Times New Roman"/>
          <w:noProof/>
        </w:rPr>
      </w:pPr>
      <w:hyperlink r:id="rId58" w:anchor="_Toc315681319" w:history="1">
        <w:r w:rsidR="00576C53" w:rsidRPr="008B32C9">
          <w:rPr>
            <w:rStyle w:val="Hyperlink"/>
            <w:rFonts w:ascii="Times New Roman" w:hAnsi="Times New Roman"/>
            <w:noProof/>
          </w:rPr>
          <w:t>Neogene Play</w:t>
        </w:r>
        <w:r w:rsidR="00576C53" w:rsidRPr="008B32C9">
          <w:rPr>
            <w:rStyle w:val="Hyperlink"/>
            <w:rFonts w:ascii="Times New Roman" w:hAnsi="Times New Roman"/>
            <w:noProof/>
            <w:webHidden/>
          </w:rPr>
          <w:tab/>
        </w:r>
      </w:hyperlink>
      <w:r w:rsidR="00576C53">
        <w:rPr>
          <w:rFonts w:ascii="Times New Roman" w:hAnsi="Times New Roman"/>
          <w:noProof/>
        </w:rPr>
        <w:t>134</w:t>
      </w:r>
    </w:p>
    <w:p w:rsidR="00576C53" w:rsidRPr="008B32C9" w:rsidRDefault="002606D1" w:rsidP="00576C53">
      <w:pPr>
        <w:pStyle w:val="TOC3"/>
        <w:tabs>
          <w:tab w:val="right" w:leader="dot" w:pos="8486"/>
        </w:tabs>
        <w:rPr>
          <w:rFonts w:ascii="Times New Roman" w:hAnsi="Times New Roman"/>
          <w:noProof/>
        </w:rPr>
      </w:pPr>
      <w:hyperlink r:id="rId59" w:anchor="_Toc315681319" w:history="1">
        <w:r w:rsidR="00576C53" w:rsidRPr="008B32C9">
          <w:rPr>
            <w:rStyle w:val="Hyperlink"/>
            <w:rFonts w:ascii="Times New Roman" w:hAnsi="Times New Roman"/>
            <w:noProof/>
          </w:rPr>
          <w:t>Paleogene Play</w:t>
        </w:r>
        <w:r w:rsidR="00576C53" w:rsidRPr="008B32C9">
          <w:rPr>
            <w:rStyle w:val="Hyperlink"/>
            <w:rFonts w:ascii="Times New Roman" w:hAnsi="Times New Roman"/>
            <w:noProof/>
            <w:webHidden/>
          </w:rPr>
          <w:tab/>
        </w:r>
      </w:hyperlink>
      <w:r w:rsidR="00576C53">
        <w:rPr>
          <w:rFonts w:ascii="Times New Roman" w:hAnsi="Times New Roman"/>
          <w:noProof/>
        </w:rPr>
        <w:t>135</w:t>
      </w:r>
    </w:p>
    <w:p w:rsidR="00576C53" w:rsidRPr="008B32C9" w:rsidRDefault="002606D1" w:rsidP="00576C53">
      <w:pPr>
        <w:pStyle w:val="TOC3"/>
        <w:tabs>
          <w:tab w:val="right" w:leader="dot" w:pos="8486"/>
        </w:tabs>
        <w:rPr>
          <w:rFonts w:ascii="Times New Roman" w:hAnsi="Times New Roman"/>
          <w:noProof/>
        </w:rPr>
      </w:pPr>
      <w:hyperlink r:id="rId60" w:anchor="_Toc315681319" w:history="1">
        <w:r w:rsidR="00576C53" w:rsidRPr="008B32C9">
          <w:rPr>
            <w:rStyle w:val="Hyperlink"/>
            <w:rFonts w:ascii="Times New Roman" w:hAnsi="Times New Roman"/>
            <w:noProof/>
          </w:rPr>
          <w:t>Jurassic Norphlet Play</w:t>
        </w:r>
        <w:r w:rsidR="00576C53" w:rsidRPr="008B32C9">
          <w:rPr>
            <w:rStyle w:val="Hyperlink"/>
            <w:rFonts w:ascii="Times New Roman" w:hAnsi="Times New Roman"/>
            <w:noProof/>
            <w:webHidden/>
          </w:rPr>
          <w:tab/>
        </w:r>
      </w:hyperlink>
      <w:r w:rsidR="00576C53">
        <w:rPr>
          <w:rFonts w:ascii="Times New Roman" w:hAnsi="Times New Roman"/>
          <w:noProof/>
        </w:rPr>
        <w:t>136</w:t>
      </w:r>
    </w:p>
    <w:p w:rsidR="00576C53" w:rsidRPr="008B32C9" w:rsidRDefault="002606D1" w:rsidP="00576C53">
      <w:pPr>
        <w:pStyle w:val="TOC2"/>
        <w:tabs>
          <w:tab w:val="right" w:leader="dot" w:pos="8486"/>
        </w:tabs>
        <w:rPr>
          <w:rFonts w:ascii="Times New Roman" w:hAnsi="Times New Roman"/>
          <w:noProof/>
        </w:rPr>
      </w:pPr>
      <w:hyperlink r:id="rId61" w:anchor="_Toc315681318" w:history="1">
        <w:r w:rsidR="00576C53" w:rsidRPr="008B32C9">
          <w:rPr>
            <w:rStyle w:val="Hyperlink"/>
            <w:rFonts w:ascii="Times New Roman" w:hAnsi="Times New Roman"/>
            <w:b/>
            <w:noProof/>
          </w:rPr>
          <w:t>Drilling, Development And Production</w:t>
        </w:r>
        <w:r w:rsidR="00576C53" w:rsidRPr="008B32C9">
          <w:rPr>
            <w:rStyle w:val="Hyperlink"/>
            <w:rFonts w:ascii="Times New Roman" w:hAnsi="Times New Roman"/>
            <w:noProof/>
            <w:webHidden/>
          </w:rPr>
          <w:tab/>
        </w:r>
      </w:hyperlink>
      <w:r w:rsidR="00576C53">
        <w:rPr>
          <w:rFonts w:ascii="Times New Roman" w:hAnsi="Times New Roman"/>
          <w:noProof/>
        </w:rPr>
        <w:t>137</w:t>
      </w:r>
    </w:p>
    <w:p w:rsidR="00576C53" w:rsidRPr="008B32C9" w:rsidRDefault="002606D1" w:rsidP="00576C53">
      <w:pPr>
        <w:pStyle w:val="TOC3"/>
        <w:tabs>
          <w:tab w:val="right" w:leader="dot" w:pos="8486"/>
        </w:tabs>
        <w:rPr>
          <w:rFonts w:ascii="Times New Roman" w:hAnsi="Times New Roman"/>
          <w:noProof/>
        </w:rPr>
      </w:pPr>
      <w:hyperlink r:id="rId62" w:anchor="_Toc315681319" w:history="1">
        <w:r w:rsidR="00576C53" w:rsidRPr="008B32C9">
          <w:rPr>
            <w:rStyle w:val="Hyperlink"/>
            <w:rFonts w:ascii="Times New Roman" w:hAnsi="Times New Roman"/>
            <w:noProof/>
          </w:rPr>
          <w:t>Drilling</w:t>
        </w:r>
        <w:r w:rsidR="00576C53" w:rsidRPr="008B32C9">
          <w:rPr>
            <w:rStyle w:val="Hyperlink"/>
            <w:rFonts w:ascii="Times New Roman" w:hAnsi="Times New Roman"/>
            <w:noProof/>
            <w:webHidden/>
          </w:rPr>
          <w:tab/>
        </w:r>
      </w:hyperlink>
      <w:r w:rsidR="00576C53">
        <w:rPr>
          <w:rFonts w:ascii="Times New Roman" w:hAnsi="Times New Roman"/>
          <w:noProof/>
        </w:rPr>
        <w:t>137</w:t>
      </w:r>
    </w:p>
    <w:p w:rsidR="00576C53" w:rsidRPr="008B32C9" w:rsidRDefault="002606D1" w:rsidP="00576C53">
      <w:pPr>
        <w:pStyle w:val="TOC3"/>
        <w:tabs>
          <w:tab w:val="right" w:leader="dot" w:pos="8486"/>
        </w:tabs>
        <w:rPr>
          <w:rFonts w:ascii="Times New Roman" w:hAnsi="Times New Roman"/>
          <w:noProof/>
        </w:rPr>
      </w:pPr>
      <w:hyperlink r:id="rId63" w:anchor="_Toc315681319" w:history="1">
        <w:r w:rsidR="00576C53" w:rsidRPr="008B32C9">
          <w:rPr>
            <w:rStyle w:val="Hyperlink"/>
            <w:rFonts w:ascii="Times New Roman" w:hAnsi="Times New Roman"/>
            <w:noProof/>
          </w:rPr>
          <w:t>Development</w:t>
        </w:r>
        <w:r w:rsidR="00576C53" w:rsidRPr="008B32C9">
          <w:rPr>
            <w:rStyle w:val="Hyperlink"/>
            <w:rFonts w:ascii="Times New Roman" w:hAnsi="Times New Roman"/>
            <w:noProof/>
            <w:webHidden/>
          </w:rPr>
          <w:tab/>
        </w:r>
      </w:hyperlink>
      <w:r w:rsidR="00576C53">
        <w:rPr>
          <w:rFonts w:ascii="Times New Roman" w:hAnsi="Times New Roman"/>
          <w:noProof/>
        </w:rPr>
        <w:t>139</w:t>
      </w:r>
    </w:p>
    <w:p w:rsidR="00576C53" w:rsidRPr="008B32C9" w:rsidRDefault="002606D1" w:rsidP="00576C53">
      <w:pPr>
        <w:pStyle w:val="TOC3"/>
        <w:tabs>
          <w:tab w:val="right" w:leader="dot" w:pos="8486"/>
        </w:tabs>
        <w:rPr>
          <w:rFonts w:ascii="Times New Roman" w:hAnsi="Times New Roman"/>
          <w:noProof/>
        </w:rPr>
      </w:pPr>
      <w:hyperlink r:id="rId64" w:anchor="_Toc315681319" w:history="1">
        <w:r w:rsidR="00576C53" w:rsidRPr="008B32C9">
          <w:rPr>
            <w:rStyle w:val="Hyperlink"/>
            <w:rFonts w:ascii="Times New Roman" w:hAnsi="Times New Roman"/>
            <w:noProof/>
          </w:rPr>
          <w:t>Production</w:t>
        </w:r>
        <w:r w:rsidR="00576C53" w:rsidRPr="008B32C9">
          <w:rPr>
            <w:rStyle w:val="Hyperlink"/>
            <w:rFonts w:ascii="Times New Roman" w:hAnsi="Times New Roman"/>
            <w:noProof/>
            <w:webHidden/>
          </w:rPr>
          <w:tab/>
        </w:r>
      </w:hyperlink>
      <w:r w:rsidR="00576C53">
        <w:rPr>
          <w:rFonts w:ascii="Times New Roman" w:hAnsi="Times New Roman"/>
          <w:noProof/>
        </w:rPr>
        <w:t>140</w:t>
      </w:r>
    </w:p>
    <w:p w:rsidR="00576C53" w:rsidRPr="008B32C9" w:rsidRDefault="002606D1" w:rsidP="00576C53">
      <w:pPr>
        <w:pStyle w:val="TOC2"/>
        <w:tabs>
          <w:tab w:val="right" w:leader="dot" w:pos="8486"/>
        </w:tabs>
        <w:rPr>
          <w:rFonts w:ascii="Times New Roman" w:hAnsi="Times New Roman"/>
          <w:noProof/>
        </w:rPr>
      </w:pPr>
      <w:hyperlink r:id="rId65" w:anchor="_Toc315681318" w:history="1">
        <w:r w:rsidR="00576C53" w:rsidRPr="008B32C9">
          <w:rPr>
            <w:rStyle w:val="Hyperlink"/>
            <w:rFonts w:ascii="Times New Roman" w:hAnsi="Times New Roman"/>
            <w:b/>
            <w:noProof/>
          </w:rPr>
          <w:t>Vision Towards 2023</w:t>
        </w:r>
        <w:r w:rsidR="00576C53" w:rsidRPr="008B32C9">
          <w:rPr>
            <w:rStyle w:val="Hyperlink"/>
            <w:rFonts w:ascii="Times New Roman" w:hAnsi="Times New Roman"/>
            <w:noProof/>
            <w:webHidden/>
          </w:rPr>
          <w:tab/>
        </w:r>
      </w:hyperlink>
      <w:r w:rsidR="00576C53">
        <w:rPr>
          <w:rFonts w:ascii="Times New Roman" w:hAnsi="Times New Roman"/>
          <w:noProof/>
        </w:rPr>
        <w:t>141</w:t>
      </w:r>
    </w:p>
    <w:p w:rsidR="00576C53" w:rsidRPr="008B32C9" w:rsidRDefault="002606D1" w:rsidP="00576C53">
      <w:pPr>
        <w:pStyle w:val="TOC2"/>
        <w:tabs>
          <w:tab w:val="right" w:leader="dot" w:pos="8486"/>
        </w:tabs>
        <w:rPr>
          <w:rFonts w:ascii="Times New Roman" w:hAnsi="Times New Roman"/>
          <w:noProof/>
        </w:rPr>
      </w:pPr>
      <w:hyperlink r:id="rId66" w:anchor="_Toc315681318" w:history="1">
        <w:r w:rsidR="00576C53" w:rsidRPr="008B32C9">
          <w:rPr>
            <w:rStyle w:val="Hyperlink"/>
            <w:rFonts w:ascii="Times New Roman" w:hAnsi="Times New Roman"/>
            <w:b/>
            <w:noProof/>
          </w:rPr>
          <w:t>Conclusions</w:t>
        </w:r>
        <w:r w:rsidR="00576C53" w:rsidRPr="008B32C9">
          <w:rPr>
            <w:rStyle w:val="Hyperlink"/>
            <w:rFonts w:ascii="Times New Roman" w:hAnsi="Times New Roman"/>
            <w:noProof/>
            <w:webHidden/>
          </w:rPr>
          <w:tab/>
        </w:r>
      </w:hyperlink>
      <w:r w:rsidR="00576C53">
        <w:rPr>
          <w:rFonts w:ascii="Times New Roman" w:hAnsi="Times New Roman"/>
          <w:noProof/>
        </w:rPr>
        <w:t>143</w:t>
      </w:r>
    </w:p>
    <w:p w:rsidR="00576C53" w:rsidRPr="008B32C9" w:rsidRDefault="002606D1" w:rsidP="00576C53">
      <w:pPr>
        <w:pStyle w:val="TOC2"/>
        <w:tabs>
          <w:tab w:val="right" w:leader="dot" w:pos="8486"/>
        </w:tabs>
        <w:rPr>
          <w:rFonts w:ascii="Times New Roman" w:hAnsi="Times New Roman"/>
          <w:noProof/>
        </w:rPr>
      </w:pPr>
      <w:hyperlink r:id="rId67" w:anchor="_Toc315681318" w:history="1">
        <w:r w:rsidR="00576C53" w:rsidRPr="008B32C9">
          <w:rPr>
            <w:rStyle w:val="Hyperlink"/>
            <w:rFonts w:ascii="Times New Roman" w:hAnsi="Times New Roman"/>
            <w:b/>
            <w:noProof/>
          </w:rPr>
          <w:t>Acknowledgements</w:t>
        </w:r>
        <w:r w:rsidR="00576C53" w:rsidRPr="008B32C9">
          <w:rPr>
            <w:rStyle w:val="Hyperlink"/>
            <w:rFonts w:ascii="Times New Roman" w:hAnsi="Times New Roman"/>
            <w:noProof/>
            <w:webHidden/>
          </w:rPr>
          <w:tab/>
        </w:r>
      </w:hyperlink>
      <w:r w:rsidR="00576C53">
        <w:rPr>
          <w:rFonts w:ascii="Times New Roman" w:hAnsi="Times New Roman"/>
          <w:noProof/>
        </w:rPr>
        <w:t>144</w:t>
      </w:r>
    </w:p>
    <w:p w:rsidR="00576C53" w:rsidRPr="008B32C9" w:rsidRDefault="002606D1" w:rsidP="00576C53">
      <w:pPr>
        <w:pStyle w:val="TOC2"/>
        <w:tabs>
          <w:tab w:val="right" w:leader="dot" w:pos="8486"/>
        </w:tabs>
        <w:rPr>
          <w:rFonts w:ascii="Times New Roman" w:hAnsi="Times New Roman"/>
          <w:noProof/>
          <w:sz w:val="22"/>
          <w:szCs w:val="22"/>
          <w:lang w:bidi="ar-SA"/>
        </w:rPr>
      </w:pPr>
      <w:hyperlink r:id="rId68" w:anchor="_Toc315681318" w:history="1">
        <w:r w:rsidR="00576C53" w:rsidRPr="008B32C9">
          <w:rPr>
            <w:rStyle w:val="Hyperlink"/>
            <w:rFonts w:ascii="Times New Roman" w:hAnsi="Times New Roman"/>
            <w:b/>
            <w:noProof/>
          </w:rPr>
          <w:t>List of figures</w:t>
        </w:r>
        <w:r w:rsidR="00576C53" w:rsidRPr="008B32C9">
          <w:rPr>
            <w:rStyle w:val="Hyperlink"/>
            <w:rFonts w:ascii="Times New Roman" w:hAnsi="Times New Roman"/>
            <w:noProof/>
            <w:webHidden/>
          </w:rPr>
          <w:tab/>
        </w:r>
      </w:hyperlink>
      <w:r w:rsidR="00576C53">
        <w:rPr>
          <w:rFonts w:ascii="Times New Roman" w:hAnsi="Times New Roman"/>
          <w:noProof/>
        </w:rPr>
        <w:t>145</w:t>
      </w:r>
    </w:p>
    <w:p w:rsidR="00576C53" w:rsidRPr="008B32C9" w:rsidRDefault="002606D1" w:rsidP="00576C53">
      <w:pPr>
        <w:pStyle w:val="TOC2"/>
        <w:tabs>
          <w:tab w:val="right" w:leader="dot" w:pos="8486"/>
        </w:tabs>
        <w:rPr>
          <w:rFonts w:ascii="Times New Roman" w:eastAsia="Times New Roman" w:hAnsi="Times New Roman"/>
          <w:noProof/>
        </w:rPr>
      </w:pPr>
      <w:hyperlink r:id="rId69" w:anchor="_Toc315681318" w:history="1">
        <w:r w:rsidR="00576C53" w:rsidRPr="008B32C9">
          <w:rPr>
            <w:rStyle w:val="Hyperlink"/>
            <w:rFonts w:ascii="Times New Roman" w:hAnsi="Times New Roman"/>
            <w:b/>
            <w:noProof/>
          </w:rPr>
          <w:t>References</w:t>
        </w:r>
        <w:r w:rsidR="00576C53" w:rsidRPr="008B32C9">
          <w:rPr>
            <w:rStyle w:val="Hyperlink"/>
            <w:rFonts w:ascii="Times New Roman" w:hAnsi="Times New Roman"/>
            <w:noProof/>
            <w:webHidden/>
          </w:rPr>
          <w:tab/>
        </w:r>
      </w:hyperlink>
      <w:r w:rsidR="00576C53">
        <w:rPr>
          <w:rFonts w:ascii="Times New Roman" w:hAnsi="Times New Roman"/>
        </w:rPr>
        <w:t>170</w:t>
      </w:r>
    </w:p>
    <w:p w:rsidR="00576C53" w:rsidRPr="008B32C9" w:rsidRDefault="002606D1" w:rsidP="00576C53">
      <w:pPr>
        <w:pStyle w:val="TOC1"/>
        <w:rPr>
          <w:rFonts w:ascii="Times New Roman" w:hAnsi="Times New Roman"/>
          <w:noProof/>
        </w:rPr>
      </w:pPr>
      <w:hyperlink r:id="rId70" w:anchor="_Toc315681317" w:history="1">
        <w:r w:rsidR="00576C53" w:rsidRPr="008B32C9">
          <w:rPr>
            <w:rStyle w:val="Hyperlink"/>
            <w:rFonts w:ascii="Times New Roman" w:hAnsi="Times New Roman"/>
            <w:b/>
            <w:noProof/>
          </w:rPr>
          <w:t xml:space="preserve">Chapter 4: </w:t>
        </w:r>
        <w:r w:rsidR="00576C53" w:rsidRPr="008B32C9">
          <w:rPr>
            <w:rStyle w:val="Hyperlink"/>
            <w:rFonts w:ascii="Times New Roman" w:hAnsi="Times New Roman"/>
            <w:b/>
          </w:rPr>
          <w:t>Relationship between Bioturbation, Microfacies and Chemostratigraphy, and Its Implication on the Sequence Stratigraphic Framework of the Woodford Shale, Oklahoma</w:t>
        </w:r>
        <w:r w:rsidR="00576C53" w:rsidRPr="008B32C9">
          <w:rPr>
            <w:rStyle w:val="Hyperlink"/>
            <w:rFonts w:ascii="Times New Roman" w:hAnsi="Times New Roman"/>
            <w:noProof/>
            <w:webHidden/>
          </w:rPr>
          <w:tab/>
        </w:r>
      </w:hyperlink>
      <w:r w:rsidR="00576C53">
        <w:rPr>
          <w:rFonts w:ascii="Times New Roman" w:hAnsi="Times New Roman"/>
        </w:rPr>
        <w:t>173</w:t>
      </w:r>
    </w:p>
    <w:p w:rsidR="00576C53" w:rsidRPr="008B32C9" w:rsidRDefault="002606D1" w:rsidP="00576C53">
      <w:pPr>
        <w:pStyle w:val="TOC2"/>
        <w:tabs>
          <w:tab w:val="right" w:leader="dot" w:pos="8486"/>
        </w:tabs>
        <w:rPr>
          <w:rFonts w:ascii="Times New Roman" w:hAnsi="Times New Roman"/>
          <w:noProof/>
        </w:rPr>
      </w:pPr>
      <w:hyperlink r:id="rId71" w:anchor="_Toc315681318" w:history="1">
        <w:r w:rsidR="00576C53" w:rsidRPr="008B32C9">
          <w:rPr>
            <w:rStyle w:val="Hyperlink"/>
            <w:rFonts w:ascii="Times New Roman" w:hAnsi="Times New Roman"/>
            <w:b/>
            <w:noProof/>
          </w:rPr>
          <w:t>Abstract</w:t>
        </w:r>
        <w:r w:rsidR="00576C53" w:rsidRPr="008B32C9">
          <w:rPr>
            <w:rStyle w:val="Hyperlink"/>
            <w:rFonts w:ascii="Times New Roman" w:hAnsi="Times New Roman"/>
            <w:noProof/>
            <w:webHidden/>
          </w:rPr>
          <w:tab/>
        </w:r>
      </w:hyperlink>
      <w:r w:rsidR="00576C53">
        <w:rPr>
          <w:rFonts w:ascii="Times New Roman" w:hAnsi="Times New Roman"/>
        </w:rPr>
        <w:t>173</w:t>
      </w:r>
    </w:p>
    <w:p w:rsidR="00576C53" w:rsidRPr="008B32C9" w:rsidRDefault="002606D1" w:rsidP="00576C53">
      <w:pPr>
        <w:pStyle w:val="TOC2"/>
        <w:tabs>
          <w:tab w:val="right" w:leader="dot" w:pos="8486"/>
        </w:tabs>
        <w:rPr>
          <w:rFonts w:ascii="Times New Roman" w:hAnsi="Times New Roman"/>
          <w:noProof/>
        </w:rPr>
      </w:pPr>
      <w:hyperlink r:id="rId72" w:anchor="_Toc315681318" w:history="1">
        <w:r w:rsidR="00576C53" w:rsidRPr="008B32C9">
          <w:rPr>
            <w:rStyle w:val="Hyperlink"/>
            <w:rFonts w:ascii="Times New Roman" w:hAnsi="Times New Roman"/>
            <w:b/>
            <w:noProof/>
          </w:rPr>
          <w:t>Introduction</w:t>
        </w:r>
        <w:r w:rsidR="00576C53" w:rsidRPr="008B32C9">
          <w:rPr>
            <w:rStyle w:val="Hyperlink"/>
            <w:rFonts w:ascii="Times New Roman" w:hAnsi="Times New Roman"/>
            <w:noProof/>
            <w:webHidden/>
          </w:rPr>
          <w:tab/>
        </w:r>
      </w:hyperlink>
      <w:r w:rsidR="00576C53" w:rsidRPr="008B32C9">
        <w:rPr>
          <w:rFonts w:ascii="Times New Roman" w:hAnsi="Times New Roman"/>
        </w:rPr>
        <w:t>1</w:t>
      </w:r>
      <w:r w:rsidR="00576C53">
        <w:rPr>
          <w:rFonts w:ascii="Times New Roman" w:hAnsi="Times New Roman"/>
        </w:rPr>
        <w:t>76</w:t>
      </w:r>
    </w:p>
    <w:p w:rsidR="00576C53" w:rsidRPr="008B32C9" w:rsidRDefault="002606D1" w:rsidP="00576C53">
      <w:pPr>
        <w:pStyle w:val="TOC2"/>
        <w:tabs>
          <w:tab w:val="right" w:leader="dot" w:pos="8486"/>
        </w:tabs>
        <w:rPr>
          <w:rFonts w:ascii="Times New Roman" w:hAnsi="Times New Roman"/>
          <w:noProof/>
        </w:rPr>
      </w:pPr>
      <w:hyperlink r:id="rId73" w:anchor="_Toc315681318" w:history="1">
        <w:r w:rsidR="00576C53" w:rsidRPr="008B32C9">
          <w:rPr>
            <w:rStyle w:val="Hyperlink"/>
            <w:rFonts w:ascii="Times New Roman" w:hAnsi="Times New Roman"/>
            <w:b/>
            <w:noProof/>
          </w:rPr>
          <w:t>The Woodford Shale Background</w:t>
        </w:r>
        <w:r w:rsidR="00576C53" w:rsidRPr="008B32C9">
          <w:rPr>
            <w:rStyle w:val="Hyperlink"/>
            <w:rFonts w:ascii="Times New Roman" w:hAnsi="Times New Roman"/>
            <w:noProof/>
            <w:webHidden/>
          </w:rPr>
          <w:tab/>
        </w:r>
      </w:hyperlink>
      <w:r w:rsidR="00576C53" w:rsidRPr="008B32C9">
        <w:rPr>
          <w:rFonts w:ascii="Times New Roman" w:hAnsi="Times New Roman"/>
          <w:noProof/>
        </w:rPr>
        <w:t>1</w:t>
      </w:r>
      <w:r w:rsidR="00576C53">
        <w:rPr>
          <w:rFonts w:ascii="Times New Roman" w:hAnsi="Times New Roman"/>
          <w:noProof/>
        </w:rPr>
        <w:t>78</w:t>
      </w:r>
    </w:p>
    <w:p w:rsidR="00576C53" w:rsidRPr="008B32C9" w:rsidRDefault="002606D1" w:rsidP="00576C53">
      <w:pPr>
        <w:pStyle w:val="TOC2"/>
        <w:tabs>
          <w:tab w:val="right" w:leader="dot" w:pos="8486"/>
        </w:tabs>
        <w:rPr>
          <w:rFonts w:ascii="Times New Roman" w:hAnsi="Times New Roman"/>
          <w:noProof/>
        </w:rPr>
      </w:pPr>
      <w:hyperlink r:id="rId74" w:anchor="_Toc315681318" w:history="1">
        <w:r w:rsidR="00576C53" w:rsidRPr="008B32C9">
          <w:rPr>
            <w:rStyle w:val="Hyperlink"/>
            <w:rFonts w:ascii="Times New Roman" w:hAnsi="Times New Roman"/>
            <w:b/>
            <w:noProof/>
          </w:rPr>
          <w:t>Methods</w:t>
        </w:r>
        <w:r w:rsidR="00576C53">
          <w:rPr>
            <w:rStyle w:val="Hyperlink"/>
            <w:rFonts w:ascii="Times New Roman" w:hAnsi="Times New Roman"/>
            <w:b/>
            <w:noProof/>
          </w:rPr>
          <w:t xml:space="preserve"> of Study</w:t>
        </w:r>
        <w:r w:rsidR="00576C53" w:rsidRPr="008B32C9">
          <w:rPr>
            <w:rStyle w:val="Hyperlink"/>
            <w:rFonts w:ascii="Times New Roman" w:hAnsi="Times New Roman"/>
            <w:noProof/>
            <w:webHidden/>
          </w:rPr>
          <w:tab/>
        </w:r>
      </w:hyperlink>
      <w:r w:rsidR="00576C53" w:rsidRPr="008B32C9">
        <w:rPr>
          <w:rFonts w:ascii="Times New Roman" w:hAnsi="Times New Roman"/>
        </w:rPr>
        <w:t>1</w:t>
      </w:r>
      <w:r w:rsidR="00576C53">
        <w:rPr>
          <w:rFonts w:ascii="Times New Roman" w:hAnsi="Times New Roman"/>
          <w:noProof/>
        </w:rPr>
        <w:t>80</w:t>
      </w:r>
    </w:p>
    <w:p w:rsidR="00576C53" w:rsidRPr="008B32C9" w:rsidRDefault="002606D1" w:rsidP="00576C53">
      <w:pPr>
        <w:pStyle w:val="TOC3"/>
        <w:tabs>
          <w:tab w:val="right" w:leader="dot" w:pos="8486"/>
        </w:tabs>
        <w:rPr>
          <w:rFonts w:ascii="Times New Roman" w:hAnsi="Times New Roman"/>
          <w:noProof/>
        </w:rPr>
      </w:pPr>
      <w:hyperlink r:id="rId75" w:anchor="_Toc315681319" w:history="1">
        <w:r w:rsidR="00576C53" w:rsidRPr="008B32C9">
          <w:rPr>
            <w:rStyle w:val="Hyperlink"/>
            <w:rFonts w:ascii="Times New Roman" w:hAnsi="Times New Roman"/>
            <w:i/>
            <w:noProof/>
          </w:rPr>
          <w:t>Chondrites</w:t>
        </w:r>
        <w:r w:rsidR="00576C53" w:rsidRPr="008B32C9">
          <w:rPr>
            <w:rStyle w:val="Hyperlink"/>
            <w:rFonts w:ascii="Times New Roman" w:hAnsi="Times New Roman"/>
            <w:noProof/>
            <w:webHidden/>
          </w:rPr>
          <w:tab/>
        </w:r>
      </w:hyperlink>
      <w:r w:rsidR="00576C53">
        <w:rPr>
          <w:rFonts w:ascii="Times New Roman" w:hAnsi="Times New Roman"/>
          <w:noProof/>
        </w:rPr>
        <w:t>182</w:t>
      </w:r>
    </w:p>
    <w:p w:rsidR="00576C53" w:rsidRPr="008B32C9" w:rsidRDefault="002606D1" w:rsidP="00576C53">
      <w:pPr>
        <w:pStyle w:val="TOC3"/>
        <w:tabs>
          <w:tab w:val="right" w:leader="dot" w:pos="8486"/>
        </w:tabs>
        <w:rPr>
          <w:rFonts w:ascii="Times New Roman" w:hAnsi="Times New Roman"/>
          <w:noProof/>
        </w:rPr>
      </w:pPr>
      <w:hyperlink r:id="rId76" w:anchor="_Toc315681319" w:history="1">
        <w:r w:rsidR="00576C53" w:rsidRPr="005F4D8B">
          <w:rPr>
            <w:rStyle w:val="Hyperlink"/>
            <w:rFonts w:ascii="Times New Roman" w:hAnsi="Times New Roman"/>
            <w:i/>
            <w:noProof/>
          </w:rPr>
          <w:t>Paleodictyon</w:t>
        </w:r>
        <w:r w:rsidR="00576C53" w:rsidRPr="008B32C9">
          <w:rPr>
            <w:rStyle w:val="Hyperlink"/>
            <w:rFonts w:ascii="Times New Roman" w:hAnsi="Times New Roman"/>
            <w:noProof/>
            <w:webHidden/>
          </w:rPr>
          <w:tab/>
        </w:r>
      </w:hyperlink>
      <w:r w:rsidR="00576C53">
        <w:rPr>
          <w:rFonts w:ascii="Times New Roman" w:hAnsi="Times New Roman"/>
          <w:noProof/>
        </w:rPr>
        <w:t>183</w:t>
      </w:r>
    </w:p>
    <w:p w:rsidR="00576C53" w:rsidRPr="008B32C9" w:rsidRDefault="002606D1" w:rsidP="00576C53">
      <w:pPr>
        <w:pStyle w:val="TOC3"/>
        <w:tabs>
          <w:tab w:val="right" w:leader="dot" w:pos="8486"/>
        </w:tabs>
        <w:rPr>
          <w:rFonts w:ascii="Times New Roman" w:hAnsi="Times New Roman"/>
          <w:noProof/>
        </w:rPr>
      </w:pPr>
      <w:hyperlink r:id="rId77" w:anchor="_Toc315681319" w:history="1">
        <w:r w:rsidR="00576C53" w:rsidRPr="008B32C9">
          <w:rPr>
            <w:rStyle w:val="Hyperlink"/>
            <w:rFonts w:ascii="Times New Roman" w:hAnsi="Times New Roman"/>
            <w:i/>
            <w:noProof/>
          </w:rPr>
          <w:t>Planolites</w:t>
        </w:r>
        <w:r w:rsidR="00576C53" w:rsidRPr="008B32C9">
          <w:rPr>
            <w:rStyle w:val="Hyperlink"/>
            <w:rFonts w:ascii="Times New Roman" w:hAnsi="Times New Roman"/>
            <w:noProof/>
            <w:webHidden/>
          </w:rPr>
          <w:tab/>
        </w:r>
      </w:hyperlink>
      <w:r w:rsidR="00576C53">
        <w:rPr>
          <w:rFonts w:ascii="Times New Roman" w:hAnsi="Times New Roman"/>
          <w:noProof/>
        </w:rPr>
        <w:t>184</w:t>
      </w:r>
    </w:p>
    <w:p w:rsidR="00576C53" w:rsidRPr="008B32C9" w:rsidRDefault="002606D1" w:rsidP="00576C53">
      <w:pPr>
        <w:pStyle w:val="TOC3"/>
        <w:tabs>
          <w:tab w:val="right" w:leader="dot" w:pos="8486"/>
        </w:tabs>
        <w:rPr>
          <w:rFonts w:ascii="Times New Roman" w:hAnsi="Times New Roman"/>
          <w:noProof/>
        </w:rPr>
      </w:pPr>
      <w:hyperlink r:id="rId78" w:anchor="_Toc315681319" w:history="1">
        <w:r w:rsidR="00576C53" w:rsidRPr="008B32C9">
          <w:rPr>
            <w:rStyle w:val="Hyperlink"/>
            <w:rFonts w:ascii="Times New Roman" w:hAnsi="Times New Roman"/>
            <w:noProof/>
          </w:rPr>
          <w:t>Radiolarian Chert and Fecal Pellets</w:t>
        </w:r>
        <w:r w:rsidR="00576C53" w:rsidRPr="008B32C9">
          <w:rPr>
            <w:rStyle w:val="Hyperlink"/>
            <w:rFonts w:ascii="Times New Roman" w:hAnsi="Times New Roman"/>
            <w:noProof/>
            <w:webHidden/>
          </w:rPr>
          <w:tab/>
        </w:r>
      </w:hyperlink>
      <w:r w:rsidR="00576C53">
        <w:rPr>
          <w:rFonts w:ascii="Times New Roman" w:hAnsi="Times New Roman"/>
          <w:noProof/>
        </w:rPr>
        <w:t>186</w:t>
      </w:r>
    </w:p>
    <w:p w:rsidR="00576C53" w:rsidRPr="008B32C9" w:rsidRDefault="002606D1" w:rsidP="00576C53">
      <w:pPr>
        <w:pStyle w:val="TOC3"/>
        <w:tabs>
          <w:tab w:val="right" w:leader="dot" w:pos="8486"/>
        </w:tabs>
        <w:rPr>
          <w:rFonts w:ascii="Times New Roman" w:hAnsi="Times New Roman"/>
          <w:noProof/>
        </w:rPr>
      </w:pPr>
      <w:hyperlink r:id="rId79" w:anchor="_Toc315681319" w:history="1">
        <w:r w:rsidR="00576C53" w:rsidRPr="008B32C9">
          <w:rPr>
            <w:rStyle w:val="Hyperlink"/>
            <w:rFonts w:ascii="Times New Roman" w:hAnsi="Times New Roman"/>
            <w:noProof/>
          </w:rPr>
          <w:t>Nodules</w:t>
        </w:r>
        <w:r w:rsidR="00576C53" w:rsidRPr="008B32C9">
          <w:rPr>
            <w:rStyle w:val="Hyperlink"/>
            <w:rFonts w:ascii="Times New Roman" w:hAnsi="Times New Roman"/>
            <w:noProof/>
            <w:webHidden/>
          </w:rPr>
          <w:tab/>
        </w:r>
      </w:hyperlink>
      <w:r w:rsidR="00576C53">
        <w:rPr>
          <w:rFonts w:ascii="Times New Roman" w:hAnsi="Times New Roman"/>
          <w:noProof/>
        </w:rPr>
        <w:t>187</w:t>
      </w:r>
    </w:p>
    <w:p w:rsidR="00576C53" w:rsidRPr="008B32C9" w:rsidRDefault="002606D1" w:rsidP="00576C53">
      <w:pPr>
        <w:pStyle w:val="TOC2"/>
        <w:tabs>
          <w:tab w:val="right" w:leader="dot" w:pos="8486"/>
        </w:tabs>
        <w:rPr>
          <w:rFonts w:ascii="Times New Roman" w:hAnsi="Times New Roman"/>
          <w:noProof/>
        </w:rPr>
      </w:pPr>
      <w:hyperlink r:id="rId80" w:anchor="_Toc315681318" w:history="1">
        <w:r w:rsidR="00576C53" w:rsidRPr="008B32C9">
          <w:rPr>
            <w:rStyle w:val="Hyperlink"/>
            <w:rFonts w:ascii="Times New Roman" w:hAnsi="Times New Roman"/>
            <w:b/>
            <w:noProof/>
          </w:rPr>
          <w:t>The Woodford Core Study</w:t>
        </w:r>
        <w:r w:rsidR="00576C53" w:rsidRPr="008B32C9">
          <w:rPr>
            <w:rStyle w:val="Hyperlink"/>
            <w:rFonts w:ascii="Times New Roman" w:hAnsi="Times New Roman"/>
            <w:noProof/>
            <w:webHidden/>
          </w:rPr>
          <w:tab/>
        </w:r>
      </w:hyperlink>
      <w:r w:rsidR="00576C53" w:rsidRPr="008B32C9">
        <w:rPr>
          <w:rFonts w:ascii="Times New Roman" w:hAnsi="Times New Roman"/>
        </w:rPr>
        <w:t>1</w:t>
      </w:r>
      <w:r w:rsidR="00576C53">
        <w:rPr>
          <w:rFonts w:ascii="Times New Roman" w:hAnsi="Times New Roman"/>
          <w:noProof/>
        </w:rPr>
        <w:t>87</w:t>
      </w:r>
    </w:p>
    <w:p w:rsidR="00576C53" w:rsidRPr="008B32C9" w:rsidRDefault="002606D1" w:rsidP="00576C53">
      <w:pPr>
        <w:pStyle w:val="TOC3"/>
        <w:tabs>
          <w:tab w:val="right" w:leader="dot" w:pos="8486"/>
        </w:tabs>
        <w:rPr>
          <w:rFonts w:ascii="Times New Roman" w:hAnsi="Times New Roman"/>
          <w:noProof/>
        </w:rPr>
      </w:pPr>
      <w:hyperlink r:id="rId81" w:anchor="_Toc315681319" w:history="1">
        <w:r w:rsidR="00576C53" w:rsidRPr="008B32C9">
          <w:rPr>
            <w:rStyle w:val="Hyperlink"/>
            <w:rFonts w:ascii="Times New Roman" w:hAnsi="Times New Roman"/>
            <w:noProof/>
          </w:rPr>
          <w:t>Lithofacies and Ichnofacies</w:t>
        </w:r>
        <w:r w:rsidR="00576C53" w:rsidRPr="008B32C9">
          <w:rPr>
            <w:rStyle w:val="Hyperlink"/>
            <w:rFonts w:ascii="Times New Roman" w:hAnsi="Times New Roman"/>
            <w:noProof/>
            <w:webHidden/>
          </w:rPr>
          <w:tab/>
        </w:r>
      </w:hyperlink>
      <w:r w:rsidR="00576C53" w:rsidRPr="008B32C9">
        <w:rPr>
          <w:rFonts w:ascii="Times New Roman" w:hAnsi="Times New Roman"/>
        </w:rPr>
        <w:t>1</w:t>
      </w:r>
      <w:r w:rsidR="00576C53">
        <w:rPr>
          <w:rFonts w:ascii="Times New Roman" w:hAnsi="Times New Roman"/>
          <w:noProof/>
        </w:rPr>
        <w:t>88</w:t>
      </w:r>
    </w:p>
    <w:p w:rsidR="00576C53" w:rsidRPr="008B32C9" w:rsidRDefault="002606D1" w:rsidP="00576C53">
      <w:pPr>
        <w:pStyle w:val="TOC3"/>
        <w:tabs>
          <w:tab w:val="right" w:leader="dot" w:pos="8486"/>
        </w:tabs>
        <w:rPr>
          <w:rFonts w:ascii="Times New Roman" w:hAnsi="Times New Roman"/>
          <w:noProof/>
        </w:rPr>
      </w:pPr>
      <w:hyperlink r:id="rId82" w:anchor="_Toc315681319" w:history="1">
        <w:r w:rsidR="00576C53" w:rsidRPr="008B32C9">
          <w:rPr>
            <w:rStyle w:val="Hyperlink"/>
            <w:rFonts w:ascii="Times New Roman" w:hAnsi="Times New Roman"/>
            <w:noProof/>
          </w:rPr>
          <w:t>Core A:</w:t>
        </w:r>
        <w:r w:rsidR="00576C53" w:rsidRPr="008B32C9">
          <w:rPr>
            <w:rStyle w:val="Hyperlink"/>
            <w:rFonts w:ascii="Times New Roman" w:hAnsi="Times New Roman"/>
            <w:noProof/>
            <w:webHidden/>
          </w:rPr>
          <w:tab/>
        </w:r>
      </w:hyperlink>
      <w:r w:rsidR="00576C53">
        <w:rPr>
          <w:rFonts w:ascii="Times New Roman" w:hAnsi="Times New Roman"/>
          <w:noProof/>
        </w:rPr>
        <w:t>192</w:t>
      </w:r>
    </w:p>
    <w:p w:rsidR="00576C53" w:rsidRPr="008B32C9" w:rsidRDefault="002606D1" w:rsidP="00576C53">
      <w:pPr>
        <w:pStyle w:val="TOC3"/>
        <w:tabs>
          <w:tab w:val="right" w:leader="dot" w:pos="8486"/>
        </w:tabs>
        <w:rPr>
          <w:rFonts w:ascii="Times New Roman" w:hAnsi="Times New Roman"/>
          <w:noProof/>
        </w:rPr>
      </w:pPr>
      <w:hyperlink r:id="rId83" w:anchor="_Toc315681319" w:history="1">
        <w:r w:rsidR="00576C53" w:rsidRPr="008B32C9">
          <w:rPr>
            <w:rStyle w:val="Hyperlink"/>
            <w:rFonts w:ascii="Times New Roman" w:hAnsi="Times New Roman"/>
            <w:noProof/>
          </w:rPr>
          <w:t>Core B:</w:t>
        </w:r>
        <w:r w:rsidR="00576C53" w:rsidRPr="008B32C9">
          <w:rPr>
            <w:rStyle w:val="Hyperlink"/>
            <w:rFonts w:ascii="Times New Roman" w:hAnsi="Times New Roman"/>
            <w:noProof/>
            <w:webHidden/>
          </w:rPr>
          <w:tab/>
        </w:r>
      </w:hyperlink>
      <w:r w:rsidR="00576C53">
        <w:rPr>
          <w:rFonts w:ascii="Times New Roman" w:hAnsi="Times New Roman"/>
          <w:noProof/>
        </w:rPr>
        <w:t>195</w:t>
      </w:r>
    </w:p>
    <w:p w:rsidR="00576C53" w:rsidRPr="008B32C9" w:rsidRDefault="002606D1" w:rsidP="00576C53">
      <w:pPr>
        <w:pStyle w:val="TOC3"/>
        <w:tabs>
          <w:tab w:val="right" w:leader="dot" w:pos="8486"/>
        </w:tabs>
        <w:rPr>
          <w:rFonts w:ascii="Times New Roman" w:hAnsi="Times New Roman"/>
          <w:noProof/>
        </w:rPr>
      </w:pPr>
      <w:hyperlink r:id="rId84" w:anchor="_Toc315681319" w:history="1">
        <w:r w:rsidR="00576C53" w:rsidRPr="008B32C9">
          <w:rPr>
            <w:rStyle w:val="Hyperlink"/>
            <w:rFonts w:ascii="Times New Roman" w:hAnsi="Times New Roman"/>
            <w:noProof/>
          </w:rPr>
          <w:t>Core C:</w:t>
        </w:r>
        <w:r w:rsidR="00576C53" w:rsidRPr="008B32C9">
          <w:rPr>
            <w:rStyle w:val="Hyperlink"/>
            <w:rFonts w:ascii="Times New Roman" w:hAnsi="Times New Roman"/>
            <w:noProof/>
            <w:webHidden/>
          </w:rPr>
          <w:tab/>
        </w:r>
      </w:hyperlink>
      <w:r w:rsidR="00576C53">
        <w:rPr>
          <w:rFonts w:ascii="Times New Roman" w:hAnsi="Times New Roman"/>
          <w:noProof/>
        </w:rPr>
        <w:t>197</w:t>
      </w:r>
    </w:p>
    <w:p w:rsidR="00576C53" w:rsidRDefault="002606D1" w:rsidP="00576C53">
      <w:pPr>
        <w:pStyle w:val="TOC2"/>
        <w:tabs>
          <w:tab w:val="right" w:leader="dot" w:pos="8486"/>
        </w:tabs>
        <w:rPr>
          <w:rFonts w:ascii="Times New Roman" w:hAnsi="Times New Roman"/>
          <w:noProof/>
        </w:rPr>
      </w:pPr>
      <w:hyperlink r:id="rId85" w:anchor="_Toc315681318" w:history="1">
        <w:r w:rsidR="00576C53" w:rsidRPr="008B32C9">
          <w:rPr>
            <w:rStyle w:val="Hyperlink"/>
            <w:rFonts w:ascii="Times New Roman" w:hAnsi="Times New Roman"/>
            <w:b/>
            <w:noProof/>
          </w:rPr>
          <w:t>Sequence Stratigraphic Framework</w:t>
        </w:r>
        <w:r w:rsidR="00576C53" w:rsidRPr="008B32C9">
          <w:rPr>
            <w:rStyle w:val="Hyperlink"/>
            <w:rFonts w:ascii="Times New Roman" w:hAnsi="Times New Roman"/>
            <w:noProof/>
            <w:webHidden/>
          </w:rPr>
          <w:tab/>
        </w:r>
      </w:hyperlink>
      <w:r w:rsidR="00576C53">
        <w:rPr>
          <w:rFonts w:ascii="Times New Roman" w:hAnsi="Times New Roman"/>
          <w:noProof/>
        </w:rPr>
        <w:t>197</w:t>
      </w:r>
    </w:p>
    <w:p w:rsidR="00576C53" w:rsidRDefault="002606D1" w:rsidP="00576C53">
      <w:pPr>
        <w:pStyle w:val="TOC2"/>
        <w:tabs>
          <w:tab w:val="right" w:leader="dot" w:pos="8486"/>
        </w:tabs>
        <w:rPr>
          <w:rFonts w:ascii="Times New Roman" w:hAnsi="Times New Roman"/>
          <w:noProof/>
        </w:rPr>
      </w:pPr>
      <w:hyperlink r:id="rId86" w:anchor="_Toc315681318" w:history="1">
        <w:r w:rsidR="00576C53">
          <w:rPr>
            <w:rStyle w:val="Hyperlink"/>
            <w:rFonts w:ascii="Times New Roman" w:hAnsi="Times New Roman"/>
            <w:b/>
            <w:noProof/>
          </w:rPr>
          <w:t>Correlation in Anadarko Basin</w:t>
        </w:r>
        <w:r w:rsidR="00576C53" w:rsidRPr="008B32C9">
          <w:rPr>
            <w:rStyle w:val="Hyperlink"/>
            <w:rFonts w:ascii="Times New Roman" w:hAnsi="Times New Roman"/>
            <w:noProof/>
            <w:webHidden/>
          </w:rPr>
          <w:tab/>
        </w:r>
      </w:hyperlink>
      <w:r w:rsidR="00576C53">
        <w:rPr>
          <w:rFonts w:ascii="Times New Roman" w:hAnsi="Times New Roman"/>
          <w:noProof/>
        </w:rPr>
        <w:t>203</w:t>
      </w:r>
    </w:p>
    <w:p w:rsidR="00576C53" w:rsidRDefault="002606D1" w:rsidP="00576C53">
      <w:pPr>
        <w:pStyle w:val="TOC2"/>
        <w:tabs>
          <w:tab w:val="right" w:leader="dot" w:pos="8486"/>
        </w:tabs>
        <w:rPr>
          <w:rFonts w:ascii="Times New Roman" w:hAnsi="Times New Roman"/>
          <w:noProof/>
        </w:rPr>
      </w:pPr>
      <w:hyperlink r:id="rId87" w:anchor="_Toc315681318" w:history="1">
        <w:r w:rsidR="00576C53">
          <w:rPr>
            <w:rStyle w:val="Hyperlink"/>
            <w:rFonts w:ascii="Times New Roman" w:hAnsi="Times New Roman"/>
            <w:b/>
            <w:noProof/>
          </w:rPr>
          <w:t>Correlation with Woodford Shale in Permian Basin</w:t>
        </w:r>
        <w:r w:rsidR="00576C53" w:rsidRPr="008B32C9">
          <w:rPr>
            <w:rStyle w:val="Hyperlink"/>
            <w:rFonts w:ascii="Times New Roman" w:hAnsi="Times New Roman"/>
            <w:noProof/>
            <w:webHidden/>
          </w:rPr>
          <w:tab/>
        </w:r>
      </w:hyperlink>
      <w:r w:rsidR="00576C53">
        <w:rPr>
          <w:rFonts w:ascii="Times New Roman" w:hAnsi="Times New Roman"/>
          <w:noProof/>
        </w:rPr>
        <w:t>204</w:t>
      </w:r>
    </w:p>
    <w:p w:rsidR="00576C53" w:rsidRPr="008B32C9" w:rsidRDefault="002606D1" w:rsidP="00576C53">
      <w:pPr>
        <w:pStyle w:val="TOC2"/>
        <w:tabs>
          <w:tab w:val="right" w:leader="dot" w:pos="8486"/>
        </w:tabs>
        <w:rPr>
          <w:rFonts w:ascii="Times New Roman" w:hAnsi="Times New Roman"/>
          <w:noProof/>
        </w:rPr>
      </w:pPr>
      <w:hyperlink r:id="rId88" w:anchor="_Toc315681318" w:history="1">
        <w:r w:rsidR="00576C53" w:rsidRPr="008B32C9">
          <w:rPr>
            <w:rStyle w:val="Hyperlink"/>
            <w:rFonts w:ascii="Times New Roman" w:hAnsi="Times New Roman"/>
            <w:b/>
            <w:noProof/>
          </w:rPr>
          <w:t>Conclusions</w:t>
        </w:r>
        <w:r w:rsidR="00576C53" w:rsidRPr="008B32C9">
          <w:rPr>
            <w:rStyle w:val="Hyperlink"/>
            <w:rFonts w:ascii="Times New Roman" w:hAnsi="Times New Roman"/>
            <w:noProof/>
            <w:webHidden/>
          </w:rPr>
          <w:tab/>
        </w:r>
      </w:hyperlink>
      <w:r w:rsidR="00576C53">
        <w:rPr>
          <w:rFonts w:ascii="Times New Roman" w:hAnsi="Times New Roman"/>
        </w:rPr>
        <w:t>205</w:t>
      </w:r>
    </w:p>
    <w:p w:rsidR="00576C53" w:rsidRPr="008B32C9" w:rsidRDefault="002606D1" w:rsidP="00576C53">
      <w:pPr>
        <w:pStyle w:val="TOC2"/>
        <w:tabs>
          <w:tab w:val="right" w:leader="dot" w:pos="8486"/>
        </w:tabs>
        <w:rPr>
          <w:rFonts w:ascii="Times New Roman" w:hAnsi="Times New Roman"/>
          <w:noProof/>
          <w:sz w:val="22"/>
          <w:szCs w:val="22"/>
          <w:lang w:bidi="ar-SA"/>
        </w:rPr>
      </w:pPr>
      <w:hyperlink r:id="rId89" w:anchor="_Toc315681318" w:history="1">
        <w:r w:rsidR="00576C53" w:rsidRPr="008B32C9">
          <w:rPr>
            <w:rStyle w:val="Hyperlink"/>
            <w:rFonts w:ascii="Times New Roman" w:hAnsi="Times New Roman"/>
            <w:b/>
            <w:noProof/>
          </w:rPr>
          <w:t>List of figures</w:t>
        </w:r>
        <w:r w:rsidR="00576C53" w:rsidRPr="008B32C9">
          <w:rPr>
            <w:rStyle w:val="Hyperlink"/>
            <w:rFonts w:ascii="Times New Roman" w:hAnsi="Times New Roman"/>
            <w:noProof/>
            <w:webHidden/>
          </w:rPr>
          <w:tab/>
        </w:r>
      </w:hyperlink>
      <w:r w:rsidR="00576C53">
        <w:rPr>
          <w:rFonts w:ascii="Times New Roman" w:hAnsi="Times New Roman"/>
        </w:rPr>
        <w:t>207</w:t>
      </w:r>
    </w:p>
    <w:p w:rsidR="00576C53" w:rsidRPr="008B32C9" w:rsidRDefault="002606D1" w:rsidP="00576C53">
      <w:pPr>
        <w:pStyle w:val="TOC2"/>
        <w:tabs>
          <w:tab w:val="right" w:leader="dot" w:pos="8486"/>
        </w:tabs>
        <w:rPr>
          <w:rFonts w:ascii="Times New Roman" w:eastAsia="Times New Roman" w:hAnsi="Times New Roman"/>
          <w:noProof/>
        </w:rPr>
      </w:pPr>
      <w:hyperlink r:id="rId90" w:anchor="_Toc315681318" w:history="1">
        <w:r w:rsidR="00576C53" w:rsidRPr="008B32C9">
          <w:rPr>
            <w:rStyle w:val="Hyperlink"/>
            <w:rFonts w:ascii="Times New Roman" w:hAnsi="Times New Roman"/>
            <w:b/>
            <w:noProof/>
          </w:rPr>
          <w:t>References</w:t>
        </w:r>
        <w:r w:rsidR="00576C53" w:rsidRPr="008B32C9">
          <w:rPr>
            <w:rStyle w:val="Hyperlink"/>
            <w:rFonts w:ascii="Times New Roman" w:hAnsi="Times New Roman"/>
            <w:noProof/>
            <w:webHidden/>
          </w:rPr>
          <w:tab/>
        </w:r>
      </w:hyperlink>
      <w:r w:rsidR="00576C53">
        <w:rPr>
          <w:rFonts w:ascii="Times New Roman" w:hAnsi="Times New Roman"/>
        </w:rPr>
        <w:t>240</w:t>
      </w:r>
    </w:p>
    <w:p w:rsidR="00576C53" w:rsidRPr="008B32C9" w:rsidRDefault="00576C53" w:rsidP="00576C53">
      <w:pPr>
        <w:pStyle w:val="Heading1"/>
        <w:rPr>
          <w:rFonts w:ascii="Times New Roman" w:hAnsi="Times New Roman"/>
        </w:rPr>
      </w:pPr>
      <w:r w:rsidRPr="008B32C9">
        <w:rPr>
          <w:rFonts w:ascii="Times New Roman" w:hAnsi="Times New Roman"/>
        </w:rPr>
        <w:lastRenderedPageBreak/>
        <w:fldChar w:fldCharType="end"/>
      </w:r>
      <w:r>
        <w:rPr>
          <w:rFonts w:ascii="Times New Roman" w:hAnsi="Times New Roman"/>
        </w:rPr>
        <w:t>List of Tables</w:t>
      </w:r>
      <w:r w:rsidRPr="00C81A0D">
        <w:rPr>
          <w:rFonts w:ascii="Times New Roman" w:hAnsi="Times New Roman"/>
        </w:rPr>
        <w:t xml:space="preserve"> </w:t>
      </w:r>
    </w:p>
    <w:p w:rsidR="00576C53" w:rsidRPr="00D27D94" w:rsidRDefault="00576C53" w:rsidP="00576C53">
      <w:pPr>
        <w:pStyle w:val="TableofFigures"/>
        <w:tabs>
          <w:tab w:val="right" w:leader="dot" w:pos="8486"/>
        </w:tabs>
        <w:jc w:val="both"/>
        <w:rPr>
          <w:rFonts w:ascii="Times New Roman" w:hAnsi="Times New Roman"/>
          <w:noProof/>
          <w:lang w:eastAsia="zh-CN" w:bidi="ar-SA"/>
        </w:rPr>
      </w:pPr>
      <w:r w:rsidRPr="00D27D94">
        <w:rPr>
          <w:rFonts w:ascii="Times New Roman" w:hAnsi="Times New Roman"/>
          <w:noProof/>
        </w:rPr>
        <w:t>Table 2.1. List of the basic information of the key Jackfork Group outcrops..</w:t>
      </w:r>
      <w:r w:rsidRPr="00D27D94">
        <w:rPr>
          <w:rFonts w:ascii="Times New Roman" w:hAnsi="Times New Roman"/>
          <w:noProof/>
          <w:webHidden/>
        </w:rPr>
        <w:tab/>
      </w:r>
      <w:r>
        <w:rPr>
          <w:rFonts w:ascii="Times New Roman" w:hAnsi="Times New Roman"/>
          <w:noProof/>
          <w:webHidden/>
        </w:rPr>
        <w:t>3</w:t>
      </w:r>
    </w:p>
    <w:p w:rsidR="00576C53" w:rsidRPr="00D27D94" w:rsidRDefault="00576C53" w:rsidP="00576C53">
      <w:pPr>
        <w:pStyle w:val="TableofFigures"/>
        <w:tabs>
          <w:tab w:val="right" w:leader="dot" w:pos="8486"/>
        </w:tabs>
        <w:jc w:val="both"/>
        <w:rPr>
          <w:rFonts w:ascii="Times New Roman" w:hAnsi="Times New Roman"/>
          <w:noProof/>
          <w:lang w:eastAsia="zh-CN" w:bidi="ar-SA"/>
        </w:rPr>
      </w:pPr>
      <w:r w:rsidRPr="00D27D94">
        <w:rPr>
          <w:rFonts w:ascii="Times New Roman" w:hAnsi="Times New Roman"/>
          <w:noProof/>
        </w:rPr>
        <w:t xml:space="preserve">Table 2.2. </w:t>
      </w:r>
      <w:r w:rsidRPr="00D27D94">
        <w:rPr>
          <w:rFonts w:ascii="Times New Roman" w:hAnsi="Times New Roman"/>
        </w:rPr>
        <w:t>General outcrop description and interpretation of the Lower Jackfork Group in Kirby Sections.</w:t>
      </w:r>
      <w:r w:rsidRPr="00D27D94">
        <w:rPr>
          <w:rFonts w:ascii="Times New Roman" w:hAnsi="Times New Roman"/>
          <w:noProof/>
        </w:rPr>
        <w:t>..</w:t>
      </w:r>
      <w:r w:rsidRPr="00D27D94">
        <w:rPr>
          <w:rFonts w:ascii="Times New Roman" w:hAnsi="Times New Roman"/>
          <w:noProof/>
          <w:webHidden/>
        </w:rPr>
        <w:tab/>
      </w:r>
      <w:r>
        <w:rPr>
          <w:rFonts w:ascii="Times New Roman" w:hAnsi="Times New Roman"/>
          <w:noProof/>
          <w:webHidden/>
        </w:rPr>
        <w:t>77</w:t>
      </w:r>
    </w:p>
    <w:p w:rsidR="00576C53" w:rsidRPr="00D27D94" w:rsidRDefault="00576C53" w:rsidP="00576C53">
      <w:pPr>
        <w:pStyle w:val="TableofFigures"/>
        <w:tabs>
          <w:tab w:val="right" w:leader="dot" w:pos="8486"/>
        </w:tabs>
        <w:jc w:val="both"/>
        <w:rPr>
          <w:rFonts w:ascii="Times New Roman" w:hAnsi="Times New Roman"/>
          <w:noProof/>
          <w:lang w:eastAsia="zh-CN" w:bidi="ar-SA"/>
        </w:rPr>
      </w:pPr>
      <w:r w:rsidRPr="00D27D94">
        <w:rPr>
          <w:rFonts w:ascii="Times New Roman" w:hAnsi="Times New Roman"/>
          <w:noProof/>
        </w:rPr>
        <w:t xml:space="preserve">Table 2.3. </w:t>
      </w:r>
      <w:r w:rsidRPr="00D27D94">
        <w:rPr>
          <w:rFonts w:ascii="Times New Roman" w:hAnsi="Times New Roman"/>
        </w:rPr>
        <w:t>General outcrop description and interpretation of the Middle Jackfork Group in Kirby Sections..</w:t>
      </w:r>
      <w:r w:rsidRPr="00D27D94">
        <w:rPr>
          <w:rFonts w:ascii="Times New Roman" w:hAnsi="Times New Roman"/>
          <w:noProof/>
        </w:rPr>
        <w:t>..</w:t>
      </w:r>
      <w:r w:rsidRPr="00D27D94">
        <w:rPr>
          <w:rFonts w:ascii="Times New Roman" w:hAnsi="Times New Roman"/>
          <w:noProof/>
          <w:webHidden/>
        </w:rPr>
        <w:tab/>
        <w:t>8</w:t>
      </w:r>
      <w:r>
        <w:rPr>
          <w:rFonts w:ascii="Times New Roman" w:hAnsi="Times New Roman"/>
          <w:noProof/>
          <w:webHidden/>
        </w:rPr>
        <w:t>2</w:t>
      </w:r>
    </w:p>
    <w:p w:rsidR="00576C53" w:rsidRPr="00D27D94" w:rsidRDefault="00576C53" w:rsidP="00576C53">
      <w:pPr>
        <w:pStyle w:val="TableofFigures"/>
        <w:tabs>
          <w:tab w:val="right" w:leader="dot" w:pos="8486"/>
        </w:tabs>
        <w:jc w:val="both"/>
        <w:rPr>
          <w:rFonts w:ascii="Times New Roman" w:hAnsi="Times New Roman"/>
          <w:noProof/>
          <w:lang w:eastAsia="zh-CN" w:bidi="ar-SA"/>
        </w:rPr>
      </w:pPr>
      <w:r w:rsidRPr="00D27D94">
        <w:rPr>
          <w:rFonts w:ascii="Times New Roman" w:hAnsi="Times New Roman"/>
          <w:noProof/>
        </w:rPr>
        <w:t>Table 2.4.General outcrop description and interpretation of the Middle Jackfork Group in Kirby Sections.</w:t>
      </w:r>
      <w:r w:rsidRPr="00D27D94">
        <w:rPr>
          <w:rFonts w:ascii="Times New Roman" w:hAnsi="Times New Roman"/>
        </w:rPr>
        <w:t>..</w:t>
      </w:r>
      <w:r w:rsidRPr="00D27D94">
        <w:rPr>
          <w:rFonts w:ascii="Times New Roman" w:hAnsi="Times New Roman"/>
          <w:noProof/>
        </w:rPr>
        <w:t>..</w:t>
      </w:r>
      <w:r w:rsidRPr="00D27D94">
        <w:rPr>
          <w:rFonts w:ascii="Times New Roman" w:hAnsi="Times New Roman"/>
          <w:noProof/>
          <w:webHidden/>
        </w:rPr>
        <w:tab/>
        <w:t>8</w:t>
      </w:r>
      <w:r>
        <w:rPr>
          <w:rFonts w:ascii="Times New Roman" w:hAnsi="Times New Roman"/>
          <w:noProof/>
          <w:webHidden/>
          <w:lang w:eastAsia="zh-CN"/>
        </w:rPr>
        <w:t>7</w:t>
      </w:r>
    </w:p>
    <w:p w:rsidR="00576C53" w:rsidRPr="00D27D94" w:rsidRDefault="00576C53" w:rsidP="00576C53">
      <w:pPr>
        <w:pStyle w:val="TableofFigures"/>
        <w:tabs>
          <w:tab w:val="right" w:leader="dot" w:pos="8486"/>
        </w:tabs>
        <w:jc w:val="both"/>
        <w:rPr>
          <w:rFonts w:ascii="Times New Roman" w:hAnsi="Times New Roman"/>
          <w:noProof/>
          <w:lang w:eastAsia="zh-CN" w:bidi="ar-SA"/>
        </w:rPr>
      </w:pPr>
      <w:r w:rsidRPr="00D27D94">
        <w:rPr>
          <w:rFonts w:ascii="Times New Roman" w:hAnsi="Times New Roman"/>
          <w:noProof/>
        </w:rPr>
        <w:t>Table 2.5.General outcrop description and interpretation of the Johns Valley Shale in Kirby Sections..</w:t>
      </w:r>
      <w:r w:rsidRPr="00D27D94">
        <w:rPr>
          <w:rFonts w:ascii="Times New Roman" w:hAnsi="Times New Roman"/>
        </w:rPr>
        <w:t>..</w:t>
      </w:r>
      <w:r w:rsidRPr="00D27D94">
        <w:rPr>
          <w:rFonts w:ascii="Times New Roman" w:hAnsi="Times New Roman"/>
          <w:noProof/>
        </w:rPr>
        <w:t>..</w:t>
      </w:r>
      <w:r w:rsidRPr="00D27D94">
        <w:rPr>
          <w:rFonts w:ascii="Times New Roman" w:hAnsi="Times New Roman"/>
          <w:noProof/>
          <w:webHidden/>
        </w:rPr>
        <w:tab/>
      </w:r>
      <w:r w:rsidRPr="00D27D94">
        <w:rPr>
          <w:rFonts w:ascii="Times New Roman" w:hAnsi="Times New Roman" w:hint="eastAsia"/>
          <w:noProof/>
          <w:webHidden/>
          <w:lang w:eastAsia="zh-CN"/>
        </w:rPr>
        <w:t>..9</w:t>
      </w:r>
      <w:r>
        <w:rPr>
          <w:rFonts w:ascii="Times New Roman" w:hAnsi="Times New Roman"/>
          <w:noProof/>
          <w:webHidden/>
          <w:lang w:eastAsia="zh-CN"/>
        </w:rPr>
        <w:t>1</w:t>
      </w:r>
      <w:r w:rsidRPr="00D27D94">
        <w:rPr>
          <w:rFonts w:ascii="Times New Roman" w:hAnsi="Times New Roman"/>
          <w:noProof/>
          <w:webHidden/>
          <w:lang w:eastAsia="zh-CN"/>
        </w:rPr>
        <w:br/>
      </w:r>
      <w:r w:rsidRPr="00D27D94">
        <w:rPr>
          <w:rFonts w:ascii="Times New Roman" w:hAnsi="Times New Roman"/>
          <w:noProof/>
        </w:rPr>
        <w:t>Table 2.</w:t>
      </w:r>
      <w:r w:rsidRPr="00D27D94">
        <w:rPr>
          <w:rFonts w:ascii="Times New Roman" w:hAnsi="Times New Roman" w:hint="eastAsia"/>
          <w:noProof/>
          <w:lang w:eastAsia="zh-CN"/>
        </w:rPr>
        <w:t>6</w:t>
      </w:r>
      <w:r w:rsidRPr="00D27D94">
        <w:rPr>
          <w:rFonts w:ascii="Times New Roman" w:hAnsi="Times New Roman"/>
          <w:noProof/>
        </w:rPr>
        <w:t>. Summary of key chemostrata elements and proxies…</w:t>
      </w:r>
      <w:r w:rsidRPr="00D27D94">
        <w:rPr>
          <w:rFonts w:ascii="Times New Roman" w:hAnsi="Times New Roman"/>
          <w:noProof/>
          <w:lang w:eastAsia="zh-CN"/>
        </w:rPr>
        <w:t>…………………</w:t>
      </w:r>
      <w:r w:rsidRPr="00D27D94">
        <w:rPr>
          <w:rFonts w:ascii="Times New Roman" w:hAnsi="Times New Roman" w:hint="eastAsia"/>
          <w:noProof/>
          <w:lang w:eastAsia="zh-CN"/>
        </w:rPr>
        <w:t>.....</w:t>
      </w:r>
      <w:r w:rsidRPr="00D27D94">
        <w:rPr>
          <w:rFonts w:ascii="Times New Roman" w:hAnsi="Times New Roman" w:hint="eastAsia"/>
          <w:noProof/>
          <w:webHidden/>
          <w:lang w:eastAsia="zh-CN"/>
        </w:rPr>
        <w:t xml:space="preserve"> 9</w:t>
      </w:r>
      <w:r>
        <w:rPr>
          <w:rFonts w:ascii="Times New Roman" w:hAnsi="Times New Roman"/>
          <w:noProof/>
          <w:webHidden/>
          <w:lang w:eastAsia="zh-CN"/>
        </w:rPr>
        <w:t>8</w:t>
      </w:r>
    </w:p>
    <w:p w:rsidR="00576C53" w:rsidRPr="00D27D94" w:rsidRDefault="00576C53" w:rsidP="00576C53">
      <w:pPr>
        <w:pStyle w:val="TableofFigures"/>
        <w:tabs>
          <w:tab w:val="right" w:leader="dot" w:pos="8486"/>
        </w:tabs>
        <w:jc w:val="both"/>
        <w:rPr>
          <w:rFonts w:ascii="Times New Roman" w:hAnsi="Times New Roman"/>
          <w:noProof/>
          <w:lang w:eastAsia="zh-CN" w:bidi="ar-SA"/>
        </w:rPr>
      </w:pPr>
      <w:r w:rsidRPr="00D27D94">
        <w:rPr>
          <w:rFonts w:ascii="Times New Roman" w:hAnsi="Times New Roman"/>
          <w:noProof/>
          <w:lang w:eastAsia="zh-CN" w:bidi="ar-SA"/>
        </w:rPr>
        <w:t>Table 2.</w:t>
      </w:r>
      <w:r w:rsidRPr="00D27D94">
        <w:rPr>
          <w:rFonts w:ascii="Times New Roman" w:hAnsi="Times New Roman" w:hint="eastAsia"/>
          <w:noProof/>
          <w:lang w:eastAsia="zh-CN" w:bidi="ar-SA"/>
        </w:rPr>
        <w:t>7</w:t>
      </w:r>
      <w:r w:rsidRPr="00D27D94">
        <w:rPr>
          <w:rFonts w:ascii="Times New Roman" w:hAnsi="Times New Roman"/>
          <w:noProof/>
          <w:lang w:eastAsia="zh-CN" w:bidi="ar-SA"/>
        </w:rPr>
        <w:t>. Categorization of the shale layers tested by ICP-MS, including 3rd and 4th order sequence boundary, local shale and their correlations……………</w:t>
      </w:r>
      <w:r>
        <w:rPr>
          <w:rFonts w:ascii="Times New Roman" w:hAnsi="Times New Roman"/>
          <w:noProof/>
          <w:lang w:eastAsia="zh-CN" w:bidi="ar-SA"/>
        </w:rPr>
        <w:t>…..</w:t>
      </w:r>
      <w:r w:rsidRPr="00D27D94">
        <w:rPr>
          <w:rFonts w:ascii="Times New Roman" w:hAnsi="Times New Roman"/>
          <w:noProof/>
          <w:lang w:eastAsia="zh-CN" w:bidi="ar-SA"/>
        </w:rPr>
        <w:t>…</w:t>
      </w:r>
      <w:r>
        <w:rPr>
          <w:rFonts w:ascii="Times New Roman" w:hAnsi="Times New Roman"/>
          <w:noProof/>
          <w:lang w:eastAsia="zh-CN" w:bidi="ar-SA"/>
        </w:rPr>
        <w:t>..</w:t>
      </w:r>
      <w:r w:rsidRPr="00D27D94">
        <w:rPr>
          <w:rFonts w:ascii="Times New Roman" w:hAnsi="Times New Roman"/>
          <w:noProof/>
          <w:lang w:eastAsia="zh-CN" w:bidi="ar-SA"/>
        </w:rPr>
        <w:t>…</w:t>
      </w:r>
      <w:r>
        <w:rPr>
          <w:rFonts w:ascii="Times New Roman" w:hAnsi="Times New Roman"/>
          <w:noProof/>
          <w:lang w:eastAsia="zh-CN" w:bidi="ar-SA"/>
        </w:rPr>
        <w:t>.</w:t>
      </w:r>
      <w:r>
        <w:rPr>
          <w:rFonts w:ascii="Times New Roman" w:hAnsi="Times New Roman" w:hint="eastAsia"/>
          <w:noProof/>
          <w:lang w:eastAsia="zh-CN" w:bidi="ar-SA"/>
        </w:rPr>
        <w:t>.10</w:t>
      </w:r>
      <w:r>
        <w:rPr>
          <w:rFonts w:ascii="Times New Roman" w:hAnsi="Times New Roman"/>
          <w:noProof/>
          <w:lang w:eastAsia="zh-CN" w:bidi="ar-SA"/>
        </w:rPr>
        <w:t>8</w:t>
      </w:r>
    </w:p>
    <w:p w:rsidR="00576C53" w:rsidRPr="00D27D94" w:rsidRDefault="00576C53" w:rsidP="00576C53">
      <w:pPr>
        <w:pStyle w:val="TableofFigures"/>
        <w:tabs>
          <w:tab w:val="right" w:leader="dot" w:pos="8486"/>
        </w:tabs>
        <w:rPr>
          <w:rFonts w:ascii="Times New Roman" w:hAnsi="Times New Roman"/>
          <w:noProof/>
          <w:lang w:eastAsia="zh-CN" w:bidi="ar-SA"/>
        </w:rPr>
      </w:pPr>
      <w:r w:rsidRPr="00D27D94">
        <w:rPr>
          <w:rFonts w:ascii="Times New Roman" w:hAnsi="Times New Roman"/>
          <w:noProof/>
          <w:lang w:eastAsia="zh-CN" w:bidi="ar-SA"/>
        </w:rPr>
        <w:t>Table 2.</w:t>
      </w:r>
      <w:r w:rsidRPr="00D27D94">
        <w:rPr>
          <w:rFonts w:ascii="Times New Roman" w:hAnsi="Times New Roman" w:hint="eastAsia"/>
          <w:noProof/>
          <w:lang w:eastAsia="zh-CN" w:bidi="ar-SA"/>
        </w:rPr>
        <w:t>8</w:t>
      </w:r>
      <w:r w:rsidRPr="00D27D94">
        <w:rPr>
          <w:rFonts w:ascii="Times New Roman" w:hAnsi="Times New Roman"/>
          <w:noProof/>
          <w:lang w:eastAsia="zh-CN" w:bidi="ar-SA"/>
        </w:rPr>
        <w:t>. Chemostrata correlation between Well A and B in deepwater</w:t>
      </w:r>
      <w:r w:rsidRPr="00D27D94">
        <w:rPr>
          <w:rFonts w:ascii="Times New Roman" w:hAnsi="Times New Roman" w:hint="eastAsia"/>
          <w:noProof/>
          <w:lang w:eastAsia="zh-CN" w:bidi="ar-SA"/>
        </w:rPr>
        <w:t xml:space="preserve"> </w:t>
      </w:r>
      <w:r w:rsidRPr="00D27D94">
        <w:rPr>
          <w:rFonts w:ascii="Times New Roman" w:hAnsi="Times New Roman"/>
          <w:noProof/>
          <w:lang w:eastAsia="zh-CN" w:bidi="ar-SA"/>
        </w:rPr>
        <w:t>GOM..…</w:t>
      </w:r>
      <w:r>
        <w:rPr>
          <w:rFonts w:ascii="Times New Roman" w:hAnsi="Times New Roman"/>
          <w:noProof/>
          <w:lang w:eastAsia="zh-CN" w:bidi="ar-SA"/>
        </w:rPr>
        <w:t>..</w:t>
      </w:r>
      <w:r>
        <w:rPr>
          <w:rFonts w:ascii="Times New Roman" w:hAnsi="Times New Roman" w:hint="eastAsia"/>
          <w:noProof/>
          <w:lang w:eastAsia="zh-CN" w:bidi="ar-SA"/>
        </w:rPr>
        <w:t>...11</w:t>
      </w:r>
      <w:r>
        <w:rPr>
          <w:rFonts w:ascii="Times New Roman" w:hAnsi="Times New Roman"/>
          <w:noProof/>
          <w:lang w:eastAsia="zh-CN" w:bidi="ar-SA"/>
        </w:rPr>
        <w:t>3</w:t>
      </w:r>
    </w:p>
    <w:p w:rsidR="00576C53" w:rsidRDefault="00576C53" w:rsidP="00576C53">
      <w:pPr>
        <w:rPr>
          <w:rFonts w:ascii="Times New Roman" w:hAnsi="Times New Roman"/>
          <w:lang w:eastAsia="zh-CN"/>
        </w:rPr>
      </w:pPr>
      <w:proofErr w:type="gramStart"/>
      <w:r>
        <w:rPr>
          <w:rFonts w:ascii="Times New Roman" w:hAnsi="Times New Roman"/>
          <w:lang w:eastAsia="zh-CN"/>
        </w:rPr>
        <w:t>Table 4.1.</w:t>
      </w:r>
      <w:proofErr w:type="gramEnd"/>
      <w:r>
        <w:rPr>
          <w:rFonts w:ascii="Times New Roman" w:hAnsi="Times New Roman"/>
          <w:lang w:eastAsia="zh-CN"/>
        </w:rPr>
        <w:t xml:space="preserve">  </w:t>
      </w:r>
      <w:proofErr w:type="gramStart"/>
      <w:r>
        <w:rPr>
          <w:rFonts w:ascii="Times New Roman" w:hAnsi="Times New Roman"/>
          <w:lang w:eastAsia="zh-CN"/>
        </w:rPr>
        <w:t>Comparing the relationship between type and abundance of Bioturbation in Woodford and key reservoir parameters.</w:t>
      </w:r>
      <w:proofErr w:type="gramEnd"/>
      <w:r>
        <w:rPr>
          <w:rFonts w:ascii="Times New Roman" w:hAnsi="Times New Roman"/>
          <w:noProof/>
          <w:lang w:eastAsia="zh-CN" w:bidi="ar-SA"/>
        </w:rPr>
        <w:t xml:space="preserve"> …………….……..………………….….236</w:t>
      </w:r>
    </w:p>
    <w:p w:rsidR="00576C53" w:rsidRPr="002C212C" w:rsidRDefault="00576C53" w:rsidP="00576C53">
      <w:pPr>
        <w:rPr>
          <w:lang w:eastAsia="zh-CN" w:bidi="ar-SA"/>
        </w:rPr>
      </w:pPr>
    </w:p>
    <w:p w:rsidR="00576C53" w:rsidRPr="008121B3" w:rsidRDefault="00576C53" w:rsidP="00576C53"/>
    <w:p w:rsidR="00576C53" w:rsidRDefault="00576C53" w:rsidP="00576C53">
      <w:pPr>
        <w:rPr>
          <w:rFonts w:ascii="Times New Roman" w:hAnsi="Times New Roman"/>
        </w:rPr>
      </w:pPr>
    </w:p>
    <w:p w:rsidR="00576C53" w:rsidRDefault="00576C53" w:rsidP="00576C53">
      <w:pPr>
        <w:rPr>
          <w:rFonts w:ascii="Times New Roman" w:hAnsi="Times New Roman"/>
        </w:rPr>
      </w:pPr>
    </w:p>
    <w:p w:rsidR="00576C53" w:rsidRDefault="00576C53" w:rsidP="00576C53">
      <w:pPr>
        <w:rPr>
          <w:rFonts w:ascii="Times New Roman" w:hAnsi="Times New Roman"/>
        </w:rPr>
      </w:pPr>
    </w:p>
    <w:p w:rsidR="00576C53" w:rsidRDefault="00576C53" w:rsidP="00576C53">
      <w:pPr>
        <w:rPr>
          <w:rFonts w:ascii="Times New Roman" w:hAnsi="Times New Roman"/>
        </w:rPr>
      </w:pPr>
    </w:p>
    <w:p w:rsidR="008967D4" w:rsidRPr="006020B7" w:rsidRDefault="008967D4" w:rsidP="008967D4">
      <w:pPr>
        <w:jc w:val="center"/>
        <w:outlineLvl w:val="0"/>
        <w:rPr>
          <w:rFonts w:ascii="Times New Roman" w:eastAsia="SimSun" w:hAnsi="Times New Roman"/>
          <w:b/>
          <w:bCs/>
          <w:sz w:val="28"/>
          <w:szCs w:val="28"/>
        </w:rPr>
      </w:pPr>
      <w:r w:rsidRPr="006020B7">
        <w:rPr>
          <w:rFonts w:ascii="Times New Roman" w:eastAsia="SimSun" w:hAnsi="Times New Roman"/>
          <w:b/>
          <w:bCs/>
          <w:sz w:val="28"/>
          <w:szCs w:val="28"/>
        </w:rPr>
        <w:lastRenderedPageBreak/>
        <w:t xml:space="preserve">List of Figures </w:t>
      </w:r>
    </w:p>
    <w:p w:rsidR="008967D4" w:rsidRPr="006020B7" w:rsidRDefault="002606D1" w:rsidP="008967D4">
      <w:pPr>
        <w:tabs>
          <w:tab w:val="right" w:leader="dot" w:pos="8486"/>
        </w:tabs>
        <w:jc w:val="both"/>
        <w:rPr>
          <w:rFonts w:ascii="Times New Roman" w:eastAsia="SimSun" w:hAnsi="Times New Roman"/>
          <w:noProof/>
          <w:lang w:eastAsia="zh-CN"/>
        </w:rPr>
      </w:pPr>
      <w:hyperlink w:anchor="_Toc400010191" w:history="1">
        <w:proofErr w:type="gramStart"/>
        <w:r w:rsidR="008967D4" w:rsidRPr="006020B7">
          <w:rPr>
            <w:rFonts w:ascii="Times New Roman" w:eastAsia="SimSun" w:hAnsi="Times New Roman"/>
          </w:rPr>
          <w:t>Figure 1.1.</w:t>
        </w:r>
        <w:proofErr w:type="gramEnd"/>
        <w:r w:rsidR="008967D4" w:rsidRPr="006020B7">
          <w:rPr>
            <w:rFonts w:ascii="Times New Roman" w:eastAsia="SimSun" w:hAnsi="Times New Roman"/>
          </w:rPr>
          <w:t xml:space="preserve"> Regional geologic map (including tectonic provinces) and cross section of the Ouachita Mountains and the locations of several major Jackfork Group outcrops: (1) DeGray Lakes Spillway, (2) Hollywood Quarry, (3) Dierks Spillway, and (4) Big Rock Quarry. Baumgartner Quarry is marked by a star. Modified from Slatt et al. (2000b), Suneson et al. (2008)</w:t>
        </w:r>
        <w:proofErr w:type="gramStart"/>
        <w:r w:rsidR="008967D4" w:rsidRPr="006020B7">
          <w:rPr>
            <w:rFonts w:ascii="Times New Roman" w:eastAsia="SimSun" w:hAnsi="Times New Roman"/>
          </w:rPr>
          <w:t>.</w:t>
        </w:r>
        <w:r w:rsidR="008967D4" w:rsidRPr="006020B7">
          <w:rPr>
            <w:rFonts w:ascii="Times New Roman" w:eastAsia="SimSun" w:hAnsi="Times New Roman"/>
            <w:noProof/>
            <w:color w:val="0000FF"/>
            <w:u w:val="single"/>
          </w:rPr>
          <w:t>.</w:t>
        </w:r>
        <w:proofErr w:type="gramEnd"/>
        <w:r w:rsidR="008967D4" w:rsidRPr="006020B7">
          <w:rPr>
            <w:rFonts w:ascii="Times New Roman" w:eastAsia="SimSun" w:hAnsi="Times New Roman"/>
            <w:noProof/>
            <w:webHidden/>
          </w:rPr>
          <w:tab/>
        </w:r>
        <w:r w:rsidR="008967D4" w:rsidRPr="006020B7">
          <w:rPr>
            <w:rFonts w:ascii="Times New Roman" w:eastAsia="SimSun" w:hAnsi="Times New Roman"/>
            <w:noProof/>
            <w:webHidden/>
          </w:rPr>
          <w:fldChar w:fldCharType="begin"/>
        </w:r>
        <w:r w:rsidR="008967D4" w:rsidRPr="006020B7">
          <w:rPr>
            <w:rFonts w:ascii="Times New Roman" w:eastAsia="SimSun" w:hAnsi="Times New Roman"/>
            <w:noProof/>
            <w:webHidden/>
          </w:rPr>
          <w:instrText xml:space="preserve"> PAGEREF _Toc400010191 \h </w:instrText>
        </w:r>
        <w:r w:rsidR="008967D4" w:rsidRPr="006020B7">
          <w:rPr>
            <w:rFonts w:ascii="Times New Roman" w:eastAsia="SimSun" w:hAnsi="Times New Roman"/>
            <w:noProof/>
            <w:webHidden/>
          </w:rPr>
        </w:r>
        <w:r w:rsidR="008967D4" w:rsidRPr="006020B7">
          <w:rPr>
            <w:rFonts w:ascii="Times New Roman" w:eastAsia="SimSun" w:hAnsi="Times New Roman"/>
            <w:noProof/>
            <w:webHidden/>
          </w:rPr>
          <w:fldChar w:fldCharType="separate"/>
        </w:r>
        <w:r w:rsidR="008967D4" w:rsidRPr="006020B7">
          <w:rPr>
            <w:rFonts w:ascii="Times New Roman" w:eastAsia="SimSun" w:hAnsi="Times New Roman"/>
            <w:noProof/>
            <w:webHidden/>
          </w:rPr>
          <w:t>21</w:t>
        </w:r>
        <w:r w:rsidR="008967D4" w:rsidRPr="006020B7">
          <w:rPr>
            <w:rFonts w:ascii="Times New Roman" w:eastAsia="SimSun" w:hAnsi="Times New Roman"/>
            <w:noProof/>
            <w:webHidden/>
          </w:rPr>
          <w:fldChar w:fldCharType="end"/>
        </w:r>
      </w:hyperlink>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1.2.</w:t>
      </w:r>
      <w:proofErr w:type="gramEnd"/>
      <w:r w:rsidRPr="006020B7">
        <w:rPr>
          <w:rFonts w:ascii="Times New Roman" w:eastAsia="SimSun" w:hAnsi="Times New Roman"/>
        </w:rPr>
        <w:t xml:space="preserve"> </w:t>
      </w:r>
      <w:proofErr w:type="gramStart"/>
      <w:r w:rsidRPr="006020B7">
        <w:rPr>
          <w:rFonts w:ascii="Times New Roman" w:eastAsia="SimSun" w:hAnsi="Times New Roman"/>
        </w:rPr>
        <w:t>Regional stratigraphic column and tectonic events of study area in western Arkansas.</w:t>
      </w:r>
      <w:proofErr w:type="gramEnd"/>
      <w:r w:rsidRPr="006020B7">
        <w:rPr>
          <w:rFonts w:ascii="Times New Roman" w:eastAsia="SimSun" w:hAnsi="Times New Roman"/>
        </w:rPr>
        <w:t xml:space="preserve"> The Jackfork Group was deposited during subsidence of the Ouachita Basin…………………………………………………………………………..............22</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1.3.</w:t>
      </w:r>
      <w:proofErr w:type="gramEnd"/>
      <w:r w:rsidRPr="006020B7">
        <w:rPr>
          <w:rFonts w:ascii="Times New Roman" w:eastAsia="SimSun" w:hAnsi="Times New Roman"/>
        </w:rPr>
        <w:t xml:space="preserve"> </w:t>
      </w:r>
      <w:proofErr w:type="gramStart"/>
      <w:r w:rsidRPr="006020B7">
        <w:rPr>
          <w:rFonts w:ascii="Times New Roman" w:eastAsia="SimSun" w:hAnsi="Times New Roman"/>
        </w:rPr>
        <w:t>A complete Jackfork stratigraphic succession, including the Baumgartner Quarry.</w:t>
      </w:r>
      <w:proofErr w:type="gramEnd"/>
      <w:r w:rsidRPr="006020B7">
        <w:rPr>
          <w:rFonts w:ascii="Times New Roman" w:eastAsia="SimSun" w:hAnsi="Times New Roman"/>
        </w:rPr>
        <w:t xml:space="preserve"> All the strata are steeply dipping toward the south. The lower, middle, and upper Jackfork Group boundaries were provided by Charles G. Stone, Arkansas Geological Commission (retired)……………………………………………………..23</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1.4.</w:t>
      </w:r>
      <w:proofErr w:type="gramEnd"/>
      <w:r w:rsidRPr="006020B7">
        <w:rPr>
          <w:rFonts w:ascii="Times New Roman" w:eastAsia="SimSun" w:hAnsi="Times New Roman"/>
        </w:rPr>
        <w:t xml:space="preserve"> An overview of the Baumgartner Quarry, showing the location of the seven key measured sections</w:t>
      </w:r>
      <w:proofErr w:type="gramStart"/>
      <w:r w:rsidRPr="006020B7">
        <w:rPr>
          <w:rFonts w:ascii="Times New Roman" w:eastAsia="SimSun" w:hAnsi="Times New Roman"/>
        </w:rPr>
        <w:t>..</w:t>
      </w:r>
      <w:proofErr w:type="gramEnd"/>
      <w:r w:rsidRPr="006020B7">
        <w:rPr>
          <w:rFonts w:ascii="Times New Roman" w:eastAsia="SimSun" w:hAnsi="Times New Roman"/>
        </w:rPr>
        <w:t xml:space="preserve"> ………………………………………………………………24</w:t>
      </w:r>
    </w:p>
    <w:p w:rsidR="008967D4" w:rsidRPr="006020B7" w:rsidRDefault="008967D4" w:rsidP="008967D4">
      <w:pPr>
        <w:rPr>
          <w:rFonts w:ascii="Times New Roman" w:eastAsia="SimSun" w:hAnsi="Times New Roman"/>
        </w:rPr>
      </w:pPr>
      <w:r w:rsidRPr="006020B7">
        <w:rPr>
          <w:rFonts w:ascii="Times New Roman" w:eastAsia="SimSun" w:hAnsi="Times New Roman"/>
        </w:rPr>
        <w:t>Figure 1.5.Summary of lithofacies and architectural facies in the Baumgartner Quarry based on field observation and petrographic analysis</w:t>
      </w:r>
      <w:proofErr w:type="gramStart"/>
      <w:r w:rsidRPr="006020B7">
        <w:rPr>
          <w:rFonts w:ascii="Times New Roman" w:eastAsia="SimSun" w:hAnsi="Times New Roman"/>
        </w:rPr>
        <w:t>..</w:t>
      </w:r>
      <w:proofErr w:type="gramEnd"/>
      <w:r w:rsidRPr="006020B7">
        <w:rPr>
          <w:rFonts w:ascii="Times New Roman" w:eastAsia="SimSun" w:hAnsi="Times New Roman"/>
        </w:rPr>
        <w:t xml:space="preserve"> ………………………………25</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1.6.</w:t>
      </w:r>
      <w:proofErr w:type="gramEnd"/>
      <w:r w:rsidRPr="006020B7">
        <w:rPr>
          <w:rFonts w:ascii="Times New Roman" w:eastAsia="SimSun" w:hAnsi="Times New Roman"/>
        </w:rPr>
        <w:t xml:space="preserve"> Measured section face 2_lower in the Baumgartner Quarry, integrating lithofacies (A), outcrop gamma-ray measurements (B), architectural facies and grain sizes (C), and depositional environments (D). CPS = counts per second; F = finer grained; C = coarser grained</w:t>
      </w:r>
      <w:proofErr w:type="gramStart"/>
      <w:r w:rsidRPr="006020B7">
        <w:rPr>
          <w:rFonts w:ascii="Times New Roman" w:eastAsia="SimSun" w:hAnsi="Times New Roman"/>
        </w:rPr>
        <w:t>..</w:t>
      </w:r>
      <w:proofErr w:type="gramEnd"/>
      <w:r w:rsidRPr="006020B7">
        <w:rPr>
          <w:rFonts w:ascii="Times New Roman" w:eastAsia="SimSun" w:hAnsi="Times New Roman"/>
        </w:rPr>
        <w:t xml:space="preserve"> ………………………………………………………..26</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lastRenderedPageBreak/>
        <w:t>Figure 1.7.</w:t>
      </w:r>
      <w:proofErr w:type="gramEnd"/>
      <w:r w:rsidRPr="006020B7">
        <w:rPr>
          <w:rFonts w:ascii="Times New Roman" w:eastAsia="SimSun" w:hAnsi="Times New Roman"/>
        </w:rPr>
        <w:t xml:space="preserve"> </w:t>
      </w:r>
      <w:proofErr w:type="gramStart"/>
      <w:r w:rsidRPr="006020B7">
        <w:rPr>
          <w:rFonts w:ascii="Times New Roman" w:eastAsia="SimSun" w:hAnsi="Times New Roman"/>
        </w:rPr>
        <w:t>Common sedimentary features of channel-fill sandstones in the lower sandstones, including megaflute (A1 in face 1 that can be correlated to A2 in face 2) and muddy debris-flow deposits with slump blocks (B).</w:t>
      </w:r>
      <w:proofErr w:type="gramEnd"/>
      <w:r w:rsidRPr="006020B7">
        <w:rPr>
          <w:rFonts w:ascii="Times New Roman" w:eastAsia="SimSun" w:hAnsi="Times New Roman"/>
        </w:rPr>
        <w:t xml:space="preserve"> S = south. ………………27</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1.8.</w:t>
      </w:r>
      <w:proofErr w:type="gramEnd"/>
      <w:r w:rsidRPr="006020B7">
        <w:rPr>
          <w:rFonts w:ascii="Times New Roman" w:eastAsia="SimSun" w:hAnsi="Times New Roman"/>
        </w:rPr>
        <w:t xml:space="preserve"> Measured section face 4_upper in the Baumgartner Quarry, integrating lithofacies (A), outcrop gamma-ray measurements (B), architectural facies and grain sizes (C), and depositional environments (D). F = finer grained; C = coarser grained</w:t>
      </w:r>
      <w:proofErr w:type="gramStart"/>
      <w:r w:rsidRPr="006020B7">
        <w:rPr>
          <w:rFonts w:ascii="Times New Roman" w:eastAsia="SimSun" w:hAnsi="Times New Roman"/>
        </w:rPr>
        <w:t>..</w:t>
      </w:r>
      <w:proofErr w:type="gramEnd"/>
      <w:r w:rsidRPr="006020B7">
        <w:rPr>
          <w:rFonts w:ascii="Times New Roman" w:eastAsia="SimSun" w:hAnsi="Times New Roman"/>
        </w:rPr>
        <w:t xml:space="preserve"> ……………………………………………………………………………………..28</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1.9.</w:t>
      </w:r>
      <w:proofErr w:type="gramEnd"/>
      <w:r w:rsidRPr="006020B7">
        <w:rPr>
          <w:rFonts w:ascii="Times New Roman" w:eastAsia="SimSun" w:hAnsi="Times New Roman"/>
        </w:rPr>
        <w:t xml:space="preserve"> Sedimentary features of the upper sandstones, including unconfined channel cuts (A) and sandy debris flow (slurry beds) (B). Photographs C and D are located at the 100-m (328-ft) horizon of face 4_upper; these two photographs were taken 3 months apart. S = south</w:t>
      </w:r>
      <w:proofErr w:type="gramStart"/>
      <w:r w:rsidRPr="006020B7">
        <w:rPr>
          <w:rFonts w:ascii="Times New Roman" w:eastAsia="SimSun" w:hAnsi="Times New Roman"/>
        </w:rPr>
        <w:t>..</w:t>
      </w:r>
      <w:proofErr w:type="gramEnd"/>
      <w:r w:rsidRPr="006020B7">
        <w:rPr>
          <w:rFonts w:ascii="Times New Roman" w:eastAsia="SimSun" w:hAnsi="Times New Roman"/>
        </w:rPr>
        <w:t xml:space="preserve"> …………………………………………………………………..29</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1.10.</w:t>
      </w:r>
      <w:proofErr w:type="gramEnd"/>
      <w:r w:rsidRPr="006020B7">
        <w:rPr>
          <w:rFonts w:ascii="Times New Roman" w:eastAsia="SimSun" w:hAnsi="Times New Roman"/>
        </w:rPr>
        <w:t xml:space="preserve"> (A) Summary of sequence-stratigraphic units in the Baumgartner Quarry. (B) Depositional environment of the Baumgartner Quarry sequence over a larger area (sim2 times 2 km [sim1.2 times 1.2 mi])</w:t>
      </w:r>
      <w:proofErr w:type="gramStart"/>
      <w:r w:rsidRPr="006020B7">
        <w:rPr>
          <w:rFonts w:ascii="Times New Roman" w:eastAsia="SimSun" w:hAnsi="Times New Roman"/>
        </w:rPr>
        <w:t>..</w:t>
      </w:r>
      <w:proofErr w:type="gramEnd"/>
      <w:r w:rsidRPr="006020B7">
        <w:rPr>
          <w:rFonts w:ascii="Times New Roman" w:eastAsia="SimSun" w:hAnsi="Times New Roman"/>
        </w:rPr>
        <w:t xml:space="preserve"> …………………………………………30</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1.11.</w:t>
      </w:r>
      <w:proofErr w:type="gramEnd"/>
      <w:r w:rsidRPr="006020B7">
        <w:rPr>
          <w:rFonts w:ascii="Times New Roman" w:eastAsia="SimSun" w:hAnsi="Times New Roman"/>
        </w:rPr>
        <w:t xml:space="preserve"> Zones divided for reservoir modeling. The entire quarry is divided into 26 major zones for simulation, with thicknesses from 2 to 30 m (6.6–98 ft). Each zone is represented by a reservoir element, such as confined or semiconfined or unconfined channel fill, lobe or fan deposits, shale, and so on</w:t>
      </w:r>
      <w:proofErr w:type="gramStart"/>
      <w:r w:rsidRPr="006020B7">
        <w:rPr>
          <w:rFonts w:ascii="Times New Roman" w:eastAsia="SimSun" w:hAnsi="Times New Roman"/>
        </w:rPr>
        <w:t>..</w:t>
      </w:r>
      <w:proofErr w:type="gramEnd"/>
      <w:r w:rsidRPr="006020B7">
        <w:rPr>
          <w:rFonts w:ascii="Times New Roman" w:eastAsia="SimSun" w:hAnsi="Times New Roman"/>
        </w:rPr>
        <w:t xml:space="preserve"> …………………………………31</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1.12.</w:t>
      </w:r>
      <w:proofErr w:type="gramEnd"/>
      <w:r w:rsidRPr="006020B7">
        <w:rPr>
          <w:rFonts w:ascii="Times New Roman" w:eastAsia="SimSun" w:hAnsi="Times New Roman"/>
        </w:rPr>
        <w:t xml:space="preserve"> Map view of the reservoir model, including the major reservoir elements and their composite subelements. The confined channel consists of channel axis and shale as background; the semiconfined channel is composed of channel axis and channel margin; the unconfined channel consists of channel axis, channel margin that is </w:t>
      </w:r>
      <w:r w:rsidRPr="006020B7">
        <w:rPr>
          <w:rFonts w:ascii="Times New Roman" w:eastAsia="SimSun" w:hAnsi="Times New Roman"/>
        </w:rPr>
        <w:lastRenderedPageBreak/>
        <w:t>much wider; lobe or fan deposits are presented by large fan-shaped sheet sandstones</w:t>
      </w:r>
      <w:proofErr w:type="gramStart"/>
      <w:r w:rsidRPr="006020B7">
        <w:rPr>
          <w:rFonts w:ascii="Times New Roman" w:eastAsia="SimSun" w:hAnsi="Times New Roman"/>
        </w:rPr>
        <w:t>..</w:t>
      </w:r>
      <w:proofErr w:type="gramEnd"/>
      <w:r w:rsidRPr="006020B7">
        <w:rPr>
          <w:rFonts w:ascii="Times New Roman" w:eastAsia="SimSun" w:hAnsi="Times New Roman"/>
        </w:rPr>
        <w:t xml:space="preserve"> ………………………………………………………………………………………..32</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1.13.</w:t>
      </w:r>
      <w:proofErr w:type="gramEnd"/>
      <w:r w:rsidRPr="006020B7">
        <w:rPr>
          <w:rFonts w:ascii="Times New Roman" w:eastAsia="SimSun" w:hAnsi="Times New Roman"/>
        </w:rPr>
        <w:t xml:space="preserve"> A three-dimensional view of the reservoir model of permeability with a salt surface and wells; the oil-water contact is set at 3900 m (12,795 ft). The producing well 1 and the injection well are connected through the channel axis facies, whereas the producing well 2 and the injection well are not</w:t>
      </w:r>
      <w:proofErr w:type="gramStart"/>
      <w:r w:rsidRPr="006020B7">
        <w:rPr>
          <w:rFonts w:ascii="Times New Roman" w:eastAsia="SimSun" w:hAnsi="Times New Roman"/>
        </w:rPr>
        <w:t>..</w:t>
      </w:r>
      <w:proofErr w:type="gramEnd"/>
      <w:r w:rsidRPr="006020B7">
        <w:rPr>
          <w:rFonts w:ascii="Times New Roman" w:eastAsia="SimSun" w:hAnsi="Times New Roman"/>
        </w:rPr>
        <w:t xml:space="preserve"> ……………………………………33</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1.14.</w:t>
      </w:r>
      <w:proofErr w:type="gramEnd"/>
      <w:r w:rsidRPr="006020B7">
        <w:rPr>
          <w:rFonts w:ascii="Times New Roman" w:eastAsia="SimSun" w:hAnsi="Times New Roman"/>
        </w:rPr>
        <w:t xml:space="preserve"> Reservoir simulation results from both upper and lower sandstones, upper sandstones only, and lower sandstones only, including cumulative production and production rate from producing well 1 (solid line) and well 2 (dashed line). Note that the (1) production volume and rate in well 1 is 60% more than those in well 2 in all cases; (2) the lower channelized sandstone package has a larger drop of production rate than does the upper sheet sandstone; and (3) the upper sandstones are more sustainable during a 10-yr production period, whereas the rate of the lower sandstones is close to zero after 10 yr.. …………………………………………………………….………34</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1.15.</w:t>
      </w:r>
      <w:proofErr w:type="gramEnd"/>
      <w:r w:rsidRPr="006020B7">
        <w:rPr>
          <w:rFonts w:ascii="Times New Roman" w:eastAsia="SimSun" w:hAnsi="Times New Roman"/>
        </w:rPr>
        <w:t xml:space="preserve"> Comparison of pressure measurements (solid line and black dots) and prediction (dashed line) for Auger field, Garden Banks, Gulf of Mexico, and the Baumgartner Quarry modeled pressure</w:t>
      </w:r>
      <w:proofErr w:type="gramStart"/>
      <w:r w:rsidRPr="006020B7">
        <w:rPr>
          <w:rFonts w:ascii="Times New Roman" w:eastAsia="SimSun" w:hAnsi="Times New Roman"/>
        </w:rPr>
        <w:t>..</w:t>
      </w:r>
      <w:proofErr w:type="gramEnd"/>
      <w:r w:rsidRPr="006020B7">
        <w:rPr>
          <w:rFonts w:ascii="Times New Roman" w:eastAsia="SimSun" w:hAnsi="Times New Roman"/>
        </w:rPr>
        <w:t xml:space="preserve"> …………………………………………35</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w:t>
      </w:r>
      <w:proofErr w:type="gramEnd"/>
      <w:r w:rsidRPr="006020B7">
        <w:rPr>
          <w:rFonts w:ascii="Times New Roman" w:eastAsia="SimSun" w:hAnsi="Times New Roman"/>
        </w:rPr>
        <w:t xml:space="preserve"> Map view of the reservoir model, including the major reservoir elements and their composite subelements. The confined channel consists of channel axis and shale as background; the semiconfined channel is composed of channel axis and channel margin; the unconfined channel consists of channel axis, channel margin that is much wider; lobe or fan deposits are presented by large fan-shaped sheet sandstones</w:t>
      </w:r>
      <w:proofErr w:type="gramStart"/>
      <w:r w:rsidRPr="006020B7">
        <w:rPr>
          <w:rFonts w:ascii="Times New Roman" w:eastAsia="SimSun" w:hAnsi="Times New Roman"/>
        </w:rPr>
        <w:t>..</w:t>
      </w:r>
      <w:proofErr w:type="gramEnd"/>
      <w:r w:rsidRPr="006020B7">
        <w:rPr>
          <w:rFonts w:ascii="Times New Roman" w:eastAsia="SimSun" w:hAnsi="Times New Roman"/>
        </w:rPr>
        <w:t>…72</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lastRenderedPageBreak/>
        <w:t>Figure 2.2.</w:t>
      </w:r>
      <w:proofErr w:type="gramEnd"/>
      <w:r w:rsidRPr="006020B7">
        <w:rPr>
          <w:rFonts w:ascii="Times New Roman" w:eastAsia="SimSun" w:hAnsi="Times New Roman"/>
        </w:rPr>
        <w:t xml:space="preserve"> </w:t>
      </w:r>
      <w:proofErr w:type="gramStart"/>
      <w:r w:rsidRPr="006020B7">
        <w:rPr>
          <w:rFonts w:ascii="Times New Roman" w:eastAsia="SimSun" w:hAnsi="Times New Roman"/>
        </w:rPr>
        <w:t>Regional stratigraphic column and tectonic events of the studied area in western Arkansas.</w:t>
      </w:r>
      <w:proofErr w:type="gramEnd"/>
      <w:r w:rsidRPr="006020B7">
        <w:rPr>
          <w:rFonts w:ascii="Times New Roman" w:eastAsia="SimSun" w:hAnsi="Times New Roman"/>
        </w:rPr>
        <w:t xml:space="preserve"> Global sea-level curve is from Haqand Shutter, 2008. The Jackfork Group was deposited during the stage of Ouachita Basin subsidence………………75</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2.3.</w:t>
      </w:r>
      <w:proofErr w:type="gramEnd"/>
      <w:r w:rsidRPr="006020B7">
        <w:rPr>
          <w:rFonts w:ascii="Times New Roman" w:eastAsia="SimSun" w:hAnsi="Times New Roman"/>
        </w:rPr>
        <w:t xml:space="preserve"> </w:t>
      </w:r>
      <w:proofErr w:type="gramStart"/>
      <w:r w:rsidRPr="006020B7">
        <w:rPr>
          <w:rFonts w:ascii="Times New Roman" w:eastAsia="SimSun" w:hAnsi="Times New Roman"/>
        </w:rPr>
        <w:t>An overview of complete Kirby sections, including Baumgartner Quarry.</w:t>
      </w:r>
      <w:proofErr w:type="gramEnd"/>
      <w:r w:rsidRPr="006020B7">
        <w:rPr>
          <w:rFonts w:ascii="Times New Roman" w:eastAsia="SimSun" w:hAnsi="Times New Roman"/>
        </w:rPr>
        <w:t xml:space="preserve"> All the strata are steeply dipping towards the south. Lower, Middle and Upper Jackfork Group boundaries were provided by Charlie G. Stone, Arkansas Geological Commission (retired)</w:t>
      </w:r>
      <w:proofErr w:type="gramStart"/>
      <w:r w:rsidRPr="006020B7">
        <w:rPr>
          <w:rFonts w:ascii="Times New Roman" w:eastAsia="SimSun" w:hAnsi="Times New Roman"/>
        </w:rPr>
        <w:t>..</w:t>
      </w:r>
      <w:proofErr w:type="gramEnd"/>
      <w:r w:rsidRPr="006020B7">
        <w:rPr>
          <w:rFonts w:ascii="Times New Roman" w:eastAsia="SimSun" w:hAnsi="Times New Roman"/>
        </w:rPr>
        <w:t xml:space="preserve"> ………………………………………………………………76</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2.4.</w:t>
      </w:r>
      <w:proofErr w:type="gramEnd"/>
      <w:r w:rsidRPr="006020B7">
        <w:rPr>
          <w:rFonts w:ascii="Times New Roman" w:eastAsia="SimSun" w:hAnsi="Times New Roman"/>
        </w:rPr>
        <w:t xml:space="preserve"> Outcrop photo, general description and outcrop gamma ray of the Kirby Roadcut </w:t>
      </w:r>
      <w:proofErr w:type="gramStart"/>
      <w:r w:rsidRPr="006020B7">
        <w:rPr>
          <w:rFonts w:ascii="Times New Roman" w:eastAsia="SimSun" w:hAnsi="Times New Roman"/>
        </w:rPr>
        <w:t>1.…………………………… ……………………………….……………78</w:t>
      </w:r>
      <w:proofErr w:type="gramEnd"/>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2.5.</w:t>
      </w:r>
      <w:proofErr w:type="gramEnd"/>
      <w:r w:rsidRPr="006020B7">
        <w:rPr>
          <w:rFonts w:ascii="Times New Roman" w:eastAsia="SimSun" w:hAnsi="Times New Roman"/>
        </w:rPr>
        <w:t xml:space="preserve"> Outcrop photo, general description and outcrop gamma ray of the Kirby Roadcut 2. …………………………………………………………………………79</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2.6.</w:t>
      </w:r>
      <w:proofErr w:type="gramEnd"/>
      <w:r w:rsidRPr="006020B7">
        <w:rPr>
          <w:rFonts w:ascii="Times New Roman" w:eastAsia="SimSun" w:hAnsi="Times New Roman"/>
        </w:rPr>
        <w:t xml:space="preserve"> Outcrop photo, general description and outcrop gamma ray of the Kirby Roadcut 3 and 4. ……………………………………………………………………80</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2.7.</w:t>
      </w:r>
      <w:proofErr w:type="gramEnd"/>
      <w:r w:rsidRPr="006020B7">
        <w:rPr>
          <w:rFonts w:ascii="Times New Roman" w:eastAsia="SimSun" w:hAnsi="Times New Roman"/>
        </w:rPr>
        <w:t xml:space="preserve"> Measured sections and interpretation (depositional model, environments, and relative sea-level</w:t>
      </w:r>
      <w:proofErr w:type="gramStart"/>
      <w:r w:rsidRPr="006020B7">
        <w:rPr>
          <w:rFonts w:ascii="Times New Roman" w:eastAsia="SimSun" w:hAnsi="Times New Roman"/>
        </w:rPr>
        <w:t>)of</w:t>
      </w:r>
      <w:proofErr w:type="gramEnd"/>
      <w:r w:rsidRPr="006020B7">
        <w:rPr>
          <w:rFonts w:ascii="Times New Roman" w:eastAsia="SimSun" w:hAnsi="Times New Roman"/>
        </w:rPr>
        <w:t xml:space="preserve"> the Lower Jackfork Group in the Kirby sections. See Figure 3.3 for locations. Locations of shale samples are marked as arrows. ……………………81</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2.8.</w:t>
      </w:r>
      <w:proofErr w:type="gramEnd"/>
      <w:r w:rsidRPr="006020B7">
        <w:rPr>
          <w:rFonts w:ascii="Times New Roman" w:eastAsia="SimSun" w:hAnsi="Times New Roman"/>
        </w:rPr>
        <w:t xml:space="preserve"> Outcrop photo, general description and outcrop gamma ray of the Kirby Roadcut 3 and 4……………………………………………………………………..83</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2.9.</w:t>
      </w:r>
      <w:proofErr w:type="gramEnd"/>
      <w:r w:rsidRPr="006020B7">
        <w:rPr>
          <w:rFonts w:ascii="Times New Roman" w:eastAsia="SimSun" w:hAnsi="Times New Roman"/>
        </w:rPr>
        <w:t xml:space="preserve"> Satellite image (Google Earth) showing the relationship between the Baumgartner Quarry and the Kirby Roadcuts, for locations see Figure 2.…………84</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2.10.</w:t>
      </w:r>
      <w:proofErr w:type="gramEnd"/>
      <w:r w:rsidRPr="006020B7">
        <w:rPr>
          <w:rFonts w:ascii="Times New Roman" w:eastAsia="SimSun" w:hAnsi="Times New Roman"/>
        </w:rPr>
        <w:t xml:space="preserve"> Outcrop photo of the BQ_Section_2 on the hill of Baumgartner Quarry and Kirby Roadcut 7, the sandstones in these two sections are mostly with scoured surfaces. ………………………………………………………………………………………85</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lastRenderedPageBreak/>
        <w:t>Figure 2.11.</w:t>
      </w:r>
      <w:proofErr w:type="gramEnd"/>
      <w:r w:rsidRPr="006020B7">
        <w:rPr>
          <w:rFonts w:ascii="Times New Roman" w:eastAsia="SimSun" w:hAnsi="Times New Roman"/>
        </w:rPr>
        <w:t xml:space="preserve"> </w:t>
      </w:r>
      <w:proofErr w:type="gramStart"/>
      <w:r w:rsidRPr="006020B7">
        <w:rPr>
          <w:rFonts w:ascii="Times New Roman" w:eastAsia="SimSun" w:hAnsi="Times New Roman"/>
        </w:rPr>
        <w:t>Measured sections and interpretation (depositional model, environments, and relative sea-level) of the Middle Jackfork Group in the Kirby sections.</w:t>
      </w:r>
      <w:proofErr w:type="gramEnd"/>
      <w:r w:rsidRPr="006020B7">
        <w:rPr>
          <w:rFonts w:ascii="Times New Roman" w:eastAsia="SimSun" w:hAnsi="Times New Roman"/>
        </w:rPr>
        <w:t xml:space="preserve"> See Figure 2.3 for locations. Locations of shale samples are marked as arrows</w:t>
      </w:r>
      <w:proofErr w:type="gramStart"/>
      <w:r w:rsidRPr="006020B7">
        <w:rPr>
          <w:rFonts w:ascii="Times New Roman" w:eastAsia="SimSun" w:hAnsi="Times New Roman"/>
        </w:rPr>
        <w:t>..</w:t>
      </w:r>
      <w:proofErr w:type="gramEnd"/>
      <w:r w:rsidRPr="006020B7">
        <w:rPr>
          <w:rFonts w:ascii="Times New Roman" w:eastAsia="SimSun" w:hAnsi="Times New Roman"/>
        </w:rPr>
        <w:t xml:space="preserve"> ………..………86</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2.12.</w:t>
      </w:r>
      <w:proofErr w:type="gramEnd"/>
      <w:r w:rsidRPr="006020B7">
        <w:rPr>
          <w:rFonts w:ascii="Times New Roman" w:eastAsia="SimSun" w:hAnsi="Times New Roman"/>
        </w:rPr>
        <w:t xml:space="preserve"> Outcrop photo of the Kirby Roadcut 8... ………………………..………88</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2.13.</w:t>
      </w:r>
      <w:proofErr w:type="gramEnd"/>
      <w:r w:rsidRPr="006020B7">
        <w:rPr>
          <w:rFonts w:ascii="Times New Roman" w:eastAsia="SimSun" w:hAnsi="Times New Roman"/>
        </w:rPr>
        <w:t xml:space="preserve"> Outcrop photo, general description and outcrop gamma ray of the Kirby Roadcut 9</w:t>
      </w:r>
      <w:proofErr w:type="gramStart"/>
      <w:r w:rsidRPr="006020B7">
        <w:rPr>
          <w:rFonts w:ascii="Times New Roman" w:eastAsia="SimSun" w:hAnsi="Times New Roman"/>
        </w:rPr>
        <w:t>..</w:t>
      </w:r>
      <w:proofErr w:type="gramEnd"/>
      <w:r w:rsidRPr="006020B7">
        <w:rPr>
          <w:rFonts w:ascii="Times New Roman" w:eastAsia="SimSun" w:hAnsi="Times New Roman"/>
        </w:rPr>
        <w:t xml:space="preserve"> …………………………………………………………….………………89</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2.14.</w:t>
      </w:r>
      <w:proofErr w:type="gramEnd"/>
      <w:r w:rsidRPr="006020B7">
        <w:rPr>
          <w:rFonts w:ascii="Times New Roman" w:eastAsia="SimSun" w:hAnsi="Times New Roman"/>
        </w:rPr>
        <w:t xml:space="preserve"> </w:t>
      </w:r>
      <w:proofErr w:type="gramStart"/>
      <w:r w:rsidRPr="006020B7">
        <w:rPr>
          <w:rFonts w:ascii="Times New Roman" w:eastAsia="SimSun" w:hAnsi="Times New Roman"/>
        </w:rPr>
        <w:t>Measured sections and interpretation (depositional model, environments, and relative sea-level) of the Upper Jackfork Group in the Kirby sections.</w:t>
      </w:r>
      <w:proofErr w:type="gramEnd"/>
      <w:r w:rsidRPr="006020B7">
        <w:rPr>
          <w:rFonts w:ascii="Times New Roman" w:eastAsia="SimSun" w:hAnsi="Times New Roman"/>
        </w:rPr>
        <w:t xml:space="preserve"> See Figure 2.3 for locations. Locations of shale samples are marked as arrows.............................90 </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2.15.</w:t>
      </w:r>
      <w:proofErr w:type="gramEnd"/>
      <w:r w:rsidRPr="006020B7">
        <w:rPr>
          <w:rFonts w:ascii="Times New Roman" w:eastAsia="SimSun" w:hAnsi="Times New Roman"/>
        </w:rPr>
        <w:t xml:space="preserve"> Outcrop photo of the Johns Valley Shale..................................................92 </w:t>
      </w:r>
    </w:p>
    <w:p w:rsidR="008967D4" w:rsidRPr="006020B7" w:rsidRDefault="008967D4" w:rsidP="008967D4">
      <w:pPr>
        <w:rPr>
          <w:rFonts w:ascii="Times New Roman" w:eastAsia="SimSun" w:hAnsi="Times New Roman"/>
        </w:rPr>
      </w:pPr>
      <w:r w:rsidRPr="006020B7">
        <w:rPr>
          <w:rFonts w:ascii="Times New Roman" w:eastAsia="SimSun" w:hAnsi="Times New Roman"/>
        </w:rPr>
        <w:t>Figure 2.16.Measured sections and interpretation (depositional model, environments, and relative sea-level) of the Johns Valley Shale in the Kirby sections. See Figure 2.3 for locations. Locations of shale samples are marked as arrows</w:t>
      </w:r>
      <w:proofErr w:type="gramStart"/>
      <w:r w:rsidRPr="006020B7">
        <w:rPr>
          <w:rFonts w:ascii="Times New Roman" w:eastAsia="SimSun" w:hAnsi="Times New Roman"/>
        </w:rPr>
        <w:t>... ……………..…....93</w:t>
      </w:r>
      <w:proofErr w:type="gramEnd"/>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2.17.</w:t>
      </w:r>
      <w:proofErr w:type="gramEnd"/>
      <w:r w:rsidRPr="006020B7">
        <w:rPr>
          <w:rFonts w:ascii="Times New Roman" w:eastAsia="SimSun" w:hAnsi="Times New Roman"/>
        </w:rPr>
        <w:t xml:space="preserve"> </w:t>
      </w:r>
      <w:proofErr w:type="gramStart"/>
      <w:r w:rsidRPr="006020B7">
        <w:rPr>
          <w:rFonts w:ascii="Times New Roman" w:eastAsia="SimSun" w:hAnsi="Times New Roman"/>
        </w:rPr>
        <w:t>Paleogeography map of the Jackfork Group with key outcrop correlations, (Modified from Morris, 1971 and Pauli, 1994).</w:t>
      </w:r>
      <w:proofErr w:type="gramEnd"/>
      <w:r w:rsidRPr="006020B7">
        <w:rPr>
          <w:rFonts w:ascii="Times New Roman" w:eastAsia="SimSun" w:hAnsi="Times New Roman"/>
        </w:rPr>
        <w:t xml:space="preserve"> …………………………………….94</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2.18-A.</w:t>
      </w:r>
      <w:proofErr w:type="gramEnd"/>
      <w:r w:rsidRPr="006020B7">
        <w:rPr>
          <w:rFonts w:ascii="Times New Roman" w:eastAsia="SimSun" w:hAnsi="Times New Roman"/>
        </w:rPr>
        <w:t xml:space="preserve"> An overview of Jackfork Group outcrops in the DeGray Lake area…………………………………………………………………….……………..95</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Figure 2.18-B. The measured sections in the DeGray Lake area, including Highway 7, DeGray Lake Spillway, Intake, Power Dam sections and Friendship </w:t>
      </w:r>
      <w:proofErr w:type="gramStart"/>
      <w:r w:rsidRPr="006020B7">
        <w:rPr>
          <w:rFonts w:ascii="Times New Roman" w:eastAsia="SimSun" w:hAnsi="Times New Roman"/>
        </w:rPr>
        <w:t>roadcut(</w:t>
      </w:r>
      <w:proofErr w:type="gramEnd"/>
      <w:r w:rsidRPr="006020B7">
        <w:rPr>
          <w:rFonts w:ascii="Times New Roman" w:eastAsia="SimSun" w:hAnsi="Times New Roman"/>
        </w:rPr>
        <w:t xml:space="preserve">from Slatt et al., 2000a). Locations of shale samples are marked as arrows….…………………96 </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2.19.</w:t>
      </w:r>
      <w:proofErr w:type="gramEnd"/>
      <w:r w:rsidRPr="006020B7">
        <w:rPr>
          <w:rFonts w:ascii="Times New Roman" w:eastAsia="SimSun" w:hAnsi="Times New Roman"/>
        </w:rPr>
        <w:t xml:space="preserve"> An overview of Jackfork Group outcrops in the Dierks Spillway area, including west and east walls. Most of the sandstone packages are flat-based, indicating a middle-distal basin-floor fan environment (lower right photo)... …………………97</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lastRenderedPageBreak/>
        <w:t>Figure 2.20.</w:t>
      </w:r>
      <w:proofErr w:type="gramEnd"/>
      <w:r w:rsidRPr="006020B7">
        <w:rPr>
          <w:rFonts w:ascii="Times New Roman" w:eastAsia="SimSun" w:hAnsi="Times New Roman"/>
        </w:rPr>
        <w:t xml:space="preserve"> Preliminary test results of HHXRF on Roadcut 1, Kirby Section, including trace elements of Ni, Mo, Zr and Ti shown in ppm (parts per million)... ..…………99</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 </w:t>
      </w:r>
      <w:proofErr w:type="gramStart"/>
      <w:r w:rsidRPr="006020B7">
        <w:rPr>
          <w:rFonts w:ascii="Times New Roman" w:eastAsia="SimSun" w:hAnsi="Times New Roman"/>
        </w:rPr>
        <w:t>Figure 2.21.</w:t>
      </w:r>
      <w:proofErr w:type="gramEnd"/>
      <w:r w:rsidRPr="006020B7">
        <w:rPr>
          <w:rFonts w:ascii="Times New Roman" w:eastAsia="SimSun" w:hAnsi="Times New Roman"/>
        </w:rPr>
        <w:t xml:space="preserve"> Preliminary test results of HHXRF on Roadcut 2, Kirby Section, including trace elements of Ni, Mo, Zr and Ti shown in ppm (parts per million).... ..………100</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2.22.</w:t>
      </w:r>
      <w:proofErr w:type="gramEnd"/>
      <w:r w:rsidRPr="006020B7">
        <w:rPr>
          <w:rFonts w:ascii="Times New Roman" w:eastAsia="SimSun" w:hAnsi="Times New Roman"/>
        </w:rPr>
        <w:t xml:space="preserve"> Preliminary test results of HHXRF on Roadcut 9, Kirby Section, including trace elements of Ni, Mo, Zr and Ti shown in ppm (parts per million)........................101 </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2.23.</w:t>
      </w:r>
      <w:proofErr w:type="gramEnd"/>
      <w:r w:rsidRPr="006020B7">
        <w:rPr>
          <w:rFonts w:ascii="Times New Roman" w:eastAsia="SimSun" w:hAnsi="Times New Roman"/>
        </w:rPr>
        <w:t xml:space="preserve"> Preliminary test results of HHXRF on Highway 7, DeGray Lake Area Section, including trace elements of Ni, Mo, Zr and Ti shown in ppm... …………102</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2.24.</w:t>
      </w:r>
      <w:proofErr w:type="gramEnd"/>
      <w:r w:rsidRPr="006020B7">
        <w:rPr>
          <w:rFonts w:ascii="Times New Roman" w:eastAsia="SimSun" w:hAnsi="Times New Roman"/>
        </w:rPr>
        <w:t xml:space="preserve"> Preliminary test results of HHXRF DeGray </w:t>
      </w:r>
      <w:proofErr w:type="gramStart"/>
      <w:r w:rsidRPr="006020B7">
        <w:rPr>
          <w:rFonts w:ascii="Times New Roman" w:eastAsia="SimSun" w:hAnsi="Times New Roman"/>
        </w:rPr>
        <w:t>Lake  Spillway</w:t>
      </w:r>
      <w:proofErr w:type="gramEnd"/>
      <w:r w:rsidRPr="006020B7">
        <w:rPr>
          <w:rFonts w:ascii="Times New Roman" w:eastAsia="SimSun" w:hAnsi="Times New Roman"/>
        </w:rPr>
        <w:t xml:space="preserve"> Section, including trace elements of Ni, Mo, Zr and Ti shown in ppm .. …………………103</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 </w:t>
      </w:r>
      <w:proofErr w:type="gramStart"/>
      <w:r w:rsidRPr="006020B7">
        <w:rPr>
          <w:rFonts w:ascii="Times New Roman" w:eastAsia="SimSun" w:hAnsi="Times New Roman"/>
        </w:rPr>
        <w:t>Figure 2.25.</w:t>
      </w:r>
      <w:proofErr w:type="gramEnd"/>
      <w:r w:rsidRPr="006020B7">
        <w:rPr>
          <w:rFonts w:ascii="Times New Roman" w:eastAsia="SimSun" w:hAnsi="Times New Roman"/>
        </w:rPr>
        <w:t xml:space="preserve"> Preliminary test results of HHXRF Dierks Lake  Spillway East Wall Section, including trace elements of Ni, Mo, Zr and Ti shown in ppm (parts per million).).. …………………………………………………………………………104</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2.26.</w:t>
      </w:r>
      <w:proofErr w:type="gramEnd"/>
      <w:r w:rsidRPr="006020B7">
        <w:rPr>
          <w:rFonts w:ascii="Times New Roman" w:eastAsia="SimSun" w:hAnsi="Times New Roman"/>
        </w:rPr>
        <w:t xml:space="preserve"> Plot of chemostrat data in the Lower, Middle and Upper Jackfork and Johns Valley Shale in the Kirby, DeGray and Dierks Sections with ICP-MS data...</w:t>
      </w:r>
      <w:r w:rsidRPr="006020B7">
        <w:rPr>
          <w:rFonts w:ascii="Times New Roman" w:eastAsia="SimSun" w:hAnsi="Times New Roman"/>
        </w:rPr>
        <w:tab/>
        <w:t>105</w:t>
      </w:r>
    </w:p>
    <w:p w:rsidR="008967D4" w:rsidRPr="006020B7" w:rsidRDefault="008967D4" w:rsidP="008967D4">
      <w:pPr>
        <w:rPr>
          <w:rFonts w:ascii="Times New Roman" w:eastAsia="SimSun" w:hAnsi="Times New Roman"/>
        </w:rPr>
      </w:pPr>
      <w:r w:rsidRPr="006020B7">
        <w:rPr>
          <w:rFonts w:ascii="Times New Roman" w:eastAsia="SimSun" w:hAnsi="Times New Roman"/>
        </w:rPr>
        <w:t>Figure 2.27.Key trace element ratios that show a distinct data cloud for the Middle Jackfork Group using ICP-MS data... …………………………………………..106</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 Figure 2.28.Trace Elements plot of the Stanley Shale (Totten et al.</w:t>
      </w:r>
      <w:proofErr w:type="gramStart"/>
      <w:r w:rsidRPr="006020B7">
        <w:rPr>
          <w:rFonts w:ascii="Times New Roman" w:eastAsia="SimSun" w:hAnsi="Times New Roman"/>
        </w:rPr>
        <w:t>,2000</w:t>
      </w:r>
      <w:proofErr w:type="gramEnd"/>
      <w:r w:rsidRPr="006020B7">
        <w:rPr>
          <w:rFonts w:ascii="Times New Roman" w:eastAsia="SimSun" w:hAnsi="Times New Roman"/>
        </w:rPr>
        <w:t>), Lower, Middle and Upper Jackfork Group, Johns Valley Shale (from this study) and averaged passive margin and active margins (Floyd, 1991).... ………………………………107</w:t>
      </w:r>
    </w:p>
    <w:p w:rsidR="008967D4" w:rsidRPr="006020B7" w:rsidRDefault="008967D4" w:rsidP="008967D4">
      <w:pPr>
        <w:rPr>
          <w:rFonts w:ascii="Times New Roman" w:eastAsia="SimSun" w:hAnsi="Times New Roman"/>
        </w:rPr>
      </w:pPr>
      <w:r w:rsidRPr="006020B7">
        <w:rPr>
          <w:rFonts w:ascii="Times New Roman" w:eastAsia="SimSun" w:hAnsi="Times New Roman"/>
        </w:rPr>
        <w:t>Figure 2.29.Chemostrata correlation between the Kirby and DeGray sections associated with Haq's (Haq and Shutter, 2008) global sea level curve.... ……………………109</w:t>
      </w:r>
    </w:p>
    <w:p w:rsidR="008967D4" w:rsidRPr="006020B7" w:rsidRDefault="008967D4" w:rsidP="008967D4">
      <w:pPr>
        <w:rPr>
          <w:rFonts w:ascii="Times New Roman" w:eastAsia="SimSun" w:hAnsi="Times New Roman"/>
        </w:rPr>
      </w:pPr>
      <w:r w:rsidRPr="006020B7">
        <w:rPr>
          <w:rFonts w:ascii="Times New Roman" w:eastAsia="SimSun" w:hAnsi="Times New Roman"/>
        </w:rPr>
        <w:lastRenderedPageBreak/>
        <w:t>Figure 2.30.Locations of sequence stratigraphic framework of the Jackfork Group, integrating all available data.... …………………………………………………110</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Figure 2.31.Sequence stratigraphic framework of the Jackfork Group, integrating all available </w:t>
      </w:r>
      <w:proofErr w:type="gramStart"/>
      <w:r w:rsidRPr="006020B7">
        <w:rPr>
          <w:rFonts w:ascii="Times New Roman" w:eastAsia="SimSun" w:hAnsi="Times New Roman"/>
        </w:rPr>
        <w:t>data ....</w:t>
      </w:r>
      <w:proofErr w:type="gramEnd"/>
      <w:r w:rsidRPr="006020B7">
        <w:rPr>
          <w:rFonts w:ascii="Times New Roman" w:eastAsia="SimSun" w:hAnsi="Times New Roman"/>
        </w:rPr>
        <w:t xml:space="preserve"> …………………………………………………………………111</w:t>
      </w:r>
    </w:p>
    <w:p w:rsidR="008967D4" w:rsidRPr="006020B7" w:rsidRDefault="008967D4" w:rsidP="008967D4">
      <w:pPr>
        <w:rPr>
          <w:rFonts w:ascii="Times New Roman" w:eastAsia="SimSun" w:hAnsi="Times New Roman"/>
        </w:rPr>
      </w:pPr>
      <w:r w:rsidRPr="006020B7">
        <w:rPr>
          <w:rFonts w:ascii="Times New Roman" w:eastAsia="SimSun" w:hAnsi="Times New Roman"/>
        </w:rPr>
        <w:t>Figure 2.32.Evolution of Ouachita Basin from Jackfork Group to Johns Valley Shale integrating all available data... …………………………………………………112</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w:t>
      </w:r>
      <w:proofErr w:type="gramEnd"/>
      <w:r w:rsidRPr="006020B7">
        <w:rPr>
          <w:rFonts w:ascii="Times New Roman" w:eastAsia="SimSun" w:hAnsi="Times New Roman"/>
        </w:rPr>
        <w:t xml:space="preserve"> Stratigraphic column of dGOM and key discoveries and fields (Halliburton Corp., 2010) (Ma = Million Years). …………………………………………….145</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3.2.</w:t>
      </w:r>
      <w:proofErr w:type="gramEnd"/>
      <w:r w:rsidRPr="006020B7">
        <w:rPr>
          <w:rFonts w:ascii="Times New Roman" w:eastAsia="SimSun" w:hAnsi="Times New Roman"/>
        </w:rPr>
        <w:t xml:space="preserve"> Major play trends and some key wells and discoveries in the deepwater Gulf of Mexico (Stars are important oil and gas discoveries or fields in each trend).bin number for anisotropy analysis....................................................................................146 </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3.3.</w:t>
      </w:r>
      <w:proofErr w:type="gramEnd"/>
      <w:r w:rsidRPr="006020B7">
        <w:rPr>
          <w:rFonts w:ascii="Times New Roman" w:eastAsia="SimSun" w:hAnsi="Times New Roman"/>
        </w:rPr>
        <w:t xml:space="preserve"> Turbidite facies in the dGOM (DeVay et al.</w:t>
      </w:r>
      <w:proofErr w:type="gramStart"/>
      <w:r w:rsidRPr="006020B7">
        <w:rPr>
          <w:rFonts w:ascii="Times New Roman" w:eastAsia="SimSun" w:hAnsi="Times New Roman"/>
        </w:rPr>
        <w:t>,2000</w:t>
      </w:r>
      <w:proofErr w:type="gramEnd"/>
      <w:r w:rsidRPr="006020B7">
        <w:rPr>
          <w:rFonts w:ascii="Times New Roman" w:eastAsia="SimSun" w:hAnsi="Times New Roman"/>
        </w:rPr>
        <w:t>), showing major deepwater architectural elements from updip slope down to basin floor fans……….147</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3.4.</w:t>
      </w:r>
      <w:proofErr w:type="gramEnd"/>
      <w:r w:rsidRPr="006020B7">
        <w:rPr>
          <w:rFonts w:ascii="Times New Roman" w:eastAsia="SimSun" w:hAnsi="Times New Roman"/>
        </w:rPr>
        <w:t xml:space="preserve"> Upper: west-east seismic cross section perpendicular to the direction of deposition in Mississippi Canyon, dGOM. Lower: interpreted cross section showing depositional elements and key surfaces (Sawyer, 2006). (v.e. = vertical exaggeration). …………………………………………………………………………………….148</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3.5.</w:t>
      </w:r>
      <w:proofErr w:type="gramEnd"/>
      <w:r w:rsidRPr="006020B7">
        <w:rPr>
          <w:rFonts w:ascii="Times New Roman" w:eastAsia="SimSun" w:hAnsi="Times New Roman"/>
        </w:rPr>
        <w:t xml:space="preserve"> 5Static vs. dynamic onlaps of turbidite onto the edge of the basin or diaper (Haughton</w:t>
      </w:r>
      <w:proofErr w:type="gramStart"/>
      <w:r w:rsidRPr="006020B7">
        <w:rPr>
          <w:rFonts w:ascii="Times New Roman" w:eastAsia="SimSun" w:hAnsi="Times New Roman"/>
        </w:rPr>
        <w:t>,2000</w:t>
      </w:r>
      <w:proofErr w:type="gramEnd"/>
      <w:r w:rsidRPr="006020B7">
        <w:rPr>
          <w:rFonts w:ascii="Times New Roman" w:eastAsia="SimSun" w:hAnsi="Times New Roman"/>
        </w:rPr>
        <w:t>). …………………………………………………………………149</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3.6.</w:t>
      </w:r>
      <w:proofErr w:type="gramEnd"/>
      <w:r w:rsidRPr="006020B7">
        <w:rPr>
          <w:rFonts w:ascii="Times New Roman" w:eastAsia="SimSun" w:hAnsi="Times New Roman"/>
        </w:rPr>
        <w:t xml:space="preserve"> </w:t>
      </w:r>
      <w:proofErr w:type="gramStart"/>
      <w:r w:rsidRPr="006020B7">
        <w:rPr>
          <w:rFonts w:ascii="Times New Roman" w:eastAsia="SimSun" w:hAnsi="Times New Roman"/>
        </w:rPr>
        <w:t>Panorama of Hollywood Quarry, Jackfork Group in Arkansas, USA.</w:t>
      </w:r>
      <w:proofErr w:type="gramEnd"/>
      <w:r w:rsidRPr="006020B7">
        <w:rPr>
          <w:rFonts w:ascii="Times New Roman" w:eastAsia="SimSun" w:hAnsi="Times New Roman"/>
        </w:rPr>
        <w:t xml:space="preserve"> </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It represents a channel-lobe system in a proximal fan setting which is one of the most common reservoirs in ultra dGOM Outcrop analogs have been widely used for the current ultra dGOM reservoir characterization. Three good examples for Wilcox </w:t>
      </w:r>
      <w:r w:rsidRPr="006020B7">
        <w:rPr>
          <w:rFonts w:ascii="Times New Roman" w:eastAsia="SimSun" w:hAnsi="Times New Roman"/>
        </w:rPr>
        <w:lastRenderedPageBreak/>
        <w:t>reservoir analogs are Jackfork Group in USA, Ross Formation in Ireland, and Karoo Basin in South Africa</w:t>
      </w:r>
      <w:r>
        <w:rPr>
          <w:rFonts w:ascii="Times New Roman" w:eastAsia="SimSun" w:hAnsi="Times New Roman"/>
        </w:rPr>
        <w:t>…………………….</w:t>
      </w:r>
      <w:r w:rsidRPr="006020B7">
        <w:rPr>
          <w:rFonts w:ascii="Times New Roman" w:eastAsia="SimSun" w:hAnsi="Times New Roman"/>
        </w:rPr>
        <w:t>149</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3.7.</w:t>
      </w:r>
      <w:proofErr w:type="gramEnd"/>
      <w:r w:rsidRPr="006020B7">
        <w:rPr>
          <w:rFonts w:ascii="Times New Roman" w:eastAsia="SimSun" w:hAnsi="Times New Roman"/>
        </w:rPr>
        <w:t xml:space="preserve"> Wilcox reservoir in the Baha 2 well within a sequence stratigraphic framework (Meyer et al.</w:t>
      </w:r>
      <w:proofErr w:type="gramStart"/>
      <w:r w:rsidRPr="006020B7">
        <w:rPr>
          <w:rFonts w:ascii="Times New Roman" w:eastAsia="SimSun" w:hAnsi="Times New Roman"/>
        </w:rPr>
        <w:t>,2005</w:t>
      </w:r>
      <w:proofErr w:type="gramEnd"/>
      <w:r w:rsidRPr="006020B7">
        <w:rPr>
          <w:rFonts w:ascii="Times New Roman" w:eastAsia="SimSun" w:hAnsi="Times New Roman"/>
        </w:rPr>
        <w:t>). The vertical scale unit is in feet. The age is in million</w:t>
      </w:r>
      <w:r>
        <w:rPr>
          <w:rFonts w:ascii="Times New Roman" w:eastAsia="SimSun" w:hAnsi="Times New Roman"/>
        </w:rPr>
        <w:t xml:space="preserve"> years. CS= Condensed Section</w:t>
      </w:r>
      <w:proofErr w:type="gramStart"/>
      <w:r>
        <w:rPr>
          <w:rFonts w:ascii="Times New Roman" w:eastAsia="SimSun" w:hAnsi="Times New Roman"/>
        </w:rPr>
        <w:t>..</w:t>
      </w:r>
      <w:proofErr w:type="gramEnd"/>
      <w:r w:rsidRPr="006020B7">
        <w:rPr>
          <w:rFonts w:ascii="Times New Roman" w:eastAsia="SimSun" w:hAnsi="Times New Roman"/>
        </w:rPr>
        <w:t xml:space="preserve"> </w:t>
      </w:r>
      <w:r>
        <w:rPr>
          <w:rFonts w:ascii="Times New Roman" w:eastAsia="SimSun" w:hAnsi="Times New Roman"/>
        </w:rPr>
        <w:t>……………………………………………………………………………………</w:t>
      </w:r>
      <w:r w:rsidRPr="006020B7">
        <w:rPr>
          <w:rFonts w:ascii="Times New Roman" w:eastAsia="SimSun" w:hAnsi="Times New Roman"/>
        </w:rPr>
        <w:t>150</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3.8.</w:t>
      </w:r>
      <w:proofErr w:type="gramEnd"/>
      <w:r w:rsidRPr="006020B7">
        <w:rPr>
          <w:rFonts w:ascii="Times New Roman" w:eastAsia="SimSun" w:hAnsi="Times New Roman"/>
        </w:rPr>
        <w:t xml:space="preserve"> Upper: top primary basin interpretation based upon 80,000 km2 (31,000 mi2) of 3-D depth-processed seismic data, lower: schematic representation of salt-related geometries in the dGOM, GB = Garden Bank, GC = Green Canyon, AT = Atwater Valley, KC = Keathley Canyon, WR = Walker Ridge; (I) interpretation of the top primary basin surface and distinction between primary and secondary basins; (II) classification of the top primary basin surface according to the nature of the surface; (III) schematic salt geometry highlighting primary basin trap types with a turtle structure (T), bucket weld (B), salt feeder (F), salt ridge (R), base-of-salt truncation (S), and salt cored fold (C) (Pilcher et al.,2011). </w:t>
      </w:r>
      <w:r>
        <w:rPr>
          <w:rFonts w:ascii="Times New Roman" w:eastAsia="SimSun" w:hAnsi="Times New Roman"/>
        </w:rPr>
        <w:t>………………………………</w:t>
      </w:r>
      <w:r w:rsidRPr="006020B7">
        <w:rPr>
          <w:rFonts w:ascii="Times New Roman" w:eastAsia="SimSun" w:hAnsi="Times New Roman"/>
        </w:rPr>
        <w:t>.</w:t>
      </w:r>
      <w:r w:rsidRPr="006020B7">
        <w:rPr>
          <w:rFonts w:ascii="Times New Roman" w:eastAsia="SimSun" w:hAnsi="Times New Roman"/>
        </w:rPr>
        <w:tab/>
        <w:t>151</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3.9.</w:t>
      </w:r>
      <w:proofErr w:type="gramEnd"/>
      <w:r w:rsidRPr="006020B7">
        <w:rPr>
          <w:rFonts w:ascii="Times New Roman" w:eastAsia="SimSun" w:hAnsi="Times New Roman"/>
        </w:rPr>
        <w:t xml:space="preserve"> Evolution of salt mini-basins and distribution of deep water strata in the northern Gulf of Mexico (Mount et al.</w:t>
      </w:r>
      <w:proofErr w:type="gramStart"/>
      <w:r w:rsidRPr="006020B7">
        <w:rPr>
          <w:rFonts w:ascii="Times New Roman" w:eastAsia="SimSun" w:hAnsi="Times New Roman"/>
        </w:rPr>
        <w:t>,2007</w:t>
      </w:r>
      <w:proofErr w:type="gramEnd"/>
      <w:r w:rsidRPr="006020B7">
        <w:rPr>
          <w:rFonts w:ascii="Times New Roman" w:eastAsia="SimSun" w:hAnsi="Times New Roman"/>
        </w:rPr>
        <w:t>). The age is from Jurassic (~150 million</w:t>
      </w:r>
      <w:r>
        <w:rPr>
          <w:rFonts w:ascii="Times New Roman" w:eastAsia="SimSun" w:hAnsi="Times New Roman"/>
        </w:rPr>
        <w:t xml:space="preserve"> years ago) to present day</w:t>
      </w:r>
      <w:proofErr w:type="gramStart"/>
      <w:r>
        <w:rPr>
          <w:rFonts w:ascii="Times New Roman" w:eastAsia="SimSun" w:hAnsi="Times New Roman"/>
        </w:rPr>
        <w:t>..</w:t>
      </w:r>
      <w:proofErr w:type="gramEnd"/>
      <w:r w:rsidRPr="006020B7">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52</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3.10.</w:t>
      </w:r>
      <w:proofErr w:type="gramEnd"/>
      <w:r w:rsidRPr="006020B7">
        <w:rPr>
          <w:rFonts w:ascii="Times New Roman" w:eastAsia="SimSun" w:hAnsi="Times New Roman"/>
        </w:rPr>
        <w:t xml:space="preserve"> Schematic diagrams showing published aspects of sutures in (A) cross section and (B) map view (</w:t>
      </w:r>
      <w:r>
        <w:rPr>
          <w:rFonts w:ascii="Times New Roman" w:eastAsia="SimSun" w:hAnsi="Times New Roman"/>
        </w:rPr>
        <w:t>Dooley et al.,2012)..</w:t>
      </w:r>
      <w:r w:rsidRPr="006020B7">
        <w:rPr>
          <w:rFonts w:ascii="Times New Roman" w:eastAsia="SimSun" w:hAnsi="Times New Roman"/>
        </w:rPr>
        <w:t xml:space="preserve"> </w:t>
      </w:r>
      <w:r>
        <w:rPr>
          <w:rFonts w:ascii="Times New Roman" w:eastAsia="SimSun" w:hAnsi="Times New Roman"/>
        </w:rPr>
        <w:t>…………………………………</w:t>
      </w:r>
      <w:r w:rsidRPr="006020B7">
        <w:rPr>
          <w:rFonts w:ascii="Times New Roman" w:eastAsia="SimSun" w:hAnsi="Times New Roman"/>
        </w:rPr>
        <w:t>153</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3.11.</w:t>
      </w:r>
      <w:proofErr w:type="gramEnd"/>
      <w:r w:rsidRPr="006020B7">
        <w:rPr>
          <w:rFonts w:ascii="Times New Roman" w:eastAsia="SimSun" w:hAnsi="Times New Roman"/>
        </w:rPr>
        <w:t xml:space="preserve"> Summary of deepwater GOM reservoir development challenge</w:t>
      </w:r>
      <w:r>
        <w:rPr>
          <w:rFonts w:ascii="Times New Roman" w:eastAsia="SimSun" w:hAnsi="Times New Roman"/>
        </w:rPr>
        <w:t>s (Halliburton Corp., 2010).</w:t>
      </w:r>
      <w:r w:rsidRPr="006020B7">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54</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lastRenderedPageBreak/>
        <w:t>Figure 3.12.</w:t>
      </w:r>
      <w:proofErr w:type="gramEnd"/>
      <w:r w:rsidRPr="006020B7">
        <w:rPr>
          <w:rFonts w:ascii="Times New Roman" w:eastAsia="SimSun" w:hAnsi="Times New Roman"/>
        </w:rPr>
        <w:t xml:space="preserve"> </w:t>
      </w:r>
      <w:proofErr w:type="gramStart"/>
      <w:r w:rsidRPr="006020B7">
        <w:rPr>
          <w:rFonts w:ascii="Times New Roman" w:eastAsia="SimSun" w:hAnsi="Times New Roman"/>
        </w:rPr>
        <w:t>Summary of major discoveries from 2008-2014 in the deepwater Gulf of Mexico (Halliburton Corp., 2010).</w:t>
      </w:r>
      <w:proofErr w:type="gramEnd"/>
      <w:r w:rsidRPr="006020B7">
        <w:rPr>
          <w:rFonts w:ascii="Times New Roman" w:eastAsia="SimSun" w:hAnsi="Times New Roman"/>
        </w:rPr>
        <w:t xml:space="preserve"> N/A = No</w:t>
      </w:r>
      <w:r>
        <w:rPr>
          <w:rFonts w:ascii="Times New Roman" w:eastAsia="SimSun" w:hAnsi="Times New Roman"/>
        </w:rPr>
        <w:t>t Available.</w:t>
      </w:r>
      <w:r w:rsidRPr="006020B7">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55</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3.13.</w:t>
      </w:r>
      <w:proofErr w:type="gramEnd"/>
      <w:r w:rsidRPr="006020B7">
        <w:rPr>
          <w:rFonts w:ascii="Times New Roman" w:eastAsia="SimSun" w:hAnsi="Times New Roman"/>
        </w:rPr>
        <w:t xml:space="preserve"> The structural model and map of the Tahiti field, Green Canyon Block 640, deepwater</w:t>
      </w:r>
      <w:r>
        <w:rPr>
          <w:rFonts w:ascii="Times New Roman" w:eastAsia="SimSun" w:hAnsi="Times New Roman"/>
        </w:rPr>
        <w:t xml:space="preserve"> GOM (Swaston et al.</w:t>
      </w:r>
      <w:proofErr w:type="gramStart"/>
      <w:r>
        <w:rPr>
          <w:rFonts w:ascii="Times New Roman" w:eastAsia="SimSun" w:hAnsi="Times New Roman"/>
        </w:rPr>
        <w:t>,2012</w:t>
      </w:r>
      <w:proofErr w:type="gramEnd"/>
      <w:r>
        <w:rPr>
          <w:rFonts w:ascii="Times New Roman" w:eastAsia="SimSun" w:hAnsi="Times New Roman"/>
        </w:rPr>
        <w:t>)..</w:t>
      </w:r>
      <w:r w:rsidRPr="006020B7">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56</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3.14.</w:t>
      </w:r>
      <w:proofErr w:type="gramEnd"/>
      <w:r w:rsidRPr="006020B7">
        <w:rPr>
          <w:rFonts w:ascii="Times New Roman" w:eastAsia="SimSun" w:hAnsi="Times New Roman"/>
        </w:rPr>
        <w:t xml:space="preserve"> Summary of deepwater GOM reservoir development challenge</w:t>
      </w:r>
      <w:r>
        <w:rPr>
          <w:rFonts w:ascii="Times New Roman" w:eastAsia="SimSun" w:hAnsi="Times New Roman"/>
        </w:rPr>
        <w:t>s (Halliburton Corp., 2010).</w:t>
      </w:r>
      <w:r w:rsidRPr="006020B7">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57</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3.15.</w:t>
      </w:r>
      <w:proofErr w:type="gramEnd"/>
      <w:r w:rsidRPr="006020B7">
        <w:rPr>
          <w:rFonts w:ascii="Times New Roman" w:eastAsia="SimSun" w:hAnsi="Times New Roman"/>
        </w:rPr>
        <w:t xml:space="preserve"> </w:t>
      </w:r>
      <w:proofErr w:type="gramStart"/>
      <w:r w:rsidRPr="006020B7">
        <w:rPr>
          <w:rFonts w:ascii="Times New Roman" w:eastAsia="SimSun" w:hAnsi="Times New Roman"/>
        </w:rPr>
        <w:t>Summary of major discoveries from 2008-2014 in the deepwater Gulf of Mexico (Halliburton Corp.,</w:t>
      </w:r>
      <w:r>
        <w:rPr>
          <w:rFonts w:ascii="Times New Roman" w:eastAsia="SimSun" w:hAnsi="Times New Roman"/>
        </w:rPr>
        <w:t xml:space="preserve"> 2010).</w:t>
      </w:r>
      <w:proofErr w:type="gramEnd"/>
      <w:r>
        <w:rPr>
          <w:rFonts w:ascii="Times New Roman" w:eastAsia="SimSun" w:hAnsi="Times New Roman"/>
        </w:rPr>
        <w:t xml:space="preserve"> N/A = Not Available.</w:t>
      </w:r>
      <w:r w:rsidRPr="006020B7">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58</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3.16.</w:t>
      </w:r>
      <w:proofErr w:type="gramEnd"/>
      <w:r w:rsidRPr="006020B7">
        <w:rPr>
          <w:rFonts w:ascii="Times New Roman" w:eastAsia="SimSun" w:hAnsi="Times New Roman"/>
        </w:rPr>
        <w:t xml:space="preserve"> The structural model and map of the Tahiti field, Green Canyon Block 640, deepwater GOM (Swaston et al</w:t>
      </w:r>
      <w:r>
        <w:rPr>
          <w:rFonts w:ascii="Times New Roman" w:eastAsia="SimSun" w:hAnsi="Times New Roman"/>
        </w:rPr>
        <w:t>.</w:t>
      </w:r>
      <w:proofErr w:type="gramStart"/>
      <w:r>
        <w:rPr>
          <w:rFonts w:ascii="Times New Roman" w:eastAsia="SimSun" w:hAnsi="Times New Roman"/>
        </w:rPr>
        <w:t>,2012</w:t>
      </w:r>
      <w:proofErr w:type="gramEnd"/>
      <w:r>
        <w:rPr>
          <w:rFonts w:ascii="Times New Roman" w:eastAsia="SimSun" w:hAnsi="Times New Roman"/>
        </w:rPr>
        <w:t>)..</w:t>
      </w:r>
      <w:r w:rsidRPr="004A75A3">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59</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3.17.</w:t>
      </w:r>
      <w:proofErr w:type="gramEnd"/>
      <w:r w:rsidRPr="006020B7">
        <w:rPr>
          <w:rFonts w:ascii="Times New Roman" w:eastAsia="SimSun" w:hAnsi="Times New Roman"/>
        </w:rPr>
        <w:t xml:space="preserve"> </w:t>
      </w:r>
      <w:proofErr w:type="gramStart"/>
      <w:r w:rsidRPr="006020B7">
        <w:rPr>
          <w:rFonts w:ascii="Times New Roman" w:eastAsia="SimSun" w:hAnsi="Times New Roman"/>
        </w:rPr>
        <w:t>Lower Tertiary paleogeography and depositional styles in the northern Gulf of Mexico.</w:t>
      </w:r>
      <w:proofErr w:type="gramEnd"/>
      <w:r w:rsidRPr="006020B7">
        <w:rPr>
          <w:rFonts w:ascii="Times New Roman" w:eastAsia="SimSun" w:hAnsi="Times New Roman"/>
        </w:rPr>
        <w:t xml:space="preserve"> Some discoveries are shown by red star</w:t>
      </w:r>
      <w:r>
        <w:rPr>
          <w:rFonts w:ascii="Times New Roman" w:eastAsia="SimSun" w:hAnsi="Times New Roman"/>
        </w:rPr>
        <w:t>s (Berman and Rosenfeld</w:t>
      </w:r>
      <w:proofErr w:type="gramStart"/>
      <w:r>
        <w:rPr>
          <w:rFonts w:ascii="Times New Roman" w:eastAsia="SimSun" w:hAnsi="Times New Roman"/>
        </w:rPr>
        <w:t>,2007</w:t>
      </w:r>
      <w:proofErr w:type="gramEnd"/>
      <w:r>
        <w:rPr>
          <w:rFonts w:ascii="Times New Roman" w:eastAsia="SimSun" w:hAnsi="Times New Roman"/>
        </w:rPr>
        <w:t>) ……………………………………………………………………….……..…….1</w:t>
      </w:r>
      <w:r w:rsidRPr="006020B7">
        <w:rPr>
          <w:rFonts w:ascii="Times New Roman" w:eastAsia="SimSun" w:hAnsi="Times New Roman"/>
        </w:rPr>
        <w:t>60</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3.18.</w:t>
      </w:r>
      <w:proofErr w:type="gramEnd"/>
      <w:r w:rsidRPr="006020B7">
        <w:rPr>
          <w:rFonts w:ascii="Times New Roman" w:eastAsia="SimSun" w:hAnsi="Times New Roman"/>
        </w:rPr>
        <w:t xml:space="preserve"> </w:t>
      </w:r>
      <w:proofErr w:type="gramStart"/>
      <w:r w:rsidRPr="006020B7">
        <w:rPr>
          <w:rFonts w:ascii="Times New Roman" w:eastAsia="SimSun" w:hAnsi="Times New Roman"/>
        </w:rPr>
        <w:t>Wilcox discoveries and deepwater GOM resource potential (Chevron Corp., 2011).</w:t>
      </w:r>
      <w:proofErr w:type="gramEnd"/>
      <w:r w:rsidRPr="006020B7">
        <w:rPr>
          <w:rFonts w:ascii="Times New Roman" w:eastAsia="SimSun" w:hAnsi="Times New Roman"/>
        </w:rPr>
        <w:t xml:space="preserve"> Orange color is the Miocene Trend, Green Color is the Paleogene (Lower Tertiary Wilcox) Trend, Deep purple color is the salt canopy, small red cir</w:t>
      </w:r>
      <w:r>
        <w:rPr>
          <w:rFonts w:ascii="Times New Roman" w:eastAsia="SimSun" w:hAnsi="Times New Roman"/>
        </w:rPr>
        <w:t>cles are key Paleogene fields…………………………………………………………..…….</w:t>
      </w:r>
      <w:r w:rsidRPr="006020B7">
        <w:rPr>
          <w:rFonts w:ascii="Times New Roman" w:eastAsia="SimSun" w:hAnsi="Times New Roman"/>
        </w:rPr>
        <w:t>161</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3.19.</w:t>
      </w:r>
      <w:proofErr w:type="gramEnd"/>
      <w:r w:rsidRPr="006020B7">
        <w:rPr>
          <w:rFonts w:ascii="Times New Roman" w:eastAsia="SimSun" w:hAnsi="Times New Roman"/>
        </w:rPr>
        <w:t xml:space="preserve"> The Norphlet play area in the eastern Mississippi Canyon and Desoto Canyon and the three most important discoveries by Shell</w:t>
      </w:r>
      <w:r>
        <w:rPr>
          <w:rFonts w:ascii="Times New Roman" w:eastAsia="SimSun" w:hAnsi="Times New Roman"/>
        </w:rPr>
        <w:t xml:space="preserve"> (Shell Oil Company, 2014)…</w:t>
      </w:r>
      <w:r w:rsidRPr="008967D4">
        <w:rPr>
          <w:rFonts w:ascii="Times New Roman" w:eastAsia="SimSun" w:hAnsi="Times New Roman"/>
        </w:rPr>
        <w:t xml:space="preserve"> </w:t>
      </w:r>
      <w:r>
        <w:rPr>
          <w:rFonts w:ascii="Times New Roman" w:eastAsia="SimSun" w:hAnsi="Times New Roman"/>
        </w:rPr>
        <w:t>……….………….………….………….………….………….………….……..16</w:t>
      </w:r>
      <w:r w:rsidRPr="006020B7">
        <w:rPr>
          <w:rFonts w:ascii="Times New Roman" w:eastAsia="SimSun" w:hAnsi="Times New Roman"/>
        </w:rPr>
        <w:t>2</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3.20.</w:t>
      </w:r>
      <w:proofErr w:type="gramEnd"/>
      <w:r w:rsidRPr="006020B7">
        <w:rPr>
          <w:rFonts w:ascii="Times New Roman" w:eastAsia="SimSun" w:hAnsi="Times New Roman"/>
        </w:rPr>
        <w:t xml:space="preserve"> Summary of Wilcox pressure challenges (Shaker, 2010). PS =principle stress, FP= fracture pressure, OB = overburden, PP = po</w:t>
      </w:r>
      <w:r>
        <w:rPr>
          <w:rFonts w:ascii="Times New Roman" w:eastAsia="SimSun" w:hAnsi="Times New Roman"/>
        </w:rPr>
        <w:t>re pressure, SB = salt buoyancy…………….………….………….………….………….………….</w:t>
      </w:r>
      <w:r w:rsidRPr="006020B7">
        <w:rPr>
          <w:rFonts w:ascii="Times New Roman" w:eastAsia="SimSun" w:hAnsi="Times New Roman"/>
        </w:rPr>
        <w:t>163</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lastRenderedPageBreak/>
        <w:t>Figure 3.21.</w:t>
      </w:r>
      <w:proofErr w:type="gramEnd"/>
      <w:r w:rsidRPr="006020B7">
        <w:rPr>
          <w:rFonts w:ascii="Times New Roman" w:eastAsia="SimSun" w:hAnsi="Times New Roman"/>
        </w:rPr>
        <w:t xml:space="preserve"> </w:t>
      </w:r>
      <w:proofErr w:type="gramStart"/>
      <w:r w:rsidRPr="006020B7">
        <w:rPr>
          <w:rFonts w:ascii="Times New Roman" w:eastAsia="SimSun" w:hAnsi="Times New Roman"/>
        </w:rPr>
        <w:t>Summary of the Wilcox reservoir development in Perdido fol</w:t>
      </w:r>
      <w:r>
        <w:rPr>
          <w:rFonts w:ascii="Times New Roman" w:eastAsia="SimSun" w:hAnsi="Times New Roman"/>
        </w:rPr>
        <w:t>d belt (Chevron Corp., 2011).</w:t>
      </w:r>
      <w:proofErr w:type="gramEnd"/>
      <w:r w:rsidRPr="004A75A3">
        <w:rPr>
          <w:rFonts w:ascii="Times New Roman" w:eastAsia="SimSun" w:hAnsi="Times New Roman"/>
        </w:rPr>
        <w:t xml:space="preserve"> </w:t>
      </w:r>
      <w:r>
        <w:rPr>
          <w:rFonts w:ascii="Times New Roman" w:eastAsia="SimSun" w:hAnsi="Times New Roman"/>
        </w:rPr>
        <w:t>…………………………………………………………16</w:t>
      </w:r>
      <w:r w:rsidRPr="006020B7">
        <w:rPr>
          <w:rFonts w:ascii="Times New Roman" w:eastAsia="SimSun" w:hAnsi="Times New Roman"/>
        </w:rPr>
        <w:t>4</w:t>
      </w:r>
    </w:p>
    <w:p w:rsidR="008967D4" w:rsidRPr="006020B7" w:rsidRDefault="008967D4" w:rsidP="008967D4">
      <w:pPr>
        <w:rPr>
          <w:rFonts w:ascii="Times New Roman" w:eastAsia="SimSun" w:hAnsi="Times New Roman"/>
        </w:rPr>
      </w:pPr>
      <w:r w:rsidRPr="006020B7">
        <w:rPr>
          <w:rFonts w:ascii="Times New Roman" w:eastAsia="SimSun" w:hAnsi="Times New Roman"/>
        </w:rPr>
        <w:t>Figure 3.22.Major trapped oil mechanisms for Paleogene Wilcox rese</w:t>
      </w:r>
      <w:r>
        <w:rPr>
          <w:rFonts w:ascii="Times New Roman" w:eastAsia="SimSun" w:hAnsi="Times New Roman"/>
        </w:rPr>
        <w:t>rvoirs in dGOM (Lach, 2010).</w:t>
      </w:r>
      <w:r w:rsidRPr="004A75A3">
        <w:rPr>
          <w:rFonts w:ascii="Times New Roman" w:eastAsia="SimSun" w:hAnsi="Times New Roman"/>
        </w:rPr>
        <w:t xml:space="preserve"> </w:t>
      </w:r>
      <w:r>
        <w:rPr>
          <w:rFonts w:ascii="Times New Roman" w:eastAsia="SimSun" w:hAnsi="Times New Roman"/>
        </w:rPr>
        <w:t>……………………………….……………………………………16</w:t>
      </w:r>
      <w:r w:rsidRPr="006020B7">
        <w:rPr>
          <w:rFonts w:ascii="Times New Roman" w:eastAsia="SimSun" w:hAnsi="Times New Roman"/>
        </w:rPr>
        <w:t>5</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3.23.</w:t>
      </w:r>
      <w:proofErr w:type="gramEnd"/>
      <w:r w:rsidRPr="006020B7">
        <w:rPr>
          <w:rFonts w:ascii="Times New Roman" w:eastAsia="SimSun" w:hAnsi="Times New Roman"/>
        </w:rPr>
        <w:t xml:space="preserve">  IOR deliverability forecast for Paleogene fields (Lach, 2010). Total near-term, mid-term and far-term IOR can contribute up to 42.1% of oil recovery by forecast.From a practical standpoint, the IOR process during Wilcox reservoir development should use the technology having a mature technical level and lower costs. Among the methods mentioned above, conventional water flood, subsea multiphase pumping, conventional hydrocarbon gas injection, in well ESP, and directional or horizontal drilling have the highest “technical readiness level”, and they should be applied regularly during the reservoir development phase. In the IOR process ranking, conventional water flooding and subsea multiphase pumping rank the highest. </w:t>
      </w:r>
      <w:proofErr w:type="gramStart"/>
      <w:r w:rsidRPr="006020B7">
        <w:rPr>
          <w:rFonts w:ascii="Times New Roman" w:eastAsia="SimSun" w:hAnsi="Times New Roman"/>
        </w:rPr>
        <w:t>A combination</w:t>
      </w:r>
      <w:proofErr w:type="gramEnd"/>
      <w:r w:rsidRPr="006020B7">
        <w:rPr>
          <w:rFonts w:ascii="Times New Roman" w:eastAsia="SimSun" w:hAnsi="Times New Roman"/>
        </w:rPr>
        <w:t xml:space="preserve"> of these IOR methods will unlock the recovery step by step through near, mid to far term field life cycle. Ideally, the ultimate recovery factor through the life cycle of </w:t>
      </w:r>
      <w:r>
        <w:rPr>
          <w:rFonts w:ascii="Times New Roman" w:eastAsia="SimSun" w:hAnsi="Times New Roman"/>
        </w:rPr>
        <w:t>the field can be up to 42%</w:t>
      </w:r>
      <w:proofErr w:type="gramStart"/>
      <w:r>
        <w:rPr>
          <w:rFonts w:ascii="Times New Roman" w:eastAsia="SimSun" w:hAnsi="Times New Roman"/>
        </w:rPr>
        <w:t>..</w:t>
      </w:r>
      <w:proofErr w:type="gramEnd"/>
      <w:r>
        <w:rPr>
          <w:rFonts w:ascii="Times New Roman" w:eastAsia="SimSun" w:hAnsi="Times New Roman"/>
        </w:rPr>
        <w:t>………………………………………………16</w:t>
      </w:r>
      <w:r w:rsidRPr="006020B7">
        <w:rPr>
          <w:rFonts w:ascii="Times New Roman" w:eastAsia="SimSun" w:hAnsi="Times New Roman"/>
        </w:rPr>
        <w:t>6</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3.24.</w:t>
      </w:r>
      <w:proofErr w:type="gramEnd"/>
      <w:r w:rsidRPr="006020B7">
        <w:rPr>
          <w:rFonts w:ascii="Times New Roman" w:eastAsia="SimSun" w:hAnsi="Times New Roman"/>
        </w:rPr>
        <w:t xml:space="preserve"> Reservoir simulation results from both upper and lower sandstones, upper sandstones only, and lower sandstones only, including cumulative production and production rate from producing well 1 (solid line) and well 2 (dashed line). Note that the (1) production volume and rate in well 1 is 60% more than those in well 2 in all cases; (2) the lower channelized sandstone package shows a larger drop in production rate than does the upper sheet sandstone; and (3) the upper sandstones are more </w:t>
      </w:r>
      <w:r w:rsidRPr="006020B7">
        <w:rPr>
          <w:rFonts w:ascii="Times New Roman" w:eastAsia="SimSun" w:hAnsi="Times New Roman"/>
        </w:rPr>
        <w:lastRenderedPageBreak/>
        <w:t>sustainable during a 10-yr production period, whereas the rate of the lower sandstones is close to zero aft</w:t>
      </w:r>
      <w:r>
        <w:rPr>
          <w:rFonts w:ascii="Times New Roman" w:eastAsia="SimSun" w:hAnsi="Times New Roman"/>
        </w:rPr>
        <w:t>er 10 years (Zou et al.</w:t>
      </w:r>
      <w:proofErr w:type="gramStart"/>
      <w:r>
        <w:rPr>
          <w:rFonts w:ascii="Times New Roman" w:eastAsia="SimSun" w:hAnsi="Times New Roman"/>
        </w:rPr>
        <w:t>,2012</w:t>
      </w:r>
      <w:proofErr w:type="gramEnd"/>
      <w:r>
        <w:rPr>
          <w:rFonts w:ascii="Times New Roman" w:eastAsia="SimSun" w:hAnsi="Times New Roman"/>
        </w:rPr>
        <w:t>)..</w:t>
      </w:r>
      <w:r w:rsidRPr="004A75A3">
        <w:rPr>
          <w:rFonts w:ascii="Times New Roman" w:eastAsia="SimSun" w:hAnsi="Times New Roman"/>
        </w:rPr>
        <w:t xml:space="preserve"> </w:t>
      </w:r>
      <w:r>
        <w:rPr>
          <w:rFonts w:ascii="Times New Roman" w:eastAsia="SimSun" w:hAnsi="Times New Roman"/>
        </w:rPr>
        <w:t>……………………….…………</w:t>
      </w:r>
      <w:r w:rsidRPr="006020B7">
        <w:rPr>
          <w:rFonts w:ascii="Times New Roman" w:eastAsia="SimSun" w:hAnsi="Times New Roman"/>
        </w:rPr>
        <w:t>167</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3.25.</w:t>
      </w:r>
      <w:proofErr w:type="gramEnd"/>
      <w:r w:rsidRPr="006020B7">
        <w:rPr>
          <w:rFonts w:ascii="Times New Roman" w:eastAsia="SimSun" w:hAnsi="Times New Roman"/>
        </w:rPr>
        <w:t xml:space="preserve"> Oil production and predicti</w:t>
      </w:r>
      <w:r>
        <w:rPr>
          <w:rFonts w:ascii="Times New Roman" w:eastAsia="SimSun" w:hAnsi="Times New Roman"/>
        </w:rPr>
        <w:t>on of dGOM (Paganie, 2009)</w:t>
      </w:r>
      <w:proofErr w:type="gramStart"/>
      <w:r>
        <w:rPr>
          <w:rFonts w:ascii="Times New Roman" w:eastAsia="SimSun" w:hAnsi="Times New Roman"/>
        </w:rPr>
        <w:t>..</w:t>
      </w:r>
      <w:proofErr w:type="gramEnd"/>
      <w:r w:rsidRPr="004A75A3">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68</w:t>
      </w:r>
    </w:p>
    <w:p w:rsidR="008967D4" w:rsidRPr="006020B7" w:rsidRDefault="008967D4" w:rsidP="008967D4">
      <w:pPr>
        <w:rPr>
          <w:rFonts w:ascii="Times New Roman" w:eastAsia="SimSun" w:hAnsi="Times New Roman"/>
        </w:rPr>
      </w:pPr>
      <w:r w:rsidRPr="006020B7">
        <w:rPr>
          <w:rFonts w:ascii="Times New Roman" w:eastAsia="SimSun" w:hAnsi="Times New Roman"/>
        </w:rPr>
        <w:t>Figure 3.26.Production from 2010-2020 by companies (Wood Mackenzie, 2014).Bnboe = billion of barrels oil equivalent, BP = British Petroleum, CVX = Chevron Corporation, RDS = Royal Dutch Shell, APC = Anadarko Petroleum Corporation, XOM = ExxonMobil Corporation, STL = Statoil Corporation, PBR = Petrobras Corporation, HES = Hess Corporation, ENI = Eni Corporation, APA = Apache Corporation, ME = Murphy Oil Company, DVN =</w:t>
      </w:r>
      <w:r>
        <w:rPr>
          <w:rFonts w:ascii="Times New Roman" w:eastAsia="SimSun" w:hAnsi="Times New Roman"/>
        </w:rPr>
        <w:t xml:space="preserve"> Devon Corp, BHP = BHP Corp.</w:t>
      </w:r>
      <w:r w:rsidRPr="004A75A3">
        <w:rPr>
          <w:rFonts w:ascii="Times New Roman" w:eastAsia="SimSun" w:hAnsi="Times New Roman"/>
        </w:rPr>
        <w:t xml:space="preserve"> </w:t>
      </w:r>
      <w:r>
        <w:rPr>
          <w:rFonts w:ascii="Times New Roman" w:eastAsia="SimSun" w:hAnsi="Times New Roman"/>
        </w:rPr>
        <w:t>…………………………………………………………………..…………1</w:t>
      </w:r>
      <w:r w:rsidRPr="006020B7">
        <w:rPr>
          <w:rFonts w:ascii="Times New Roman" w:eastAsia="SimSun" w:hAnsi="Times New Roman"/>
        </w:rPr>
        <w:t>69</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3.27.</w:t>
      </w:r>
      <w:proofErr w:type="gramEnd"/>
      <w:r w:rsidRPr="006020B7">
        <w:rPr>
          <w:rFonts w:ascii="Times New Roman" w:eastAsia="SimSun" w:hAnsi="Times New Roman"/>
        </w:rPr>
        <w:t xml:space="preserve"> NPV and breakeven oil prices (left), and NPV/boe and total Capex (right) for deepwater GOM plays (Wood Mackenzie, 2014). BOE = Barrel of Oil Equivalent, NPV = Net P</w:t>
      </w:r>
      <w:r>
        <w:rPr>
          <w:rFonts w:ascii="Times New Roman" w:eastAsia="SimSun" w:hAnsi="Times New Roman"/>
        </w:rPr>
        <w:t>resent Value…………..…………………………………………1</w:t>
      </w:r>
      <w:r w:rsidRPr="006020B7">
        <w:rPr>
          <w:rFonts w:ascii="Times New Roman" w:eastAsia="SimSun" w:hAnsi="Times New Roman"/>
        </w:rPr>
        <w:t>69</w:t>
      </w:r>
    </w:p>
    <w:p w:rsidR="008967D4" w:rsidRDefault="008967D4" w:rsidP="008967D4">
      <w:pPr>
        <w:rPr>
          <w:rFonts w:ascii="Times New Roman" w:eastAsia="SimSun" w:hAnsi="Times New Roman"/>
        </w:rPr>
      </w:pPr>
      <w:r w:rsidRPr="004A75A3">
        <w:rPr>
          <w:rFonts w:ascii="Times New Roman" w:eastAsia="SimSun" w:hAnsi="Times New Roman"/>
        </w:rPr>
        <w:t>Figure 4.1.Gross isochore thickness map from top Woodford Shale to top Hunton Group in the study area (in feet, 100ft = 30m), with three well locations marked as A, B and C</w:t>
      </w:r>
      <w:r>
        <w:rPr>
          <w:rFonts w:ascii="Times New Roman" w:eastAsia="SimSun" w:hAnsi="Times New Roman"/>
        </w:rPr>
        <w:t>……………….………….………….………….………….………….……..207</w:t>
      </w:r>
    </w:p>
    <w:p w:rsidR="008967D4" w:rsidRDefault="008967D4" w:rsidP="008967D4">
      <w:pPr>
        <w:rPr>
          <w:rFonts w:ascii="Times New Roman" w:eastAsia="SimSun" w:hAnsi="Times New Roman"/>
        </w:rPr>
      </w:pPr>
      <w:r w:rsidRPr="004A75A3">
        <w:rPr>
          <w:rFonts w:ascii="Times New Roman" w:eastAsia="SimSun" w:hAnsi="Times New Roman"/>
        </w:rPr>
        <w:t>Figure 4.2.Stratigraphic column of the Woodford Shale based on global sea-level (Johnson et al. (1985), Slatt et al. (2013), and Spaw (2013)), biostratigraphy work is mainly from Conodonts by Dr. Jeffrey Over, Kerogen Type from Corelab</w:t>
      </w:r>
      <w:r>
        <w:rPr>
          <w:rFonts w:ascii="Times New Roman" w:eastAsia="SimSun" w:hAnsi="Times New Roman"/>
        </w:rPr>
        <w:t>……………………………………………….………….………….………208</w:t>
      </w:r>
    </w:p>
    <w:p w:rsidR="008967D4" w:rsidRDefault="008967D4" w:rsidP="008967D4">
      <w:pPr>
        <w:rPr>
          <w:rFonts w:ascii="Times New Roman" w:eastAsia="SimSun" w:hAnsi="Times New Roman"/>
        </w:rPr>
      </w:pPr>
      <w:r w:rsidRPr="004A75A3">
        <w:rPr>
          <w:rFonts w:ascii="Times New Roman" w:eastAsia="SimSun" w:hAnsi="Times New Roman"/>
        </w:rPr>
        <w:t xml:space="preserve">Figure 4.3.Upper Left: Core photo of short Chondrites from Upper Woodford of Core </w:t>
      </w:r>
      <w:proofErr w:type="gramStart"/>
      <w:r w:rsidRPr="004A75A3">
        <w:rPr>
          <w:rFonts w:ascii="Times New Roman" w:eastAsia="SimSun" w:hAnsi="Times New Roman"/>
        </w:rPr>
        <w:t>A</w:t>
      </w:r>
      <w:proofErr w:type="gramEnd"/>
      <w:r w:rsidRPr="004A75A3">
        <w:rPr>
          <w:rFonts w:ascii="Times New Roman" w:eastAsia="SimSun" w:hAnsi="Times New Roman"/>
        </w:rPr>
        <w:t xml:space="preserve"> (43'). Upper Right: The same short Chondrites in the segmentation images of Micro CT-Scan. Middle: Zoom in photos of the pyritized Chondrites. Lower Left: Thin-Section </w:t>
      </w:r>
      <w:r w:rsidRPr="004A75A3">
        <w:rPr>
          <w:rFonts w:ascii="Times New Roman" w:eastAsia="SimSun" w:hAnsi="Times New Roman"/>
        </w:rPr>
        <w:lastRenderedPageBreak/>
        <w:t xml:space="preserve">photo of the long Chondrites from Middle Woodford in Core C, Lower Right: 3-D CT Scan Segmentation images of the same interval. </w:t>
      </w:r>
      <w:proofErr w:type="gramStart"/>
      <w:r w:rsidRPr="004A75A3">
        <w:rPr>
          <w:rFonts w:ascii="Times New Roman" w:eastAsia="SimSun" w:hAnsi="Times New Roman"/>
        </w:rPr>
        <w:t>(Thin-Section and 2-D Core photos by Kimberly Hlava and Joan Spaw.)</w:t>
      </w:r>
      <w:proofErr w:type="gramEnd"/>
      <w:r>
        <w:rPr>
          <w:rFonts w:ascii="Times New Roman" w:eastAsia="SimSun" w:hAnsi="Times New Roman"/>
        </w:rPr>
        <w:t>……… ………………………………………..209</w:t>
      </w:r>
    </w:p>
    <w:p w:rsidR="008967D4" w:rsidRDefault="008967D4" w:rsidP="008967D4">
      <w:pPr>
        <w:rPr>
          <w:rFonts w:ascii="Times New Roman" w:eastAsia="SimSun" w:hAnsi="Times New Roman"/>
        </w:rPr>
      </w:pPr>
      <w:proofErr w:type="gramStart"/>
      <w:r w:rsidRPr="004A75A3">
        <w:rPr>
          <w:rFonts w:ascii="Times New Roman" w:eastAsia="SimSun" w:hAnsi="Times New Roman"/>
        </w:rPr>
        <w:t>Figure 4.4.</w:t>
      </w:r>
      <w:proofErr w:type="gramEnd"/>
      <w:r w:rsidRPr="004A75A3">
        <w:rPr>
          <w:rFonts w:ascii="Times New Roman" w:eastAsia="SimSun" w:hAnsi="Times New Roman"/>
        </w:rPr>
        <w:t xml:space="preserve"> Upper: Thin-section of short Chondrites in argillaceous shales from Middle Woodford of Core B (97'). Lower: Abundant pyritized short Chondrites in Middle Woodford of Core B (118'</w:t>
      </w:r>
      <w:proofErr w:type="gramStart"/>
      <w:r w:rsidRPr="004A75A3">
        <w:rPr>
          <w:rFonts w:ascii="Times New Roman" w:eastAsia="SimSun" w:hAnsi="Times New Roman"/>
        </w:rPr>
        <w:t>) .</w:t>
      </w:r>
      <w:proofErr w:type="gramEnd"/>
      <w:r w:rsidRPr="004A75A3">
        <w:rPr>
          <w:rFonts w:ascii="Times New Roman" w:eastAsia="SimSun" w:hAnsi="Times New Roman"/>
        </w:rPr>
        <w:t xml:space="preserve"> (Thin-Section photos by Joan Spaw and CoreLab.)</w:t>
      </w:r>
      <w:r>
        <w:rPr>
          <w:rFonts w:ascii="Times New Roman" w:eastAsia="SimSun" w:hAnsi="Times New Roman"/>
        </w:rPr>
        <w:t>……………………</w:t>
      </w:r>
      <w:r w:rsidRPr="008967D4">
        <w:rPr>
          <w:rFonts w:ascii="Times New Roman" w:eastAsia="SimSun" w:hAnsi="Times New Roman"/>
        </w:rPr>
        <w:t xml:space="preserve"> </w:t>
      </w:r>
      <w:r>
        <w:rPr>
          <w:rFonts w:ascii="Times New Roman" w:eastAsia="SimSun" w:hAnsi="Times New Roman"/>
        </w:rPr>
        <w:t>……….………….………….………….…………...210</w:t>
      </w:r>
    </w:p>
    <w:p w:rsidR="008967D4" w:rsidRDefault="008967D4" w:rsidP="008967D4">
      <w:pPr>
        <w:rPr>
          <w:rFonts w:ascii="Times New Roman" w:eastAsia="SimSun" w:hAnsi="Times New Roman"/>
        </w:rPr>
      </w:pPr>
      <w:r w:rsidRPr="004A75A3">
        <w:rPr>
          <w:rFonts w:ascii="Times New Roman" w:eastAsia="SimSun" w:hAnsi="Times New Roman"/>
        </w:rPr>
        <w:t>Figure 4.5.Upper Left: Core photos of the Grazing Trails from Upper Middle Woodford of Core A. Upper Right: 2X reflected light of the same photo. Lower Left: Thin section photo of the same intervals. Note the burrows are filled by cherts. Lower Right: 3-D CT Scan Segmentation image of the same intervals</w:t>
      </w:r>
      <w:r>
        <w:rPr>
          <w:rFonts w:ascii="Times New Roman" w:eastAsia="SimSun" w:hAnsi="Times New Roman"/>
        </w:rPr>
        <w:t>………………………………….211</w:t>
      </w:r>
    </w:p>
    <w:p w:rsidR="008967D4" w:rsidRDefault="008967D4" w:rsidP="008967D4">
      <w:pPr>
        <w:rPr>
          <w:rFonts w:ascii="Times New Roman" w:eastAsia="SimSun" w:hAnsi="Times New Roman"/>
        </w:rPr>
      </w:pPr>
      <w:r w:rsidRPr="004A75A3">
        <w:rPr>
          <w:rFonts w:ascii="Times New Roman" w:eastAsia="SimSun" w:hAnsi="Times New Roman"/>
        </w:rPr>
        <w:t xml:space="preserve">Figure 4.6.Integrated trace fossil analysis at 30-31 ft (9.5m) of Core A. Left: 3-D segmentation of the Planolites with 2-D intersections. Red arrows points to the same Planolites feature to compare. Right: thin-section photo of the same interval, with Corelab parameters (lithology, XRD, TOC, </w:t>
      </w:r>
      <w:r>
        <w:rPr>
          <w:rFonts w:ascii="Times New Roman" w:eastAsia="SimSun" w:hAnsi="Times New Roman"/>
        </w:rPr>
        <w:t>and sequence………………………..212</w:t>
      </w:r>
    </w:p>
    <w:p w:rsidR="008967D4" w:rsidRDefault="008967D4" w:rsidP="008967D4">
      <w:pPr>
        <w:rPr>
          <w:rFonts w:ascii="Times New Roman" w:eastAsia="SimSun" w:hAnsi="Times New Roman"/>
        </w:rPr>
      </w:pPr>
      <w:r w:rsidRPr="004A75A3">
        <w:rPr>
          <w:rFonts w:ascii="Times New Roman" w:eastAsia="SimSun" w:hAnsi="Times New Roman"/>
        </w:rPr>
        <w:t>Figure 4.7.Planolites example at 222ft (67.5m) of Core C. Upper Left: 2-D Micro CT image; Middle Left: 2-D Micro-CT image with 3-D Segmentation; Lower Left: 3-D Segmentation showing the 3-D geometry of Planolites. Upper Right: Core Photo at the same interval. There is obvious advantage of 3-D Micro CT-Scan in viewing the burrows</w:t>
      </w:r>
      <w:r>
        <w:rPr>
          <w:rFonts w:ascii="Times New Roman" w:eastAsia="SimSun" w:hAnsi="Times New Roman"/>
        </w:rPr>
        <w:t>……………………….………….………….………….………….………..213</w:t>
      </w:r>
    </w:p>
    <w:p w:rsidR="008967D4" w:rsidRDefault="008967D4" w:rsidP="008967D4">
      <w:pPr>
        <w:rPr>
          <w:rFonts w:ascii="Times New Roman" w:eastAsia="SimSun" w:hAnsi="Times New Roman"/>
        </w:rPr>
      </w:pPr>
      <w:r w:rsidRPr="002D23F3">
        <w:rPr>
          <w:rFonts w:ascii="Times New Roman" w:eastAsia="SimSun" w:hAnsi="Times New Roman"/>
        </w:rPr>
        <w:t xml:space="preserve">Figure 4.8.Integrated trace fossil analysis at 181ft (55m) of Core C. Left: 3-D segmentation of the Planolites with 2-D intersections. Red arrows points to the same </w:t>
      </w:r>
      <w:r w:rsidRPr="002D23F3">
        <w:rPr>
          <w:rFonts w:ascii="Times New Roman" w:eastAsia="SimSun" w:hAnsi="Times New Roman"/>
        </w:rPr>
        <w:lastRenderedPageBreak/>
        <w:t>Planolites features to compare. Right: thin-section photo of the same interval, with Corelab parameters (lithology, XRD, TOC, and sequence)</w:t>
      </w:r>
      <w:r>
        <w:rPr>
          <w:rFonts w:ascii="Times New Roman" w:eastAsia="SimSun" w:hAnsi="Times New Roman"/>
        </w:rPr>
        <w:t>…………… ………….214</w:t>
      </w:r>
    </w:p>
    <w:p w:rsidR="008967D4" w:rsidRDefault="008967D4" w:rsidP="008967D4">
      <w:pPr>
        <w:rPr>
          <w:rFonts w:ascii="Times New Roman" w:eastAsia="SimSun" w:hAnsi="Times New Roman"/>
        </w:rPr>
      </w:pPr>
      <w:r w:rsidRPr="002D23F3">
        <w:rPr>
          <w:rFonts w:ascii="Times New Roman" w:eastAsia="SimSun" w:hAnsi="Times New Roman"/>
        </w:rPr>
        <w:t>Figure 4.9.Integrated trace fossil analysis at 98ft (30m) of Core C. Left: 3-D segmentation of the Planolites with 2-D intersections. Red arrows points to the same Planolites features to compare. Right: thin-section photo of the same interval, with Corelab parameters (lithology, XRD, TOC, and sequence)</w:t>
      </w:r>
      <w:r>
        <w:rPr>
          <w:rFonts w:ascii="Times New Roman" w:eastAsia="SimSun" w:hAnsi="Times New Roman"/>
        </w:rPr>
        <w:t>……………………….215</w:t>
      </w:r>
    </w:p>
    <w:p w:rsidR="008967D4" w:rsidRDefault="008967D4" w:rsidP="008967D4">
      <w:pPr>
        <w:rPr>
          <w:rFonts w:ascii="Times New Roman" w:eastAsia="SimSun" w:hAnsi="Times New Roman"/>
        </w:rPr>
      </w:pPr>
      <w:r w:rsidRPr="002D23F3">
        <w:rPr>
          <w:rFonts w:ascii="Times New Roman" w:eastAsia="SimSun" w:hAnsi="Times New Roman"/>
        </w:rPr>
        <w:t>Figure 4.10.Examples of Thalassinoides in Core B and C, both examples are in Lower Woodford. The materials in vertical burrows are coarser grained than surrounding matrix, with occasionally pyritized framboid in them (Photos by Kimberly Hlava)</w:t>
      </w:r>
      <w:r>
        <w:rPr>
          <w:rFonts w:ascii="Times New Roman" w:eastAsia="SimSun" w:hAnsi="Times New Roman"/>
        </w:rPr>
        <w:t>…………………………………………………………………….……216</w:t>
      </w:r>
    </w:p>
    <w:p w:rsidR="008967D4" w:rsidRDefault="008967D4" w:rsidP="008967D4">
      <w:pPr>
        <w:rPr>
          <w:rFonts w:ascii="Times New Roman" w:eastAsia="SimSun" w:hAnsi="Times New Roman"/>
        </w:rPr>
      </w:pPr>
      <w:r w:rsidRPr="002D23F3">
        <w:rPr>
          <w:rFonts w:ascii="Times New Roman" w:eastAsia="SimSun" w:hAnsi="Times New Roman"/>
        </w:rPr>
        <w:t>Figure 4.11.Pyritized radiolarian chert examples in Core C. Left: thin-section photos by Kimberly Hlava. Right: 3-D Micro-CT-Scan Segmentation of the same interval</w:t>
      </w:r>
      <w:r>
        <w:rPr>
          <w:rFonts w:ascii="Times New Roman" w:eastAsia="SimSun" w:hAnsi="Times New Roman"/>
        </w:rPr>
        <w:t>………………………………………………………………………….…217</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4.12.</w:t>
      </w:r>
      <w:proofErr w:type="gramEnd"/>
      <w:r w:rsidRPr="006020B7">
        <w:rPr>
          <w:rFonts w:ascii="Times New Roman" w:eastAsia="SimSun" w:hAnsi="Times New Roman"/>
        </w:rPr>
        <w:t xml:space="preserve"> An example of the 3-D Micro-CT segmentation of nodules of 347-350ft (106m) in Core C (Upper Woodford). Left is the whole core image combined with nodules; middle is the noise and nodules; right is the filtered nodules........................218</w:t>
      </w:r>
    </w:p>
    <w:p w:rsidR="008967D4" w:rsidRPr="006020B7" w:rsidRDefault="008967D4" w:rsidP="008967D4">
      <w:pPr>
        <w:rPr>
          <w:rFonts w:ascii="Times New Roman" w:eastAsia="SimSun" w:hAnsi="Times New Roman"/>
        </w:rPr>
      </w:pPr>
      <w:r w:rsidRPr="006020B7">
        <w:rPr>
          <w:rFonts w:ascii="Times New Roman" w:eastAsia="SimSun" w:hAnsi="Times New Roman"/>
        </w:rPr>
        <w:t>Figure 4.13.Upper: Shale classification by Gamero-Diaz et al. (2012</w:t>
      </w:r>
      <w:proofErr w:type="gramStart"/>
      <w:r w:rsidRPr="006020B7">
        <w:rPr>
          <w:rFonts w:ascii="Times New Roman" w:eastAsia="SimSun" w:hAnsi="Times New Roman"/>
        </w:rPr>
        <w:t>)Lower</w:t>
      </w:r>
      <w:proofErr w:type="gramEnd"/>
      <w:r w:rsidRPr="006020B7">
        <w:rPr>
          <w:rFonts w:ascii="Times New Roman" w:eastAsia="SimSun" w:hAnsi="Times New Roman"/>
        </w:rPr>
        <w:t>: Ternary diagram plots showing how Lower, Middle and Upper Woodford Shale fall into their categories for Core A, B and C............................................................................219</w:t>
      </w:r>
    </w:p>
    <w:p w:rsidR="008967D4" w:rsidRPr="006020B7" w:rsidRDefault="008967D4" w:rsidP="008967D4">
      <w:pPr>
        <w:rPr>
          <w:rFonts w:ascii="Times New Roman" w:eastAsia="SimSun" w:hAnsi="Times New Roman"/>
        </w:rPr>
      </w:pPr>
      <w:r w:rsidRPr="006020B7">
        <w:rPr>
          <w:rFonts w:ascii="Times New Roman" w:eastAsia="SimSun" w:hAnsi="Times New Roman"/>
        </w:rPr>
        <w:t>Figure 4.14.A sophisticated schematic slope–to–basin depositional model for the Woodford Shale within a sequence stratigraphic framework. Modified from Slatt, 2013.Thin-section data by Joan Spaw, Kimberly Hlava and Corelab...................220</w:t>
      </w:r>
    </w:p>
    <w:p w:rsidR="008967D4" w:rsidRPr="006020B7" w:rsidRDefault="008967D4" w:rsidP="008967D4">
      <w:pPr>
        <w:rPr>
          <w:rFonts w:ascii="Times New Roman" w:eastAsia="SimSun" w:hAnsi="Times New Roman"/>
        </w:rPr>
      </w:pPr>
      <w:r w:rsidRPr="006020B7">
        <w:rPr>
          <w:rFonts w:ascii="Times New Roman" w:eastAsia="SimSun" w:hAnsi="Times New Roman"/>
        </w:rPr>
        <w:lastRenderedPageBreak/>
        <w:t>Figure 4.15.Examples of the criteria of the abundance of trace fossils, using a Bioturbation Index (BI) measured from Micro-CT scan 3-D segmentation image and thin-section description. From left to right are: Absent (BI=0), Sparse (BI=1), Common (BI=2), and Abundance (BI=3). The values of the BI have been used for statistics and calculations............................................................................................................221</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4.16.</w:t>
      </w:r>
      <w:proofErr w:type="gramEnd"/>
      <w:r w:rsidRPr="006020B7">
        <w:rPr>
          <w:rFonts w:ascii="Times New Roman" w:eastAsia="SimSun" w:hAnsi="Times New Roman"/>
        </w:rPr>
        <w:t xml:space="preserve"> Petrophysics logs of Corer A, including GR, Resistivity, Neutron-Density, Calculated TOC, VClay, Brittleness from dipole sonic logs and calculated water saturation................................................................................................................222</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Figure 4.17.Integrated description of Core A, with emphasis on bioturbation. Bioturbation Index (BI) is the sum of all four trace fossils (short Chondrites, long Chondrites, Paleodictyon, </w:t>
      </w:r>
      <w:proofErr w:type="gramStart"/>
      <w:r w:rsidRPr="006020B7">
        <w:rPr>
          <w:rFonts w:ascii="Times New Roman" w:eastAsia="SimSun" w:hAnsi="Times New Roman"/>
        </w:rPr>
        <w:t>Planolites</w:t>
      </w:r>
      <w:proofErr w:type="gramEnd"/>
      <w:r w:rsidRPr="006020B7">
        <w:rPr>
          <w:rFonts w:ascii="Times New Roman" w:eastAsia="SimSun" w:hAnsi="Times New Roman"/>
        </w:rPr>
        <w:t>). Description and Interpretation are based on Dr. Joan Spaw, Kimberly Hlava and Fuge Zou’s work..............................................223</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Figure4.18.Integration of bioturbation data for Core </w:t>
      </w:r>
      <w:proofErr w:type="gramStart"/>
      <w:r w:rsidRPr="006020B7">
        <w:rPr>
          <w:rFonts w:ascii="Times New Roman" w:eastAsia="SimSun" w:hAnsi="Times New Roman"/>
        </w:rPr>
        <w:t>A</w:t>
      </w:r>
      <w:proofErr w:type="gramEnd"/>
      <w:r w:rsidRPr="006020B7">
        <w:rPr>
          <w:rFonts w:ascii="Times New Roman" w:eastAsia="SimSun" w:hAnsi="Times New Roman"/>
        </w:rPr>
        <w:t>, including GRI (Gas Research Institute) porosity, permeability, XRD and Geochemistry from CoreLab. Burrow Type: Chondrites (C), Paleodictyon and Grazing Trails (G), Planolites (P) and Thalassinoides (T).............................................................................................................................224</w:t>
      </w:r>
    </w:p>
    <w:p w:rsidR="008967D4" w:rsidRPr="006020B7" w:rsidRDefault="008967D4" w:rsidP="008967D4">
      <w:pPr>
        <w:rPr>
          <w:rFonts w:ascii="Times New Roman" w:eastAsia="SimSun" w:hAnsi="Times New Roman"/>
        </w:rPr>
      </w:pPr>
      <w:r w:rsidRPr="006020B7">
        <w:rPr>
          <w:rFonts w:ascii="Times New Roman" w:eastAsia="SimSun" w:hAnsi="Times New Roman"/>
        </w:rPr>
        <w:t>Figure 4.19.Integration of bioturbation data for Core A with chemostrata data. The high resolution hand held X-Ray Fluorescence (XRF) data is from Dr. Harry Rowe of University of Texas at Austin.................................................................................225</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4.20.</w:t>
      </w:r>
      <w:proofErr w:type="gramEnd"/>
      <w:r w:rsidRPr="006020B7">
        <w:rPr>
          <w:rFonts w:ascii="Times New Roman" w:eastAsia="SimSun" w:hAnsi="Times New Roman"/>
        </w:rPr>
        <w:t xml:space="preserve"> Petrophysics logs of Corer B, including GR, Resistivity, Neutron-Density, Calculated TOC, VClay, Brittleness from dipole sonic logs and calculated water saturation.......................................................... .......................................................226</w:t>
      </w:r>
    </w:p>
    <w:p w:rsidR="008967D4" w:rsidRPr="006020B7" w:rsidRDefault="008967D4" w:rsidP="008967D4">
      <w:pPr>
        <w:rPr>
          <w:rFonts w:ascii="Times New Roman" w:eastAsia="SimSun" w:hAnsi="Times New Roman"/>
        </w:rPr>
      </w:pPr>
      <w:r w:rsidRPr="006020B7">
        <w:rPr>
          <w:rFonts w:ascii="Times New Roman" w:eastAsia="SimSun" w:hAnsi="Times New Roman"/>
        </w:rPr>
        <w:lastRenderedPageBreak/>
        <w:t>Figure 4.21.Integrated description of Core B, with emphasis on bioturbation. Bioturbation Index (BI) is the sum of all four trace fossils (short Chondrites, long Chondrites, Paleodictyon, Planolites).Description and Interpretation are based on Dr. Joan Spaw, Kimberly Hlava and Fuge Zou’s work. ...................................................227</w:t>
      </w:r>
    </w:p>
    <w:p w:rsidR="008967D4" w:rsidRPr="006020B7" w:rsidRDefault="008967D4" w:rsidP="008967D4">
      <w:pPr>
        <w:rPr>
          <w:rFonts w:ascii="Times New Roman" w:eastAsia="SimSun" w:hAnsi="Times New Roman"/>
        </w:rPr>
      </w:pPr>
      <w:r w:rsidRPr="006020B7">
        <w:rPr>
          <w:rFonts w:ascii="Times New Roman" w:eastAsia="SimSun" w:hAnsi="Times New Roman"/>
        </w:rPr>
        <w:t>Figure 4.22.Integration of bioturbation data for Core B with chemostrata data. The high resolution hand held X-Ray Fluorescence (XRF) data is from Dr. Harry Rowe of University of Texas at Austin. Burrow Type: Chondrites (C), Paleodictyon and Grazing Trails (G), Planolites (P) and Thalassinoides (T) .......................................................228</w:t>
      </w:r>
    </w:p>
    <w:p w:rsidR="008967D4" w:rsidRPr="006020B7" w:rsidRDefault="008967D4" w:rsidP="008967D4">
      <w:pPr>
        <w:rPr>
          <w:rFonts w:ascii="Times New Roman" w:eastAsia="SimSun" w:hAnsi="Times New Roman"/>
        </w:rPr>
      </w:pPr>
      <w:r w:rsidRPr="006020B7">
        <w:rPr>
          <w:rFonts w:ascii="Times New Roman" w:eastAsia="SimSun" w:hAnsi="Times New Roman"/>
        </w:rPr>
        <w:t>Figure 4.23.Integration of bioturbation data for Core B with chemostrata data. The high resolution hand held X-Ray Fluorescence (XRF) data is from Dr. Harry Rowe of University of Texas at Austin. ............................... ............................................229</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4.24.</w:t>
      </w:r>
      <w:proofErr w:type="gramEnd"/>
      <w:r w:rsidRPr="006020B7">
        <w:rPr>
          <w:rFonts w:ascii="Times New Roman" w:eastAsia="SimSun" w:hAnsi="Times New Roman"/>
        </w:rPr>
        <w:t xml:space="preserve"> Petrophysics logs of Corer C, including GR, Resistivity, Neutron-Density, Calculated TOC, VClay, and calculated water saturation. .................. ...................230</w:t>
      </w:r>
    </w:p>
    <w:p w:rsidR="008967D4" w:rsidRPr="006020B7" w:rsidRDefault="008967D4" w:rsidP="008967D4">
      <w:pPr>
        <w:rPr>
          <w:rFonts w:ascii="Times New Roman" w:eastAsia="SimSun" w:hAnsi="Times New Roman"/>
        </w:rPr>
      </w:pPr>
      <w:r w:rsidRPr="006020B7">
        <w:rPr>
          <w:rFonts w:ascii="Times New Roman" w:eastAsia="SimSun" w:hAnsi="Times New Roman"/>
        </w:rPr>
        <w:t>Figure 4.25.Integrated description of Core C, with emphasis on bioturbation. Bioturbation Index (BI) is the sum of all four trace fossils (short Chondrites, long Chondrites, Paleodictyon, Planolites).Description and Interpretation are based on Dr. Joan Spaw, Kimberly Hlava and Fuge Zou’s work. .................... ....................231</w:t>
      </w:r>
    </w:p>
    <w:p w:rsidR="008967D4" w:rsidRPr="006020B7" w:rsidRDefault="008967D4" w:rsidP="008967D4">
      <w:pPr>
        <w:rPr>
          <w:rFonts w:ascii="Times New Roman" w:eastAsia="SimSun" w:hAnsi="Times New Roman"/>
        </w:rPr>
      </w:pPr>
      <w:r w:rsidRPr="006020B7">
        <w:rPr>
          <w:rFonts w:ascii="Times New Roman" w:eastAsia="SimSun" w:hAnsi="Times New Roman"/>
        </w:rPr>
        <w:t xml:space="preserve">Figure 4.26.Integration of bioturbation data for Core C with chemostrata data. The </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high</w:t>
      </w:r>
      <w:proofErr w:type="gramEnd"/>
      <w:r w:rsidRPr="006020B7">
        <w:rPr>
          <w:rFonts w:ascii="Times New Roman" w:eastAsia="SimSun" w:hAnsi="Times New Roman"/>
        </w:rPr>
        <w:t xml:space="preserve"> resolution hand held X-Ray Fluorescence (XRF) data is from Dr. Harry Rowe of University of Texas at Austin. Burrow Type: Chondrites (C), Paleodictyon and Grazing Trails (G), Planolites (P) and Thalassinoides (T) .......................................................232</w:t>
      </w:r>
    </w:p>
    <w:p w:rsidR="008967D4" w:rsidRPr="006020B7" w:rsidRDefault="008967D4" w:rsidP="008967D4">
      <w:pPr>
        <w:rPr>
          <w:rFonts w:ascii="Times New Roman" w:eastAsia="SimSun" w:hAnsi="Times New Roman"/>
        </w:rPr>
      </w:pPr>
      <w:r w:rsidRPr="006020B7">
        <w:rPr>
          <w:rFonts w:ascii="Times New Roman" w:eastAsia="SimSun" w:hAnsi="Times New Roman"/>
        </w:rPr>
        <w:lastRenderedPageBreak/>
        <w:t>Figure 4.27.Integration of bioturbation data for Core B with chemostrata data. The high resolution hand held X-Ray Fluorescence (XRF) data is from Dr. Harry Rowe of University f Texas at Austin. ............................... ............................................233</w:t>
      </w:r>
    </w:p>
    <w:p w:rsidR="008967D4" w:rsidRPr="006020B7" w:rsidRDefault="008967D4" w:rsidP="008967D4">
      <w:pPr>
        <w:rPr>
          <w:rFonts w:ascii="Times New Roman" w:eastAsia="SimSun" w:hAnsi="Times New Roman"/>
        </w:rPr>
      </w:pPr>
      <w:r w:rsidRPr="006020B7">
        <w:rPr>
          <w:rFonts w:ascii="Times New Roman" w:eastAsia="SimSun" w:hAnsi="Times New Roman"/>
        </w:rPr>
        <w:t>Figure 4.28.Cross-plotting of bioturbation intensity, permeability, porosity and lithofacies of 149 samples from three the Woodford corers. Upper Left is the permeability-porosity plot colored by bioturbation index. Upper Right is the permeability-porosity plot colored by lithofacies. Lower is the plotting of Porosity vs. Permeability colored by bioturbation types. ....</w:t>
      </w:r>
      <w:r>
        <w:rPr>
          <w:rFonts w:ascii="Times New Roman" w:eastAsia="SimSun" w:hAnsi="Times New Roman"/>
        </w:rPr>
        <w:t>.......................</w:t>
      </w:r>
      <w:r w:rsidRPr="006020B7">
        <w:rPr>
          <w:rFonts w:ascii="Times New Roman" w:eastAsia="SimSun" w:hAnsi="Times New Roman"/>
        </w:rPr>
        <w:t>................................234</w:t>
      </w:r>
    </w:p>
    <w:p w:rsidR="008967D4" w:rsidRPr="006020B7" w:rsidRDefault="008967D4" w:rsidP="008967D4">
      <w:pPr>
        <w:rPr>
          <w:rFonts w:ascii="Times New Roman" w:eastAsia="SimSun" w:hAnsi="Times New Roman"/>
        </w:rPr>
      </w:pPr>
      <w:r w:rsidRPr="006020B7">
        <w:rPr>
          <w:rFonts w:ascii="Times New Roman" w:eastAsia="SimSun" w:hAnsi="Times New Roman"/>
        </w:rPr>
        <w:t>Figure 4.29.Regional stratigraphic framework of Woodford Shale in the study area. Left is the reconstruction of basin history. Right is location map (including correlation to the Hall 2B well and Hunton Anticline Quarry) and global se</w:t>
      </w:r>
      <w:r>
        <w:rPr>
          <w:rFonts w:ascii="Times New Roman" w:eastAsia="SimSun" w:hAnsi="Times New Roman"/>
        </w:rPr>
        <w:t>a-level curve. .............</w:t>
      </w:r>
      <w:r w:rsidRPr="006020B7">
        <w:rPr>
          <w:rFonts w:ascii="Times New Roman" w:eastAsia="SimSun" w:hAnsi="Times New Roman"/>
        </w:rPr>
        <w:t>.....236</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4.30.</w:t>
      </w:r>
      <w:proofErr w:type="gramEnd"/>
      <w:r w:rsidRPr="006020B7">
        <w:rPr>
          <w:rFonts w:ascii="Times New Roman" w:eastAsia="SimSun" w:hAnsi="Times New Roman"/>
        </w:rPr>
        <w:t xml:space="preserve"> </w:t>
      </w:r>
      <w:proofErr w:type="gramStart"/>
      <w:r w:rsidRPr="006020B7">
        <w:rPr>
          <w:rFonts w:ascii="Times New Roman" w:eastAsia="SimSun" w:hAnsi="Times New Roman"/>
        </w:rPr>
        <w:t>Gross isochore maps of Lower Middle and Upper Woodford Shale, showing the transition of more restricted deposition in Lower Woodford to more extended deposition in Upper Woodford.</w:t>
      </w:r>
      <w:proofErr w:type="gramEnd"/>
      <w:r w:rsidRPr="006020B7">
        <w:rPr>
          <w:rFonts w:ascii="Times New Roman" w:eastAsia="SimSun" w:hAnsi="Times New Roman"/>
        </w:rPr>
        <w:t xml:space="preserve"> .................................................................237</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4.31.</w:t>
      </w:r>
      <w:proofErr w:type="gramEnd"/>
      <w:r w:rsidRPr="006020B7">
        <w:rPr>
          <w:rFonts w:ascii="Times New Roman" w:eastAsia="SimSun" w:hAnsi="Times New Roman"/>
        </w:rPr>
        <w:t xml:space="preserve"> Correlation from Marathon Oil Core C to Hunton Anticline Quarry (measured by Bryan and Slatt, 2013) ~25 Miles (40km) southeast to Core C. Gamma Ray and key chemostrata parameters matches the sequence stratigraphic framework. ................... .................... .................... ....................................... .................................238</w:t>
      </w:r>
    </w:p>
    <w:p w:rsidR="008967D4" w:rsidRPr="006020B7" w:rsidRDefault="008967D4" w:rsidP="008967D4">
      <w:pPr>
        <w:rPr>
          <w:rFonts w:ascii="Times New Roman" w:eastAsia="SimSun" w:hAnsi="Times New Roman"/>
        </w:rPr>
      </w:pPr>
      <w:proofErr w:type="gramStart"/>
      <w:r w:rsidRPr="006020B7">
        <w:rPr>
          <w:rFonts w:ascii="Times New Roman" w:eastAsia="SimSun" w:hAnsi="Times New Roman"/>
        </w:rPr>
        <w:t>Figure 4.32.</w:t>
      </w:r>
      <w:proofErr w:type="gramEnd"/>
      <w:r w:rsidRPr="006020B7">
        <w:rPr>
          <w:rFonts w:ascii="Times New Roman" w:eastAsia="SimSun" w:hAnsi="Times New Roman"/>
        </w:rPr>
        <w:t xml:space="preserve"> Correlation from Marathon Oil Core B to Hall 2B well (measured by Bryan and Slatt, 2013) ~30 Miles (48km) southwest to Core B. Gamma Ray and key chemostrata parameters matches the sequence stratigraphic framework. Note Hall 2B only cut Upper Woodford and Upper Middle Woodford</w:t>
      </w:r>
      <w:r>
        <w:rPr>
          <w:rFonts w:ascii="Times New Roman" w:eastAsia="SimSun" w:hAnsi="Times New Roman"/>
        </w:rPr>
        <w:t xml:space="preserve"> Shale. ....................</w:t>
      </w:r>
      <w:r w:rsidRPr="006020B7">
        <w:rPr>
          <w:rFonts w:ascii="Times New Roman" w:eastAsia="SimSun" w:hAnsi="Times New Roman"/>
        </w:rPr>
        <w:t>...........239</w:t>
      </w:r>
    </w:p>
    <w:p w:rsidR="008967D4" w:rsidRPr="006020B7" w:rsidRDefault="008967D4" w:rsidP="008967D4"/>
    <w:p w:rsidR="00DD056E" w:rsidRPr="008B32C9" w:rsidRDefault="00DD056E" w:rsidP="00DD056E">
      <w:pPr>
        <w:pStyle w:val="Heading1"/>
        <w:rPr>
          <w:rFonts w:ascii="Times New Roman" w:hAnsi="Times New Roman"/>
        </w:rPr>
      </w:pPr>
      <w:r w:rsidRPr="008B32C9">
        <w:rPr>
          <w:rFonts w:ascii="Times New Roman" w:hAnsi="Times New Roman"/>
        </w:rPr>
        <w:lastRenderedPageBreak/>
        <w:t>ABSTRACT</w:t>
      </w:r>
    </w:p>
    <w:p w:rsidR="00DD056E" w:rsidRPr="008B32C9" w:rsidRDefault="00DD056E" w:rsidP="00DD056E">
      <w:pPr>
        <w:jc w:val="both"/>
        <w:rPr>
          <w:rFonts w:ascii="Times New Roman" w:hAnsi="Times New Roman"/>
          <w:lang w:eastAsia="zh-CN"/>
        </w:rPr>
      </w:pPr>
      <w:r w:rsidRPr="008B32C9">
        <w:rPr>
          <w:rFonts w:ascii="Times New Roman" w:hAnsi="Times New Roman"/>
        </w:rPr>
        <w:tab/>
        <w:t xml:space="preserve">Deepwater turbidites and unconventional shale reservoirs are two most important hydrocarbon resources in North America. To fully understand the hydrocarbon potentials of the deepwater reservoirs, we first need to utilize outcrops as analogs to help build good reservoir models because they are often easier to access and characterize than subsurface data. The Jackfork Group in Arkansas is a good example of deepwater turbidite outcrops. It has been studied for more than 40 years by both industry and academy. During my M.Sc. and early stage of PhD years (2009-2012), I successfully characterized the Jackfork Group at the Baumgartner Quarry and used it as an analog for reservoir modeling and simulation in real deepwater GOM fields. The Baumgartner Quarry work exhibits a good difference in simulated reservoir performance between channelized and sheet-like reservoirs. Following the Quarry work, I extended the outcrop characterization to the entire Jackfork Group within a large area from southeastern Oklahoma to western Arkansas. I compiled, described and characterized 20 nearby Jackfork outcrops and subsurface data including Kirby Section, DeGray Section, Shell Rex-Timber Well #1, Dierks Spillway, Mena Section, Big Rock Quarry, Friendship Roadcuts, Rich Mountain Anticline and </w:t>
      </w:r>
      <w:proofErr w:type="gramStart"/>
      <w:r w:rsidRPr="008B32C9">
        <w:rPr>
          <w:rFonts w:ascii="Times New Roman" w:hAnsi="Times New Roman"/>
        </w:rPr>
        <w:t>Potato Hills</w:t>
      </w:r>
      <w:proofErr w:type="gramEnd"/>
      <w:r w:rsidRPr="008B32C9">
        <w:rPr>
          <w:rFonts w:ascii="Times New Roman" w:hAnsi="Times New Roman"/>
        </w:rPr>
        <w:t xml:space="preserve"> gas fields. I tested chemostrata within Kirby; DeGray and Dierks sections in order to correlated them and build a sequence stratigraphic framework in the downdip basinal part of the Ouachita Basin. The final part of the Jackfork Group research is a complete sequence stratigraphic framework from updip slope to downslope basinal settings. This is the first time such a regional correlation has been completed for the Jackfork across the </w:t>
      </w:r>
      <w:r w:rsidRPr="008B32C9">
        <w:rPr>
          <w:rFonts w:ascii="Times New Roman" w:hAnsi="Times New Roman"/>
        </w:rPr>
        <w:lastRenderedPageBreak/>
        <w:t>Ouachita Mountains, and is of great value for understanding updip to downdip facies changes in the Jackfork.</w:t>
      </w:r>
    </w:p>
    <w:p w:rsidR="00DD056E" w:rsidRPr="008B32C9" w:rsidRDefault="00DD056E" w:rsidP="00DD056E">
      <w:pPr>
        <w:jc w:val="both"/>
        <w:rPr>
          <w:rFonts w:ascii="Times New Roman" w:hAnsi="Times New Roman"/>
          <w:lang w:eastAsia="zh-CN"/>
        </w:rPr>
      </w:pPr>
      <w:r w:rsidRPr="008B32C9">
        <w:rPr>
          <w:rFonts w:ascii="Times New Roman" w:hAnsi="Times New Roman"/>
        </w:rPr>
        <w:tab/>
        <w:t>After I finished the Jackfork Group research, I became interested in the 3 Woodford Shale cores from Marathon Oil Company, the company I am working for. Three Woodford cores, The Teague, Ridenour and Shi-Randall are located in the updip shelf, downdip slope and basin, respectively and they well represent the sequence stratigraphic framework during late Devonian time. Marathon Oil ran Micro-CT scan with the 3 cores. By reprocessing and segmenting on these 3-D raw Micro-CT scan data, one can quantitatively characterize the bioturbation and micro facies of the whole core. By comparing bioturbation Micro-CT results with well logs, geochemistry, routine core analysis and chemostrata, I built the regional sequence stratigraphic framework over the core area.</w:t>
      </w:r>
    </w:p>
    <w:p w:rsidR="00DD056E" w:rsidRPr="008B32C9" w:rsidRDefault="00DD056E" w:rsidP="00DD056E">
      <w:pPr>
        <w:jc w:val="both"/>
        <w:rPr>
          <w:rFonts w:ascii="Times New Roman" w:hAnsi="Times New Roman"/>
        </w:rPr>
      </w:pPr>
      <w:r w:rsidRPr="008B32C9">
        <w:rPr>
          <w:rFonts w:ascii="Times New Roman" w:hAnsi="Times New Roman"/>
        </w:rPr>
        <w:tab/>
        <w:t xml:space="preserve">This dissertation mainly combines 3 </w:t>
      </w:r>
      <w:r w:rsidRPr="008B32C9">
        <w:rPr>
          <w:rFonts w:ascii="Times New Roman" w:hAnsi="Times New Roman"/>
          <w:b/>
        </w:rPr>
        <w:t>AAPG Bulletin</w:t>
      </w:r>
      <w:r w:rsidRPr="008B32C9">
        <w:rPr>
          <w:rFonts w:ascii="Times New Roman" w:hAnsi="Times New Roman"/>
        </w:rPr>
        <w:t xml:space="preserve"> papers (one published, one in revision and one to be submitted). The first </w:t>
      </w:r>
      <w:r w:rsidRPr="008B32C9">
        <w:rPr>
          <w:rFonts w:ascii="Times New Roman" w:hAnsi="Times New Roman"/>
          <w:b/>
        </w:rPr>
        <w:t>AAPG Bulletin</w:t>
      </w:r>
      <w:r w:rsidRPr="008B32C9">
        <w:rPr>
          <w:rFonts w:ascii="Times New Roman" w:hAnsi="Times New Roman"/>
        </w:rPr>
        <w:t xml:space="preserve"> paper (Chapter 1) is about reservoir modeling and simulation of the Jackfork Group in the Baumgartner Quarry, Arkansas. The second </w:t>
      </w:r>
      <w:r w:rsidRPr="008B32C9">
        <w:rPr>
          <w:rFonts w:ascii="Times New Roman" w:hAnsi="Times New Roman"/>
          <w:b/>
        </w:rPr>
        <w:t>AAPG Bulletin</w:t>
      </w:r>
      <w:r w:rsidRPr="008B32C9">
        <w:rPr>
          <w:rFonts w:ascii="Times New Roman" w:hAnsi="Times New Roman"/>
        </w:rPr>
        <w:t xml:space="preserve"> paper (Chapter 2) is the research results on the integrated chemostrata and sequence stratigraphic framework of the Jackfork Group in Arkansas. The third </w:t>
      </w:r>
      <w:r w:rsidRPr="008B32C9">
        <w:rPr>
          <w:rFonts w:ascii="Times New Roman" w:hAnsi="Times New Roman"/>
          <w:b/>
        </w:rPr>
        <w:t>AAPG Bulletin</w:t>
      </w:r>
      <w:r w:rsidRPr="008B32C9">
        <w:rPr>
          <w:rFonts w:ascii="Times New Roman" w:hAnsi="Times New Roman"/>
        </w:rPr>
        <w:t xml:space="preserve"> paper (Chapter 4) is the research results of bioturbation, chemostrata and integrated stratigraphic framework of Woodford Shale in southeast Anadarko basin, Oklahoma. One part of the Woodford Shale research (Chapter 4) has been also accepted by the </w:t>
      </w:r>
      <w:r w:rsidRPr="008B32C9">
        <w:rPr>
          <w:rFonts w:ascii="Times New Roman" w:hAnsi="Times New Roman"/>
          <w:b/>
        </w:rPr>
        <w:t>URTeC 2015 Conference</w:t>
      </w:r>
      <w:r w:rsidRPr="008B32C9">
        <w:rPr>
          <w:rFonts w:ascii="Times New Roman" w:hAnsi="Times New Roman"/>
        </w:rPr>
        <w:t xml:space="preserve"> in San Antonio, Texas as an Oral Presentation. The dissertation also contains another published paper in </w:t>
      </w:r>
      <w:r w:rsidRPr="008B32C9">
        <w:rPr>
          <w:rFonts w:ascii="Times New Roman" w:hAnsi="Times New Roman"/>
          <w:b/>
        </w:rPr>
        <w:t>Journal of Earth Science and Engineering</w:t>
      </w:r>
      <w:r w:rsidRPr="008B32C9">
        <w:rPr>
          <w:rFonts w:ascii="Times New Roman" w:hAnsi="Times New Roman"/>
        </w:rPr>
        <w:t xml:space="preserve"> which is a review of the deepwater Gulf of </w:t>
      </w:r>
      <w:r w:rsidRPr="008B32C9">
        <w:rPr>
          <w:rFonts w:ascii="Times New Roman" w:hAnsi="Times New Roman"/>
        </w:rPr>
        <w:lastRenderedPageBreak/>
        <w:t xml:space="preserve">Mexico (dGOM) exploration and production activities for the past 6 years (Chapter 3). In addition, I wrote two chapters about deepwater GOM E&amp;P and geological modeling in the textbook: </w:t>
      </w:r>
      <w:r w:rsidRPr="008B32C9">
        <w:rPr>
          <w:rFonts w:ascii="Times New Roman" w:hAnsi="Times New Roman"/>
          <w:b/>
        </w:rPr>
        <w:t>"Stratigraphic Reservoir Characterization for Petroleum Geologists, Geophysicists, and Engineers, 2nd Edition"</w:t>
      </w:r>
      <w:r w:rsidRPr="008B32C9">
        <w:rPr>
          <w:rFonts w:ascii="Times New Roman" w:hAnsi="Times New Roman"/>
        </w:rPr>
        <w:t xml:space="preserve"> by Dr. Roger M. Slatt published in 2013 by </w:t>
      </w:r>
      <w:r w:rsidRPr="008B32C9">
        <w:rPr>
          <w:rFonts w:ascii="Times New Roman" w:hAnsi="Times New Roman"/>
          <w:b/>
        </w:rPr>
        <w:t>Elsevier</w:t>
      </w:r>
      <w:r w:rsidRPr="008B32C9">
        <w:rPr>
          <w:rFonts w:ascii="Times New Roman" w:hAnsi="Times New Roman"/>
        </w:rPr>
        <w:t xml:space="preserve">. I have presented my PhD work in </w:t>
      </w:r>
      <w:r w:rsidRPr="008B32C9">
        <w:rPr>
          <w:rFonts w:ascii="Times New Roman" w:hAnsi="Times New Roman"/>
          <w:b/>
        </w:rPr>
        <w:t xml:space="preserve">AAPG, UrTEC, GCAGS </w:t>
      </w:r>
      <w:r w:rsidRPr="008B32C9">
        <w:rPr>
          <w:rFonts w:ascii="Times New Roman" w:hAnsi="Times New Roman"/>
        </w:rPr>
        <w:t xml:space="preserve">and </w:t>
      </w:r>
      <w:r w:rsidRPr="008B32C9">
        <w:rPr>
          <w:rFonts w:ascii="Times New Roman" w:hAnsi="Times New Roman"/>
          <w:b/>
        </w:rPr>
        <w:t>GSA</w:t>
      </w:r>
      <w:r w:rsidRPr="008B32C9">
        <w:rPr>
          <w:rFonts w:ascii="Times New Roman" w:hAnsi="Times New Roman"/>
        </w:rPr>
        <w:t xml:space="preserve"> conferences with 6 abstracts from 2010-2015. </w:t>
      </w:r>
    </w:p>
    <w:p w:rsidR="00DD056E" w:rsidRPr="008B32C9" w:rsidRDefault="00DD056E" w:rsidP="00DD056E">
      <w:pPr>
        <w:jc w:val="both"/>
        <w:rPr>
          <w:rFonts w:ascii="Times New Roman" w:hAnsi="Times New Roman"/>
        </w:rPr>
      </w:pPr>
    </w:p>
    <w:p w:rsidR="000C01DA" w:rsidRPr="007D76A6" w:rsidRDefault="000C01DA" w:rsidP="000C01DA">
      <w:pPr>
        <w:rPr>
          <w:lang w:eastAsia="zh-CN"/>
        </w:rPr>
      </w:pPr>
    </w:p>
    <w:p w:rsidR="000C01DA" w:rsidRDefault="000C01DA" w:rsidP="000C01DA">
      <w:pPr>
        <w:spacing w:line="240" w:lineRule="auto"/>
      </w:pPr>
    </w:p>
    <w:p w:rsidR="000C01DA" w:rsidRDefault="000C01DA" w:rsidP="000C01DA">
      <w:pPr>
        <w:spacing w:line="240" w:lineRule="auto"/>
      </w:pPr>
    </w:p>
    <w:p w:rsidR="000C01DA" w:rsidRDefault="000C01DA" w:rsidP="000C01DA">
      <w:pPr>
        <w:spacing w:line="240" w:lineRule="auto"/>
      </w:pPr>
    </w:p>
    <w:p w:rsidR="000C01DA" w:rsidRDefault="000C01DA" w:rsidP="000C01DA">
      <w:pPr>
        <w:spacing w:line="240" w:lineRule="auto"/>
      </w:pPr>
    </w:p>
    <w:p w:rsidR="000C01DA" w:rsidRDefault="000C01DA" w:rsidP="000C01DA">
      <w:pPr>
        <w:spacing w:line="240" w:lineRule="auto"/>
      </w:pPr>
    </w:p>
    <w:p w:rsidR="000C01DA" w:rsidRDefault="000C01DA" w:rsidP="000C01DA">
      <w:pPr>
        <w:spacing w:line="240" w:lineRule="auto"/>
      </w:pPr>
    </w:p>
    <w:p w:rsidR="000C01DA" w:rsidRDefault="000C01DA" w:rsidP="000C01DA">
      <w:pPr>
        <w:spacing w:line="240" w:lineRule="auto"/>
        <w:sectPr w:rsidR="000C01DA" w:rsidSect="007161EC">
          <w:footerReference w:type="default" r:id="rId91"/>
          <w:pgSz w:w="12240" w:h="15840" w:code="1"/>
          <w:pgMar w:top="1440" w:right="1440" w:bottom="1440" w:left="2304" w:header="720" w:footer="720" w:gutter="0"/>
          <w:pgNumType w:fmt="lowerRoman" w:start="4"/>
          <w:cols w:space="720"/>
          <w:docGrid w:linePitch="360"/>
        </w:sectPr>
      </w:pPr>
      <w:r>
        <w:br w:type="page"/>
      </w:r>
    </w:p>
    <w:p w:rsidR="00535EB5" w:rsidRDefault="00226774" w:rsidP="00DD056E">
      <w:pPr>
        <w:pStyle w:val="Title"/>
      </w:pPr>
      <w:r>
        <w:lastRenderedPageBreak/>
        <w:t>Chapter 1</w:t>
      </w:r>
      <w:r w:rsidR="009245C5" w:rsidRPr="000F56FF">
        <w:t>:</w:t>
      </w:r>
      <w:bookmarkEnd w:id="2"/>
      <w:bookmarkEnd w:id="3"/>
      <w:r w:rsidR="006A26A5" w:rsidRPr="006A26A5">
        <w:t xml:space="preserve"> Integrated outcrop reservoir characterization, modeling, and simulation of the Jackfork Group at the Baumgartner Quarry area, western Arkansas: Implications to Gulf of Mexico deep-water exploration and production</w:t>
      </w:r>
      <w:r w:rsidR="00835319">
        <w:t>*</w:t>
      </w:r>
    </w:p>
    <w:p w:rsidR="00CE318D" w:rsidRPr="00CE318D" w:rsidRDefault="00CE318D" w:rsidP="00CE318D"/>
    <w:p w:rsidR="006A26A5" w:rsidRDefault="006A26A5" w:rsidP="00F11AB4">
      <w:pPr>
        <w:autoSpaceDE w:val="0"/>
        <w:autoSpaceDN w:val="0"/>
        <w:adjustRightInd w:val="0"/>
        <w:snapToGrid w:val="0"/>
        <w:rPr>
          <w:rFonts w:ascii="Times New Roman" w:hAnsi="Times New Roman"/>
        </w:rPr>
      </w:pPr>
      <w:r w:rsidRPr="006A26A5">
        <w:rPr>
          <w:rFonts w:ascii="Times New Roman" w:hAnsi="Times New Roman"/>
        </w:rPr>
        <w:t>Fuge Zou</w:t>
      </w:r>
      <w:r w:rsidR="004948F3" w:rsidRPr="004948F3">
        <w:rPr>
          <w:rFonts w:ascii="Times New Roman" w:hAnsi="Times New Roman"/>
          <w:vertAlign w:val="superscript"/>
        </w:rPr>
        <w:t>1</w:t>
      </w:r>
      <w:proofErr w:type="gramStart"/>
      <w:r w:rsidR="00176FC4">
        <w:rPr>
          <w:rFonts w:ascii="Times New Roman" w:hAnsi="Times New Roman"/>
          <w:vertAlign w:val="superscript"/>
        </w:rPr>
        <w:t>,2</w:t>
      </w:r>
      <w:proofErr w:type="gramEnd"/>
      <w:r w:rsidRPr="006A26A5">
        <w:rPr>
          <w:rFonts w:ascii="Times New Roman" w:hAnsi="Times New Roman"/>
        </w:rPr>
        <w:t>, Roger Slatt</w:t>
      </w:r>
      <w:r w:rsidR="00995B9C">
        <w:rPr>
          <w:rFonts w:ascii="Times New Roman" w:hAnsi="Times New Roman" w:hint="eastAsia"/>
          <w:vertAlign w:val="superscript"/>
          <w:lang w:eastAsia="zh-CN"/>
        </w:rPr>
        <w:t>1</w:t>
      </w:r>
      <w:r w:rsidRPr="006A26A5">
        <w:rPr>
          <w:rFonts w:ascii="Times New Roman" w:hAnsi="Times New Roman"/>
        </w:rPr>
        <w:t>, Rodrigo Bastidas</w:t>
      </w:r>
      <w:r w:rsidR="00176FC4" w:rsidRPr="00176FC4">
        <w:rPr>
          <w:rFonts w:ascii="Times New Roman" w:hAnsi="Times New Roman"/>
          <w:vertAlign w:val="superscript"/>
        </w:rPr>
        <w:t>2</w:t>
      </w:r>
      <w:r w:rsidRPr="006A26A5">
        <w:rPr>
          <w:rFonts w:ascii="Times New Roman" w:hAnsi="Times New Roman"/>
        </w:rPr>
        <w:t>, Benjamin Ramirez</w:t>
      </w:r>
      <w:r w:rsidR="00176FC4" w:rsidRPr="00176FC4">
        <w:rPr>
          <w:rFonts w:ascii="Times New Roman" w:hAnsi="Times New Roman"/>
          <w:vertAlign w:val="superscript"/>
        </w:rPr>
        <w:t>2</w:t>
      </w:r>
    </w:p>
    <w:p w:rsidR="006A26A5" w:rsidRPr="004948F3" w:rsidRDefault="006A26A5" w:rsidP="004948F3">
      <w:pPr>
        <w:autoSpaceDE w:val="0"/>
        <w:autoSpaceDN w:val="0"/>
        <w:adjustRightInd w:val="0"/>
        <w:snapToGrid w:val="0"/>
        <w:rPr>
          <w:rFonts w:ascii="Times New Roman" w:hAnsi="Times New Roman"/>
        </w:rPr>
      </w:pPr>
      <w:r w:rsidRPr="004948F3">
        <w:rPr>
          <w:rFonts w:ascii="Times New Roman" w:hAnsi="Times New Roman"/>
          <w:vertAlign w:val="superscript"/>
        </w:rPr>
        <w:t>1</w:t>
      </w:r>
      <w:r w:rsidRPr="004948F3">
        <w:rPr>
          <w:rFonts w:ascii="Times New Roman" w:hAnsi="Times New Roman"/>
        </w:rPr>
        <w:t xml:space="preserve">ConocoPhillips School of Geology and Geophysics, University of Oklahoma, Norman, Oklahoma </w:t>
      </w:r>
    </w:p>
    <w:p w:rsidR="006A26A5" w:rsidRDefault="006A26A5" w:rsidP="004948F3">
      <w:pPr>
        <w:autoSpaceDE w:val="0"/>
        <w:autoSpaceDN w:val="0"/>
        <w:adjustRightInd w:val="0"/>
        <w:snapToGrid w:val="0"/>
        <w:rPr>
          <w:rFonts w:ascii="Times New Roman" w:hAnsi="Times New Roman"/>
        </w:rPr>
      </w:pPr>
      <w:r w:rsidRPr="004948F3">
        <w:rPr>
          <w:rFonts w:ascii="Times New Roman" w:hAnsi="Times New Roman"/>
          <w:vertAlign w:val="superscript"/>
        </w:rPr>
        <w:t>2</w:t>
      </w:r>
      <w:r w:rsidR="00176FC4" w:rsidRPr="00176FC4">
        <w:rPr>
          <w:rFonts w:ascii="Times New Roman" w:hAnsi="Times New Roman"/>
        </w:rPr>
        <w:t>Marathon Oil Company, Houston, Texas</w:t>
      </w:r>
    </w:p>
    <w:p w:rsidR="000E7EF9" w:rsidRDefault="000E7EF9" w:rsidP="004948F3">
      <w:pPr>
        <w:autoSpaceDE w:val="0"/>
        <w:autoSpaceDN w:val="0"/>
        <w:adjustRightInd w:val="0"/>
        <w:snapToGrid w:val="0"/>
        <w:rPr>
          <w:rFonts w:ascii="Times New Roman" w:hAnsi="Times New Roman"/>
        </w:rPr>
      </w:pPr>
    </w:p>
    <w:p w:rsidR="00835319" w:rsidRPr="00AD5489" w:rsidRDefault="00835319" w:rsidP="004948F3">
      <w:pPr>
        <w:autoSpaceDE w:val="0"/>
        <w:autoSpaceDN w:val="0"/>
        <w:adjustRightInd w:val="0"/>
        <w:snapToGrid w:val="0"/>
        <w:rPr>
          <w:rFonts w:ascii="Times New Roman" w:hAnsi="Times New Roman"/>
          <w:i/>
          <w:lang w:eastAsia="zh-CN"/>
        </w:rPr>
      </w:pPr>
      <w:r w:rsidRPr="00AD5489">
        <w:rPr>
          <w:rFonts w:ascii="Times New Roman" w:hAnsi="Times New Roman"/>
          <w:i/>
        </w:rPr>
        <w:t xml:space="preserve">*This paper has been published in </w:t>
      </w:r>
      <w:r w:rsidRPr="00AD5489">
        <w:rPr>
          <w:rFonts w:ascii="Times New Roman" w:hAnsi="Times New Roman"/>
          <w:b/>
          <w:i/>
        </w:rPr>
        <w:t>AAPG Bulletin</w:t>
      </w:r>
      <w:r w:rsidRPr="00AD5489">
        <w:rPr>
          <w:rFonts w:ascii="Times New Roman" w:hAnsi="Times New Roman"/>
          <w:i/>
        </w:rPr>
        <w:t>, August, 2012</w:t>
      </w:r>
    </w:p>
    <w:p w:rsidR="00BF11A4" w:rsidRPr="004948F3" w:rsidRDefault="00BF11A4" w:rsidP="004948F3">
      <w:pPr>
        <w:autoSpaceDE w:val="0"/>
        <w:autoSpaceDN w:val="0"/>
        <w:adjustRightInd w:val="0"/>
        <w:snapToGrid w:val="0"/>
        <w:rPr>
          <w:rFonts w:ascii="Times New Roman" w:hAnsi="Times New Roman"/>
          <w:lang w:eastAsia="zh-CN"/>
        </w:rPr>
      </w:pPr>
    </w:p>
    <w:p w:rsidR="002E649B" w:rsidRPr="001E64E5" w:rsidRDefault="00B1709E" w:rsidP="00826191">
      <w:pPr>
        <w:jc w:val="center"/>
        <w:rPr>
          <w:b/>
          <w:sz w:val="28"/>
        </w:rPr>
      </w:pPr>
      <w:r w:rsidRPr="001E64E5">
        <w:rPr>
          <w:b/>
          <w:sz w:val="28"/>
        </w:rPr>
        <w:t>ABSTRACT</w:t>
      </w:r>
    </w:p>
    <w:p w:rsidR="00835319" w:rsidRPr="00835319" w:rsidRDefault="00DC284D" w:rsidP="00835319">
      <w:pPr>
        <w:rPr>
          <w:rFonts w:ascii="Times New Roman" w:hAnsi="Times New Roman"/>
        </w:rPr>
      </w:pPr>
      <w:r>
        <w:rPr>
          <w:rFonts w:ascii="Times New Roman" w:hAnsi="Times New Roman"/>
        </w:rPr>
        <w:tab/>
      </w:r>
      <w:r w:rsidR="00835319" w:rsidRPr="00835319">
        <w:rPr>
          <w:rFonts w:ascii="Times New Roman" w:hAnsi="Times New Roman"/>
        </w:rPr>
        <w:t xml:space="preserve">The lower Pennsylvanian Jackfork Group in Arkansas has been the subject of studies, field trips, and publications for many years because of excellent outcrop exposures of different deep-water architectural elements. This latest study is focused on the Baumgartner Quarry located near Kirby, Arkansas, which exposes a series of vertical walls in three dimensions. This quarry has not been as well documented as other popular exposures, although three-dimensional (3-D) quarry faces exist, and the quarry strata comprise part of a complete 600-m (1970-ft)-thick near-continuous Jackfork stratigraphic sequence not unlike younger deep-water stratigraphic exploration targets in the Gulf of Mexico and elsewhere. Subsurface problems including reservoir </w:t>
      </w:r>
      <w:r w:rsidR="00835319" w:rsidRPr="00835319">
        <w:rPr>
          <w:rFonts w:ascii="Times New Roman" w:hAnsi="Times New Roman"/>
        </w:rPr>
        <w:lastRenderedPageBreak/>
        <w:t>uncertainties and reservoir performance of lobe versus channel-fill deposits are addressed based on our work in the quarry.</w:t>
      </w:r>
    </w:p>
    <w:p w:rsidR="00835319" w:rsidRPr="00835319" w:rsidRDefault="00DC284D" w:rsidP="00835319">
      <w:pPr>
        <w:rPr>
          <w:rFonts w:ascii="Times New Roman" w:hAnsi="Times New Roman"/>
        </w:rPr>
      </w:pPr>
      <w:r>
        <w:rPr>
          <w:rFonts w:ascii="Times New Roman" w:hAnsi="Times New Roman"/>
        </w:rPr>
        <w:tab/>
      </w:r>
      <w:r w:rsidR="00835319" w:rsidRPr="00835319">
        <w:rPr>
          <w:rFonts w:ascii="Times New Roman" w:hAnsi="Times New Roman"/>
        </w:rPr>
        <w:t>A 3-D sequence-stratigraphic model was developed using a correlation of seven measured stratigraphic sections in the quarry. The 180-m (590-ft)-thick quarry strata consist of a lower lowstand systems tract (LST) (lower sandstones) dominated by channel-fill sandstones, overlain by a shaly transgressive systems tract (condensed section), and then by an upper LST (upper sandstones) dominated by sheet or lobe sandstones.</w:t>
      </w:r>
    </w:p>
    <w:p w:rsidR="00835319" w:rsidRPr="00835319" w:rsidRDefault="00DC284D" w:rsidP="00835319">
      <w:pPr>
        <w:rPr>
          <w:rFonts w:ascii="Times New Roman" w:hAnsi="Times New Roman"/>
        </w:rPr>
      </w:pPr>
      <w:r>
        <w:rPr>
          <w:rFonts w:ascii="Times New Roman" w:hAnsi="Times New Roman"/>
        </w:rPr>
        <w:tab/>
      </w:r>
      <w:r w:rsidR="00835319" w:rsidRPr="00835319">
        <w:rPr>
          <w:rFonts w:ascii="Times New Roman" w:hAnsi="Times New Roman"/>
        </w:rPr>
        <w:t xml:space="preserve">This model was translated into an updip against salt field, which is analogous to some deep-water Gulf of Mexico reservoirs. Performance simulation was conducted on the model using </w:t>
      </w:r>
      <w:proofErr w:type="gramStart"/>
      <w:r w:rsidR="00835319" w:rsidRPr="00835319">
        <w:rPr>
          <w:rFonts w:ascii="Times New Roman" w:hAnsi="Times New Roman"/>
        </w:rPr>
        <w:t>a one</w:t>
      </w:r>
      <w:proofErr w:type="gramEnd"/>
      <w:r w:rsidR="00835319" w:rsidRPr="00835319">
        <w:rPr>
          <w:rFonts w:ascii="Times New Roman" w:hAnsi="Times New Roman"/>
        </w:rPr>
        <w:t>-injector water well and two vertical producing wells, one of which was connected to the injector via a channel sandstone and the other of which was offset from the channel sandstone. Results yielded 60% more production from the connected injector-producer pair than from the nonconnected pair. Comparison between the lower (channel-prone) sandstones and the upper (sheet-prone) sandstones revealed that the sheet-prone sandstone is more sustainable, whereas the channel-prone sandstone exhibits a larger drop in production rate during a 10-yr production period.</w:t>
      </w:r>
    </w:p>
    <w:p w:rsidR="008E39CD" w:rsidRPr="008E39CD" w:rsidRDefault="00835319" w:rsidP="00835319">
      <w:pPr>
        <w:rPr>
          <w:rFonts w:ascii="Times New Roman" w:hAnsi="Times New Roman"/>
        </w:rPr>
      </w:pPr>
      <w:r w:rsidRPr="00835319">
        <w:rPr>
          <w:rFonts w:ascii="Times New Roman" w:hAnsi="Times New Roman"/>
        </w:rPr>
        <w:t>These results illustrate the value of 3-D outcrop models for reservoir performance simulation for development planning of deep-water fields with limited data control, such as in the deep-water Gulf of Mexico.</w:t>
      </w:r>
    </w:p>
    <w:p w:rsidR="00DB459D" w:rsidRDefault="00DB459D">
      <w:pPr>
        <w:spacing w:line="240" w:lineRule="auto"/>
        <w:rPr>
          <w:rFonts w:ascii="Times New Roman" w:hAnsi="Times New Roman"/>
        </w:rPr>
      </w:pPr>
      <w:r>
        <w:rPr>
          <w:rFonts w:ascii="Times New Roman" w:hAnsi="Times New Roman"/>
        </w:rPr>
        <w:br w:type="page"/>
      </w:r>
    </w:p>
    <w:p w:rsidR="005562EA" w:rsidRPr="001E64E5" w:rsidRDefault="00B1709E" w:rsidP="00826191">
      <w:pPr>
        <w:jc w:val="center"/>
        <w:rPr>
          <w:b/>
          <w:sz w:val="28"/>
        </w:rPr>
      </w:pPr>
      <w:r w:rsidRPr="001E64E5">
        <w:rPr>
          <w:b/>
          <w:sz w:val="28"/>
        </w:rPr>
        <w:lastRenderedPageBreak/>
        <w:t>INTRODUCTION</w:t>
      </w:r>
    </w:p>
    <w:p w:rsidR="00944E21" w:rsidRPr="00944E21" w:rsidRDefault="00DC284D" w:rsidP="00944E21">
      <w:pPr>
        <w:rPr>
          <w:rFonts w:ascii="Times New Roman" w:hAnsi="Times New Roman"/>
        </w:rPr>
      </w:pPr>
      <w:r>
        <w:rPr>
          <w:rFonts w:ascii="Times New Roman" w:hAnsi="Times New Roman"/>
        </w:rPr>
        <w:tab/>
      </w:r>
      <w:r w:rsidR="00944E21" w:rsidRPr="00944E21">
        <w:rPr>
          <w:rFonts w:ascii="Times New Roman" w:hAnsi="Times New Roman"/>
        </w:rPr>
        <w:t xml:space="preserve">Outcrops play an important function in providing two-dimensional (2-D) and three-dimensional (3-D) geologic models for understanding deep-water reservoir performance prediction (Slatt </w:t>
      </w:r>
      <w:r w:rsidR="00880C6B" w:rsidRPr="00880C6B">
        <w:rPr>
          <w:rFonts w:ascii="Times New Roman" w:hAnsi="Times New Roman"/>
          <w:i/>
        </w:rPr>
        <w:t>et al.</w:t>
      </w:r>
      <w:r w:rsidR="00944E21" w:rsidRPr="00944E21">
        <w:rPr>
          <w:rFonts w:ascii="Times New Roman" w:hAnsi="Times New Roman"/>
        </w:rPr>
        <w:t xml:space="preserve">, 2000b; Larue, 2004; Sullivan </w:t>
      </w:r>
      <w:r w:rsidR="00880C6B" w:rsidRPr="00880C6B">
        <w:rPr>
          <w:rFonts w:ascii="Times New Roman" w:hAnsi="Times New Roman"/>
          <w:i/>
        </w:rPr>
        <w:t>et al.</w:t>
      </w:r>
      <w:r w:rsidR="00944E21" w:rsidRPr="00944E21">
        <w:rPr>
          <w:rFonts w:ascii="Times New Roman" w:hAnsi="Times New Roman"/>
        </w:rPr>
        <w:t xml:space="preserve">, 2004; Stewart </w:t>
      </w:r>
      <w:r w:rsidR="00880C6B" w:rsidRPr="00880C6B">
        <w:rPr>
          <w:rFonts w:ascii="Times New Roman" w:hAnsi="Times New Roman"/>
          <w:i/>
        </w:rPr>
        <w:t>et al.</w:t>
      </w:r>
      <w:r w:rsidR="00944E21" w:rsidRPr="00944E21">
        <w:rPr>
          <w:rFonts w:ascii="Times New Roman" w:hAnsi="Times New Roman"/>
        </w:rPr>
        <w:t xml:space="preserve">, 2008; Jackson </w:t>
      </w:r>
      <w:r w:rsidR="00880C6B" w:rsidRPr="00880C6B">
        <w:rPr>
          <w:rFonts w:ascii="Times New Roman" w:hAnsi="Times New Roman"/>
          <w:i/>
        </w:rPr>
        <w:t>et al.</w:t>
      </w:r>
      <w:r w:rsidR="00944E21" w:rsidRPr="00944E21">
        <w:rPr>
          <w:rFonts w:ascii="Times New Roman" w:hAnsi="Times New Roman"/>
        </w:rPr>
        <w:t xml:space="preserve">, 2009; Sech </w:t>
      </w:r>
      <w:r w:rsidR="00880C6B" w:rsidRPr="00880C6B">
        <w:rPr>
          <w:rFonts w:ascii="Times New Roman" w:hAnsi="Times New Roman"/>
          <w:i/>
        </w:rPr>
        <w:t>et al.</w:t>
      </w:r>
      <w:r w:rsidR="00944E21" w:rsidRPr="00944E21">
        <w:rPr>
          <w:rFonts w:ascii="Times New Roman" w:hAnsi="Times New Roman"/>
        </w:rPr>
        <w:t>, 2009). Three-dimensional outcrop exposures, either horizontally bedded strata or long steeply dipping stratigraphic exposures, provide information that cannot be obtained from subsurface data, even when wells are closely spaced.</w:t>
      </w:r>
    </w:p>
    <w:p w:rsidR="00944E21" w:rsidRPr="00944E21" w:rsidRDefault="00DC284D" w:rsidP="00944E21">
      <w:pPr>
        <w:rPr>
          <w:rFonts w:ascii="Times New Roman" w:hAnsi="Times New Roman"/>
        </w:rPr>
      </w:pPr>
      <w:r>
        <w:rPr>
          <w:rFonts w:ascii="Times New Roman" w:hAnsi="Times New Roman"/>
        </w:rPr>
        <w:tab/>
      </w:r>
      <w:r w:rsidR="00944E21" w:rsidRPr="00944E21">
        <w:rPr>
          <w:rFonts w:ascii="Times New Roman" w:hAnsi="Times New Roman"/>
        </w:rPr>
        <w:t xml:space="preserve">Sullivan </w:t>
      </w:r>
      <w:r w:rsidR="00880C6B" w:rsidRPr="00880C6B">
        <w:rPr>
          <w:rFonts w:ascii="Times New Roman" w:hAnsi="Times New Roman"/>
          <w:i/>
        </w:rPr>
        <w:t>et al.</w:t>
      </w:r>
      <w:r w:rsidR="00944E21" w:rsidRPr="00944E21">
        <w:rPr>
          <w:rFonts w:ascii="Times New Roman" w:hAnsi="Times New Roman"/>
        </w:rPr>
        <w:t xml:space="preserve"> (2004) characterized large and long horizontal outcrops in the Ross Formation in Ireland and Skoorsteenberg Formation in South Africa and integrated bed continuity and connectivity measurements to solve reservoir uncertainties in the early stage of development of the Diana field, Gulf of Mexico. Larue (2004) evaluated different architectures (including variation in area, net to gross, and subseismic thin-bed effects) of multistory and multilateral channelized slope reservoirs for effects on volumes and waterflood recovery. Furthermore, Sech </w:t>
      </w:r>
      <w:r w:rsidR="00880C6B" w:rsidRPr="00880C6B">
        <w:rPr>
          <w:rFonts w:ascii="Times New Roman" w:hAnsi="Times New Roman"/>
          <w:i/>
        </w:rPr>
        <w:t>et al.</w:t>
      </w:r>
      <w:r w:rsidR="00944E21" w:rsidRPr="00944E21">
        <w:rPr>
          <w:rFonts w:ascii="Times New Roman" w:hAnsi="Times New Roman"/>
        </w:rPr>
        <w:t xml:space="preserve"> (2009) and Jackson </w:t>
      </w:r>
      <w:r w:rsidR="00880C6B" w:rsidRPr="00880C6B">
        <w:rPr>
          <w:rFonts w:ascii="Times New Roman" w:hAnsi="Times New Roman"/>
          <w:i/>
        </w:rPr>
        <w:t>et al.</w:t>
      </w:r>
      <w:r w:rsidR="00944E21" w:rsidRPr="00944E21">
        <w:rPr>
          <w:rFonts w:ascii="Times New Roman" w:hAnsi="Times New Roman"/>
        </w:rPr>
        <w:t xml:space="preserve"> (2009) compared the performance of a barrier versus a layer-cake model for a shoreface reservoir to best predict the oil in place and production rate.</w:t>
      </w:r>
    </w:p>
    <w:p w:rsidR="00944E21" w:rsidRPr="00944E21" w:rsidRDefault="00944E21" w:rsidP="00944E21">
      <w:pPr>
        <w:rPr>
          <w:rFonts w:ascii="Times New Roman" w:hAnsi="Times New Roman"/>
        </w:rPr>
      </w:pPr>
      <w:r w:rsidRPr="00944E21">
        <w:rPr>
          <w:rFonts w:ascii="Times New Roman" w:hAnsi="Times New Roman"/>
        </w:rPr>
        <w:t xml:space="preserve">The Pennsylvanian Jackfork Group in Arkansas contains several excellent quarry and roadcut exposures of updip to downdip deep-water facies and architectural elements (Morris, 1971; Jordan </w:t>
      </w:r>
      <w:r w:rsidR="00880C6B" w:rsidRPr="00880C6B">
        <w:rPr>
          <w:rFonts w:ascii="Times New Roman" w:hAnsi="Times New Roman"/>
          <w:i/>
        </w:rPr>
        <w:t>et al.</w:t>
      </w:r>
      <w:r w:rsidRPr="00944E21">
        <w:rPr>
          <w:rFonts w:ascii="Times New Roman" w:hAnsi="Times New Roman"/>
        </w:rPr>
        <w:t xml:space="preserve">, 1991; Slatt </w:t>
      </w:r>
      <w:r w:rsidR="00880C6B" w:rsidRPr="00880C6B">
        <w:rPr>
          <w:rFonts w:ascii="Times New Roman" w:hAnsi="Times New Roman"/>
          <w:i/>
        </w:rPr>
        <w:t>et al.</w:t>
      </w:r>
      <w:r w:rsidRPr="00944E21">
        <w:rPr>
          <w:rFonts w:ascii="Times New Roman" w:hAnsi="Times New Roman"/>
        </w:rPr>
        <w:t xml:space="preserve">, 1997, 2000a, b; Al-Siyabi, 2000; Olariu </w:t>
      </w:r>
      <w:r w:rsidR="00880C6B" w:rsidRPr="00880C6B">
        <w:rPr>
          <w:rFonts w:ascii="Times New Roman" w:hAnsi="Times New Roman"/>
          <w:i/>
        </w:rPr>
        <w:t>et al.</w:t>
      </w:r>
      <w:r w:rsidRPr="00944E21">
        <w:rPr>
          <w:rFonts w:ascii="Times New Roman" w:hAnsi="Times New Roman"/>
        </w:rPr>
        <w:t xml:space="preserve">, 2008). Two such well-known exposures have been the subject of research studies and educational field trips for academia and industry for many years. The first is the 300-m (984-ft)-long upper Jackfork sequence at DeGray Lake Spillway (Slatt </w:t>
      </w:r>
      <w:r w:rsidR="00880C6B" w:rsidRPr="00880C6B">
        <w:rPr>
          <w:rFonts w:ascii="Times New Roman" w:hAnsi="Times New Roman"/>
          <w:i/>
        </w:rPr>
        <w:t>et al.</w:t>
      </w:r>
      <w:r w:rsidRPr="00944E21">
        <w:rPr>
          <w:rFonts w:ascii="Times New Roman" w:hAnsi="Times New Roman"/>
        </w:rPr>
        <w:t xml:space="preserve">, </w:t>
      </w:r>
      <w:r w:rsidRPr="00944E21">
        <w:rPr>
          <w:rFonts w:ascii="Times New Roman" w:hAnsi="Times New Roman"/>
        </w:rPr>
        <w:lastRenderedPageBreak/>
        <w:t xml:space="preserve">2000a, b; Slatt and Stone, 2010, Schlichtemeier 2011). Slatt </w:t>
      </w:r>
      <w:r w:rsidR="00880C6B" w:rsidRPr="00880C6B">
        <w:rPr>
          <w:rFonts w:ascii="Times New Roman" w:hAnsi="Times New Roman"/>
          <w:i/>
        </w:rPr>
        <w:t>et al.</w:t>
      </w:r>
      <w:r w:rsidRPr="00944E21">
        <w:rPr>
          <w:rFonts w:ascii="Times New Roman" w:hAnsi="Times New Roman"/>
        </w:rPr>
        <w:t xml:space="preserve"> (2000b) used several steeply dipping Jackfork Group outcrops and the ground surface in DeGray Lake, Arkansas, to simulate a “reservoir against unconformity topseal” with vertical and horizontal well scenarios.</w:t>
      </w:r>
    </w:p>
    <w:p w:rsidR="00944E21" w:rsidRPr="00944E21" w:rsidRDefault="00DC284D" w:rsidP="00944E21">
      <w:pPr>
        <w:rPr>
          <w:rFonts w:ascii="Times New Roman" w:hAnsi="Times New Roman"/>
        </w:rPr>
      </w:pPr>
      <w:r>
        <w:rPr>
          <w:rFonts w:ascii="Times New Roman" w:hAnsi="Times New Roman"/>
        </w:rPr>
        <w:tab/>
      </w:r>
      <w:r w:rsidR="00944E21" w:rsidRPr="00944E21">
        <w:rPr>
          <w:rFonts w:ascii="Times New Roman" w:hAnsi="Times New Roman"/>
        </w:rPr>
        <w:t xml:space="preserve">The second is Hollywood Quarry (Slatt </w:t>
      </w:r>
      <w:r w:rsidR="00880C6B" w:rsidRPr="00880C6B">
        <w:rPr>
          <w:rFonts w:ascii="Times New Roman" w:hAnsi="Times New Roman"/>
          <w:i/>
        </w:rPr>
        <w:t>et al.</w:t>
      </w:r>
      <w:r w:rsidR="00944E21" w:rsidRPr="00944E21">
        <w:rPr>
          <w:rFonts w:ascii="Times New Roman" w:hAnsi="Times New Roman"/>
        </w:rPr>
        <w:t xml:space="preserve">, 2000a; Goyeneche </w:t>
      </w:r>
      <w:r w:rsidR="00880C6B" w:rsidRPr="00880C6B">
        <w:rPr>
          <w:rFonts w:ascii="Times New Roman" w:hAnsi="Times New Roman"/>
          <w:i/>
        </w:rPr>
        <w:t>et al.</w:t>
      </w:r>
      <w:r w:rsidR="00944E21" w:rsidRPr="00944E21">
        <w:rPr>
          <w:rFonts w:ascii="Times New Roman" w:hAnsi="Times New Roman"/>
        </w:rPr>
        <w:t xml:space="preserve">, 2006), a 400 times 200 times 23–m (1312 times 656 times 75–ft) outcrop, which exhibits deep-water channel and lobe stratigraphy, sealing and nonsealing faults (extensional, thrust, and strike slip), folds, fractures, and injectites. Hollywood Quarry has been documented sufficiently to build 3-D geologic models for simple reservoir performance simulation (Jordan </w:t>
      </w:r>
      <w:r w:rsidR="00880C6B" w:rsidRPr="00880C6B">
        <w:rPr>
          <w:rFonts w:ascii="Times New Roman" w:hAnsi="Times New Roman"/>
          <w:i/>
        </w:rPr>
        <w:t>et al.</w:t>
      </w:r>
      <w:r w:rsidR="00944E21" w:rsidRPr="00944E21">
        <w:rPr>
          <w:rFonts w:ascii="Times New Roman" w:hAnsi="Times New Roman"/>
        </w:rPr>
        <w:t xml:space="preserve">, 1991; Slatt, 2000a). Goyeneche </w:t>
      </w:r>
      <w:r w:rsidR="00880C6B" w:rsidRPr="00880C6B">
        <w:rPr>
          <w:rFonts w:ascii="Times New Roman" w:hAnsi="Times New Roman"/>
          <w:i/>
        </w:rPr>
        <w:t>et al.</w:t>
      </w:r>
      <w:r w:rsidR="00944E21" w:rsidRPr="00944E21">
        <w:rPr>
          <w:rFonts w:ascii="Times New Roman" w:hAnsi="Times New Roman"/>
        </w:rPr>
        <w:t xml:space="preserve"> (2006) and Liceras (2010) characterized and modeled the stratigraphy and structures of the quarry in detail. They then tested reservoir performance of the quarry model from a simple tank model to a more sophisticated model with sealing and nonsealing fault scenarios. The sealing faults with shale barriers resulted in up to 30% reduction of production compared with the simple tank model.</w:t>
      </w:r>
    </w:p>
    <w:p w:rsidR="00944E21" w:rsidRDefault="00DC284D" w:rsidP="00944E21">
      <w:pPr>
        <w:rPr>
          <w:rFonts w:ascii="Times New Roman" w:hAnsi="Times New Roman"/>
        </w:rPr>
      </w:pPr>
      <w:r>
        <w:rPr>
          <w:rFonts w:ascii="Times New Roman" w:hAnsi="Times New Roman"/>
        </w:rPr>
        <w:tab/>
      </w:r>
      <w:r w:rsidR="00944E21" w:rsidRPr="00944E21">
        <w:rPr>
          <w:rFonts w:ascii="Times New Roman" w:hAnsi="Times New Roman"/>
        </w:rPr>
        <w:t>The subject of this article is a less well-known, but equally spectacular, quarry near Kirby, Arkansas, named the Baumgartner Quarry (</w:t>
      </w:r>
      <w:r w:rsidR="005D5100">
        <w:rPr>
          <w:rFonts w:ascii="Times New Roman" w:hAnsi="Times New Roman"/>
        </w:rPr>
        <w:t>Figure 1.1</w:t>
      </w:r>
      <w:r w:rsidR="00944E21" w:rsidRPr="00944E21">
        <w:rPr>
          <w:rFonts w:ascii="Times New Roman" w:hAnsi="Times New Roman"/>
        </w:rPr>
        <w:t>). This quarry is cut into a series of benches oriented perpendicular to the strike of the beds, which comprise 180 m (590 ft) of steeply dipping sandstones and shales, thus providing 3-D exposures along its depositional trend. Duran (2007) completed a basic 3-D geologic model of part of the quarry and built a partial reservoir model. His work provided the foundation for the more detailed model and the accompanying reservoir performance simulation presented in this article.</w:t>
      </w:r>
    </w:p>
    <w:p w:rsidR="00944E21" w:rsidRPr="00944E21" w:rsidRDefault="00DC284D" w:rsidP="00944E21">
      <w:pPr>
        <w:rPr>
          <w:rFonts w:ascii="Times New Roman" w:hAnsi="Times New Roman"/>
        </w:rPr>
      </w:pPr>
      <w:r>
        <w:rPr>
          <w:rFonts w:ascii="Times New Roman" w:hAnsi="Times New Roman"/>
        </w:rPr>
        <w:lastRenderedPageBreak/>
        <w:tab/>
      </w:r>
      <w:r w:rsidR="00944E21" w:rsidRPr="00944E21">
        <w:rPr>
          <w:rFonts w:ascii="Times New Roman" w:hAnsi="Times New Roman"/>
        </w:rPr>
        <w:t>It is particularly significant that this quarry contains both deep-water channel and lobe (sheet) sandstones that can be correlated in three dimensions from different quarry walls. Also, the geometry, orientation, width, and thickness of sheet and channelized sandstone beds can be measured, thus providing the opportunity to build a more sophisticated reservoir model.</w:t>
      </w:r>
    </w:p>
    <w:p w:rsidR="00944E21" w:rsidRPr="00944E21" w:rsidRDefault="00DC284D" w:rsidP="00944E21">
      <w:pPr>
        <w:rPr>
          <w:rFonts w:ascii="Times New Roman" w:hAnsi="Times New Roman"/>
        </w:rPr>
      </w:pPr>
      <w:r>
        <w:rPr>
          <w:rFonts w:ascii="Times New Roman" w:hAnsi="Times New Roman"/>
        </w:rPr>
        <w:tab/>
      </w:r>
      <w:r w:rsidR="00944E21" w:rsidRPr="00944E21">
        <w:rPr>
          <w:rFonts w:ascii="Times New Roman" w:hAnsi="Times New Roman"/>
        </w:rPr>
        <w:t>The strata in the Baumgartner Quarry comprise the middle part of a continuous, easily accessible, 600-m (1970-ft)-thick section of alternating thick packages of sandstone and shale through the entire Jackfork from its basal contact with the Stanley Shale to its upper contact with the Johns Valley Shale (first described by Morris, 1971). This complete sequence is considered an excellent stratigraphic analog to deep-water sequences in the Gulf of Mexico and elsewhere.</w:t>
      </w:r>
    </w:p>
    <w:p w:rsidR="00944E21" w:rsidRPr="00944E21" w:rsidRDefault="00DC284D" w:rsidP="00944E21">
      <w:pPr>
        <w:rPr>
          <w:rFonts w:ascii="Times New Roman" w:hAnsi="Times New Roman"/>
        </w:rPr>
      </w:pPr>
      <w:r>
        <w:rPr>
          <w:rFonts w:ascii="Times New Roman" w:hAnsi="Times New Roman"/>
        </w:rPr>
        <w:tab/>
      </w:r>
      <w:r w:rsidR="00944E21" w:rsidRPr="00944E21">
        <w:rPr>
          <w:rFonts w:ascii="Times New Roman" w:hAnsi="Times New Roman"/>
        </w:rPr>
        <w:t xml:space="preserve">The production performance of channelized versus sheet-prone reservoirs has always been a significant concern of deep-water field development and production in the Gulf of Mexico. Booth </w:t>
      </w:r>
      <w:r w:rsidR="00880C6B" w:rsidRPr="00880C6B">
        <w:rPr>
          <w:rFonts w:ascii="Times New Roman" w:hAnsi="Times New Roman"/>
          <w:i/>
        </w:rPr>
        <w:t>et al.</w:t>
      </w:r>
      <w:r w:rsidR="00944E21" w:rsidRPr="00944E21">
        <w:rPr>
          <w:rFonts w:ascii="Times New Roman" w:hAnsi="Times New Roman"/>
        </w:rPr>
        <w:t xml:space="preserve"> (2000) described the Auger field in Garden Banks, Gulf of Mexico, as a sheet-prone reservoir; production performance was much better than originally expected because of a series of very uniform and continuous sheet sandstones across the Auger salt minibasin. However, channelized reservoirs commonly provide a faster than expected pressure drop because of a lack of aquifer support. Brushy Canyon outcrops have been used to resolve channel compartmentalization in the Ram-Powell field (Kendrick, 2000). A better understanding of the reservoir architectures of channel versus sheet sandstones and their related production performance using outcrops and field data remains an interesting spotlight for the remaining potentially very large global deep-water hydrocarbon resource.</w:t>
      </w:r>
    </w:p>
    <w:p w:rsidR="00944E21" w:rsidRDefault="00DC284D" w:rsidP="00944E21">
      <w:pPr>
        <w:rPr>
          <w:rFonts w:ascii="Times New Roman" w:hAnsi="Times New Roman"/>
        </w:rPr>
      </w:pPr>
      <w:r>
        <w:rPr>
          <w:rFonts w:ascii="Times New Roman" w:hAnsi="Times New Roman"/>
        </w:rPr>
        <w:lastRenderedPageBreak/>
        <w:tab/>
      </w:r>
      <w:r w:rsidR="00944E21" w:rsidRPr="00944E21">
        <w:rPr>
          <w:rFonts w:ascii="Times New Roman" w:hAnsi="Times New Roman"/>
        </w:rPr>
        <w:t>The coexistence of channel and lobe sandstones in the Baumgartner Quarry provides a unique opportunity to compare and contrast their characteristics and simulated reservoir performance. The purpose of this article is to first describe the stratigraphy of the quarry then discuss how a geologic model was built to compare reservoir performance between lobe (sheet) and channel sandstones. Finally, we compare our model and simulations with present Gulf of Mexico deep-water exploration and production examples.</w:t>
      </w:r>
    </w:p>
    <w:p w:rsidR="00944E21" w:rsidRDefault="00944E21" w:rsidP="00944E21">
      <w:pPr>
        <w:rPr>
          <w:rFonts w:ascii="Times New Roman" w:hAnsi="Times New Roman"/>
        </w:rPr>
      </w:pPr>
    </w:p>
    <w:p w:rsidR="00944E21" w:rsidRPr="001E64E5" w:rsidRDefault="00944E21" w:rsidP="00944E21">
      <w:pPr>
        <w:jc w:val="center"/>
        <w:rPr>
          <w:rFonts w:ascii="Times New Roman" w:hAnsi="Times New Roman"/>
          <w:b/>
          <w:sz w:val="28"/>
        </w:rPr>
      </w:pPr>
      <w:r w:rsidRPr="001E64E5">
        <w:rPr>
          <w:rFonts w:ascii="Times New Roman" w:hAnsi="Times New Roman"/>
          <w:b/>
          <w:sz w:val="28"/>
        </w:rPr>
        <w:t>GEOLOGIC SETTING</w:t>
      </w:r>
    </w:p>
    <w:p w:rsidR="00972B2A" w:rsidRDefault="00DC284D" w:rsidP="00B25C13">
      <w:pPr>
        <w:jc w:val="both"/>
        <w:outlineLvl w:val="2"/>
        <w:rPr>
          <w:rFonts w:ascii="Times New Roman" w:hAnsi="Times New Roman"/>
        </w:rPr>
      </w:pPr>
      <w:r>
        <w:rPr>
          <w:rFonts w:ascii="Times New Roman" w:hAnsi="Times New Roman"/>
        </w:rPr>
        <w:tab/>
      </w:r>
      <w:r w:rsidR="00944E21" w:rsidRPr="00944E21">
        <w:rPr>
          <w:rFonts w:ascii="Times New Roman" w:hAnsi="Times New Roman"/>
        </w:rPr>
        <w:t xml:space="preserve">The Jackfork Group in Arkansas has been described in publications by Morris (1971), Graham </w:t>
      </w:r>
      <w:r w:rsidR="00880C6B" w:rsidRPr="00880C6B">
        <w:rPr>
          <w:rFonts w:ascii="Times New Roman" w:hAnsi="Times New Roman"/>
          <w:i/>
        </w:rPr>
        <w:t>et al.</w:t>
      </w:r>
      <w:r w:rsidR="00944E21" w:rsidRPr="00944E21">
        <w:rPr>
          <w:rFonts w:ascii="Times New Roman" w:hAnsi="Times New Roman"/>
        </w:rPr>
        <w:t xml:space="preserve"> (1975), Jordan </w:t>
      </w:r>
      <w:r w:rsidR="00880C6B" w:rsidRPr="00880C6B">
        <w:rPr>
          <w:rFonts w:ascii="Times New Roman" w:hAnsi="Times New Roman"/>
          <w:i/>
        </w:rPr>
        <w:t>et al.</w:t>
      </w:r>
      <w:r w:rsidR="00944E21" w:rsidRPr="00944E21">
        <w:rPr>
          <w:rFonts w:ascii="Times New Roman" w:hAnsi="Times New Roman"/>
        </w:rPr>
        <w:t xml:space="preserve"> (1991), Roberts (1994), Slatt </w:t>
      </w:r>
      <w:r w:rsidR="00880C6B" w:rsidRPr="00880C6B">
        <w:rPr>
          <w:rFonts w:ascii="Times New Roman" w:hAnsi="Times New Roman"/>
          <w:i/>
        </w:rPr>
        <w:t>et al.</w:t>
      </w:r>
      <w:r w:rsidR="00944E21" w:rsidRPr="00944E21">
        <w:rPr>
          <w:rFonts w:ascii="Times New Roman" w:hAnsi="Times New Roman"/>
        </w:rPr>
        <w:t xml:space="preserve"> (2000a) and others, so is not repeated here in any detail. It is part of the Ouachita Mountain fold and thrust belt (</w:t>
      </w:r>
      <w:r w:rsidR="005D5100">
        <w:rPr>
          <w:rFonts w:ascii="Times New Roman" w:hAnsi="Times New Roman"/>
        </w:rPr>
        <w:t>Figure 1.1</w:t>
      </w:r>
      <w:r w:rsidR="00944E21" w:rsidRPr="00944E21">
        <w:rPr>
          <w:rFonts w:ascii="Times New Roman" w:hAnsi="Times New Roman"/>
        </w:rPr>
        <w:t xml:space="preserve">) and is exposed along several high-angle imbricate thrust sheets generated by collision of North and South American plates during the Late Pennsylvanian–Permian Ouachita orogeny. Balanced reconstruction work implies that the Ouachita fold and thrust belt has been through a positive tectonic inversion process like many other exposed turbidite-rich foreland basins in the world (Ingersoll </w:t>
      </w:r>
      <w:r w:rsidR="00880C6B" w:rsidRPr="00880C6B">
        <w:rPr>
          <w:rFonts w:ascii="Times New Roman" w:hAnsi="Times New Roman"/>
          <w:i/>
        </w:rPr>
        <w:t>et al.</w:t>
      </w:r>
      <w:r w:rsidR="00944E21" w:rsidRPr="00944E21">
        <w:rPr>
          <w:rFonts w:ascii="Times New Roman" w:hAnsi="Times New Roman"/>
        </w:rPr>
        <w:t xml:space="preserve">, 2003; Suneson </w:t>
      </w:r>
      <w:r w:rsidR="00880C6B" w:rsidRPr="00880C6B">
        <w:rPr>
          <w:rFonts w:ascii="Times New Roman" w:hAnsi="Times New Roman"/>
          <w:i/>
        </w:rPr>
        <w:t>et al.</w:t>
      </w:r>
      <w:r w:rsidR="00944E21" w:rsidRPr="00944E21">
        <w:rPr>
          <w:rFonts w:ascii="Times New Roman" w:hAnsi="Times New Roman"/>
        </w:rPr>
        <w:t>, 2008). In the Early Pennsylvanian (Morrowan), Jackfork sediments were sourced from the north, south, and northeast and deposited in the west-east–trending Ouachita Basin (</w:t>
      </w:r>
      <w:r w:rsidR="005D5100">
        <w:rPr>
          <w:rFonts w:ascii="Times New Roman" w:hAnsi="Times New Roman"/>
        </w:rPr>
        <w:t>Figure 1.2</w:t>
      </w:r>
      <w:r w:rsidR="00944E21" w:rsidRPr="00944E21">
        <w:rPr>
          <w:rFonts w:ascii="Times New Roman" w:hAnsi="Times New Roman"/>
        </w:rPr>
        <w:t xml:space="preserve">). Sequence-stratigraphic analysis indicates that the Jackfork was deposited during a second-order relative sea level cycle beginning about 320 Ma with a major global drop of sea level; several third- and probably fourth-order sequences are superimposed (Slatt </w:t>
      </w:r>
      <w:r w:rsidR="00880C6B" w:rsidRPr="00880C6B">
        <w:rPr>
          <w:rFonts w:ascii="Times New Roman" w:hAnsi="Times New Roman"/>
          <w:i/>
        </w:rPr>
        <w:t>et al.</w:t>
      </w:r>
      <w:r w:rsidR="00944E21" w:rsidRPr="00944E21">
        <w:rPr>
          <w:rFonts w:ascii="Times New Roman" w:hAnsi="Times New Roman"/>
        </w:rPr>
        <w:t>, 2000a).</w:t>
      </w:r>
    </w:p>
    <w:p w:rsidR="00972B2A" w:rsidRDefault="00DC284D" w:rsidP="00B25C13">
      <w:pPr>
        <w:jc w:val="both"/>
        <w:outlineLvl w:val="2"/>
        <w:rPr>
          <w:rFonts w:ascii="Times New Roman" w:hAnsi="Times New Roman"/>
        </w:rPr>
      </w:pPr>
      <w:r>
        <w:rPr>
          <w:rFonts w:ascii="Times New Roman" w:hAnsi="Times New Roman"/>
        </w:rPr>
        <w:lastRenderedPageBreak/>
        <w:tab/>
      </w:r>
      <w:r w:rsidR="00826191" w:rsidRPr="00826191">
        <w:rPr>
          <w:rFonts w:ascii="Times New Roman" w:hAnsi="Times New Roman"/>
        </w:rPr>
        <w:t>The 600 m (1970 ft) of Jackfork strata along the Highway 27 roadcut are composed of (1) the lower Jackfork (includes roadcuts 01 and 02); (2) the middle Jackfork (includes roadcuts 03 and 04 and Baumgartner Quarry); and (3) the upper Jackfork (includes roadcut 05) (</w:t>
      </w:r>
      <w:r w:rsidR="005D5100">
        <w:rPr>
          <w:rFonts w:ascii="Times New Roman" w:hAnsi="Times New Roman"/>
        </w:rPr>
        <w:t>Figure 1.3</w:t>
      </w:r>
      <w:r w:rsidR="00826191" w:rsidRPr="00826191">
        <w:rPr>
          <w:rFonts w:ascii="Times New Roman" w:hAnsi="Times New Roman"/>
        </w:rPr>
        <w:t>).</w:t>
      </w:r>
    </w:p>
    <w:p w:rsidR="007D76A6" w:rsidRDefault="00DC284D" w:rsidP="005562EA">
      <w:r>
        <w:tab/>
      </w:r>
      <w:r w:rsidR="00F969A5" w:rsidRPr="00F969A5">
        <w:t xml:space="preserve">Locally, the 180 m (590 ft) of strata exposed at the Baumgartner Quarry strike northeast 70 to 75deg and dip 65 to 75deg south (Figures 3, 4). These strata are divided into three sequences: (1) 50 m (164 ft) of “lower sandstones,” (2) 30 m (98 ft) of “middle shale,” and (3) 100 m (328 ft) of “upper sandstones.” For descriptive purposes, the following names are used to define and discuss strata comprising the benches within the quarry. Lower sandstones = face 1, face 2, and face 3. Upper sandstones = face 2, face 3, face 4, and face 5. Duran (2007) described many of these faces. However, newer faces have been cut back 15 to 45 m (49–148 ft) since his work, adding more three </w:t>
      </w:r>
      <w:proofErr w:type="gramStart"/>
      <w:r w:rsidR="00F969A5" w:rsidRPr="00F969A5">
        <w:t>dimensionality</w:t>
      </w:r>
      <w:proofErr w:type="gramEnd"/>
      <w:r w:rsidR="00F969A5" w:rsidRPr="00F969A5">
        <w:t xml:space="preserve"> to our geologic model (</w:t>
      </w:r>
      <w:r w:rsidR="005D5100">
        <w:t>Figure 1.4</w:t>
      </w:r>
      <w:r w:rsidR="00F969A5" w:rsidRPr="00F969A5">
        <w:t>).</w:t>
      </w:r>
    </w:p>
    <w:p w:rsidR="00F969A5" w:rsidRDefault="00F969A5" w:rsidP="005562EA"/>
    <w:p w:rsidR="00F969A5" w:rsidRPr="001E64E5" w:rsidRDefault="00F969A5" w:rsidP="00F969A5">
      <w:pPr>
        <w:jc w:val="center"/>
        <w:rPr>
          <w:b/>
          <w:sz w:val="28"/>
        </w:rPr>
      </w:pPr>
      <w:r w:rsidRPr="001E64E5">
        <w:rPr>
          <w:b/>
          <w:sz w:val="28"/>
        </w:rPr>
        <w:t>FACIES DEFINITION</w:t>
      </w:r>
    </w:p>
    <w:p w:rsidR="00F969A5" w:rsidRDefault="00DC284D" w:rsidP="00F969A5">
      <w:r>
        <w:tab/>
      </w:r>
      <w:r w:rsidR="00F969A5">
        <w:t xml:space="preserve">The lower sandstones, middle shale, and upper sandstones were described along several transects at 0.3-m (1-ft) intervals. The Bouma sequence terminology was used to describe the lithofacies. The lithofacies were then integrated with architectural facies and hierarchy provided by Bouma (2000), Slatt </w:t>
      </w:r>
      <w:r w:rsidR="00880C6B" w:rsidRPr="00880C6B">
        <w:rPr>
          <w:i/>
        </w:rPr>
        <w:t>et al.</w:t>
      </w:r>
      <w:r w:rsidR="00F969A5">
        <w:t xml:space="preserve"> (2000a), and Campion </w:t>
      </w:r>
      <w:r w:rsidR="00880C6B" w:rsidRPr="00880C6B">
        <w:rPr>
          <w:i/>
        </w:rPr>
        <w:t>et al.</w:t>
      </w:r>
      <w:r w:rsidR="00F969A5">
        <w:t xml:space="preserve"> (2003).</w:t>
      </w:r>
    </w:p>
    <w:p w:rsidR="00C10BCE" w:rsidRDefault="00DC284D" w:rsidP="00F969A5">
      <w:r>
        <w:tab/>
      </w:r>
      <w:r w:rsidR="00F969A5">
        <w:t>Seven interpretive architectural facies were defined (</w:t>
      </w:r>
      <w:r w:rsidR="005D5100">
        <w:t>Figure 1.5</w:t>
      </w:r>
      <w:r w:rsidR="00F969A5">
        <w:t xml:space="preserve">): channel-fill sandstone, </w:t>
      </w:r>
      <w:r w:rsidR="00FD77B9">
        <w:t>channelized sheet sandstone (weekly confined sandstone)</w:t>
      </w:r>
      <w:r w:rsidR="00F969A5">
        <w:t>, amalgamated sheet sandstone, layered sheet sandstone, thin-bedded sandstone and shale, parallel-</w:t>
      </w:r>
      <w:r w:rsidR="00F969A5">
        <w:lastRenderedPageBreak/>
        <w:t>laminated shale, and muddy debris-flow deposits. These facies are described below and in more detail by Zou (2010).</w:t>
      </w:r>
    </w:p>
    <w:p w:rsidR="00F969A5" w:rsidRDefault="00F969A5" w:rsidP="00F969A5">
      <w:r>
        <w:t>Channel-fill sandstone is lenticular and exhibits scour surfaces, flute structures, soft-sediment deformation features, and tool marks. Shale clasts occur at the bases of individual beds. Grain size ranges from medium to coarse sand (0.2–0.8 mm). The thickness of a single bed ranges between 0.3 and 2.1 m (1–7 ft). Petrographic analysis indicates about 2% mud matrix and 98% quartz.</w:t>
      </w:r>
    </w:p>
    <w:p w:rsidR="00F969A5" w:rsidRDefault="00DC284D" w:rsidP="00F969A5">
      <w:r>
        <w:tab/>
      </w:r>
      <w:r w:rsidR="00FD77B9">
        <w:t>Channelized sheet sandstone (weekly confined sandstone)</w:t>
      </w:r>
      <w:r w:rsidR="00F969A5">
        <w:t xml:space="preserve"> is a transition facies between channel and sheet sandstones. It exhibits a sheetlike geometry in outcrop and contains flute structures and irregular scoured bases. It has an aspect ratio (width/height ratio) between that of the typical channel-fill sandstone (lt100:1) and sheet sandstone (gt500:1). Grain size ranges from fine to coarse sand (0.2–0.6 mm). The single-bed thickness is 0.06 to 3 m (0.2–10 ft) and amalgamated intervals are up to 6 m (20 ft) thick. Petrographic analysis indicates about 5% mud matrix and 95% quartz.</w:t>
      </w:r>
    </w:p>
    <w:p w:rsidR="00F969A5" w:rsidRDefault="00DC284D" w:rsidP="00F969A5">
      <w:r>
        <w:tab/>
      </w:r>
      <w:r w:rsidR="00F969A5">
        <w:t>Amalgamated sheet sandstone is laterally continuous and tabular in outcrop. Internal features include thick massive Bouma Ta beds with amalgamation surfaces. The beds are commonly flat based with minor or no flute structures. Grain size ranges from fine to medium sand (0.1–0.4 mm). The thickness is 0.15 to 0.6 m (0.49–2 ft) for single beds and 3 to 10 m (10–33 ft) for amalgamated bedsets. Petrographic analysis indicates more than 90 to 95% quartz.</w:t>
      </w:r>
    </w:p>
    <w:p w:rsidR="00F969A5" w:rsidRDefault="00DC284D" w:rsidP="00F969A5">
      <w:r>
        <w:tab/>
      </w:r>
      <w:r w:rsidR="00F969A5">
        <w:t xml:space="preserve">Layered sheet sandstone consists of thin-bedded sandstones with thin shale intervals. The beds are generally flat based and lack flute structures. Grain size ranges from very fine to fine-grained sandstone (0.05–0.3 mm). Individual sandstone beds are </w:t>
      </w:r>
      <w:r w:rsidR="00F969A5">
        <w:lastRenderedPageBreak/>
        <w:t>0.03 to 0.15 m (0.1–0.49 ft) thick. The net sand is relatively low (50–80%) because of the interbedded shale.</w:t>
      </w:r>
    </w:p>
    <w:p w:rsidR="00F969A5" w:rsidRDefault="00DC284D" w:rsidP="00F969A5">
      <w:r>
        <w:tab/>
      </w:r>
      <w:r w:rsidR="00F969A5">
        <w:t>Interbedded thin-bedded sandstone and shale lithofacies is common. Grain size is silt to very fine sandstone (0.02–0.2 mm). Individual sandstone beds are 0.03 to 0.12 m (0.1–0.4 ft) thick and the net sand is low (20–60%). Multiple possible origins include levees, abandonment channels, and distal fans.</w:t>
      </w:r>
    </w:p>
    <w:p w:rsidR="00F969A5" w:rsidRDefault="00F969A5" w:rsidP="00F969A5">
      <w:r>
        <w:t>Parallel-laminated shale is also common and could represent basin floor shale as well as condensed sections.</w:t>
      </w:r>
    </w:p>
    <w:p w:rsidR="00C6705B" w:rsidRDefault="00DC284D" w:rsidP="00F969A5">
      <w:r>
        <w:tab/>
      </w:r>
      <w:r w:rsidR="00F969A5">
        <w:t>Debris-flow lithofacies occurs as either massive or contorted shale matrix with contained sandstone blocks. This lithofacies is associated with both channelized and basin-floor deposits. When associated with channel deposits, it is the product of erosional collapse. When associated with basin-floor deposits, this lithofacies tends to be more of a slurry bed with a high sand content.</w:t>
      </w:r>
    </w:p>
    <w:p w:rsidR="00F969A5" w:rsidRDefault="00F969A5" w:rsidP="00F969A5"/>
    <w:p w:rsidR="00F969A5" w:rsidRPr="001E64E5" w:rsidRDefault="00F969A5" w:rsidP="00F969A5">
      <w:pPr>
        <w:jc w:val="center"/>
        <w:rPr>
          <w:b/>
          <w:sz w:val="28"/>
        </w:rPr>
      </w:pPr>
      <w:r w:rsidRPr="001E64E5">
        <w:rPr>
          <w:b/>
          <w:sz w:val="28"/>
        </w:rPr>
        <w:t>STRATIGRAPHY AND ARCHITECTURAL ELEMENTS</w:t>
      </w:r>
    </w:p>
    <w:p w:rsidR="00F969A5" w:rsidRPr="00F969A5" w:rsidRDefault="00F969A5" w:rsidP="00F969A5">
      <w:pPr>
        <w:rPr>
          <w:b/>
        </w:rPr>
      </w:pPr>
      <w:r w:rsidRPr="00F969A5">
        <w:rPr>
          <w:b/>
        </w:rPr>
        <w:t>Lower Sandstones</w:t>
      </w:r>
    </w:p>
    <w:p w:rsidR="00F969A5" w:rsidRDefault="00DC284D" w:rsidP="00F969A5">
      <w:r>
        <w:tab/>
      </w:r>
      <w:r w:rsidR="00F969A5">
        <w:t>The lower sandstones are mainly composed of a series of channelized Bouma Ta sandstone beds separated by Bouma Tc and Td beds (</w:t>
      </w:r>
      <w:r w:rsidR="005D5100">
        <w:t>Figure 1.6</w:t>
      </w:r>
      <w:r w:rsidR="00F969A5">
        <w:t xml:space="preserve">A). Common sedimentary features in the sandstones include shale clasts, tool marks, flute marks, load structures, cross beds, and scour surfaces. Larger features include erosional megaflutes (Elliott, 2000; Pyles, 2008; Kane </w:t>
      </w:r>
      <w:r w:rsidR="00880C6B" w:rsidRPr="00880C6B">
        <w:rPr>
          <w:i/>
        </w:rPr>
        <w:t>et al.</w:t>
      </w:r>
      <w:r w:rsidR="00F969A5">
        <w:t>, 2009) (</w:t>
      </w:r>
      <w:r w:rsidR="005D5100">
        <w:t>Figure 1.7</w:t>
      </w:r>
      <w:r w:rsidR="00F969A5">
        <w:t>A1, A2), irregular bed bases, and compensation stacking patterns. Muddy debris-flow deposits are also present (</w:t>
      </w:r>
      <w:r w:rsidR="005D5100">
        <w:t>Figure 1.7</w:t>
      </w:r>
      <w:r w:rsidR="00F969A5">
        <w:t xml:space="preserve">B) at face 2_lower (2 m [6.6 ft] thick), face 1, and are more than 5 m (16.4 </w:t>
      </w:r>
      <w:r w:rsidR="00F969A5">
        <w:lastRenderedPageBreak/>
        <w:t>ft) thick at face 2 and face 3. Sandy, massive, medium-grained, siderite-cemented slump blocks, which are petrographically similar to underlying channel-fill sandstones, occur in the muddy matrix. Some of the discontinuous Bouma Tc-Td beds are interpreted as levee deposits associated with the channel sandstones, whereas fewer Bouma Tc-Td beds are interbedded with tabular Bouma Ta beds (</w:t>
      </w:r>
      <w:r w:rsidR="005D5100">
        <w:t>Figure 1.6</w:t>
      </w:r>
      <w:r w:rsidR="00F969A5">
        <w:t xml:space="preserve">C). Structurally corrected paleoflow directions on several flutes range from 290 to 330deg </w:t>
      </w:r>
      <w:proofErr w:type="gramStart"/>
      <w:r w:rsidR="00F969A5">
        <w:t>Az</w:t>
      </w:r>
      <w:proofErr w:type="gramEnd"/>
      <w:r w:rsidR="00F969A5">
        <w:t xml:space="preserve"> for some of the channel-fill sandstones and 65 to 75degAz for </w:t>
      </w:r>
      <w:r w:rsidR="00FD77B9">
        <w:t xml:space="preserve">channelized sheet sandstone </w:t>
      </w:r>
      <w:r w:rsidR="00A7071C">
        <w:t>(weekly confined sandstone)</w:t>
      </w:r>
      <w:r w:rsidR="00F969A5">
        <w:t>.</w:t>
      </w:r>
    </w:p>
    <w:p w:rsidR="00F969A5" w:rsidRDefault="00DC284D" w:rsidP="00F969A5">
      <w:r>
        <w:tab/>
      </w:r>
      <w:r w:rsidR="00CF7983" w:rsidRPr="00CF7983">
        <w:t xml:space="preserve">According to the hierarchy system by Campion </w:t>
      </w:r>
      <w:r w:rsidR="00880C6B" w:rsidRPr="00880C6B">
        <w:rPr>
          <w:i/>
        </w:rPr>
        <w:t>et al.</w:t>
      </w:r>
      <w:r w:rsidR="00CF7983" w:rsidRPr="00CF7983">
        <w:t xml:space="preserve"> (2003), the entire lower sandstone section is interpreted as a weakly confined and retrogradational channel complex that consists of at least three possible channel fills. The first channel fill is located from 0 to 10 m (0–33 ft), with two to three stories in between. It is overlain by a 5- to 7-m (16.4- to 23-ft)-thick muddy debris-flow deposit, then another compensationally stacked channel fill from 12 to 26 m (39–85 ft). This second channel fill is followed by a 1-m (3.3-ft)-thick shale drape and a 2-m (6.6-ft)-thick tabular sandstone package. The third channel was cut into the tabular sandstones with retrogradational patterns from 30 to 45 m (98–148 ft). The aspect ratio (width/thickness) of single-story channelized sandstones decreases from channel fill 1 to channel fill 3.</w:t>
      </w:r>
    </w:p>
    <w:p w:rsidR="00CF7983" w:rsidRDefault="00CF7983" w:rsidP="00F969A5"/>
    <w:p w:rsidR="00CF7983" w:rsidRPr="00CF7983" w:rsidRDefault="00CF7983" w:rsidP="00CF7983">
      <w:pPr>
        <w:rPr>
          <w:b/>
        </w:rPr>
      </w:pPr>
      <w:r w:rsidRPr="00CF7983">
        <w:rPr>
          <w:b/>
        </w:rPr>
        <w:t>Middle Shale</w:t>
      </w:r>
    </w:p>
    <w:p w:rsidR="00CF7983" w:rsidRDefault="00DC284D" w:rsidP="00CF7983">
      <w:r>
        <w:tab/>
      </w:r>
      <w:r w:rsidR="00CF7983">
        <w:t xml:space="preserve">This 30-m (98-ft)-thick shale separates the lower sandstones from the upper sandstones. It is dark brown to black and finely laminated. The upper part of the shale </w:t>
      </w:r>
      <w:r w:rsidR="00CF7983">
        <w:lastRenderedPageBreak/>
        <w:t>contains large, detached, floating blocks of sandstone that are similar in appearance to the underlying lower sandstones. The middle shale is considered a marine condensed section because of its thickness, uniform lithology, and high gamma-ray API values. The detached blocks near the top of the shale may be the product of slumping of slope strata during initiation of a sea level drop.</w:t>
      </w:r>
    </w:p>
    <w:p w:rsidR="00CF7983" w:rsidRDefault="00CF7983" w:rsidP="00CF7983"/>
    <w:p w:rsidR="00CF7983" w:rsidRPr="00CF7983" w:rsidRDefault="00CF7983" w:rsidP="00CF7983">
      <w:pPr>
        <w:rPr>
          <w:b/>
        </w:rPr>
      </w:pPr>
      <w:r w:rsidRPr="00CF7983">
        <w:rPr>
          <w:b/>
        </w:rPr>
        <w:t>Upper Sandstones</w:t>
      </w:r>
    </w:p>
    <w:p w:rsidR="00CF7983" w:rsidRDefault="00DC284D" w:rsidP="00CF7983">
      <w:r>
        <w:tab/>
      </w:r>
      <w:r w:rsidR="00CF7983">
        <w:t>The upper sandstones are dominated by tabular Bouma Ta sandstones interbedded with a 5-m (16.4-ft)-thick dark shale (Bouma Te) and several other thinner shaly Bouma Td beds (</w:t>
      </w:r>
      <w:r w:rsidR="005D5100">
        <w:t>Figure 1.8</w:t>
      </w:r>
      <w:r w:rsidR="00CF7983">
        <w:t>A). The upper sandstones are interpreted as a series of stacked, amalgamated, and layered sheet sandstones (</w:t>
      </w:r>
      <w:r w:rsidR="005D5100">
        <w:t>Figure 1.8</w:t>
      </w:r>
      <w:r w:rsidR="00CF7983">
        <w:t>C). The upper part of the upper sandstones consists of thick amalgamated sheet sandstones with several channel-fill sandstones at the top.</w:t>
      </w:r>
    </w:p>
    <w:p w:rsidR="00CF7983" w:rsidRDefault="00DC284D" w:rsidP="00F969A5">
      <w:r>
        <w:tab/>
      </w:r>
      <w:r w:rsidR="00CF7983" w:rsidRPr="00CF7983">
        <w:t xml:space="preserve">Flute marks in the upper sandstones indicate flow from the northeast to the southwest at 60 to 80deg </w:t>
      </w:r>
      <w:proofErr w:type="gramStart"/>
      <w:r w:rsidR="00CF7983" w:rsidRPr="00CF7983">
        <w:t>Az</w:t>
      </w:r>
      <w:proofErr w:type="gramEnd"/>
      <w:r w:rsidR="00CF7983" w:rsidRPr="00CF7983">
        <w:t xml:space="preserve"> (</w:t>
      </w:r>
      <w:r w:rsidR="005D5100">
        <w:t>Figure 1.9</w:t>
      </w:r>
      <w:r w:rsidR="00CF7983" w:rsidRPr="00CF7983">
        <w:t xml:space="preserve">A). This is different from the paleoflow directions in the lower sandstones, probably because they represent two different architectural elements. The main transport direction of strata within the Ouachita Basin in the Early Pennsylvanian was mainly from north-northeast to west-southwest (Slatt </w:t>
      </w:r>
      <w:r w:rsidR="00880C6B" w:rsidRPr="00880C6B">
        <w:rPr>
          <w:i/>
        </w:rPr>
        <w:t>et al.</w:t>
      </w:r>
      <w:r w:rsidR="00CF7983" w:rsidRPr="00CF7983">
        <w:t xml:space="preserve">, 2000a), which coincides with the sheet-prone upper sandstones and some parts of </w:t>
      </w:r>
      <w:r w:rsidR="00FD77B9">
        <w:t xml:space="preserve">channelized sheet sandstone </w:t>
      </w:r>
      <w:r w:rsidR="00A7071C">
        <w:t>(weekly confined sandstone)</w:t>
      </w:r>
      <w:r w:rsidR="00CF7983" w:rsidRPr="00CF7983">
        <w:t xml:space="preserve"> in the lower sandstones. The northwest-southeast flow direction measured in the channel-fill sandstone in the lower sandstones is probably a more local feature caused by channel stacking and/or sinuosity.</w:t>
      </w:r>
    </w:p>
    <w:p w:rsidR="00CF7983" w:rsidRDefault="00DC284D" w:rsidP="00CF7983">
      <w:r>
        <w:lastRenderedPageBreak/>
        <w:tab/>
      </w:r>
      <w:r w:rsidR="00CF7983">
        <w:t>Debris-flow deposits within the upper sandstones are thinner and sandier than those in the lower sandstones (</w:t>
      </w:r>
      <w:r w:rsidR="005D5100">
        <w:t>Figure 1.9</w:t>
      </w:r>
      <w:r w:rsidR="00CF7983">
        <w:t xml:space="preserve">B). Thicknesses range from 0.3 to 0.5 m (1–1.6 ft) over a very short distance. These beds are interpreted as having formed by local autocyclic processes (Weimer and Slatt, 2006). Sandy slurry beds are believed to be more common in a more distal environment (Lowe </w:t>
      </w:r>
      <w:r w:rsidR="00880C6B" w:rsidRPr="00880C6B">
        <w:rPr>
          <w:i/>
        </w:rPr>
        <w:t>et al.</w:t>
      </w:r>
      <w:r w:rsidR="00CF7983">
        <w:t>, 2003; and evidence of common slurry beds in Cascade reservoir cores in Walker Ridge, Gulf of Mexico). In the uppermost part of the section (75–95 m [246–312 ft]), channel-fill sandstones, levee deposits, and channel-margin facies exhibit sand-on-sand contacts along the interpreted channel axis, whereas the interpreted channel margin contains a shale drape between channel sandstones (</w:t>
      </w:r>
      <w:r w:rsidR="005D5100">
        <w:t>Figure 1.9</w:t>
      </w:r>
      <w:r w:rsidR="00CF7983">
        <w:t>C, D). These figures show a thick interval (gt3 m) of debris-flow deposits overlain by a channel-levee complex. The whole quarry wall was cut farther east by more than 10 m (gt33 ft) in a 3-month period, which revealed along-strike lateral discontinuity over a short distance.</w:t>
      </w:r>
    </w:p>
    <w:p w:rsidR="00CF7983" w:rsidRDefault="00DC284D" w:rsidP="00CF7983">
      <w:r>
        <w:tab/>
      </w:r>
      <w:r w:rsidR="00CF7983">
        <w:t>More sheet-prone distal sandstone facies and shale in the upper sandstones suggest that the depositional environment was relatively farther downdip than that of the lower sandstones. The section from 0 to 70 m (0–230 ft) is interpreted as three separate basin-floor fan deposits. The overlying section is interpreted as possible prograding channel-fan complex with a muddy debris-flow deposit on top.</w:t>
      </w:r>
    </w:p>
    <w:p w:rsidR="00CF7983" w:rsidRDefault="00CF7983" w:rsidP="00F969A5"/>
    <w:p w:rsidR="00CF7983" w:rsidRPr="001E64E5" w:rsidRDefault="00CF7983" w:rsidP="00CF7983">
      <w:pPr>
        <w:jc w:val="center"/>
        <w:rPr>
          <w:b/>
          <w:sz w:val="28"/>
        </w:rPr>
      </w:pPr>
      <w:r w:rsidRPr="001E64E5">
        <w:rPr>
          <w:b/>
          <w:sz w:val="28"/>
        </w:rPr>
        <w:t>DEPOSITIONAL MODEL</w:t>
      </w:r>
    </w:p>
    <w:p w:rsidR="00CF7983" w:rsidRDefault="00DC284D" w:rsidP="00CF7983">
      <w:r>
        <w:tab/>
      </w:r>
      <w:r w:rsidR="005D5100">
        <w:t>Figure 1.1</w:t>
      </w:r>
      <w:r w:rsidR="00CF7983">
        <w:t xml:space="preserve">0A summarizes the interpreted architectural facies of the Jackfork Group in the Baumgartner Quarry. The vertical facies stacking of sheet sandstones on top of channel sandstones in the lower sandstones indicates a shift of depositional </w:t>
      </w:r>
      <w:r w:rsidR="00CF7983">
        <w:lastRenderedPageBreak/>
        <w:t>environment from channels to sheets caused by retrogradation or lateral avulsion. Retrogradation continued with deposition of the thick middle shale (condensed section), which can also be interpreted as complete avulsion and decrease of sand into this area (not very likely for a 30-m [98-ft]-thick shale in the Jackfork Group). In the upper sandstones, channel-fill sandstones with slump deposits stacked above sheet sandstones are caused by progradation of more proximal channel sandstones over more distal sheet deposits.</w:t>
      </w:r>
    </w:p>
    <w:p w:rsidR="00CF7983" w:rsidRDefault="00DC284D" w:rsidP="00CF7983">
      <w:r>
        <w:tab/>
      </w:r>
      <w:r w:rsidR="005D5100">
        <w:t>Figure 1.1</w:t>
      </w:r>
      <w:r w:rsidR="00CF7983">
        <w:t>0B shows a stratigraphic model closer to the size of a deep-water reservoir (sim2 times 2 km [sim1.2 times 1.2 mi]) based on the sequence-stratigraphic framework. Depositional environments and aspect ratios of thickness versus length are based on the Baumgartner Quarry stratigraphy. This model provided the basis for reservoir modeling and simulation described below.</w:t>
      </w:r>
    </w:p>
    <w:p w:rsidR="00CF7983" w:rsidRDefault="00DC284D" w:rsidP="00CF7983">
      <w:r>
        <w:tab/>
      </w:r>
      <w:r w:rsidR="00CF7983">
        <w:t xml:space="preserve">The presence of thick channel-fill sandstone and amalgamated sheet sandstones is caused by either allocyclic processes such as small-scale sea level drops at third- or fourth-order scales (see Slatt </w:t>
      </w:r>
      <w:r w:rsidR="00880C6B" w:rsidRPr="00880C6B">
        <w:rPr>
          <w:i/>
        </w:rPr>
        <w:t>et al.</w:t>
      </w:r>
      <w:r w:rsidR="00CF7983">
        <w:t>, 2000a, based on sedimentation rate by Morris, 1974) or autocyclic processes such as avulsion (for the channel-fill system) and compensational stacking (for the lobe or fan system). The large sandstone blocks in the top of the shaly condensed section signifies an early drop of sea level, which later produced the upper sandstones.</w:t>
      </w:r>
    </w:p>
    <w:p w:rsidR="00CF7983" w:rsidRDefault="00CF7983" w:rsidP="00CF7983"/>
    <w:p w:rsidR="00CF7983" w:rsidRPr="001E64E5" w:rsidRDefault="00CF7983" w:rsidP="00CF7983">
      <w:pPr>
        <w:jc w:val="center"/>
        <w:rPr>
          <w:b/>
          <w:sz w:val="28"/>
        </w:rPr>
      </w:pPr>
      <w:r w:rsidRPr="001E64E5">
        <w:rPr>
          <w:b/>
          <w:sz w:val="28"/>
        </w:rPr>
        <w:t>THREE-DIMENSIONAL GEOLOGIC MODEL</w:t>
      </w:r>
    </w:p>
    <w:p w:rsidR="00CF7983" w:rsidRDefault="00DC284D" w:rsidP="00CF7983">
      <w:r>
        <w:tab/>
      </w:r>
      <w:r w:rsidR="00CF7983">
        <w:t>The entire measured sections in the Baumgartner Quarry have been divided into 26 zones ranging from 2 to 30 m (6.6–98 ft) based on the depositional model (</w:t>
      </w:r>
      <w:r w:rsidR="005D5100">
        <w:t xml:space="preserve">Figure </w:t>
      </w:r>
      <w:r w:rsidR="005D5100">
        <w:lastRenderedPageBreak/>
        <w:t>1.1</w:t>
      </w:r>
      <w:r w:rsidR="00CF7983">
        <w:t>1). Five reservoir elements were defined: (1) confined stacked channel fill, (2) unconfined or semiconfined channel fill, (3) lobe or fan deposits, (4) levee or overbank deposits, and (5) parallel-laminated shale. Also, five subelements were defined to characterize each reservoir element: axial channel-fill sandstone, margin channel-fill sandstone, sheet sandstone, siltstone, and parallel-laminated shale.</w:t>
      </w:r>
    </w:p>
    <w:p w:rsidR="00CF7983" w:rsidRDefault="00DC284D" w:rsidP="00CF7983">
      <w:r>
        <w:tab/>
      </w:r>
      <w:r w:rsidR="00CF7983">
        <w:t>The global positioning system coordinates of seven measured sections were input into a 3-D geologic model after calculating the true stratigraphic thickness. All steeply dipping structures of the Baumgartner Quarry were corrected and transferred into a horizontal model to distribute the interpreted facies. The measured sections were considered as pseudovertical wells and placed close to the center of a 5 times 5–km2–shaped area (the size of the model is close to a deep-water Gulf of Mexico outer continental shelf (OCS) block or a general deep-water field).</w:t>
      </w:r>
    </w:p>
    <w:p w:rsidR="00CF7983" w:rsidRDefault="00DC284D" w:rsidP="00CF7983">
      <w:r>
        <w:tab/>
      </w:r>
      <w:r w:rsidR="00CF7983">
        <w:t xml:space="preserve">Geometry of the channel-fill sandstone story was best estimated based on the aspect ratio and sedimentary structures. For example, the channel sandstone shown in </w:t>
      </w:r>
      <w:r w:rsidR="005D5100">
        <w:t>Figure 1.7</w:t>
      </w:r>
      <w:r w:rsidR="00CF7983">
        <w:t xml:space="preserve">A in face 1_lower and face 2_lower exhibits an about 30% thickness change over a 100-m (328-ft) lateral distance. Thus, the width of the channel is probably from 500 to 1000 m (1640–3280 ft). Usually, semiconfined and unconfined channel sandstones have larger widths because only minor (0–10%) thickness changes have been observed, and the width of such a channel can be up to 2 to 4 km (1.2–2.4 mi). Sheet sandstone intervals, which typically exhibit less than 1% thickness change over a few kilometers distance, can be either represented in the model by a large fan-shaped body or a layer-cake interval, depending on their position within the sequence (e.g., middle vs. proximal fan in a lowstand systems tract or distal turbidite in a transgressive </w:t>
      </w:r>
      <w:r w:rsidR="00CF7983">
        <w:lastRenderedPageBreak/>
        <w:t>systems tract). In general, the channel-fill sandstones in the lower sandstones are more confined than those in the upper sandstones because of different depositional environments. An exception is the confined channel-fill deposit (elements) located at the top of the upper sandstones (</w:t>
      </w:r>
      <w:r w:rsidR="005D5100">
        <w:t>Figure 1.1</w:t>
      </w:r>
      <w:r w:rsidR="00CF7983">
        <w:t>1).</w:t>
      </w:r>
    </w:p>
    <w:p w:rsidR="00CF7983" w:rsidRDefault="00DC284D" w:rsidP="00CF7983">
      <w:r>
        <w:tab/>
      </w:r>
      <w:r w:rsidR="00CF7983">
        <w:t xml:space="preserve">We tested both stochastic and deterministic modeling of the reservoir elements and subelements. For example, an unconfined channel fill (reservoir elements) has three subelements: channel axis, channel margin, and siltstone (subelements). For deterministic modeling, the boundaries between the different subelements were drawn by hand with respect to the flow direction and measured sections located at the center of the model. For stochastic modeling, object-based algorithms were used (e.g., sequential indicator simulation). We found that, for very limited data control over a large area, a deterministic model is more geologically reasonable (Zou, 2010). In this case, sparse well control is similar to early stages of field development in the deep-water Gulf of Mexico, where data from only two to three exploration and appraisal wells may be available. General </w:t>
      </w:r>
      <w:proofErr w:type="gramStart"/>
      <w:r w:rsidR="00CF7983">
        <w:t>paleoflow</w:t>
      </w:r>
      <w:proofErr w:type="gramEnd"/>
      <w:r w:rsidR="00CF7983">
        <w:t xml:space="preserve"> direction (which was from east to west in Arkansas) was set to be from north to south to facilitate the modeling process for the Gulf of Mexico. Based on these settings and assumptions, subelements were distributed zone by zone using a deterministic method (</w:t>
      </w:r>
      <w:r w:rsidR="005D5100">
        <w:t>Figure 1.1</w:t>
      </w:r>
      <w:r w:rsidR="00CF7983">
        <w:t>2).</w:t>
      </w:r>
    </w:p>
    <w:p w:rsidR="00CF7983" w:rsidRDefault="00DC284D" w:rsidP="00CF7983">
      <w:r>
        <w:tab/>
      </w:r>
      <w:r w:rsidR="00CF7983">
        <w:t xml:space="preserve">Jackfork Group strata have long been used as an outcrop analog for deep-water architectural element observation and measurement. However, porosity and permeability of these rocks are very low. Thus, for this article, we incorporated porosity values from a subsurface Gulf of Mexico reservoir to simulate reservoir performance, as was previously done for other Jackfork outcrops (Slatt, 2000; Slatt </w:t>
      </w:r>
      <w:r w:rsidR="00880C6B" w:rsidRPr="00880C6B">
        <w:rPr>
          <w:i/>
        </w:rPr>
        <w:t>et al.</w:t>
      </w:r>
      <w:r w:rsidR="00CF7983">
        <w:t xml:space="preserve">, 2000b; </w:t>
      </w:r>
      <w:r w:rsidR="00CF7983">
        <w:lastRenderedPageBreak/>
        <w:t xml:space="preserve">Goyeneche </w:t>
      </w:r>
      <w:r w:rsidR="00880C6B" w:rsidRPr="00880C6B">
        <w:rPr>
          <w:i/>
        </w:rPr>
        <w:t>et al.</w:t>
      </w:r>
      <w:r w:rsidR="00CF7983">
        <w:t>, 2006). To obtain reasonable porosity and permeability values for the model, grain size was determined for the different subelements from thin-section analyses (Zou, 2010) then related to field porosity and permeability data from deep-water Gulf of Mexico reservoirs (Weimer and Slatt, 2006). Simple properties data were then assigned to the model (</w:t>
      </w:r>
      <w:r w:rsidR="005D5100">
        <w:t>Figure 1.1</w:t>
      </w:r>
      <w:r w:rsidR="00CF7983">
        <w:t>2).</w:t>
      </w:r>
    </w:p>
    <w:p w:rsidR="00CF7983" w:rsidRDefault="00DC284D" w:rsidP="00CF7983">
      <w:r>
        <w:tab/>
      </w:r>
      <w:r w:rsidR="00CF7983">
        <w:t>After constructing the reservoir elements model in a layer-cake setting, topography of the surface, pseudo oil-water contact, and lateral seal boundaries were added to model a simple trap against a salt wall in a deep-water setting (</w:t>
      </w:r>
      <w:r w:rsidR="005D5100">
        <w:t>Figure 1.1</w:t>
      </w:r>
      <w:r w:rsidR="00CF7983">
        <w:t>3). The 3-D surfaces of reservoirs and salt were created based on studies of a three-way closure-type (which is an updip structural or stratigraphic trap against a salt feeder or canopy) fields such as Auger, Mars-Ursa, Troika, and Droshky in the Gulf of Mexico.</w:t>
      </w:r>
    </w:p>
    <w:p w:rsidR="00CF7983" w:rsidRDefault="00CF7983" w:rsidP="00CF7983"/>
    <w:p w:rsidR="00CF7983" w:rsidRPr="001E64E5" w:rsidRDefault="00CF7983" w:rsidP="00CF7983">
      <w:pPr>
        <w:jc w:val="center"/>
        <w:rPr>
          <w:b/>
          <w:sz w:val="28"/>
        </w:rPr>
      </w:pPr>
      <w:r w:rsidRPr="001E64E5">
        <w:rPr>
          <w:b/>
          <w:sz w:val="28"/>
        </w:rPr>
        <w:t>RESERVOIR SIMULATION</w:t>
      </w:r>
    </w:p>
    <w:p w:rsidR="00CF7983" w:rsidRDefault="00DC284D" w:rsidP="00CF7983">
      <w:r>
        <w:tab/>
      </w:r>
      <w:r w:rsidR="00CF7983">
        <w:t xml:space="preserve">Parameters of oil and water saturation, pressure, compressibility, fluid saturations, and sedimentary and stratigraphic features were derived in a similar manner and imported into the model to simulate the production performance (Slatt </w:t>
      </w:r>
      <w:r w:rsidR="00880C6B" w:rsidRPr="00880C6B">
        <w:rPr>
          <w:i/>
        </w:rPr>
        <w:t>et al.</w:t>
      </w:r>
      <w:r w:rsidR="00CF7983">
        <w:t xml:space="preserve">, 2000b). For simplistic modeling, some very thin beds such as shale drape, levee, or overbank deposits were upscaled and grouped into related channel or sheet sandstones, although this may result in up to 20% difference in production performance (Larue, 2004; Goyeneche </w:t>
      </w:r>
      <w:r w:rsidR="00880C6B" w:rsidRPr="00880C6B">
        <w:rPr>
          <w:i/>
        </w:rPr>
        <w:t>et al.</w:t>
      </w:r>
      <w:r w:rsidR="00CF7983">
        <w:t xml:space="preserve">, 2006; Zou, 2010). Larue (2004) investigated the effect of lateral barriers inside a channel complex by comparing different permeabilities across channel boundaries versus homogeneous permeability. Goyeneche </w:t>
      </w:r>
      <w:r w:rsidR="00880C6B" w:rsidRPr="00880C6B">
        <w:rPr>
          <w:i/>
        </w:rPr>
        <w:t>et al.</w:t>
      </w:r>
      <w:r w:rsidR="00CF7983">
        <w:t xml:space="preserve"> (2006) simulated a uniform tank model versus a model with barriers in the Hollywood Quarry. </w:t>
      </w:r>
      <w:r w:rsidR="00CF7983">
        <w:lastRenderedPageBreak/>
        <w:t xml:space="preserve">Other parameters used in our simulation represent a deep-water reservoir at 3600 m (11,811 ft) depth with the initial pressure of 8000 psia (Slatt </w:t>
      </w:r>
      <w:r w:rsidR="00880C6B" w:rsidRPr="00880C6B">
        <w:rPr>
          <w:i/>
        </w:rPr>
        <w:t>et al.</w:t>
      </w:r>
      <w:r w:rsidR="00CF7983">
        <w:t>, 2000b; Zou, 2010).</w:t>
      </w:r>
    </w:p>
    <w:p w:rsidR="00CF7983" w:rsidRDefault="00CF7983" w:rsidP="00CF7983">
      <w:r>
        <w:t>A typical trap against the salt field case with two producing wells and one injection well was simulated. Oil-water contact was set at 3900 m (12,795 ft). Channel sandstones penetrated by the injection well are connected to producing well 1 along the flow direction (north-south) but not connected to producing well 2 (</w:t>
      </w:r>
      <w:r w:rsidR="005D5100">
        <w:t>Figure 1.1</w:t>
      </w:r>
      <w:r>
        <w:t>3), which is offset to flow direction. Simulation was set for the 10-yr production with 8650 bbl (1000 m3) per day water injection.</w:t>
      </w:r>
    </w:p>
    <w:p w:rsidR="00CF7983" w:rsidRDefault="00DC284D" w:rsidP="00CF7983">
      <w:r>
        <w:tab/>
      </w:r>
      <w:r w:rsidR="00CF7983">
        <w:t xml:space="preserve">Three production cases were simulated: both upper and lower sandstones, upper sandstones only, and lower sandstones only. </w:t>
      </w:r>
      <w:r w:rsidR="005D5100">
        <w:t>Figure 1.1</w:t>
      </w:r>
      <w:r w:rsidR="00CF7983">
        <w:t>4 shows the cumulative production and production rate from well 1 (solid line) and well 2 (dash line). Note that (1) in all cases, production volume and rate in well 1 is 60% more than those in well 2; (2) the lower channelized sandstone package has a larger drop of production rate than the upper sheet sandstone package; (3) production rate for the upper sandstones is more sustainable during the 10-yr production period, whereas the rate for the lower sandstones is close to zero after 10 yr.</w:t>
      </w:r>
    </w:p>
    <w:p w:rsidR="00C00DA4" w:rsidRDefault="00C00DA4" w:rsidP="00CF7983"/>
    <w:p w:rsidR="00C00DA4" w:rsidRPr="001E64E5" w:rsidRDefault="00C00DA4" w:rsidP="00C00DA4">
      <w:pPr>
        <w:jc w:val="center"/>
        <w:rPr>
          <w:b/>
          <w:sz w:val="28"/>
        </w:rPr>
      </w:pPr>
      <w:r w:rsidRPr="001E64E5">
        <w:rPr>
          <w:b/>
          <w:sz w:val="28"/>
        </w:rPr>
        <w:t>DISCUSSION</w:t>
      </w:r>
    </w:p>
    <w:p w:rsidR="00CF7983" w:rsidRDefault="00DC284D" w:rsidP="00C00DA4">
      <w:r>
        <w:tab/>
      </w:r>
      <w:r w:rsidR="00C00DA4">
        <w:t>High and sustainable production rate depends on several factors, including reservoir architecture (channel fill vs. sheet), sandstone thickness, areal extent, and internal connectivity (Kendrick, 2000). Our simulation results show that the sheet-prone upper sandstones can provide sustained field production for a much longer period than the channel-prone lower sandstones (</w:t>
      </w:r>
      <w:r w:rsidR="005D5100">
        <w:t>Figure 1.1</w:t>
      </w:r>
      <w:r w:rsidR="00C00DA4">
        <w:t xml:space="preserve">5). Generally, the sheet-prone upper </w:t>
      </w:r>
      <w:r w:rsidR="00C00DA4">
        <w:lastRenderedPageBreak/>
        <w:t xml:space="preserve">sandstones not only have better aquifer support to maintain reservoir pressure but also have a better continuity for internal migration of hydrocarbons. One classical example of this scenario is the Auger field in Garden Banks, Gulf of Mexico (Booth </w:t>
      </w:r>
      <w:r w:rsidR="00880C6B" w:rsidRPr="00880C6B">
        <w:rPr>
          <w:i/>
        </w:rPr>
        <w:t>et al.</w:t>
      </w:r>
      <w:r w:rsidR="00C00DA4">
        <w:t xml:space="preserve">, 2000; Kendrick, 2000), where </w:t>
      </w:r>
      <w:proofErr w:type="gramStart"/>
      <w:r w:rsidR="00C00DA4">
        <w:t>a history match</w:t>
      </w:r>
      <w:proofErr w:type="gramEnd"/>
      <w:r w:rsidR="00C00DA4">
        <w:t xml:space="preserve"> indicates a potential aquifer volume 53 times the size of the petroleum volume (</w:t>
      </w:r>
      <w:r w:rsidR="005D5100">
        <w:t>Figure 1.1</w:t>
      </w:r>
      <w:r w:rsidR="00C00DA4">
        <w:t>5). The production performances indicate that the sheet sandstone reservoirs are continuous across the entire Auger minibasin.</w:t>
      </w:r>
    </w:p>
    <w:p w:rsidR="00C00DA4" w:rsidRDefault="00C00DA4" w:rsidP="00C00DA4">
      <w:r>
        <w:t xml:space="preserve">Lower sandstones, however, have more internal barriers because of a channel-levee setting. Our simple model indicated a high initial production rate and a faster decline, which is mainly caused by a higher permeability along the channel axis and limited areal extent of channel geometry. More barriers and lateral heterogeneities are present in the Baumgartner Quarry than in the model, and they have been ignored in the upscaling process. However, these barriers will decrease the sweep efficiency of waterflood production. In our model, channel-fill facies perforated in production well 1 have a 60% higher production volume and rate than in well 2, which is completely separated from the injector well. In a real case, water breakthrough may also occur during this period for producing well 1, but not for well 2 (Stewart </w:t>
      </w:r>
      <w:r w:rsidR="00880C6B" w:rsidRPr="00880C6B">
        <w:rPr>
          <w:i/>
        </w:rPr>
        <w:t>et al.</w:t>
      </w:r>
      <w:r>
        <w:t>, 2008). Kendrick (2000) pointed out that the perched water trapped in the bottom of channelized sandstones may adversely impact one's estimate of in-place hydrocarbon volumes because they are isolated from the aquifer. One example is the Ram-Powell field in Mississippi Canyon, Gulf of Mexico.</w:t>
      </w:r>
    </w:p>
    <w:p w:rsidR="00CF7983" w:rsidRDefault="00DC284D" w:rsidP="00C00DA4">
      <w:r>
        <w:tab/>
      </w:r>
      <w:r w:rsidR="00C00DA4">
        <w:t xml:space="preserve">Slatt </w:t>
      </w:r>
      <w:r w:rsidR="00880C6B" w:rsidRPr="00880C6B">
        <w:rPr>
          <w:i/>
        </w:rPr>
        <w:t>et al.</w:t>
      </w:r>
      <w:r w:rsidR="00C00DA4">
        <w:t xml:space="preserve"> (2000b) proposed two factors that are particularly relevant to deep-water reservoir management: proportion of facies and their lateral continuity. The proportion of channelized facies versus sheet sandstone facies in the Baumgartner </w:t>
      </w:r>
      <w:r w:rsidR="00C00DA4">
        <w:lastRenderedPageBreak/>
        <w:t>Quarry strata are shown to vary in a systematically and geologically plausible way, particularly when placed within a sequence-stratigraphic context. As our model suggests, the difference between channel and sheet architectures observed in the outcrop will greatly affect aquifer pressure support, sweep efficiency, and recovery efficiency in the model. Recognizing the causes and effects listed above will be critical in the reservoir development stage.</w:t>
      </w:r>
    </w:p>
    <w:p w:rsidR="00CF7983" w:rsidRDefault="00CF7983" w:rsidP="00CF7983"/>
    <w:p w:rsidR="00C00DA4" w:rsidRPr="001E64E5" w:rsidRDefault="00C00DA4" w:rsidP="00C00DA4">
      <w:pPr>
        <w:jc w:val="center"/>
        <w:rPr>
          <w:b/>
          <w:sz w:val="28"/>
        </w:rPr>
      </w:pPr>
      <w:r w:rsidRPr="001E64E5">
        <w:rPr>
          <w:b/>
          <w:sz w:val="28"/>
        </w:rPr>
        <w:t>CONCLUSIONS</w:t>
      </w:r>
    </w:p>
    <w:p w:rsidR="00C00DA4" w:rsidRDefault="00DC284D" w:rsidP="00C00DA4">
      <w:r>
        <w:tab/>
      </w:r>
      <w:r w:rsidR="00C00DA4">
        <w:t xml:space="preserve">This article presents an integrated approach to characterization and modeling of deep-water Jackfork Group strata in the Baumgartner Quarry area, western Arkansas. An entire 3-D geologic modeling workflow, from outcrop data collection, to petrographic analysis, to computer modeling and simulation is presented. The geologic model is noteworthy because at Baumgartner, two different sandstone packages are present and separated by </w:t>
      </w:r>
      <w:proofErr w:type="gramStart"/>
      <w:r w:rsidR="00C00DA4">
        <w:t>a thick</w:t>
      </w:r>
      <w:proofErr w:type="gramEnd"/>
      <w:r w:rsidR="00C00DA4">
        <w:t xml:space="preserve"> shale. One package is channel prone and the other is sheet prone, thus making it possible to compare and contrast their characteristics and simulated reservoir performance. Results of simulations indicate that the sheet-prone upper sandstones can provide sustained production for a much longer period than the channel-prone lower sandstones.</w:t>
      </w:r>
    </w:p>
    <w:p w:rsidR="00CF7983" w:rsidRDefault="00DC284D" w:rsidP="00C00DA4">
      <w:r>
        <w:tab/>
      </w:r>
      <w:r w:rsidR="00C00DA4">
        <w:t xml:space="preserve">The Baumgartner Quarry reservoir model can serve as an outcrop analog for various deep-water reservoirs in the Gulf of Mexico, North Sea, offshore Brazil, offshore </w:t>
      </w:r>
      <w:proofErr w:type="gramStart"/>
      <w:r w:rsidR="00C00DA4">
        <w:t>west</w:t>
      </w:r>
      <w:proofErr w:type="gramEnd"/>
      <w:r w:rsidR="00C00DA4">
        <w:t xml:space="preserve"> Africa, and elsewhere. Although the active margin tectonic setting of the Jackfork Group differs from these other deposits, the combination and order of architectural elements remain similar at the reservoir scale. Thus, outcrops of deep-</w:t>
      </w:r>
      <w:r w:rsidR="00C00DA4">
        <w:lastRenderedPageBreak/>
        <w:t>water successions such as at the Baumgartner Quarry can be used as analogs to deep-water reservoirs for input into geologic models, reservoir performance simulation, and management planning.</w:t>
      </w:r>
    </w:p>
    <w:p w:rsidR="00001862" w:rsidRDefault="00001862" w:rsidP="00C00DA4"/>
    <w:p w:rsidR="00001862" w:rsidRPr="001E64E5" w:rsidRDefault="00001862" w:rsidP="00001862">
      <w:pPr>
        <w:jc w:val="center"/>
        <w:rPr>
          <w:b/>
          <w:sz w:val="28"/>
        </w:rPr>
      </w:pPr>
      <w:r w:rsidRPr="001E64E5">
        <w:rPr>
          <w:b/>
          <w:sz w:val="28"/>
        </w:rPr>
        <w:t>ACKNOWLEDGEMENTS</w:t>
      </w:r>
    </w:p>
    <w:p w:rsidR="00001862" w:rsidRDefault="00DC284D" w:rsidP="00001862">
      <w:r>
        <w:tab/>
      </w:r>
      <w:r w:rsidR="00001862">
        <w:t>Fuge Zou thanks the School of Geology and Geophysics for supporting his graduate research and Roger M. Slatt as his graduate thesis adviser. We thank Charlie Stone for guidance and discussion of Arkansas fieldwork. We also thank Staffan Van Dyke and David Pyles for their discussion and inspiration. We thank Abousleiman for his generous support on the core-plug tests in his laboratory. We thank Jonathan Funk for his support on the research. We thank Majia Zheng and Shanshan Liu who helped us with three-dimensional geologic modeling using Petrel. We thank Henry Badra, John Brumley, Nabanita Gupta, Rafael Sierra, and Supratik Sarkar for technical support. We thank Kui Zhang for kindly helping us with seismic forward modeling. We thank Xiaochun Jin for kindly helping us with reservoir simulation. We thank the turbidite trip class of 2010 for participating in measuring the Kirby sections. We thank Colin North, Jonathan Stewart, and Kirt Campion for great reviews to improve this article.</w:t>
      </w:r>
    </w:p>
    <w:p w:rsidR="00001862" w:rsidRDefault="00001862" w:rsidP="00C00DA4"/>
    <w:p w:rsidR="00FF1916" w:rsidRDefault="00FF1916" w:rsidP="00C00DA4"/>
    <w:p w:rsidR="00FF1916" w:rsidRDefault="00FF1916" w:rsidP="00C00DA4"/>
    <w:p w:rsidR="00FF1916" w:rsidRDefault="00FF1916" w:rsidP="00C00DA4"/>
    <w:p w:rsidR="00001862" w:rsidRDefault="00001862" w:rsidP="00C00DA4">
      <w:pPr>
        <w:rPr>
          <w:lang w:eastAsia="zh-CN"/>
        </w:rPr>
      </w:pPr>
    </w:p>
    <w:p w:rsidR="00A337FF" w:rsidRDefault="00A337FF" w:rsidP="00C00DA4">
      <w:pPr>
        <w:rPr>
          <w:lang w:eastAsia="zh-CN"/>
        </w:rPr>
      </w:pPr>
    </w:p>
    <w:p w:rsidR="00620D80" w:rsidRDefault="00F11AB4" w:rsidP="00FF1916">
      <w:pPr>
        <w:pStyle w:val="Heading1"/>
      </w:pPr>
      <w:r>
        <w:lastRenderedPageBreak/>
        <w:t>LIST OF FIGURES</w:t>
      </w:r>
    </w:p>
    <w:p w:rsidR="00FF1916" w:rsidRPr="00FF1916" w:rsidRDefault="00AD5489" w:rsidP="00FF1916">
      <w:r>
        <w:rPr>
          <w:noProof/>
          <w:lang w:bidi="ar-SA"/>
        </w:rPr>
        <w:drawing>
          <wp:inline distT="0" distB="0" distL="0" distR="0" wp14:anchorId="5FFF4000" wp14:editId="5E471724">
            <wp:extent cx="5353050" cy="5035550"/>
            <wp:effectExtent l="19050" t="0" r="0" b="0"/>
            <wp:docPr id="10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2"/>
                    <a:srcRect/>
                    <a:stretch>
                      <a:fillRect/>
                    </a:stretch>
                  </pic:blipFill>
                  <pic:spPr bwMode="auto">
                    <a:xfrm>
                      <a:off x="0" y="0"/>
                      <a:ext cx="5353050" cy="5035550"/>
                    </a:xfrm>
                    <a:prstGeom prst="rect">
                      <a:avLst/>
                    </a:prstGeom>
                    <a:noFill/>
                  </pic:spPr>
                </pic:pic>
              </a:graphicData>
            </a:graphic>
          </wp:inline>
        </w:drawing>
      </w:r>
    </w:p>
    <w:p w:rsidR="00F11AB4" w:rsidRDefault="00A337FF" w:rsidP="00A337FF">
      <w:pPr>
        <w:pStyle w:val="Caption"/>
      </w:pPr>
      <w:bookmarkStart w:id="5" w:name="_Toc400010191"/>
      <w:r>
        <w:rPr>
          <w:sz w:val="23"/>
          <w:szCs w:val="23"/>
        </w:rPr>
        <w:t>Figur</w:t>
      </w:r>
      <w:r>
        <w:rPr>
          <w:rFonts w:hint="eastAsia"/>
          <w:sz w:val="23"/>
          <w:szCs w:val="23"/>
          <w:lang w:eastAsia="zh-CN"/>
        </w:rPr>
        <w:t xml:space="preserve">e </w:t>
      </w:r>
      <w:r w:rsidR="005D5100">
        <w:rPr>
          <w:sz w:val="23"/>
          <w:szCs w:val="23"/>
        </w:rPr>
        <w:t>1</w:t>
      </w:r>
      <w:r w:rsidR="00620D80" w:rsidRPr="00620D80">
        <w:rPr>
          <w:sz w:val="23"/>
          <w:szCs w:val="23"/>
        </w:rPr>
        <w:t>.</w:t>
      </w:r>
      <w:r w:rsidR="006E7D88">
        <w:rPr>
          <w:sz w:val="23"/>
          <w:szCs w:val="23"/>
        </w:rPr>
        <w:t>1</w:t>
      </w:r>
      <w:r w:rsidR="00F14E6B">
        <w:rPr>
          <w:sz w:val="23"/>
          <w:szCs w:val="23"/>
        </w:rPr>
        <w:t>.</w:t>
      </w:r>
      <w:bookmarkEnd w:id="5"/>
      <w:r w:rsidRPr="00A337FF">
        <w:rPr>
          <w:rFonts w:ascii="Times New Roman" w:hAnsi="Times New Roman"/>
          <w:sz w:val="23"/>
          <w:szCs w:val="23"/>
        </w:rPr>
        <w:t xml:space="preserve">Regional geologic map (including tectonic provinces) and cross section of the Ouachita Mountains and the locations of several major Jackfork Group outcrops: (1) DeGray Lakes Spillway, (2) Hollywood Quarry, (3) Dierks Spillway, and (4) Big Rock Quarry. Baumgartner Quarry is marked by a star. </w:t>
      </w:r>
      <w:proofErr w:type="gramStart"/>
      <w:r w:rsidRPr="00A337FF">
        <w:rPr>
          <w:rFonts w:ascii="Times New Roman" w:hAnsi="Times New Roman"/>
          <w:sz w:val="23"/>
          <w:szCs w:val="23"/>
        </w:rPr>
        <w:t xml:space="preserve">Modified from Slatt </w:t>
      </w:r>
      <w:r w:rsidR="00880C6B" w:rsidRPr="00880C6B">
        <w:rPr>
          <w:rFonts w:ascii="Times New Roman" w:hAnsi="Times New Roman"/>
          <w:i/>
          <w:sz w:val="23"/>
          <w:szCs w:val="23"/>
        </w:rPr>
        <w:t>et al.</w:t>
      </w:r>
      <w:r w:rsidRPr="00A337FF">
        <w:rPr>
          <w:rFonts w:ascii="Times New Roman" w:hAnsi="Times New Roman"/>
          <w:sz w:val="23"/>
          <w:szCs w:val="23"/>
        </w:rPr>
        <w:t xml:space="preserve"> (2000b), Suneson </w:t>
      </w:r>
      <w:r w:rsidR="00880C6B" w:rsidRPr="00880C6B">
        <w:rPr>
          <w:rFonts w:ascii="Times New Roman" w:hAnsi="Times New Roman"/>
          <w:i/>
          <w:sz w:val="23"/>
          <w:szCs w:val="23"/>
        </w:rPr>
        <w:t>et al.</w:t>
      </w:r>
      <w:r w:rsidRPr="00A337FF">
        <w:rPr>
          <w:rFonts w:ascii="Times New Roman" w:hAnsi="Times New Roman"/>
          <w:sz w:val="23"/>
          <w:szCs w:val="23"/>
        </w:rPr>
        <w:t xml:space="preserve"> (2008).</w:t>
      </w:r>
      <w:proofErr w:type="gramEnd"/>
    </w:p>
    <w:p w:rsidR="00F11AB4" w:rsidRDefault="00F11AB4" w:rsidP="00F11AB4"/>
    <w:p w:rsidR="00F11AB4" w:rsidRDefault="00F11AB4" w:rsidP="00F11AB4"/>
    <w:p w:rsidR="00F11AB4" w:rsidRDefault="00F11AB4" w:rsidP="00F11AB4"/>
    <w:p w:rsidR="00F11AB4" w:rsidRDefault="00F11AB4" w:rsidP="00F11AB4"/>
    <w:p w:rsidR="00620D80" w:rsidRDefault="00AD5489" w:rsidP="00697DBE">
      <w:pPr>
        <w:jc w:val="center"/>
      </w:pPr>
      <w:r>
        <w:rPr>
          <w:noProof/>
          <w:lang w:bidi="ar-SA"/>
        </w:rPr>
        <w:lastRenderedPageBreak/>
        <w:drawing>
          <wp:inline distT="0" distB="0" distL="0" distR="0" wp14:anchorId="684FA36E" wp14:editId="523DAD9E">
            <wp:extent cx="5114734" cy="5839846"/>
            <wp:effectExtent l="0" t="0" r="0" b="8890"/>
            <wp:docPr id="105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a:srcRect/>
                    <a:stretch>
                      <a:fillRect/>
                    </a:stretch>
                  </pic:blipFill>
                  <pic:spPr bwMode="auto">
                    <a:xfrm>
                      <a:off x="0" y="0"/>
                      <a:ext cx="5119225" cy="5844974"/>
                    </a:xfrm>
                    <a:prstGeom prst="rect">
                      <a:avLst/>
                    </a:prstGeom>
                    <a:noFill/>
                  </pic:spPr>
                </pic:pic>
              </a:graphicData>
            </a:graphic>
          </wp:inline>
        </w:drawing>
      </w:r>
    </w:p>
    <w:p w:rsidR="00620D80" w:rsidRPr="00F14E6B" w:rsidRDefault="00F14E6B" w:rsidP="00620D80">
      <w:pPr>
        <w:pStyle w:val="Caption"/>
        <w:rPr>
          <w:rFonts w:ascii="Times New Roman" w:hAnsi="Times New Roman"/>
          <w:sz w:val="23"/>
          <w:szCs w:val="23"/>
        </w:rPr>
      </w:pPr>
      <w:bookmarkStart w:id="6" w:name="_Toc400010192"/>
      <w:r w:rsidRPr="00F14E6B">
        <w:rPr>
          <w:sz w:val="23"/>
          <w:szCs w:val="23"/>
        </w:rPr>
        <w:t xml:space="preserve">Figure </w:t>
      </w:r>
      <w:r w:rsidR="005D5100">
        <w:rPr>
          <w:sz w:val="23"/>
          <w:szCs w:val="23"/>
        </w:rPr>
        <w:t>1</w:t>
      </w:r>
      <w:r w:rsidRPr="00F14E6B">
        <w:rPr>
          <w:sz w:val="23"/>
          <w:szCs w:val="23"/>
        </w:rPr>
        <w:t>.</w:t>
      </w:r>
      <w:r w:rsidR="006E7D88">
        <w:rPr>
          <w:sz w:val="23"/>
          <w:szCs w:val="23"/>
        </w:rPr>
        <w:t>2</w:t>
      </w:r>
      <w:r w:rsidRPr="00F14E6B">
        <w:rPr>
          <w:sz w:val="23"/>
          <w:szCs w:val="23"/>
        </w:rPr>
        <w:t>.</w:t>
      </w:r>
      <w:bookmarkEnd w:id="6"/>
      <w:r w:rsidR="00E17BA2" w:rsidRPr="00E17BA2">
        <w:rPr>
          <w:rFonts w:ascii="Times New Roman" w:hAnsi="Times New Roman"/>
          <w:sz w:val="23"/>
          <w:szCs w:val="23"/>
        </w:rPr>
        <w:t>Regional stratigraphic column and tectonic events of study area in western Arkansas. The Jackfork Group was deposited during subsidence of the Ouachita Basin.</w:t>
      </w:r>
    </w:p>
    <w:p w:rsidR="006C0F92" w:rsidRDefault="006C0F92" w:rsidP="00620D80">
      <w:pPr>
        <w:pStyle w:val="Caption"/>
      </w:pPr>
    </w:p>
    <w:p w:rsidR="00F11AB4" w:rsidRDefault="00F11AB4" w:rsidP="00F11AB4">
      <w:pPr>
        <w:rPr>
          <w:rFonts w:ascii="Times New Roman" w:hAnsi="Times New Roman"/>
          <w:b/>
          <w:bCs/>
          <w:sz w:val="23"/>
          <w:szCs w:val="23"/>
        </w:rPr>
      </w:pPr>
    </w:p>
    <w:p w:rsidR="00F11AB4" w:rsidRDefault="00F11AB4" w:rsidP="00F11AB4">
      <w:pPr>
        <w:rPr>
          <w:rFonts w:ascii="Times New Roman" w:hAnsi="Times New Roman"/>
          <w:b/>
          <w:bCs/>
          <w:sz w:val="23"/>
          <w:szCs w:val="23"/>
        </w:rPr>
      </w:pPr>
    </w:p>
    <w:p w:rsidR="00F11AB4" w:rsidRDefault="00F11AB4" w:rsidP="00F11AB4">
      <w:pPr>
        <w:rPr>
          <w:rFonts w:ascii="Times New Roman" w:hAnsi="Times New Roman"/>
          <w:b/>
          <w:bCs/>
          <w:sz w:val="23"/>
          <w:szCs w:val="23"/>
        </w:rPr>
      </w:pPr>
    </w:p>
    <w:p w:rsidR="00620D80" w:rsidRDefault="00AD5489" w:rsidP="00697DBE">
      <w:pPr>
        <w:keepNext/>
        <w:jc w:val="center"/>
      </w:pPr>
      <w:r>
        <w:rPr>
          <w:noProof/>
          <w:lang w:bidi="ar-SA"/>
        </w:rPr>
        <w:lastRenderedPageBreak/>
        <w:drawing>
          <wp:inline distT="0" distB="0" distL="0" distR="0" wp14:anchorId="233A6D80" wp14:editId="13879EF2">
            <wp:extent cx="5206490" cy="5581650"/>
            <wp:effectExtent l="0" t="0" r="0" b="0"/>
            <wp:docPr id="105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a:srcRect/>
                    <a:stretch>
                      <a:fillRect/>
                    </a:stretch>
                  </pic:blipFill>
                  <pic:spPr bwMode="auto">
                    <a:xfrm>
                      <a:off x="0" y="0"/>
                      <a:ext cx="5206490" cy="5581650"/>
                    </a:xfrm>
                    <a:prstGeom prst="rect">
                      <a:avLst/>
                    </a:prstGeom>
                    <a:noFill/>
                  </pic:spPr>
                </pic:pic>
              </a:graphicData>
            </a:graphic>
          </wp:inline>
        </w:drawing>
      </w:r>
    </w:p>
    <w:p w:rsidR="00620D80" w:rsidRPr="00F14E6B" w:rsidRDefault="00F14E6B" w:rsidP="00620D80">
      <w:pPr>
        <w:spacing w:line="240" w:lineRule="auto"/>
        <w:rPr>
          <w:rFonts w:ascii="Times New Roman" w:hAnsi="Times New Roman"/>
          <w:b/>
          <w:bCs/>
          <w:sz w:val="23"/>
          <w:szCs w:val="23"/>
        </w:rPr>
      </w:pPr>
      <w:bookmarkStart w:id="7" w:name="_Toc400010193"/>
      <w:r w:rsidRPr="00F14E6B">
        <w:rPr>
          <w:b/>
          <w:sz w:val="23"/>
          <w:szCs w:val="23"/>
        </w:rPr>
        <w:t xml:space="preserve">Figure </w:t>
      </w:r>
      <w:r w:rsidR="005D5100">
        <w:rPr>
          <w:b/>
          <w:sz w:val="23"/>
          <w:szCs w:val="23"/>
        </w:rPr>
        <w:t>1</w:t>
      </w:r>
      <w:r w:rsidRPr="00F14E6B">
        <w:rPr>
          <w:b/>
          <w:sz w:val="23"/>
          <w:szCs w:val="23"/>
        </w:rPr>
        <w:t>.</w:t>
      </w:r>
      <w:r w:rsidR="006E7D88">
        <w:rPr>
          <w:b/>
          <w:sz w:val="23"/>
          <w:szCs w:val="23"/>
        </w:rPr>
        <w:t>3</w:t>
      </w:r>
      <w:r w:rsidRPr="00F14E6B">
        <w:rPr>
          <w:b/>
          <w:sz w:val="23"/>
          <w:szCs w:val="23"/>
        </w:rPr>
        <w:t>.</w:t>
      </w:r>
      <w:bookmarkEnd w:id="7"/>
      <w:r w:rsidR="00972772" w:rsidRPr="00972772">
        <w:rPr>
          <w:rFonts w:eastAsia="+mn-ea"/>
          <w:b/>
          <w:kern w:val="24"/>
          <w:sz w:val="23"/>
          <w:szCs w:val="23"/>
        </w:rPr>
        <w:t>A complete Jackfork stratigraphic succession, including the Baumgartner Quarry. All the strata are steeply dipping toward the south. The lower, middle, and upper Jackfork Group boundaries were provided by Charles G. Stone, Arkansas Geological Commission (retired).</w:t>
      </w:r>
    </w:p>
    <w:p w:rsidR="00620D80" w:rsidRDefault="00620D80" w:rsidP="00620D80">
      <w:pPr>
        <w:pStyle w:val="Caption"/>
      </w:pPr>
    </w:p>
    <w:p w:rsidR="00620D80" w:rsidRDefault="00AD5489" w:rsidP="00697DBE">
      <w:pPr>
        <w:keepNext/>
        <w:jc w:val="center"/>
        <w:outlineLvl w:val="2"/>
      </w:pPr>
      <w:r>
        <w:rPr>
          <w:noProof/>
          <w:lang w:bidi="ar-SA"/>
        </w:rPr>
        <w:lastRenderedPageBreak/>
        <w:drawing>
          <wp:inline distT="0" distB="0" distL="0" distR="0" wp14:anchorId="54E95C6A" wp14:editId="178B38AF">
            <wp:extent cx="5120640" cy="3461757"/>
            <wp:effectExtent l="0" t="0" r="3810" b="5715"/>
            <wp:docPr id="105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srcRect/>
                    <a:stretch>
                      <a:fillRect/>
                    </a:stretch>
                  </pic:blipFill>
                  <pic:spPr bwMode="auto">
                    <a:xfrm>
                      <a:off x="0" y="0"/>
                      <a:ext cx="5120640" cy="3461757"/>
                    </a:xfrm>
                    <a:prstGeom prst="rect">
                      <a:avLst/>
                    </a:prstGeom>
                    <a:noFill/>
                  </pic:spPr>
                </pic:pic>
              </a:graphicData>
            </a:graphic>
          </wp:inline>
        </w:drawing>
      </w:r>
    </w:p>
    <w:p w:rsidR="00F11AB4" w:rsidRDefault="00F14E6B" w:rsidP="00972772">
      <w:pPr>
        <w:pStyle w:val="Caption"/>
        <w:rPr>
          <w:rFonts w:ascii="Times New Roman" w:hAnsi="Times New Roman"/>
          <w:b w:val="0"/>
          <w:sz w:val="23"/>
          <w:szCs w:val="23"/>
        </w:rPr>
      </w:pPr>
      <w:bookmarkStart w:id="8" w:name="_Toc400010194"/>
      <w:proofErr w:type="gramStart"/>
      <w:r w:rsidRPr="00F14E6B">
        <w:rPr>
          <w:sz w:val="23"/>
          <w:szCs w:val="23"/>
        </w:rPr>
        <w:t xml:space="preserve">Figure </w:t>
      </w:r>
      <w:r w:rsidR="002B347E">
        <w:rPr>
          <w:sz w:val="23"/>
          <w:szCs w:val="23"/>
        </w:rPr>
        <w:t xml:space="preserve"> 1</w:t>
      </w:r>
      <w:r w:rsidRPr="00F14E6B">
        <w:rPr>
          <w:sz w:val="23"/>
          <w:szCs w:val="23"/>
        </w:rPr>
        <w:t>.</w:t>
      </w:r>
      <w:r w:rsidR="006E7D88">
        <w:rPr>
          <w:sz w:val="23"/>
          <w:szCs w:val="23"/>
        </w:rPr>
        <w:t>4</w:t>
      </w:r>
      <w:r w:rsidRPr="00F14E6B">
        <w:rPr>
          <w:sz w:val="23"/>
          <w:szCs w:val="23"/>
        </w:rPr>
        <w:t>.</w:t>
      </w:r>
      <w:bookmarkEnd w:id="8"/>
      <w:r w:rsidR="00972772" w:rsidRPr="00972772">
        <w:rPr>
          <w:rFonts w:ascii="Times New Roman" w:hAnsi="Times New Roman"/>
          <w:sz w:val="23"/>
          <w:szCs w:val="23"/>
        </w:rPr>
        <w:t>An</w:t>
      </w:r>
      <w:proofErr w:type="gramEnd"/>
      <w:r w:rsidR="00972772" w:rsidRPr="00972772">
        <w:rPr>
          <w:rFonts w:ascii="Times New Roman" w:hAnsi="Times New Roman"/>
          <w:sz w:val="23"/>
          <w:szCs w:val="23"/>
        </w:rPr>
        <w:t xml:space="preserve"> overview of the Baumgartner Quarry, showing the location of the seven key measured sections.</w:t>
      </w: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620D80" w:rsidRDefault="00AD5489" w:rsidP="00697DBE">
      <w:pPr>
        <w:keepNext/>
        <w:jc w:val="center"/>
      </w:pPr>
      <w:r>
        <w:rPr>
          <w:noProof/>
          <w:lang w:bidi="ar-SA"/>
        </w:rPr>
        <w:lastRenderedPageBreak/>
        <w:drawing>
          <wp:inline distT="0" distB="0" distL="0" distR="0" wp14:anchorId="530A53CF" wp14:editId="4E3E1BEB">
            <wp:extent cx="5120640" cy="3629360"/>
            <wp:effectExtent l="0" t="0" r="3810" b="9525"/>
            <wp:docPr id="12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a:srcRect/>
                    <a:stretch>
                      <a:fillRect/>
                    </a:stretch>
                  </pic:blipFill>
                  <pic:spPr bwMode="auto">
                    <a:xfrm>
                      <a:off x="0" y="0"/>
                      <a:ext cx="5122326" cy="3630555"/>
                    </a:xfrm>
                    <a:prstGeom prst="rect">
                      <a:avLst/>
                    </a:prstGeom>
                    <a:noFill/>
                  </pic:spPr>
                </pic:pic>
              </a:graphicData>
            </a:graphic>
          </wp:inline>
        </w:drawing>
      </w:r>
    </w:p>
    <w:p w:rsidR="006C0F92" w:rsidRPr="00F14E6B" w:rsidRDefault="00620D80" w:rsidP="00620D80">
      <w:pPr>
        <w:pStyle w:val="Caption"/>
        <w:jc w:val="both"/>
        <w:rPr>
          <w:sz w:val="23"/>
          <w:szCs w:val="23"/>
        </w:rPr>
      </w:pPr>
      <w:bookmarkStart w:id="9" w:name="_Toc400010195"/>
      <w:r w:rsidRPr="00F14E6B">
        <w:rPr>
          <w:sz w:val="23"/>
          <w:szCs w:val="23"/>
        </w:rPr>
        <w:t xml:space="preserve">Figure </w:t>
      </w:r>
      <w:r w:rsidR="00B83452">
        <w:rPr>
          <w:sz w:val="23"/>
          <w:szCs w:val="23"/>
        </w:rPr>
        <w:t>1</w:t>
      </w:r>
      <w:r w:rsidRPr="00F14E6B">
        <w:rPr>
          <w:sz w:val="23"/>
          <w:szCs w:val="23"/>
        </w:rPr>
        <w:t>.</w:t>
      </w:r>
      <w:r w:rsidR="006E7D88">
        <w:rPr>
          <w:sz w:val="23"/>
          <w:szCs w:val="23"/>
        </w:rPr>
        <w:t>5</w:t>
      </w:r>
      <w:r w:rsidR="00F14E6B" w:rsidRPr="00F14E6B">
        <w:rPr>
          <w:sz w:val="23"/>
          <w:szCs w:val="23"/>
        </w:rPr>
        <w:t>.</w:t>
      </w:r>
      <w:bookmarkEnd w:id="9"/>
      <w:r w:rsidR="00972772" w:rsidRPr="00972772">
        <w:rPr>
          <w:rFonts w:ascii="Times New Roman" w:hAnsi="Times New Roman"/>
          <w:sz w:val="23"/>
          <w:szCs w:val="23"/>
        </w:rPr>
        <w:t>Summary of lithofacies and architectural facies in the Baumgartner Quarry based on field observation and petrographic analysis.</w:t>
      </w: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4E6B" w:rsidRPr="00972772" w:rsidRDefault="00AD5489" w:rsidP="00697DBE">
      <w:pPr>
        <w:jc w:val="center"/>
      </w:pPr>
      <w:r>
        <w:rPr>
          <w:noProof/>
          <w:lang w:bidi="ar-SA"/>
        </w:rPr>
        <w:lastRenderedPageBreak/>
        <w:drawing>
          <wp:inline distT="0" distB="0" distL="0" distR="0" wp14:anchorId="3FC1D98B" wp14:editId="0AC374CD">
            <wp:extent cx="5021777" cy="4037218"/>
            <wp:effectExtent l="0" t="0" r="7620" b="1905"/>
            <wp:docPr id="12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a:srcRect/>
                    <a:stretch>
                      <a:fillRect/>
                    </a:stretch>
                  </pic:blipFill>
                  <pic:spPr bwMode="auto">
                    <a:xfrm>
                      <a:off x="0" y="0"/>
                      <a:ext cx="5018265" cy="4034395"/>
                    </a:xfrm>
                    <a:prstGeom prst="rect">
                      <a:avLst/>
                    </a:prstGeom>
                    <a:noFill/>
                  </pic:spPr>
                </pic:pic>
              </a:graphicData>
            </a:graphic>
          </wp:inline>
        </w:drawing>
      </w:r>
    </w:p>
    <w:p w:rsidR="006C0F92" w:rsidRPr="00F14E6B" w:rsidRDefault="00F14E6B" w:rsidP="00F14E6B">
      <w:pPr>
        <w:pStyle w:val="Caption"/>
        <w:jc w:val="both"/>
        <w:rPr>
          <w:sz w:val="23"/>
          <w:szCs w:val="23"/>
        </w:rPr>
      </w:pPr>
      <w:bookmarkStart w:id="10" w:name="_Toc400010196"/>
      <w:proofErr w:type="gramStart"/>
      <w:r w:rsidRPr="00F14E6B">
        <w:rPr>
          <w:sz w:val="23"/>
          <w:szCs w:val="23"/>
        </w:rPr>
        <w:t xml:space="preserve">Figure </w:t>
      </w:r>
      <w:r w:rsidR="00B83452">
        <w:rPr>
          <w:sz w:val="23"/>
          <w:szCs w:val="23"/>
        </w:rPr>
        <w:t>1</w:t>
      </w:r>
      <w:r w:rsidRPr="00F14E6B">
        <w:rPr>
          <w:sz w:val="23"/>
          <w:szCs w:val="23"/>
        </w:rPr>
        <w:t>.</w:t>
      </w:r>
      <w:r w:rsidR="006E7D88">
        <w:rPr>
          <w:sz w:val="23"/>
          <w:szCs w:val="23"/>
        </w:rPr>
        <w:t>6</w:t>
      </w:r>
      <w:r w:rsidRPr="00F14E6B">
        <w:rPr>
          <w:sz w:val="23"/>
          <w:szCs w:val="23"/>
        </w:rPr>
        <w:t>.</w:t>
      </w:r>
      <w:proofErr w:type="gramEnd"/>
      <w:r w:rsidRPr="00F14E6B">
        <w:rPr>
          <w:sz w:val="23"/>
          <w:szCs w:val="23"/>
        </w:rPr>
        <w:t xml:space="preserve"> </w:t>
      </w:r>
      <w:bookmarkEnd w:id="10"/>
      <w:r w:rsidR="00972772" w:rsidRPr="00972772">
        <w:rPr>
          <w:rFonts w:ascii="Times New Roman" w:hAnsi="Times New Roman"/>
          <w:sz w:val="23"/>
          <w:szCs w:val="23"/>
        </w:rPr>
        <w:t>Measured section face 2_lower in the Baumgartner Quarry, integrating lithofacies (A), outcrop gamma-ray measurements (B), architectural facies and grain sizes (C), and depositional environments (D). CPS = counts per second; F = finer grained; C = coarser grained.</w:t>
      </w:r>
    </w:p>
    <w:p w:rsidR="00F11AB4" w:rsidRPr="00640AA9" w:rsidRDefault="00F11AB4" w:rsidP="00F11AB4">
      <w:pPr>
        <w:spacing w:line="240" w:lineRule="auto"/>
        <w:jc w:val="both"/>
        <w:rPr>
          <w:rFonts w:ascii="Times New Roman" w:hAnsi="Times New Roman"/>
        </w:rPr>
      </w:pPr>
    </w:p>
    <w:p w:rsidR="00F11AB4" w:rsidRDefault="00F11AB4" w:rsidP="00F11AB4"/>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Pr>
        <w:spacing w:line="240" w:lineRule="auto"/>
        <w:outlineLvl w:val="2"/>
        <w:rPr>
          <w:rFonts w:ascii="Times New Roman" w:hAnsi="Times New Roman"/>
          <w:b/>
          <w:sz w:val="23"/>
          <w:szCs w:val="23"/>
        </w:rPr>
      </w:pPr>
    </w:p>
    <w:p w:rsidR="00F11AB4" w:rsidRDefault="00F11AB4" w:rsidP="00F11AB4"/>
    <w:p w:rsidR="00F11AB4" w:rsidRDefault="00F11AB4" w:rsidP="00F11AB4"/>
    <w:p w:rsidR="00972772" w:rsidRDefault="00AD5489" w:rsidP="00697DBE">
      <w:pPr>
        <w:jc w:val="center"/>
        <w:rPr>
          <w:lang w:eastAsia="zh-CN"/>
        </w:rPr>
      </w:pPr>
      <w:r>
        <w:rPr>
          <w:noProof/>
          <w:lang w:bidi="ar-SA"/>
        </w:rPr>
        <w:lastRenderedPageBreak/>
        <w:drawing>
          <wp:inline distT="0" distB="0" distL="0" distR="0" wp14:anchorId="0764A502" wp14:editId="3B1AEA9C">
            <wp:extent cx="5123176" cy="5467350"/>
            <wp:effectExtent l="0" t="0" r="1905" b="0"/>
            <wp:docPr id="13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srcRect/>
                    <a:stretch>
                      <a:fillRect/>
                    </a:stretch>
                  </pic:blipFill>
                  <pic:spPr bwMode="auto">
                    <a:xfrm>
                      <a:off x="0" y="0"/>
                      <a:ext cx="5123176" cy="5467350"/>
                    </a:xfrm>
                    <a:prstGeom prst="rect">
                      <a:avLst/>
                    </a:prstGeom>
                    <a:noFill/>
                  </pic:spPr>
                </pic:pic>
              </a:graphicData>
            </a:graphic>
          </wp:inline>
        </w:drawing>
      </w:r>
    </w:p>
    <w:p w:rsidR="00F14E6B" w:rsidRPr="00F14E6B" w:rsidRDefault="00F14E6B" w:rsidP="00F14E6B">
      <w:pPr>
        <w:pStyle w:val="Caption"/>
        <w:rPr>
          <w:rFonts w:ascii="Times New Roman" w:hAnsi="Times New Roman"/>
          <w:sz w:val="23"/>
          <w:szCs w:val="23"/>
        </w:rPr>
      </w:pPr>
      <w:bookmarkStart w:id="11" w:name="_Toc400010197"/>
      <w:proofErr w:type="gramStart"/>
      <w:r w:rsidRPr="00F14E6B">
        <w:rPr>
          <w:sz w:val="23"/>
          <w:szCs w:val="23"/>
        </w:rPr>
        <w:t xml:space="preserve">Figure </w:t>
      </w:r>
      <w:r w:rsidR="00B83452">
        <w:rPr>
          <w:sz w:val="23"/>
          <w:szCs w:val="23"/>
        </w:rPr>
        <w:t>1</w:t>
      </w:r>
      <w:r w:rsidRPr="00F14E6B">
        <w:rPr>
          <w:sz w:val="23"/>
          <w:szCs w:val="23"/>
        </w:rPr>
        <w:t>.</w:t>
      </w:r>
      <w:r w:rsidR="006E7D88">
        <w:rPr>
          <w:sz w:val="23"/>
          <w:szCs w:val="23"/>
        </w:rPr>
        <w:t>7</w:t>
      </w:r>
      <w:r w:rsidRPr="00F14E6B">
        <w:rPr>
          <w:sz w:val="23"/>
          <w:szCs w:val="23"/>
        </w:rPr>
        <w:t>.</w:t>
      </w:r>
      <w:proofErr w:type="gramEnd"/>
      <w:r w:rsidRPr="00F14E6B">
        <w:rPr>
          <w:sz w:val="23"/>
          <w:szCs w:val="23"/>
        </w:rPr>
        <w:t xml:space="preserve"> </w:t>
      </w:r>
      <w:bookmarkEnd w:id="11"/>
      <w:proofErr w:type="gramStart"/>
      <w:r w:rsidR="00972772" w:rsidRPr="00972772">
        <w:rPr>
          <w:rFonts w:ascii="Times New Roman" w:hAnsi="Times New Roman"/>
          <w:sz w:val="23"/>
          <w:szCs w:val="23"/>
        </w:rPr>
        <w:t>Common sedimentary features of channel-fill sandstones in the lower sandstones, including megaflute (A1 in face 1 that can be correlated to A2 in face 2) and muddy debris-flow deposits with slump blocks (B).</w:t>
      </w:r>
      <w:proofErr w:type="gramEnd"/>
      <w:r w:rsidR="00972772" w:rsidRPr="00972772">
        <w:rPr>
          <w:rFonts w:ascii="Times New Roman" w:hAnsi="Times New Roman"/>
          <w:sz w:val="23"/>
          <w:szCs w:val="23"/>
        </w:rPr>
        <w:t xml:space="preserve"> S = south.</w:t>
      </w:r>
    </w:p>
    <w:p w:rsidR="006C0F92" w:rsidRDefault="006C0F92" w:rsidP="00F14E6B">
      <w:pPr>
        <w:pStyle w:val="Caption"/>
        <w:jc w:val="center"/>
      </w:pPr>
    </w:p>
    <w:p w:rsidR="00F11AB4" w:rsidRDefault="00F11AB4" w:rsidP="006C0F92">
      <w:pPr>
        <w:pStyle w:val="Caption"/>
      </w:pPr>
    </w:p>
    <w:p w:rsidR="00F11AB4" w:rsidRDefault="00F11AB4" w:rsidP="00F11AB4"/>
    <w:p w:rsidR="00F11AB4" w:rsidRDefault="00F11AB4" w:rsidP="00F11AB4"/>
    <w:p w:rsidR="00F11AB4" w:rsidRDefault="00F11AB4" w:rsidP="00F11AB4"/>
    <w:p w:rsidR="00F11AB4" w:rsidRDefault="00F11AB4" w:rsidP="00F11AB4"/>
    <w:p w:rsidR="00F14E6B" w:rsidRDefault="00AD5489" w:rsidP="00697DBE">
      <w:pPr>
        <w:jc w:val="center"/>
        <w:rPr>
          <w:lang w:eastAsia="zh-CN"/>
        </w:rPr>
      </w:pPr>
      <w:r>
        <w:rPr>
          <w:noProof/>
          <w:lang w:bidi="ar-SA"/>
        </w:rPr>
        <w:lastRenderedPageBreak/>
        <w:drawing>
          <wp:inline distT="0" distB="0" distL="0" distR="0" wp14:anchorId="12A734F2" wp14:editId="33A6EC53">
            <wp:extent cx="5139543" cy="3810000"/>
            <wp:effectExtent l="0" t="0" r="4445" b="0"/>
            <wp:docPr id="13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a:srcRect/>
                    <a:stretch>
                      <a:fillRect/>
                    </a:stretch>
                  </pic:blipFill>
                  <pic:spPr bwMode="auto">
                    <a:xfrm>
                      <a:off x="0" y="0"/>
                      <a:ext cx="5136311" cy="3807604"/>
                    </a:xfrm>
                    <a:prstGeom prst="rect">
                      <a:avLst/>
                    </a:prstGeom>
                    <a:noFill/>
                  </pic:spPr>
                </pic:pic>
              </a:graphicData>
            </a:graphic>
          </wp:inline>
        </w:drawing>
      </w:r>
    </w:p>
    <w:p w:rsidR="00F11AB4" w:rsidRDefault="00F14E6B" w:rsidP="00972772">
      <w:pPr>
        <w:pStyle w:val="Caption"/>
        <w:jc w:val="both"/>
        <w:rPr>
          <w:noProof/>
          <w:lang w:eastAsia="zh-CN" w:bidi="ar-SA"/>
        </w:rPr>
      </w:pPr>
      <w:bookmarkStart w:id="12" w:name="_Toc400010198"/>
      <w:proofErr w:type="gramStart"/>
      <w:r w:rsidRPr="00F14E6B">
        <w:rPr>
          <w:sz w:val="23"/>
          <w:szCs w:val="23"/>
        </w:rPr>
        <w:t xml:space="preserve">Figure </w:t>
      </w:r>
      <w:r w:rsidR="00B83452">
        <w:rPr>
          <w:sz w:val="23"/>
          <w:szCs w:val="23"/>
        </w:rPr>
        <w:t>1</w:t>
      </w:r>
      <w:r w:rsidRPr="00F14E6B">
        <w:rPr>
          <w:sz w:val="23"/>
          <w:szCs w:val="23"/>
        </w:rPr>
        <w:t>.</w:t>
      </w:r>
      <w:r w:rsidR="006E7D88">
        <w:rPr>
          <w:sz w:val="23"/>
          <w:szCs w:val="23"/>
        </w:rPr>
        <w:t>8</w:t>
      </w:r>
      <w:r w:rsidRPr="00F14E6B">
        <w:rPr>
          <w:sz w:val="23"/>
          <w:szCs w:val="23"/>
        </w:rPr>
        <w:t>.</w:t>
      </w:r>
      <w:proofErr w:type="gramEnd"/>
      <w:r w:rsidRPr="00F14E6B">
        <w:rPr>
          <w:sz w:val="23"/>
          <w:szCs w:val="23"/>
        </w:rPr>
        <w:t xml:space="preserve"> </w:t>
      </w:r>
      <w:bookmarkEnd w:id="12"/>
      <w:r w:rsidR="00972772" w:rsidRPr="00972772">
        <w:rPr>
          <w:rFonts w:ascii="Times New Roman" w:hAnsi="Times New Roman"/>
          <w:sz w:val="23"/>
          <w:szCs w:val="23"/>
        </w:rPr>
        <w:t>Measured section face 4_upper in the Baumgartner Quarry, integrating lithofacies (A), outcrop gamma-ray measurements (B), architectural facies and grain sizes (C), and depositional environments (D). F = finer grained; C = coarser grained.</w:t>
      </w:r>
    </w:p>
    <w:p w:rsidR="00F11AB4" w:rsidRDefault="00F11AB4" w:rsidP="00F11AB4">
      <w:pPr>
        <w:rPr>
          <w:noProof/>
          <w:lang w:eastAsia="zh-CN" w:bidi="ar-SA"/>
        </w:rPr>
      </w:pPr>
    </w:p>
    <w:p w:rsidR="00F11AB4" w:rsidRDefault="00F11AB4" w:rsidP="00F11AB4">
      <w:pPr>
        <w:rPr>
          <w:noProof/>
          <w:lang w:eastAsia="zh-CN" w:bidi="ar-SA"/>
        </w:rPr>
      </w:pPr>
    </w:p>
    <w:p w:rsidR="00F11AB4" w:rsidRDefault="00F11AB4" w:rsidP="00F11AB4">
      <w:pPr>
        <w:rPr>
          <w:noProof/>
          <w:lang w:eastAsia="zh-CN" w:bidi="ar-SA"/>
        </w:rPr>
      </w:pPr>
    </w:p>
    <w:p w:rsidR="00F11AB4" w:rsidRDefault="00F11AB4" w:rsidP="00F11AB4"/>
    <w:p w:rsidR="00F11AB4" w:rsidRDefault="00F11AB4" w:rsidP="00F11AB4"/>
    <w:p w:rsidR="00F11AB4" w:rsidRDefault="00F11AB4" w:rsidP="00F11AB4"/>
    <w:p w:rsidR="00F11AB4" w:rsidRDefault="00F11AB4" w:rsidP="00F11AB4"/>
    <w:p w:rsidR="00F11AB4" w:rsidRDefault="00F11AB4" w:rsidP="00F11AB4"/>
    <w:p w:rsidR="00F14E6B" w:rsidRDefault="00AD5489" w:rsidP="00697DBE">
      <w:pPr>
        <w:keepNext/>
        <w:jc w:val="center"/>
      </w:pPr>
      <w:r>
        <w:rPr>
          <w:noProof/>
          <w:lang w:bidi="ar-SA"/>
        </w:rPr>
        <w:lastRenderedPageBreak/>
        <w:drawing>
          <wp:inline distT="0" distB="0" distL="0" distR="0" wp14:anchorId="25C4FFC6" wp14:editId="11951DAF">
            <wp:extent cx="5167267" cy="6219825"/>
            <wp:effectExtent l="0" t="0" r="0" b="0"/>
            <wp:docPr id="13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srcRect/>
                    <a:stretch>
                      <a:fillRect/>
                    </a:stretch>
                  </pic:blipFill>
                  <pic:spPr bwMode="auto">
                    <a:xfrm>
                      <a:off x="0" y="0"/>
                      <a:ext cx="5168794" cy="6221662"/>
                    </a:xfrm>
                    <a:prstGeom prst="rect">
                      <a:avLst/>
                    </a:prstGeom>
                    <a:noFill/>
                  </pic:spPr>
                </pic:pic>
              </a:graphicData>
            </a:graphic>
          </wp:inline>
        </w:drawing>
      </w:r>
    </w:p>
    <w:p w:rsidR="00F11AB4" w:rsidRDefault="00F14E6B" w:rsidP="00972772">
      <w:pPr>
        <w:pStyle w:val="Caption"/>
        <w:rPr>
          <w:rFonts w:ascii="Times New Roman" w:hAnsi="Times New Roman"/>
          <w:b w:val="0"/>
          <w:sz w:val="23"/>
          <w:szCs w:val="23"/>
        </w:rPr>
      </w:pPr>
      <w:bookmarkStart w:id="13" w:name="_Toc400010199"/>
      <w:proofErr w:type="gramStart"/>
      <w:r w:rsidRPr="00F14E6B">
        <w:rPr>
          <w:sz w:val="23"/>
          <w:szCs w:val="23"/>
        </w:rPr>
        <w:t xml:space="preserve">Figure </w:t>
      </w:r>
      <w:r w:rsidR="00B83452">
        <w:rPr>
          <w:sz w:val="23"/>
          <w:szCs w:val="23"/>
        </w:rPr>
        <w:t>1</w:t>
      </w:r>
      <w:r w:rsidRPr="00F14E6B">
        <w:rPr>
          <w:sz w:val="23"/>
          <w:szCs w:val="23"/>
        </w:rPr>
        <w:t>.</w:t>
      </w:r>
      <w:r w:rsidR="006E7D88">
        <w:rPr>
          <w:sz w:val="23"/>
          <w:szCs w:val="23"/>
        </w:rPr>
        <w:t>9</w:t>
      </w:r>
      <w:r w:rsidRPr="00F14E6B">
        <w:rPr>
          <w:sz w:val="23"/>
          <w:szCs w:val="23"/>
        </w:rPr>
        <w:t>.</w:t>
      </w:r>
      <w:proofErr w:type="gramEnd"/>
      <w:r w:rsidRPr="00F14E6B">
        <w:rPr>
          <w:sz w:val="23"/>
          <w:szCs w:val="23"/>
        </w:rPr>
        <w:t xml:space="preserve"> </w:t>
      </w:r>
      <w:bookmarkEnd w:id="13"/>
      <w:r w:rsidR="00972772" w:rsidRPr="00972772">
        <w:rPr>
          <w:rFonts w:ascii="Times New Roman" w:hAnsi="Times New Roman"/>
          <w:sz w:val="23"/>
          <w:szCs w:val="23"/>
        </w:rPr>
        <w:t>Sedimentary features of the upper sandstones, including unconfined channel cuts (A) and sandy debris flow (slurry beds) (B). Photographs C and D are located at the 100-m (328-ft) horizon of face 4_upper; these two photographs were taken 3 months apart. S = south.</w:t>
      </w:r>
    </w:p>
    <w:p w:rsidR="00F11AB4" w:rsidRDefault="00F11AB4" w:rsidP="00F11AB4">
      <w:pPr>
        <w:spacing w:line="240" w:lineRule="auto"/>
        <w:jc w:val="both"/>
        <w:rPr>
          <w:rFonts w:ascii="Times New Roman" w:hAnsi="Times New Roman"/>
          <w:b/>
          <w:sz w:val="23"/>
          <w:szCs w:val="23"/>
        </w:rPr>
      </w:pPr>
    </w:p>
    <w:p w:rsidR="00F11AB4" w:rsidRDefault="00F11AB4" w:rsidP="00F11AB4">
      <w:pPr>
        <w:spacing w:line="240" w:lineRule="auto"/>
        <w:jc w:val="both"/>
        <w:rPr>
          <w:rFonts w:ascii="Times New Roman" w:hAnsi="Times New Roman"/>
          <w:b/>
          <w:sz w:val="23"/>
          <w:szCs w:val="23"/>
        </w:rPr>
      </w:pPr>
    </w:p>
    <w:p w:rsidR="00F11AB4" w:rsidRDefault="00F11AB4" w:rsidP="00F11AB4">
      <w:pPr>
        <w:spacing w:line="240" w:lineRule="auto"/>
        <w:jc w:val="both"/>
        <w:rPr>
          <w:rFonts w:ascii="Times New Roman" w:hAnsi="Times New Roman"/>
          <w:b/>
          <w:sz w:val="23"/>
          <w:szCs w:val="23"/>
        </w:rPr>
      </w:pPr>
    </w:p>
    <w:p w:rsidR="00F11AB4" w:rsidRDefault="00F11AB4" w:rsidP="00F11AB4">
      <w:pPr>
        <w:spacing w:line="240" w:lineRule="auto"/>
        <w:jc w:val="both"/>
        <w:rPr>
          <w:rFonts w:ascii="Times New Roman" w:hAnsi="Times New Roman"/>
          <w:b/>
          <w:sz w:val="23"/>
          <w:szCs w:val="23"/>
        </w:rPr>
      </w:pPr>
    </w:p>
    <w:p w:rsidR="00F11AB4" w:rsidRDefault="00F11AB4" w:rsidP="00F11AB4">
      <w:pPr>
        <w:spacing w:line="240" w:lineRule="auto"/>
        <w:jc w:val="both"/>
        <w:rPr>
          <w:rFonts w:ascii="Times New Roman" w:hAnsi="Times New Roman"/>
          <w:b/>
          <w:sz w:val="23"/>
          <w:szCs w:val="23"/>
        </w:rPr>
      </w:pPr>
    </w:p>
    <w:p w:rsidR="00F11AB4" w:rsidRDefault="00F11AB4" w:rsidP="00F11AB4">
      <w:pPr>
        <w:spacing w:line="240" w:lineRule="auto"/>
        <w:jc w:val="both"/>
        <w:rPr>
          <w:rFonts w:ascii="Times New Roman" w:hAnsi="Times New Roman"/>
          <w:b/>
          <w:sz w:val="23"/>
          <w:szCs w:val="23"/>
        </w:rPr>
      </w:pPr>
    </w:p>
    <w:p w:rsidR="00F11AB4" w:rsidRDefault="00F11AB4" w:rsidP="00F11AB4">
      <w:pPr>
        <w:spacing w:line="240" w:lineRule="auto"/>
        <w:jc w:val="both"/>
        <w:rPr>
          <w:rFonts w:ascii="Times New Roman" w:hAnsi="Times New Roman"/>
          <w:b/>
          <w:sz w:val="23"/>
          <w:szCs w:val="23"/>
        </w:rPr>
      </w:pPr>
    </w:p>
    <w:p w:rsidR="00F11AB4" w:rsidRDefault="00F11AB4" w:rsidP="00F11AB4">
      <w:pPr>
        <w:spacing w:line="240" w:lineRule="auto"/>
        <w:jc w:val="both"/>
        <w:rPr>
          <w:rFonts w:ascii="Times New Roman" w:hAnsi="Times New Roman"/>
          <w:b/>
          <w:sz w:val="23"/>
          <w:szCs w:val="23"/>
        </w:rPr>
      </w:pPr>
    </w:p>
    <w:p w:rsidR="00F11AB4" w:rsidRPr="003F049F" w:rsidRDefault="00F11AB4" w:rsidP="00F11AB4">
      <w:pPr>
        <w:spacing w:line="240" w:lineRule="auto"/>
        <w:jc w:val="both"/>
        <w:rPr>
          <w:rFonts w:ascii="Times New Roman" w:hAnsi="Times New Roman"/>
          <w:b/>
          <w:sz w:val="23"/>
          <w:szCs w:val="23"/>
        </w:rPr>
      </w:pPr>
    </w:p>
    <w:p w:rsidR="00F11AB4" w:rsidRDefault="00F11AB4" w:rsidP="00F11AB4"/>
    <w:p w:rsidR="00F11AB4" w:rsidRDefault="00F11AB4" w:rsidP="00F11AB4"/>
    <w:p w:rsidR="00F14E6B" w:rsidRDefault="00AD5489" w:rsidP="00697DBE">
      <w:pPr>
        <w:keepNext/>
        <w:jc w:val="center"/>
      </w:pPr>
      <w:r>
        <w:rPr>
          <w:noProof/>
          <w:lang w:bidi="ar-SA"/>
        </w:rPr>
        <w:drawing>
          <wp:inline distT="0" distB="0" distL="0" distR="0" wp14:anchorId="20A07261" wp14:editId="4650C8BB">
            <wp:extent cx="5120640" cy="3415560"/>
            <wp:effectExtent l="0" t="0" r="3810" b="0"/>
            <wp:docPr id="13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1"/>
                    <a:srcRect/>
                    <a:stretch>
                      <a:fillRect/>
                    </a:stretch>
                  </pic:blipFill>
                  <pic:spPr bwMode="auto">
                    <a:xfrm>
                      <a:off x="0" y="0"/>
                      <a:ext cx="5120640" cy="3415560"/>
                    </a:xfrm>
                    <a:prstGeom prst="rect">
                      <a:avLst/>
                    </a:prstGeom>
                    <a:noFill/>
                  </pic:spPr>
                </pic:pic>
              </a:graphicData>
            </a:graphic>
          </wp:inline>
        </w:drawing>
      </w:r>
    </w:p>
    <w:p w:rsidR="006C0F92" w:rsidRDefault="00F14E6B" w:rsidP="00F14E6B">
      <w:pPr>
        <w:pStyle w:val="Caption"/>
      </w:pPr>
      <w:bookmarkStart w:id="14" w:name="_Toc400010200"/>
      <w:proofErr w:type="gramStart"/>
      <w:r w:rsidRPr="00F14E6B">
        <w:rPr>
          <w:sz w:val="23"/>
          <w:szCs w:val="23"/>
        </w:rPr>
        <w:t xml:space="preserve">Figure </w:t>
      </w:r>
      <w:r w:rsidR="00B83452">
        <w:rPr>
          <w:sz w:val="23"/>
          <w:szCs w:val="23"/>
        </w:rPr>
        <w:t>1</w:t>
      </w:r>
      <w:r w:rsidRPr="00F14E6B">
        <w:rPr>
          <w:sz w:val="23"/>
          <w:szCs w:val="23"/>
        </w:rPr>
        <w:t>.</w:t>
      </w:r>
      <w:r w:rsidR="006E7D88">
        <w:rPr>
          <w:sz w:val="23"/>
          <w:szCs w:val="23"/>
        </w:rPr>
        <w:t>10</w:t>
      </w:r>
      <w:r w:rsidRPr="00F14E6B">
        <w:rPr>
          <w:sz w:val="23"/>
          <w:szCs w:val="23"/>
        </w:rPr>
        <w:t>.</w:t>
      </w:r>
      <w:proofErr w:type="gramEnd"/>
      <w:r w:rsidRPr="00F14E6B">
        <w:rPr>
          <w:sz w:val="23"/>
          <w:szCs w:val="23"/>
        </w:rPr>
        <w:t xml:space="preserve"> </w:t>
      </w:r>
      <w:bookmarkEnd w:id="14"/>
      <w:r w:rsidR="0046357A" w:rsidRPr="0046357A">
        <w:rPr>
          <w:rFonts w:ascii="Times New Roman" w:hAnsi="Times New Roman"/>
          <w:sz w:val="23"/>
          <w:szCs w:val="23"/>
        </w:rPr>
        <w:t>(A) Summary of sequence-stratigraphic units in the Baumgartner Quarry. (B) Depositional environment of the Baumgartner Quarry sequence over a larger area (sim2 times 2 km [sim1.2 times 1.2 mi]).</w:t>
      </w:r>
    </w:p>
    <w:p w:rsidR="00F11AB4" w:rsidRPr="006A681A" w:rsidRDefault="00F11AB4" w:rsidP="00F11AB4">
      <w:pPr>
        <w:spacing w:line="240" w:lineRule="auto"/>
        <w:outlineLvl w:val="2"/>
        <w:rPr>
          <w:rFonts w:ascii="Times New Roman" w:hAnsi="Times New Roman"/>
          <w:b/>
          <w:sz w:val="23"/>
          <w:szCs w:val="23"/>
        </w:rPr>
      </w:pPr>
    </w:p>
    <w:p w:rsidR="00F11AB4" w:rsidRPr="006A681A" w:rsidRDefault="00F11AB4" w:rsidP="00F11AB4">
      <w:pPr>
        <w:rPr>
          <w:rFonts w:ascii="Times New Roman" w:hAnsi="Times New Roman"/>
          <w:b/>
          <w:sz w:val="23"/>
          <w:szCs w:val="23"/>
        </w:rPr>
      </w:pPr>
    </w:p>
    <w:p w:rsidR="00F11AB4" w:rsidRDefault="00F11AB4" w:rsidP="00F11AB4"/>
    <w:p w:rsidR="00F14E6B" w:rsidRDefault="00AD5489" w:rsidP="00697DBE">
      <w:pPr>
        <w:jc w:val="center"/>
      </w:pPr>
      <w:r>
        <w:rPr>
          <w:noProof/>
          <w:lang w:bidi="ar-SA"/>
        </w:rPr>
        <w:lastRenderedPageBreak/>
        <w:drawing>
          <wp:inline distT="0" distB="0" distL="0" distR="0" wp14:anchorId="24319171" wp14:editId="1CA557EC">
            <wp:extent cx="4892040" cy="6648615"/>
            <wp:effectExtent l="0" t="0" r="3810" b="0"/>
            <wp:docPr id="1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
                    <a:srcRect/>
                    <a:stretch>
                      <a:fillRect/>
                    </a:stretch>
                  </pic:blipFill>
                  <pic:spPr bwMode="auto">
                    <a:xfrm>
                      <a:off x="0" y="0"/>
                      <a:ext cx="4895123" cy="6652804"/>
                    </a:xfrm>
                    <a:prstGeom prst="rect">
                      <a:avLst/>
                    </a:prstGeom>
                    <a:noFill/>
                  </pic:spPr>
                </pic:pic>
              </a:graphicData>
            </a:graphic>
          </wp:inline>
        </w:drawing>
      </w:r>
    </w:p>
    <w:p w:rsidR="00F14E6B" w:rsidRPr="00F14E6B" w:rsidRDefault="00F14E6B" w:rsidP="00F14E6B">
      <w:pPr>
        <w:pStyle w:val="Caption"/>
        <w:rPr>
          <w:rFonts w:ascii="Times New Roman" w:hAnsi="Times New Roman"/>
          <w:sz w:val="23"/>
          <w:szCs w:val="23"/>
        </w:rPr>
      </w:pPr>
      <w:bookmarkStart w:id="15" w:name="_Toc400010201"/>
      <w:r w:rsidRPr="00F14E6B">
        <w:rPr>
          <w:sz w:val="23"/>
          <w:szCs w:val="23"/>
        </w:rPr>
        <w:t xml:space="preserve">Figure </w:t>
      </w:r>
      <w:r w:rsidR="00B83452">
        <w:rPr>
          <w:sz w:val="23"/>
          <w:szCs w:val="23"/>
        </w:rPr>
        <w:t>1</w:t>
      </w:r>
      <w:r w:rsidRPr="00F14E6B">
        <w:rPr>
          <w:sz w:val="23"/>
          <w:szCs w:val="23"/>
        </w:rPr>
        <w:t>.</w:t>
      </w:r>
      <w:r w:rsidR="006E7D88">
        <w:rPr>
          <w:sz w:val="23"/>
          <w:szCs w:val="23"/>
        </w:rPr>
        <w:t>11</w:t>
      </w:r>
      <w:r>
        <w:rPr>
          <w:sz w:val="23"/>
          <w:szCs w:val="23"/>
        </w:rPr>
        <w:t>.</w:t>
      </w:r>
      <w:bookmarkEnd w:id="15"/>
      <w:r w:rsidR="00742C3D" w:rsidRPr="00742C3D">
        <w:rPr>
          <w:rFonts w:ascii="Times New Roman" w:hAnsi="Times New Roman"/>
          <w:sz w:val="23"/>
          <w:szCs w:val="23"/>
        </w:rPr>
        <w:t>Zones divided for reservoir modeling. The entire quarry is divided into 26 major zones for simulation, with thicknesses from 2 to 30 m (6.6–98 ft). Each zone is represented by a reservoir element, such as confined or semiconfined or unconfined channel fill, lobe or fan deposits, shale, and so on.</w:t>
      </w:r>
    </w:p>
    <w:p w:rsidR="006C0F92" w:rsidRDefault="006C0F92" w:rsidP="00F14E6B">
      <w:pPr>
        <w:pStyle w:val="Caption"/>
      </w:pPr>
    </w:p>
    <w:p w:rsidR="00F11AB4" w:rsidRDefault="00AD5489" w:rsidP="00697DBE">
      <w:pPr>
        <w:jc w:val="center"/>
      </w:pPr>
      <w:r>
        <w:rPr>
          <w:noProof/>
          <w:lang w:bidi="ar-SA"/>
        </w:rPr>
        <w:lastRenderedPageBreak/>
        <w:drawing>
          <wp:inline distT="0" distB="0" distL="0" distR="0" wp14:anchorId="0E2AB13C" wp14:editId="16DDFCA1">
            <wp:extent cx="5234940" cy="3599250"/>
            <wp:effectExtent l="0" t="0" r="3810" b="1270"/>
            <wp:docPr id="1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3"/>
                    <a:srcRect/>
                    <a:stretch>
                      <a:fillRect/>
                    </a:stretch>
                  </pic:blipFill>
                  <pic:spPr bwMode="auto">
                    <a:xfrm>
                      <a:off x="0" y="0"/>
                      <a:ext cx="5234940" cy="3599250"/>
                    </a:xfrm>
                    <a:prstGeom prst="rect">
                      <a:avLst/>
                    </a:prstGeom>
                    <a:noFill/>
                  </pic:spPr>
                </pic:pic>
              </a:graphicData>
            </a:graphic>
          </wp:inline>
        </w:drawing>
      </w:r>
    </w:p>
    <w:p w:rsidR="00742C3D" w:rsidRPr="00F14E6B" w:rsidRDefault="005D5100" w:rsidP="00742C3D">
      <w:pPr>
        <w:pStyle w:val="Caption"/>
        <w:rPr>
          <w:rFonts w:ascii="Times New Roman" w:hAnsi="Times New Roman"/>
          <w:sz w:val="23"/>
          <w:szCs w:val="23"/>
        </w:rPr>
      </w:pPr>
      <w:r>
        <w:rPr>
          <w:sz w:val="23"/>
          <w:szCs w:val="23"/>
        </w:rPr>
        <w:t>Figure 1.</w:t>
      </w:r>
      <w:r w:rsidR="006E7D88">
        <w:rPr>
          <w:sz w:val="23"/>
          <w:szCs w:val="23"/>
        </w:rPr>
        <w:t>12</w:t>
      </w:r>
      <w:r w:rsidR="00742C3D">
        <w:rPr>
          <w:sz w:val="23"/>
          <w:szCs w:val="23"/>
        </w:rPr>
        <w:t>.</w:t>
      </w:r>
      <w:r w:rsidR="00742C3D" w:rsidRPr="00742C3D">
        <w:rPr>
          <w:rFonts w:ascii="Times New Roman" w:hAnsi="Times New Roman"/>
          <w:sz w:val="23"/>
          <w:szCs w:val="23"/>
        </w:rPr>
        <w:t>Map view of the reservoir model, including the major reservoir elements and their composite subelements. The confined channel consists of channel axis and shale as background; the semiconfined channel is composed of channel axis and channel margin; the unconfined channel consists of channel axis, channel margin that is much wider; lobe or fan deposits are presented by large fan-shaped sheet sandstones.</w:t>
      </w:r>
    </w:p>
    <w:p w:rsidR="00F11AB4" w:rsidRPr="00F11AB4" w:rsidRDefault="00F11AB4" w:rsidP="00F11AB4"/>
    <w:p w:rsidR="00F11AB4" w:rsidRDefault="00AD5489" w:rsidP="00697DBE">
      <w:pPr>
        <w:jc w:val="center"/>
      </w:pPr>
      <w:r>
        <w:rPr>
          <w:noProof/>
          <w:lang w:bidi="ar-SA"/>
        </w:rPr>
        <w:lastRenderedPageBreak/>
        <w:drawing>
          <wp:inline distT="0" distB="0" distL="0" distR="0" wp14:anchorId="5D3157F2" wp14:editId="4907C63D">
            <wp:extent cx="5120640" cy="3888326"/>
            <wp:effectExtent l="0" t="0" r="3810" b="0"/>
            <wp:docPr id="1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4"/>
                    <a:srcRect/>
                    <a:stretch>
                      <a:fillRect/>
                    </a:stretch>
                  </pic:blipFill>
                  <pic:spPr bwMode="auto">
                    <a:xfrm>
                      <a:off x="0" y="0"/>
                      <a:ext cx="5121430" cy="3888926"/>
                    </a:xfrm>
                    <a:prstGeom prst="rect">
                      <a:avLst/>
                    </a:prstGeom>
                    <a:noFill/>
                  </pic:spPr>
                </pic:pic>
              </a:graphicData>
            </a:graphic>
          </wp:inline>
        </w:drawing>
      </w:r>
    </w:p>
    <w:p w:rsidR="0072653E" w:rsidRPr="00F14E6B" w:rsidRDefault="005D5100" w:rsidP="0072653E">
      <w:pPr>
        <w:pStyle w:val="Caption"/>
        <w:rPr>
          <w:rFonts w:ascii="Times New Roman" w:hAnsi="Times New Roman"/>
          <w:sz w:val="23"/>
          <w:szCs w:val="23"/>
        </w:rPr>
      </w:pPr>
      <w:r>
        <w:rPr>
          <w:sz w:val="23"/>
          <w:szCs w:val="23"/>
        </w:rPr>
        <w:t>Figure 1.1</w:t>
      </w:r>
      <w:r w:rsidR="0072653E">
        <w:rPr>
          <w:rFonts w:hint="eastAsia"/>
          <w:sz w:val="23"/>
          <w:szCs w:val="23"/>
          <w:lang w:eastAsia="zh-CN"/>
        </w:rPr>
        <w:t>3</w:t>
      </w:r>
      <w:r w:rsidR="0072653E">
        <w:rPr>
          <w:sz w:val="23"/>
          <w:szCs w:val="23"/>
        </w:rPr>
        <w:t>.</w:t>
      </w:r>
      <w:r w:rsidR="0072653E" w:rsidRPr="0072653E">
        <w:rPr>
          <w:rFonts w:ascii="Times New Roman" w:hAnsi="Times New Roman"/>
          <w:sz w:val="23"/>
          <w:szCs w:val="23"/>
        </w:rPr>
        <w:t>A three-dimensional view of the reservoir model of permeability with a salt surface and wells; the oil-water contact is set at 3900 m (12,795 ft). The producing well 1 and the injection well are connected through the channel axis facies, whereas the producing well 2 and the injection well are not.</w:t>
      </w:r>
    </w:p>
    <w:p w:rsidR="00F11AB4" w:rsidRDefault="00F11AB4" w:rsidP="005562EA"/>
    <w:p w:rsidR="00F11AB4" w:rsidRDefault="00F11AB4" w:rsidP="005562EA"/>
    <w:p w:rsidR="00F11AB4" w:rsidRDefault="0072653E" w:rsidP="0072653E">
      <w:pPr>
        <w:jc w:val="center"/>
      </w:pPr>
      <w:r>
        <w:rPr>
          <w:noProof/>
          <w:lang w:bidi="ar-SA"/>
        </w:rPr>
        <w:lastRenderedPageBreak/>
        <w:drawing>
          <wp:inline distT="0" distB="0" distL="0" distR="0" wp14:anchorId="4A4CFE82" wp14:editId="06CC8DBB">
            <wp:extent cx="4844840" cy="6409267"/>
            <wp:effectExtent l="19050" t="0" r="0" b="0"/>
            <wp:docPr id="104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5"/>
                    <a:srcRect/>
                    <a:stretch>
                      <a:fillRect/>
                    </a:stretch>
                  </pic:blipFill>
                  <pic:spPr bwMode="auto">
                    <a:xfrm>
                      <a:off x="0" y="0"/>
                      <a:ext cx="4843770" cy="6407852"/>
                    </a:xfrm>
                    <a:prstGeom prst="rect">
                      <a:avLst/>
                    </a:prstGeom>
                    <a:noFill/>
                  </pic:spPr>
                </pic:pic>
              </a:graphicData>
            </a:graphic>
          </wp:inline>
        </w:drawing>
      </w:r>
    </w:p>
    <w:p w:rsidR="0072653E" w:rsidRPr="00F14E6B" w:rsidRDefault="005D5100" w:rsidP="0072653E">
      <w:pPr>
        <w:pStyle w:val="Caption"/>
        <w:rPr>
          <w:rFonts w:ascii="Times New Roman" w:hAnsi="Times New Roman"/>
          <w:sz w:val="23"/>
          <w:szCs w:val="23"/>
        </w:rPr>
      </w:pPr>
      <w:r>
        <w:rPr>
          <w:sz w:val="23"/>
          <w:szCs w:val="23"/>
        </w:rPr>
        <w:t>Figure 1.1</w:t>
      </w:r>
      <w:r w:rsidR="0072653E">
        <w:rPr>
          <w:rFonts w:hint="eastAsia"/>
          <w:sz w:val="23"/>
          <w:szCs w:val="23"/>
          <w:lang w:eastAsia="zh-CN"/>
        </w:rPr>
        <w:t>4</w:t>
      </w:r>
      <w:r w:rsidR="0072653E">
        <w:rPr>
          <w:sz w:val="23"/>
          <w:szCs w:val="23"/>
        </w:rPr>
        <w:t>.</w:t>
      </w:r>
      <w:r w:rsidR="0072653E" w:rsidRPr="0072653E">
        <w:rPr>
          <w:rFonts w:ascii="Times New Roman" w:hAnsi="Times New Roman"/>
          <w:sz w:val="23"/>
          <w:szCs w:val="23"/>
        </w:rPr>
        <w:t>Reservoir simulation results from both upper and lower sandstones, upper sandstones only, and lower sandstones only, including cumulative production and production rate from producing well 1 (solid line) and well 2 (dashed line). Note that the (1) production volume and rate in well 1 is 60% more than those in well 2 in all cases; (2) the lower channelized sandstone package has a larger drop of production rate than does the upper sheet sandstone; and (3) the upper sandstones are more sustainable during a 10-yr production period, whereas the rate of the lower sandstones is close to zero after 10 yr.</w:t>
      </w:r>
    </w:p>
    <w:p w:rsidR="0072653E" w:rsidRDefault="0072653E" w:rsidP="00697DBE">
      <w:pPr>
        <w:jc w:val="center"/>
        <w:rPr>
          <w:lang w:eastAsia="zh-CN"/>
        </w:rPr>
      </w:pPr>
      <w:r>
        <w:rPr>
          <w:rFonts w:hint="eastAsia"/>
          <w:noProof/>
          <w:lang w:bidi="ar-SA"/>
        </w:rPr>
        <w:lastRenderedPageBreak/>
        <w:drawing>
          <wp:inline distT="0" distB="0" distL="0" distR="0" wp14:anchorId="706603DD" wp14:editId="14AF39B0">
            <wp:extent cx="5006340" cy="2816278"/>
            <wp:effectExtent l="0" t="0" r="3810" b="3175"/>
            <wp:docPr id="104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6"/>
                    <a:srcRect/>
                    <a:stretch>
                      <a:fillRect/>
                    </a:stretch>
                  </pic:blipFill>
                  <pic:spPr bwMode="auto">
                    <a:xfrm>
                      <a:off x="0" y="0"/>
                      <a:ext cx="5009878" cy="2818268"/>
                    </a:xfrm>
                    <a:prstGeom prst="rect">
                      <a:avLst/>
                    </a:prstGeom>
                    <a:noFill/>
                    <a:ln w="9525">
                      <a:noFill/>
                      <a:miter lim="800000"/>
                      <a:headEnd/>
                      <a:tailEnd/>
                    </a:ln>
                  </pic:spPr>
                </pic:pic>
              </a:graphicData>
            </a:graphic>
          </wp:inline>
        </w:drawing>
      </w:r>
    </w:p>
    <w:p w:rsidR="0072653E" w:rsidRPr="00F14E6B" w:rsidRDefault="005D5100" w:rsidP="0072653E">
      <w:pPr>
        <w:pStyle w:val="Caption"/>
        <w:rPr>
          <w:rFonts w:ascii="Times New Roman" w:hAnsi="Times New Roman"/>
          <w:sz w:val="23"/>
          <w:szCs w:val="23"/>
        </w:rPr>
      </w:pPr>
      <w:r>
        <w:rPr>
          <w:sz w:val="23"/>
          <w:szCs w:val="23"/>
        </w:rPr>
        <w:t>Figure 1.1</w:t>
      </w:r>
      <w:r w:rsidR="0072653E">
        <w:rPr>
          <w:rFonts w:hint="eastAsia"/>
          <w:sz w:val="23"/>
          <w:szCs w:val="23"/>
          <w:lang w:eastAsia="zh-CN"/>
        </w:rPr>
        <w:t>5</w:t>
      </w:r>
      <w:r w:rsidR="0072653E">
        <w:rPr>
          <w:sz w:val="23"/>
          <w:szCs w:val="23"/>
        </w:rPr>
        <w:t>.</w:t>
      </w:r>
      <w:r w:rsidR="0072653E" w:rsidRPr="0072653E">
        <w:rPr>
          <w:rFonts w:ascii="Times New Roman" w:hAnsi="Times New Roman"/>
          <w:sz w:val="23"/>
          <w:szCs w:val="23"/>
        </w:rPr>
        <w:t>Comparison of pressure measurements (solid line and black dots) and prediction (dashed line) for Auger field, Garden Banks, Gulf of Mexico, and the Baumgartner Quarry modeled pressure.</w:t>
      </w:r>
    </w:p>
    <w:p w:rsidR="0072653E" w:rsidRPr="0072653E" w:rsidRDefault="0072653E" w:rsidP="005562EA">
      <w:pPr>
        <w:rPr>
          <w:lang w:eastAsia="zh-CN"/>
        </w:rPr>
      </w:pPr>
    </w:p>
    <w:p w:rsidR="000E7EF9" w:rsidRDefault="000E7EF9" w:rsidP="00B64ED8">
      <w:pPr>
        <w:pStyle w:val="Heading1"/>
      </w:pPr>
    </w:p>
    <w:p w:rsidR="000E7EF9" w:rsidRDefault="000E7EF9" w:rsidP="00B64ED8">
      <w:pPr>
        <w:pStyle w:val="Heading1"/>
      </w:pPr>
    </w:p>
    <w:p w:rsidR="000E7EF9" w:rsidRDefault="000E7EF9" w:rsidP="00B64ED8">
      <w:pPr>
        <w:pStyle w:val="Heading1"/>
      </w:pPr>
    </w:p>
    <w:p w:rsidR="000E7EF9" w:rsidRDefault="000E7EF9" w:rsidP="00B64ED8">
      <w:pPr>
        <w:pStyle w:val="Heading1"/>
      </w:pPr>
    </w:p>
    <w:p w:rsidR="000E7EF9" w:rsidRDefault="000E7EF9" w:rsidP="00B64ED8">
      <w:pPr>
        <w:pStyle w:val="Heading1"/>
      </w:pPr>
    </w:p>
    <w:p w:rsidR="000E7EF9" w:rsidRDefault="000E7EF9" w:rsidP="00B64ED8">
      <w:pPr>
        <w:pStyle w:val="Heading1"/>
      </w:pPr>
    </w:p>
    <w:p w:rsidR="000E7EF9" w:rsidRDefault="000E7EF9" w:rsidP="00B64ED8">
      <w:pPr>
        <w:pStyle w:val="Heading1"/>
      </w:pPr>
    </w:p>
    <w:p w:rsidR="000E7EF9" w:rsidRDefault="000E7EF9" w:rsidP="00B64ED8">
      <w:pPr>
        <w:pStyle w:val="Heading1"/>
      </w:pPr>
    </w:p>
    <w:p w:rsidR="000E7EF9" w:rsidRDefault="000E7EF9" w:rsidP="00B64ED8">
      <w:pPr>
        <w:pStyle w:val="Heading1"/>
      </w:pPr>
    </w:p>
    <w:p w:rsidR="000E7EF9" w:rsidRDefault="000E7EF9" w:rsidP="00B64ED8">
      <w:pPr>
        <w:pStyle w:val="Heading1"/>
      </w:pPr>
    </w:p>
    <w:p w:rsidR="00C73792" w:rsidRPr="00E662BC" w:rsidRDefault="00C73792" w:rsidP="00B64ED8">
      <w:pPr>
        <w:pStyle w:val="Heading1"/>
      </w:pPr>
      <w:r w:rsidRPr="00E662BC">
        <w:t>R</w:t>
      </w:r>
      <w:r w:rsidR="00877FE2">
        <w:t>EFERENCES</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lastRenderedPageBreak/>
        <w:t xml:space="preserve">Al-Siyabi, H. A., 2000, Anatomy of a type II turbidite depositional system: Upper </w:t>
      </w:r>
      <w:r w:rsidR="00DE12DD" w:rsidRPr="00DE12DD">
        <w:rPr>
          <w:rFonts w:eastAsia="AGaramond-Regular"/>
        </w:rPr>
        <w:t xml:space="preserve"> </w:t>
      </w:r>
      <w:r w:rsidRPr="00DE12DD">
        <w:rPr>
          <w:rFonts w:eastAsia="AGaramond-Regular"/>
        </w:rPr>
        <w:t>Jackfork Group, Degray Lake area, Arkansas, in A. H. Bouma and C. G. Stone, eds., Fine-grained turbidite systems: AAPG Memoir 72/SEPM Special Publication 68, p. 245–262.</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t>Booth, J. R., A. E. DuVernay III, D. S. Pfeiffer and M. J. Styzen, 2000, Sequence-stratigraphic framework and stacking patterns of ponded and slope fan systems in the Auger Basin: Central Gulf of Mexico Slope: Gulf Coast Section SEPM Foundation 20th Annual Research Conference, Deep-Water Reservoirs of the World, p. 82–102.</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t>Bouma, A. H., 2000, Fine-grained, mud-rich turbidite systems: Model and comparison with coarse-grained, sand-rich systems, in A. H. Bouma and C. G. Stone, eds., Fine-grained turbidite systems: AAPG Memoir 72/SEPM Special Publication 68, p. 9–20.</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t>Campion, K. M., A. Sprague, and M. Sullivan, 2003, San Clemente State Beach, California: A classic example for stratal hierarchy and prediction within deep-water channels: AAPG Annual Convention Abstracts, Salt Lake City, Utah, v. 12, p. A25.</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t>Duran, W. J., 2007, Outcrop-based geologic model of the Jackfork Group at Baumgartner Quarry, Kirby, Arkansas, U.S.A.: Master's thesis, University of Oklahoma, Norman, Oklahoma, 118 p.</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t>Elliott, T., 2000, Megaflute erosion surfaces and the initiation of turbidite channels: Geology, v. 28, p. 119–122, doi</w:t>
      </w:r>
      <w:proofErr w:type="gramStart"/>
      <w:r w:rsidRPr="00DE12DD">
        <w:rPr>
          <w:rFonts w:eastAsia="AGaramond-Regular"/>
        </w:rPr>
        <w:t>:10.1130</w:t>
      </w:r>
      <w:proofErr w:type="gramEnd"/>
      <w:r w:rsidRPr="00DE12DD">
        <w:rPr>
          <w:rFonts w:eastAsia="AGaramond-Regular"/>
        </w:rPr>
        <w:t>/0091-7613(2000)282.0.CO;2.</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lastRenderedPageBreak/>
        <w:t>Goyeneche, J. C., R. M. Slatt, A. C. Rothfolk, and R. J. Davis, 2006, Systematic geological and geophysical characterization of a deep-water outcrop for reservoir simulation: Hollywood Quarry, Arkansas, in R. M. Slatt, N. C. Rosen, M. Bowman, J. Castagna, T. Good, R. Loucks, R. Latimer, M. Scheihing, and R. Smith, eds., Reservoir characterization: Integrating technology and business practices: 26th Annual Gulf Coast Section SEPM Foundation Bob F. Perkins Research Conference, Houston, Texas, p. 685–728.</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t>Graham, S. A., W. R. Dickinson and R. V. Ingersoll, 1975, Himalayan-Bengal model for flysch dispersal in the Appalachian-Ouachita system: Geological Society of America Bulletin, v. 86, no. 3, p. 273–286, doi:10.1130/0016-7606(1975)862.0.CO;2.</w:t>
      </w:r>
    </w:p>
    <w:p w:rsidR="00C00DA4" w:rsidRPr="00DE12DD" w:rsidRDefault="00C00DA4" w:rsidP="00DE12DD">
      <w:pPr>
        <w:autoSpaceDE w:val="0"/>
        <w:autoSpaceDN w:val="0"/>
        <w:adjustRightInd w:val="0"/>
        <w:ind w:left="720" w:hangingChars="300" w:hanging="720"/>
        <w:rPr>
          <w:rFonts w:eastAsia="AGaramond-Regular"/>
        </w:rPr>
      </w:pPr>
      <w:r w:rsidRPr="00DE12DD">
        <w:rPr>
          <w:rFonts w:eastAsia="AGaramond-Regular"/>
        </w:rPr>
        <w:t>Ingersoll, R. V., W. R. Dickinson, and S. A. Graham, 2003, Remnant-</w:t>
      </w:r>
      <w:r w:rsidR="008531B2" w:rsidRPr="00DE12DD">
        <w:rPr>
          <w:rFonts w:eastAsia="AGaramond-Regular"/>
        </w:rPr>
        <w:t>marine</w:t>
      </w:r>
      <w:r w:rsidRPr="00DE12DD">
        <w:rPr>
          <w:rFonts w:eastAsia="AGaramond-Regular"/>
        </w:rPr>
        <w:t xml:space="preserve"> submarine fans; largest sedimentary systems on Earth (in extreme depositional environments; mega end members in geologic time): Geological Society of America Special Paper 370, p. 191</w:t>
      </w:r>
      <w:r w:rsidRPr="00DE12DD">
        <w:rPr>
          <w:rFonts w:eastAsia="AGaramond-Regular" w:hint="eastAsia"/>
        </w:rPr>
        <w:t>–</w:t>
      </w:r>
      <w:r w:rsidRPr="00DE12DD">
        <w:rPr>
          <w:rFonts w:eastAsia="AGaramond-Regular"/>
        </w:rPr>
        <w:t>208.</w:t>
      </w:r>
    </w:p>
    <w:p w:rsidR="00C73792" w:rsidRPr="00DE12DD" w:rsidRDefault="00C00DA4" w:rsidP="00DE12DD">
      <w:pPr>
        <w:autoSpaceDE w:val="0"/>
        <w:autoSpaceDN w:val="0"/>
        <w:adjustRightInd w:val="0"/>
        <w:ind w:left="720" w:hangingChars="300" w:hanging="720"/>
        <w:rPr>
          <w:rFonts w:eastAsia="AGaramond-Regular"/>
        </w:rPr>
      </w:pPr>
      <w:r w:rsidRPr="00DE12DD">
        <w:rPr>
          <w:rFonts w:eastAsia="AGaramond-Regular"/>
        </w:rPr>
        <w:t>Jackson, M. D., G. J. Hampson, and R. P. Sech, 2009, Three-dimensional modeling of a shoreface-shelf parasequence reservoir analog: Part 2. Geologic controls on fluid flow and hydrocarbon recovery: AAPG Bulletin, v. 93, no. 9, p. 1183–1208, doi</w:t>
      </w:r>
      <w:proofErr w:type="gramStart"/>
      <w:r w:rsidRPr="00DE12DD">
        <w:rPr>
          <w:rFonts w:eastAsia="AGaramond-Regular"/>
        </w:rPr>
        <w:t>:10.1306</w:t>
      </w:r>
      <w:proofErr w:type="gramEnd"/>
      <w:r w:rsidRPr="00DE12DD">
        <w:rPr>
          <w:rFonts w:eastAsia="AGaramond-Regular"/>
        </w:rPr>
        <w:t>/05110908145.</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 xml:space="preserve">Jordan, D. W., D. R. Lowe, R. M. Slatt, C. G. Stone, A. D'Agostino, M. H. Scheihing, and R. H. Gillespie, 1991, Scales of geological heterogeneity of Pennsylvanian Jackfork Group, Ouachita Mountains, Arkansas: Applications to field </w:t>
      </w:r>
      <w:r w:rsidRPr="00DE12DD">
        <w:rPr>
          <w:rFonts w:eastAsia="AGaramond-Regular"/>
        </w:rPr>
        <w:lastRenderedPageBreak/>
        <w:t>development and exploration for deep-water sandstones: Dallas Geological Society Field Trip, 320 p.</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Kane, I. A., W. D. Mccaffrey, and O. J. Martinsen, 2009, Allergenic vs. autogenic controls on megaflute formation: Journal of Sedimentary Research, v. 79, p. 643–651, doi:10.2110/jsr.2009.072.</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Kendrick, J. W., 2000, Turbidite reservoir architecture in the northern Gulf of Mexico deep water: Insights from the development of Auger, Tahoe, and Ram-Powell fields: Gulf Coast Section SEPM Foundation 20th Annual Research Conference, Deep-Water Reservoirs of the World, p. 450–468.</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Larue, D. K., 2004, Outcrop and waterflood simulation modeling of the 100-foot channel complex, Texas, and the Ainsa II channel complex, Spain: Analogs to multistory and multilateral channelized slope reservoirs, in G. M. Grammer, P. M. Harris, and G. P. Eberli, eds., Integration of outcrop and modern analogs in reservoir modeling: AAPG Memoir 80, p. 337–364.</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Liceras, V., 2010, Outcrop-based 3-D modeling and upscaling of the Jackfork Group turbidites in Hollywood Quarry, Arkansas: Master's thesis, University of Oklahoma, Norman, Oklahoma, 148 p.</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Lowe, D. R., M. Guy, and A. Palfrey, 2003, Facies of slurry-flow deposits, Britannia Formation (Lower Cretaceous), North Sea: Implications for flow evolution and deposit geometry: Sedimentology, v. 50, no. 1, p. 45–80, doi:10.1046/j.1365-3091.2003.00507.x.</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Morris, R. C., 1971, Stratigraphy and sedimentology of Jackfork group, Arkansas: AAPG Bulletin, v. 55, no. 3, p. 387–402.</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lastRenderedPageBreak/>
        <w:t>Olariu, M. I., J. F. Ferguson, C. L. V. Aiken, and X. Xu, 2008, Outcrop fracture characterization using terrestrial laser scanners: Deep-water Jackfork sandstone at Big Rock Quarry, Arkansas: Geosphere, v. 4, no. 1, p. 247–259, doi:10.1130/GES00139.1.</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Pyles, D. R., 2008, Multiscale stratigraphic analysis of a structurally confined submarine fan: Carboniferous Ross Sandstone, Ireland: AAPG Bulletin, v. 92, no. 5, p. 557–587, doi</w:t>
      </w:r>
      <w:proofErr w:type="gramStart"/>
      <w:r w:rsidRPr="00DE12DD">
        <w:rPr>
          <w:rFonts w:eastAsia="AGaramond-Regular"/>
        </w:rPr>
        <w:t>:10.1306</w:t>
      </w:r>
      <w:proofErr w:type="gramEnd"/>
      <w:r w:rsidRPr="00DE12DD">
        <w:rPr>
          <w:rFonts w:eastAsia="AGaramond-Regular"/>
        </w:rPr>
        <w:t>/01110807042.</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Roberts, M. T., 1994, Geologic relations along a regional cross section from Spavinaw to Broken Bow, eastern Oklahoma, in N. H. Suneson and L. A. Hemish, eds., Geology and resources of the eastern Ouachita Mountains frontal belt and southeastern Arkoma Basin, Oklahoma: Oklahoma Geological Survey Guidebook 29, p. 137–159.</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 xml:space="preserve">Rothfolk, A. C., 2006, Characterization of </w:t>
      </w:r>
      <w:proofErr w:type="gramStart"/>
      <w:r w:rsidRPr="00DE12DD">
        <w:rPr>
          <w:rFonts w:eastAsia="AGaramond-Regular"/>
        </w:rPr>
        <w:t>a fractured</w:t>
      </w:r>
      <w:proofErr w:type="gramEnd"/>
      <w:r w:rsidRPr="00DE12DD">
        <w:rPr>
          <w:rFonts w:eastAsia="AGaramond-Regular"/>
        </w:rPr>
        <w:t xml:space="preserve"> turbidite channel sandstone: the Jackfork Group, Hollywood Quarry, Arkansas: Master's thesis, University of Oklahoma, Norman, Oklahoma, 149 p.</w:t>
      </w:r>
    </w:p>
    <w:p w:rsidR="00C73792" w:rsidRPr="00DE12DD" w:rsidRDefault="00001862" w:rsidP="00DE12DD">
      <w:pPr>
        <w:autoSpaceDE w:val="0"/>
        <w:autoSpaceDN w:val="0"/>
        <w:adjustRightInd w:val="0"/>
        <w:ind w:left="720" w:hangingChars="300" w:hanging="720"/>
        <w:rPr>
          <w:rFonts w:eastAsia="AGaramond-Regular"/>
        </w:rPr>
      </w:pPr>
      <w:r w:rsidRPr="00DE12DD">
        <w:rPr>
          <w:rFonts w:eastAsia="AGaramond-Regular"/>
        </w:rPr>
        <w:t>Schlichtemeier, B. D., 2011, LIDAR characterization of a Jackfork Group basin floor fan deposit and implications to analog reservoir modeling and production: Master's thesis, University of Oklahoma, Norman, Oklahoma, 126 p.</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Sech, R. P., M. D. Jackson, and G. J. Hampson, 2009, Three-dimensional modeling of a shoreface-shelf parasequence reservoir analog: Part 1. Surface-based modeling to capture high-resolution facies architecture: AAPG Bulletin, v. 93, no. 9, p. 1155–1181, doi</w:t>
      </w:r>
      <w:proofErr w:type="gramStart"/>
      <w:r w:rsidRPr="00DE12DD">
        <w:rPr>
          <w:rFonts w:eastAsia="AGaramond-Regular"/>
        </w:rPr>
        <w:t>:10.1306</w:t>
      </w:r>
      <w:proofErr w:type="gramEnd"/>
      <w:r w:rsidRPr="00DE12DD">
        <w:rPr>
          <w:rFonts w:eastAsia="AGaramond-Regular"/>
        </w:rPr>
        <w:t>/05110908144.</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lastRenderedPageBreak/>
        <w:t>Slatt, R. M., 2000, Why outcrop characterization of turbidite systems, in A. H. Bouma and C. G. Stone, eds., Fine-grained turbidite systems: AAPG Memoir 72/SEPM Special Publication 68, p. 181–186.</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 xml:space="preserve">Slatt, R. M., and C. G. Stone, 2010, Geology of the DeGray Spillway, Arkansas: A geologic excursion through rocks deposited in an ancient </w:t>
      </w:r>
      <w:r w:rsidR="008531B2" w:rsidRPr="00DE12DD">
        <w:rPr>
          <w:rFonts w:eastAsia="AGaramond-Regular"/>
        </w:rPr>
        <w:t>marine</w:t>
      </w:r>
      <w:r w:rsidRPr="00DE12DD">
        <w:rPr>
          <w:rFonts w:eastAsia="AGaramond-Regular"/>
        </w:rPr>
        <w:t xml:space="preserve"> basin: Arkansas Geological Survey Guidebook 2010, 98 p.</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Slatt, R. M., P. Weimer, and C. G. Stone, 1997, Reinterpretation of depositional processes in a classic flysch sequence (Pennsylvanian Jackfork Group), Ouachita Mountains, Arkansas and Oklahoma: Discussion: AAPG Bulletin, v. 81, no. 3, p. 449–491.</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Slatt, R. M., C. G. Stone, and P. Weimer, 2000a, Characterization of slope and basin facies tracts, Jackfork Group, Arkansas, with applications to deep-water (turbidite) reservoir management, in P. Weimer, R. M. Slatt, J. L. Coleman, and A. H., Bouma, eds., Deep-water reservoirs of the world: Gulf Coast Section SEPM Foundation 20th Annual B. F. Perkins Research Conference, p. 940–980.</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Slatt, R. M., H. A. Al-Siyabi, C. W. VanKirk, and R. W. Williams, 2000b, From geologic characterization to “reservoir simulation” of a turbidite outcrop, Arkansas, U.S.A., in A. H. Bouma and C. G. Stone, eds., Fine-grained turbidite systems: AAPG Memoir 72/SEPM Special Publication 68, p. 187–194.</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 xml:space="preserve">Stewart, J., P. Dunn, C. Lyttle, K. Campion, and A. Oyerinde and B. Fischer, 2008, Improving performance prediction in deep-water reservoirs: Learning from outcrop analog, conceptual models and flow simulation: International Petroleum </w:t>
      </w:r>
      <w:r w:rsidRPr="00DE12DD">
        <w:rPr>
          <w:rFonts w:eastAsia="AGaramond-Regular"/>
        </w:rPr>
        <w:lastRenderedPageBreak/>
        <w:t>Technology Conference, Kuala Lumpur, Malaysia, paper 12892-MS, 9 p., doi</w:t>
      </w:r>
      <w:proofErr w:type="gramStart"/>
      <w:r w:rsidRPr="00DE12DD">
        <w:rPr>
          <w:rFonts w:eastAsia="AGaramond-Regular"/>
        </w:rPr>
        <w:t>:10.2523</w:t>
      </w:r>
      <w:proofErr w:type="gramEnd"/>
      <w:r w:rsidRPr="00DE12DD">
        <w:rPr>
          <w:rFonts w:eastAsia="AGaramond-Regular"/>
        </w:rPr>
        <w:t>/12892-MS.</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Sullivan, M. D., J. L. Foreman, D. C. Jennette, D. Stern, G. N. Jensen, and F. J. Goulding, 2004, An integrated approach to characterization and modeling of deep-water reservoirs, Diana field, western Gulf of Mexico, in G. M. Grammer, P. M. Harris, and G. P. Eberli, eds., Integration of outcrop and modern analogs in reservoir modeling: AAPG Memoir 80, p. 215–234.</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Suneson, N., I. Cemen, D. R. Kerr, M. T. Roberts, R. M. Slatt, and C. G. Stone, 2008, Stratigraphic and structural evolution of the Ouachita Mountains and Arkoma Basin, southeastern Oklahoma and west-central Arkansas: Applications to petroleum exploration: Oklahoma Geological Survey Guidebook 34, p. 50–72.</w:t>
      </w:r>
    </w:p>
    <w:p w:rsidR="00001862" w:rsidRPr="00DE12DD" w:rsidRDefault="00001862" w:rsidP="00DE12DD">
      <w:pPr>
        <w:autoSpaceDE w:val="0"/>
        <w:autoSpaceDN w:val="0"/>
        <w:adjustRightInd w:val="0"/>
        <w:ind w:left="720" w:hangingChars="300" w:hanging="720"/>
        <w:rPr>
          <w:rFonts w:eastAsia="AGaramond-Regular"/>
        </w:rPr>
      </w:pPr>
      <w:r w:rsidRPr="00DE12DD">
        <w:rPr>
          <w:rFonts w:eastAsia="AGaramond-Regular"/>
        </w:rPr>
        <w:t>Weimer, P., and R. M. Slatt, 2006, Introduction to the petroleum geology of deep-water settings: AAPG Studies in Geology 57, 850 p.</w:t>
      </w:r>
    </w:p>
    <w:p w:rsidR="00C73792" w:rsidRPr="00DE12DD" w:rsidRDefault="00001862" w:rsidP="00DE12DD">
      <w:pPr>
        <w:autoSpaceDE w:val="0"/>
        <w:autoSpaceDN w:val="0"/>
        <w:adjustRightInd w:val="0"/>
        <w:ind w:left="720" w:hangingChars="300" w:hanging="720"/>
        <w:rPr>
          <w:rFonts w:eastAsia="AGaramond-Regular"/>
        </w:rPr>
      </w:pPr>
      <w:r w:rsidRPr="00DE12DD">
        <w:rPr>
          <w:rFonts w:eastAsia="AGaramond-Regular"/>
        </w:rPr>
        <w:t>Zou, F., 2010, An integrated approach to characterization and modeling of the Jackfork Group at the Baumgartner Quarry area, western Arkansas and its implications to deep-water exploration and production: Master's thesis, University of Oklahoma, Norman, Oklahoma, 154 p.</w:t>
      </w:r>
    </w:p>
    <w:p w:rsidR="00DE12DD" w:rsidRDefault="00DE12DD">
      <w:pPr>
        <w:spacing w:line="240" w:lineRule="auto"/>
        <w:rPr>
          <w:rFonts w:ascii="Times New Roman" w:hAnsi="Times New Roman"/>
        </w:rPr>
      </w:pPr>
      <w:r>
        <w:rPr>
          <w:rFonts w:ascii="Times New Roman" w:hAnsi="Times New Roman"/>
        </w:rPr>
        <w:br w:type="page"/>
      </w:r>
    </w:p>
    <w:p w:rsidR="002C3CA3" w:rsidRDefault="00226774" w:rsidP="00B64ED8">
      <w:pPr>
        <w:pStyle w:val="Heading1"/>
        <w:rPr>
          <w:lang w:eastAsia="zh-CN"/>
        </w:rPr>
      </w:pPr>
      <w:r>
        <w:lastRenderedPageBreak/>
        <w:t>Chapter 2</w:t>
      </w:r>
      <w:r w:rsidR="002C3CA3" w:rsidRPr="00B64ED8">
        <w:t xml:space="preserve">: </w:t>
      </w:r>
      <w:r w:rsidR="007E2F1A" w:rsidRPr="007E2F1A">
        <w:t>A</w:t>
      </w:r>
      <w:r w:rsidR="00AA4224">
        <w:t>n</w:t>
      </w:r>
      <w:r w:rsidR="001144E5">
        <w:t xml:space="preserve"> </w:t>
      </w:r>
      <w:r w:rsidR="00AA4224">
        <w:t xml:space="preserve">Integrated </w:t>
      </w:r>
      <w:r w:rsidR="001144E5" w:rsidRPr="001144E5">
        <w:t>Chemo</w:t>
      </w:r>
      <w:r w:rsidR="001144E5">
        <w:t>-</w:t>
      </w:r>
      <w:r w:rsidR="001144E5" w:rsidRPr="001144E5">
        <w:t xml:space="preserve"> </w:t>
      </w:r>
      <w:r w:rsidR="001144E5">
        <w:t xml:space="preserve">and </w:t>
      </w:r>
      <w:r w:rsidR="007E2F1A" w:rsidRPr="007E2F1A">
        <w:t>Sequence</w:t>
      </w:r>
      <w:r w:rsidR="001144E5">
        <w:t>-</w:t>
      </w:r>
      <w:r w:rsidR="007E2F1A" w:rsidRPr="007E2F1A">
        <w:t xml:space="preserve"> Stratigraphic Framework </w:t>
      </w:r>
      <w:r w:rsidR="001144E5">
        <w:t>of</w:t>
      </w:r>
      <w:r w:rsidR="007E2F1A" w:rsidRPr="007E2F1A">
        <w:t xml:space="preserve"> the </w:t>
      </w:r>
      <w:r w:rsidR="00F03177">
        <w:t>Early Pennsylvanian</w:t>
      </w:r>
      <w:r w:rsidR="001144E5">
        <w:t xml:space="preserve"> </w:t>
      </w:r>
      <w:r w:rsidR="00B76D55">
        <w:t xml:space="preserve">Deepwater </w:t>
      </w:r>
      <w:r w:rsidR="00AC0AFE">
        <w:t>O</w:t>
      </w:r>
      <w:r w:rsidR="00A25F93">
        <w:t xml:space="preserve">utcrops </w:t>
      </w:r>
      <w:r w:rsidR="001144E5">
        <w:t>near Kirby</w:t>
      </w:r>
      <w:r w:rsidR="007E2F1A" w:rsidRPr="007E2F1A">
        <w:t xml:space="preserve">, Arkansas, USA, and its Implications </w:t>
      </w:r>
      <w:r w:rsidR="00984D9A">
        <w:t>on</w:t>
      </w:r>
      <w:r w:rsidR="007E2F1A" w:rsidRPr="007E2F1A">
        <w:t xml:space="preserve"> Remnant Basin Tectonics and </w:t>
      </w:r>
      <w:r w:rsidR="001144E5">
        <w:t>Hydrocarbon E&amp;P</w:t>
      </w:r>
      <w:r w:rsidR="007E2F1A" w:rsidRPr="007E2F1A">
        <w:t xml:space="preserve"> </w:t>
      </w:r>
    </w:p>
    <w:p w:rsidR="00415B8B" w:rsidRPr="00415B8B" w:rsidRDefault="00415B8B" w:rsidP="00415B8B">
      <w:pPr>
        <w:rPr>
          <w:lang w:eastAsia="zh-CN"/>
        </w:rPr>
      </w:pPr>
    </w:p>
    <w:p w:rsidR="007E2F1A" w:rsidRDefault="007E2F1A" w:rsidP="007E2F1A">
      <w:pPr>
        <w:autoSpaceDE w:val="0"/>
        <w:autoSpaceDN w:val="0"/>
        <w:adjustRightInd w:val="0"/>
        <w:snapToGrid w:val="0"/>
        <w:rPr>
          <w:rFonts w:ascii="Times New Roman" w:hAnsi="Times New Roman"/>
          <w:lang w:eastAsia="zh-CN"/>
        </w:rPr>
      </w:pPr>
      <w:r w:rsidRPr="006A26A5">
        <w:rPr>
          <w:rFonts w:ascii="Times New Roman" w:hAnsi="Times New Roman"/>
        </w:rPr>
        <w:t>Fuge Zou</w:t>
      </w:r>
      <w:r w:rsidRPr="004948F3">
        <w:rPr>
          <w:rFonts w:ascii="Times New Roman" w:hAnsi="Times New Roman"/>
          <w:vertAlign w:val="superscript"/>
        </w:rPr>
        <w:t>1</w:t>
      </w:r>
      <w:r w:rsidR="00845476">
        <w:rPr>
          <w:rFonts w:ascii="Times New Roman" w:hAnsi="Times New Roman"/>
          <w:vertAlign w:val="superscript"/>
        </w:rPr>
        <w:t>, 2</w:t>
      </w:r>
      <w:r w:rsidRPr="006A26A5">
        <w:rPr>
          <w:rFonts w:ascii="Times New Roman" w:hAnsi="Times New Roman"/>
        </w:rPr>
        <w:t xml:space="preserve">, </w:t>
      </w:r>
      <w:r w:rsidR="00A566A7">
        <w:rPr>
          <w:rFonts w:ascii="Times New Roman" w:hAnsi="Times New Roman"/>
        </w:rPr>
        <w:t>Jing Zhang</w:t>
      </w:r>
      <w:r w:rsidR="00A566A7">
        <w:rPr>
          <w:rFonts w:ascii="Times New Roman" w:hAnsi="Times New Roman" w:hint="eastAsia"/>
          <w:vertAlign w:val="superscript"/>
          <w:lang w:eastAsia="zh-CN"/>
        </w:rPr>
        <w:t>1</w:t>
      </w:r>
      <w:r w:rsidR="00A566A7" w:rsidRPr="006A26A5">
        <w:rPr>
          <w:rFonts w:ascii="Times New Roman" w:hAnsi="Times New Roman"/>
        </w:rPr>
        <w:t>,</w:t>
      </w:r>
      <w:r w:rsidR="00A566A7">
        <w:rPr>
          <w:rFonts w:ascii="Times New Roman" w:hAnsi="Times New Roman"/>
        </w:rPr>
        <w:t xml:space="preserve"> </w:t>
      </w:r>
      <w:r w:rsidRPr="00323427">
        <w:t>Tao Huang</w:t>
      </w:r>
      <w:r>
        <w:rPr>
          <w:rFonts w:ascii="Times New Roman" w:hAnsi="Times New Roman" w:hint="eastAsia"/>
          <w:vertAlign w:val="superscript"/>
          <w:lang w:eastAsia="zh-CN"/>
        </w:rPr>
        <w:t>3</w:t>
      </w:r>
      <w:r w:rsidR="00A566A7" w:rsidRPr="006A26A5">
        <w:rPr>
          <w:rFonts w:ascii="Times New Roman" w:hAnsi="Times New Roman"/>
        </w:rPr>
        <w:t>,</w:t>
      </w:r>
      <w:r w:rsidR="00A566A7">
        <w:rPr>
          <w:rFonts w:ascii="Times New Roman" w:hAnsi="Times New Roman"/>
        </w:rPr>
        <w:t xml:space="preserve"> and </w:t>
      </w:r>
      <w:r w:rsidR="00A566A7" w:rsidRPr="00323427">
        <w:t xml:space="preserve">Roger </w:t>
      </w:r>
      <w:r w:rsidR="00A566A7" w:rsidRPr="00323427">
        <w:rPr>
          <w:rFonts w:hint="eastAsia"/>
        </w:rPr>
        <w:t xml:space="preserve">M. </w:t>
      </w:r>
      <w:r w:rsidR="00A566A7" w:rsidRPr="00323427">
        <w:t>Slatt</w:t>
      </w:r>
      <w:r w:rsidR="00A566A7">
        <w:rPr>
          <w:rFonts w:ascii="Times New Roman" w:hAnsi="Times New Roman" w:hint="eastAsia"/>
          <w:vertAlign w:val="superscript"/>
          <w:lang w:eastAsia="zh-CN"/>
        </w:rPr>
        <w:t>1</w:t>
      </w:r>
    </w:p>
    <w:p w:rsidR="007E2F1A" w:rsidRPr="004948F3" w:rsidRDefault="007E2F1A" w:rsidP="007E2F1A">
      <w:pPr>
        <w:autoSpaceDE w:val="0"/>
        <w:autoSpaceDN w:val="0"/>
        <w:adjustRightInd w:val="0"/>
        <w:snapToGrid w:val="0"/>
        <w:rPr>
          <w:rFonts w:ascii="Times New Roman" w:hAnsi="Times New Roman"/>
        </w:rPr>
      </w:pPr>
      <w:r w:rsidRPr="004948F3">
        <w:rPr>
          <w:rFonts w:ascii="Times New Roman" w:hAnsi="Times New Roman"/>
          <w:vertAlign w:val="superscript"/>
        </w:rPr>
        <w:t>1</w:t>
      </w:r>
      <w:r w:rsidRPr="004948F3">
        <w:rPr>
          <w:rFonts w:ascii="Times New Roman" w:hAnsi="Times New Roman"/>
        </w:rPr>
        <w:t>ConocoPhillips School of Geology and Geophysics, University of Oklahoma, Norman, Oklahoma</w:t>
      </w:r>
      <w:r w:rsidR="007A1367">
        <w:rPr>
          <w:rFonts w:ascii="Times New Roman" w:hAnsi="Times New Roman" w:hint="eastAsia"/>
          <w:lang w:eastAsia="zh-CN"/>
        </w:rPr>
        <w:t>, 73019</w:t>
      </w:r>
    </w:p>
    <w:p w:rsidR="007E2F1A" w:rsidRDefault="007E2F1A" w:rsidP="007E2F1A">
      <w:pPr>
        <w:autoSpaceDE w:val="0"/>
        <w:autoSpaceDN w:val="0"/>
        <w:adjustRightInd w:val="0"/>
        <w:snapToGrid w:val="0"/>
        <w:rPr>
          <w:rFonts w:ascii="Times New Roman" w:hAnsi="Times New Roman"/>
          <w:lang w:eastAsia="zh-CN"/>
        </w:rPr>
      </w:pPr>
      <w:r w:rsidRPr="004948F3">
        <w:rPr>
          <w:rFonts w:ascii="Times New Roman" w:hAnsi="Times New Roman"/>
          <w:vertAlign w:val="superscript"/>
        </w:rPr>
        <w:t>2</w:t>
      </w:r>
      <w:r w:rsidRPr="00176FC4">
        <w:rPr>
          <w:rFonts w:ascii="Times New Roman" w:hAnsi="Times New Roman"/>
        </w:rPr>
        <w:t xml:space="preserve">Marathon Oil </w:t>
      </w:r>
      <w:r w:rsidR="00E34D2E">
        <w:rPr>
          <w:rFonts w:ascii="Times New Roman" w:hAnsi="Times New Roman"/>
        </w:rPr>
        <w:t>Corporation</w:t>
      </w:r>
      <w:r w:rsidRPr="00176FC4">
        <w:rPr>
          <w:rFonts w:ascii="Times New Roman" w:hAnsi="Times New Roman"/>
        </w:rPr>
        <w:t xml:space="preserve">, </w:t>
      </w:r>
      <w:r w:rsidR="00E34D2E">
        <w:rPr>
          <w:rFonts w:ascii="Times New Roman" w:hAnsi="Times New Roman"/>
        </w:rPr>
        <w:t>Oklahoma City</w:t>
      </w:r>
      <w:r w:rsidRPr="00176FC4">
        <w:rPr>
          <w:rFonts w:ascii="Times New Roman" w:hAnsi="Times New Roman"/>
        </w:rPr>
        <w:t xml:space="preserve">, </w:t>
      </w:r>
      <w:r w:rsidR="00E34D2E">
        <w:rPr>
          <w:rFonts w:ascii="Times New Roman" w:hAnsi="Times New Roman"/>
        </w:rPr>
        <w:t>Oklahoma</w:t>
      </w:r>
      <w:r>
        <w:rPr>
          <w:rFonts w:ascii="Times New Roman" w:hAnsi="Times New Roman" w:hint="eastAsia"/>
          <w:lang w:eastAsia="zh-CN"/>
        </w:rPr>
        <w:t xml:space="preserve">, </w:t>
      </w:r>
      <w:r w:rsidR="00E34D2E">
        <w:rPr>
          <w:rFonts w:ascii="Times New Roman" w:hAnsi="Times New Roman"/>
          <w:lang w:eastAsia="zh-CN"/>
        </w:rPr>
        <w:t>73132</w:t>
      </w:r>
    </w:p>
    <w:p w:rsidR="007E2F1A" w:rsidRDefault="007E2F1A" w:rsidP="007E2F1A">
      <w:pPr>
        <w:autoSpaceDE w:val="0"/>
        <w:autoSpaceDN w:val="0"/>
        <w:adjustRightInd w:val="0"/>
        <w:snapToGrid w:val="0"/>
        <w:rPr>
          <w:rFonts w:ascii="Times New Roman" w:hAnsi="Times New Roman"/>
          <w:lang w:eastAsia="zh-CN"/>
        </w:rPr>
      </w:pPr>
      <w:r w:rsidRPr="007E2F1A">
        <w:rPr>
          <w:rFonts w:ascii="Times New Roman" w:hAnsi="Times New Roman" w:hint="eastAsia"/>
          <w:vertAlign w:val="superscript"/>
          <w:lang w:eastAsia="zh-CN"/>
        </w:rPr>
        <w:t>3</w:t>
      </w:r>
      <w:r w:rsidR="00642EC8">
        <w:t>Sinopec Corporation, U.S.A, Oklahoma City, Oklahoma, 73112</w:t>
      </w:r>
    </w:p>
    <w:p w:rsidR="007E2F1A" w:rsidRPr="00D70C9A" w:rsidRDefault="007E2F1A" w:rsidP="007E2F1A">
      <w:pPr>
        <w:autoSpaceDE w:val="0"/>
        <w:autoSpaceDN w:val="0"/>
        <w:adjustRightInd w:val="0"/>
        <w:snapToGrid w:val="0"/>
        <w:rPr>
          <w:rFonts w:ascii="Times New Roman" w:hAnsi="Times New Roman"/>
          <w:i/>
          <w:lang w:eastAsia="zh-CN"/>
        </w:rPr>
      </w:pPr>
      <w:r w:rsidRPr="00AD5489">
        <w:rPr>
          <w:rFonts w:ascii="Times New Roman" w:hAnsi="Times New Roman"/>
          <w:i/>
        </w:rPr>
        <w:t xml:space="preserve">*This paper has been </w:t>
      </w:r>
      <w:r w:rsidR="00B4265A">
        <w:rPr>
          <w:rFonts w:ascii="Times New Roman" w:hAnsi="Times New Roman" w:hint="eastAsia"/>
          <w:i/>
          <w:lang w:eastAsia="zh-CN"/>
        </w:rPr>
        <w:t>submitted</w:t>
      </w:r>
      <w:r w:rsidR="00D70C9A">
        <w:rPr>
          <w:rFonts w:ascii="Times New Roman" w:hAnsi="Times New Roman"/>
          <w:i/>
          <w:lang w:eastAsia="zh-CN"/>
        </w:rPr>
        <w:t xml:space="preserve"> </w:t>
      </w:r>
      <w:r w:rsidR="00B4265A">
        <w:rPr>
          <w:rFonts w:ascii="Times New Roman" w:hAnsi="Times New Roman" w:hint="eastAsia"/>
          <w:i/>
          <w:lang w:eastAsia="zh-CN"/>
        </w:rPr>
        <w:t>to</w:t>
      </w:r>
      <w:r w:rsidR="00D70C9A">
        <w:rPr>
          <w:rFonts w:ascii="Times New Roman" w:hAnsi="Times New Roman"/>
          <w:i/>
          <w:lang w:eastAsia="zh-CN"/>
        </w:rPr>
        <w:t xml:space="preserve"> </w:t>
      </w:r>
      <w:r w:rsidRPr="00AD5489">
        <w:rPr>
          <w:rFonts w:ascii="Times New Roman" w:hAnsi="Times New Roman"/>
          <w:b/>
          <w:i/>
        </w:rPr>
        <w:t>AAPG Bulletin</w:t>
      </w:r>
      <w:r w:rsidR="00D70C9A">
        <w:rPr>
          <w:rFonts w:ascii="Times New Roman" w:hAnsi="Times New Roman"/>
          <w:b/>
          <w:i/>
        </w:rPr>
        <w:t xml:space="preserve">, </w:t>
      </w:r>
      <w:r w:rsidR="00D70C9A">
        <w:rPr>
          <w:rFonts w:ascii="Times New Roman" w:hAnsi="Times New Roman"/>
          <w:i/>
        </w:rPr>
        <w:t>and it is now in revision process.</w:t>
      </w:r>
    </w:p>
    <w:p w:rsidR="007E2F1A" w:rsidRPr="007E2F1A" w:rsidRDefault="007E2F1A" w:rsidP="00F11AB4">
      <w:pPr>
        <w:autoSpaceDE w:val="0"/>
        <w:autoSpaceDN w:val="0"/>
        <w:adjustRightInd w:val="0"/>
        <w:snapToGrid w:val="0"/>
        <w:rPr>
          <w:rFonts w:ascii="Times New Roman" w:hAnsi="Times New Roman"/>
          <w:lang w:eastAsia="zh-CN"/>
        </w:rPr>
      </w:pPr>
    </w:p>
    <w:p w:rsidR="002C3CA3" w:rsidRPr="000E7EF9" w:rsidRDefault="002C3CA3" w:rsidP="000E7EF9">
      <w:pPr>
        <w:jc w:val="center"/>
        <w:rPr>
          <w:b/>
          <w:sz w:val="28"/>
        </w:rPr>
      </w:pPr>
      <w:r w:rsidRPr="000E7EF9">
        <w:rPr>
          <w:b/>
          <w:sz w:val="28"/>
        </w:rPr>
        <w:t>ABSTRACT</w:t>
      </w:r>
    </w:p>
    <w:p w:rsidR="007C49D7" w:rsidRPr="00323427" w:rsidRDefault="007C49D7" w:rsidP="007C49D7">
      <w:pPr>
        <w:rPr>
          <w:rFonts w:eastAsia="AdvEPSTIM"/>
        </w:rPr>
      </w:pPr>
      <w:r w:rsidRPr="00323427">
        <w:rPr>
          <w:rFonts w:eastAsia="AdvEPSTIM" w:hint="eastAsia"/>
        </w:rPr>
        <w:tab/>
        <w:t xml:space="preserve">The Kirby </w:t>
      </w:r>
      <w:r w:rsidRPr="00323427">
        <w:rPr>
          <w:rFonts w:eastAsia="AdvEPSTIM"/>
        </w:rPr>
        <w:t>sections</w:t>
      </w:r>
      <w:r w:rsidR="008206B4">
        <w:rPr>
          <w:rFonts w:eastAsia="AdvEPSTIM"/>
        </w:rPr>
        <w:t xml:space="preserve"> </w:t>
      </w:r>
      <w:r w:rsidRPr="00323427">
        <w:rPr>
          <w:rFonts w:eastAsia="AdvEPSTIM" w:hint="eastAsia"/>
        </w:rPr>
        <w:t>in</w:t>
      </w:r>
      <w:r w:rsidR="008206B4">
        <w:rPr>
          <w:rFonts w:eastAsia="AdvEPSTIM"/>
        </w:rPr>
        <w:t xml:space="preserve"> </w:t>
      </w:r>
      <w:r w:rsidRPr="00323427">
        <w:rPr>
          <w:rFonts w:eastAsia="AdvEPSTIM" w:hint="eastAsia"/>
        </w:rPr>
        <w:t>western Arkansas, U.S.A</w:t>
      </w:r>
      <w:r w:rsidRPr="00323427">
        <w:rPr>
          <w:rFonts w:eastAsia="AdvEPSTIM"/>
        </w:rPr>
        <w:t xml:space="preserve"> provide</w:t>
      </w:r>
      <w:r w:rsidRPr="00323427">
        <w:rPr>
          <w:rFonts w:eastAsia="AdvEPSTIM" w:hint="eastAsia"/>
        </w:rPr>
        <w:t xml:space="preserve"> </w:t>
      </w:r>
      <w:r w:rsidR="00610BD9">
        <w:rPr>
          <w:rFonts w:eastAsia="AdvEPSTIM"/>
        </w:rPr>
        <w:t>a unique</w:t>
      </w:r>
      <w:r w:rsidRPr="00323427">
        <w:rPr>
          <w:rFonts w:eastAsia="AdvEPSTIM" w:hint="eastAsia"/>
        </w:rPr>
        <w:t xml:space="preserve"> opportunity to build a complete and </w:t>
      </w:r>
      <w:r w:rsidRPr="00323427">
        <w:rPr>
          <w:rFonts w:eastAsia="AdvEPSTIM"/>
        </w:rPr>
        <w:t>continuous</w:t>
      </w:r>
      <w:r w:rsidRPr="00323427">
        <w:rPr>
          <w:rFonts w:eastAsia="AdvEPSTIM" w:hint="eastAsia"/>
        </w:rPr>
        <w:t xml:space="preserve"> sequence stratigraphic framework for Early </w:t>
      </w:r>
      <w:r w:rsidRPr="00323427">
        <w:rPr>
          <w:rFonts w:eastAsia="AdvEPSTIM"/>
        </w:rPr>
        <w:t>Pennsylvanian</w:t>
      </w:r>
      <w:r w:rsidRPr="00323427">
        <w:rPr>
          <w:rFonts w:eastAsia="AdvEPSTIM" w:hint="eastAsia"/>
        </w:rPr>
        <w:t xml:space="preserve"> time in the ancient </w:t>
      </w:r>
      <w:r>
        <w:rPr>
          <w:rFonts w:eastAsia="AdvEPSTIM" w:hint="eastAsia"/>
        </w:rPr>
        <w:t>Ouachita Basin</w:t>
      </w:r>
      <w:r w:rsidRPr="00323427">
        <w:rPr>
          <w:rFonts w:eastAsia="AdvEPSTIM" w:hint="eastAsia"/>
        </w:rPr>
        <w:t xml:space="preserve">. </w:t>
      </w:r>
      <w:r>
        <w:rPr>
          <w:rFonts w:eastAsia="AdvEPSTIM" w:hint="eastAsia"/>
        </w:rPr>
        <w:t>They</w:t>
      </w:r>
      <w:r w:rsidRPr="00323427">
        <w:rPr>
          <w:rFonts w:eastAsia="AdvEPSTIM"/>
        </w:rPr>
        <w:t xml:space="preserve"> consist of 25 outcrops</w:t>
      </w:r>
      <w:r w:rsidRPr="00323427">
        <w:rPr>
          <w:rFonts w:eastAsia="AdvEPSTIM" w:hint="eastAsia"/>
        </w:rPr>
        <w:t xml:space="preserve">, </w:t>
      </w:r>
      <w:r w:rsidRPr="00323427">
        <w:rPr>
          <w:rFonts w:eastAsia="AdvEPSTIM"/>
        </w:rPr>
        <w:t xml:space="preserve">including 12 roadcuts </w:t>
      </w:r>
      <w:r w:rsidRPr="00323427">
        <w:rPr>
          <w:rFonts w:eastAsia="AdvEPSTIM" w:hint="eastAsia"/>
        </w:rPr>
        <w:t>on</w:t>
      </w:r>
      <w:r w:rsidRPr="00323427">
        <w:rPr>
          <w:rFonts w:eastAsia="AdvEPSTIM"/>
        </w:rPr>
        <w:t xml:space="preserve"> Highway 27 and 13 sections in the Baumgartner Quarry. All the measurements and interpretations on the outcrops were integrated with previous work using modern concepts of deepwater turbidite geology</w:t>
      </w:r>
      <w:r w:rsidRPr="00323427">
        <w:rPr>
          <w:rFonts w:eastAsia="AdvEPSTIM" w:hint="eastAsia"/>
        </w:rPr>
        <w:t>,</w:t>
      </w:r>
      <w:r w:rsidRPr="00323427">
        <w:rPr>
          <w:rFonts w:eastAsia="AdvEPSTIM"/>
        </w:rPr>
        <w:t xml:space="preserve"> including (1) regional tectonic and sequence stratigraphic framework of the Stanley Group, Jackfork Group, </w:t>
      </w:r>
      <w:r w:rsidRPr="00323427">
        <w:rPr>
          <w:rFonts w:eastAsia="AdvEPSTIM" w:hint="eastAsia"/>
        </w:rPr>
        <w:t xml:space="preserve">and </w:t>
      </w:r>
      <w:r w:rsidRPr="00323427">
        <w:rPr>
          <w:rFonts w:eastAsia="AdvEPSTIM"/>
        </w:rPr>
        <w:t xml:space="preserve">Johns Valley Shale in the </w:t>
      </w:r>
      <w:r>
        <w:rPr>
          <w:rFonts w:eastAsia="AdvEPSTIM"/>
        </w:rPr>
        <w:t>Ouachita Basin</w:t>
      </w:r>
      <w:r w:rsidRPr="00323427">
        <w:rPr>
          <w:rFonts w:eastAsia="AdvEPSTIM"/>
        </w:rPr>
        <w:t>, (2) deepwater outcrop characterization</w:t>
      </w:r>
      <w:r w:rsidRPr="00323427">
        <w:rPr>
          <w:rFonts w:eastAsia="AdvEPSTIM" w:hint="eastAsia"/>
        </w:rPr>
        <w:t xml:space="preserve"> and correlation from the </w:t>
      </w:r>
      <w:r w:rsidRPr="00323427">
        <w:rPr>
          <w:rFonts w:eastAsia="AdvEPSTIM"/>
        </w:rPr>
        <w:t xml:space="preserve">DeGray Lake </w:t>
      </w:r>
      <w:r w:rsidRPr="00323427">
        <w:rPr>
          <w:rFonts w:eastAsia="AdvEPSTIM" w:hint="eastAsia"/>
        </w:rPr>
        <w:t xml:space="preserve">Section, </w:t>
      </w:r>
      <w:r w:rsidRPr="00323427">
        <w:rPr>
          <w:rFonts w:eastAsia="AdvEPSTIM"/>
        </w:rPr>
        <w:t>Di</w:t>
      </w:r>
      <w:r w:rsidRPr="00323427">
        <w:rPr>
          <w:rFonts w:eastAsia="AdvEPSTIM" w:hint="eastAsia"/>
        </w:rPr>
        <w:t>e</w:t>
      </w:r>
      <w:r w:rsidRPr="00323427">
        <w:rPr>
          <w:rFonts w:eastAsia="AdvEPSTIM"/>
        </w:rPr>
        <w:t xml:space="preserve">rks </w:t>
      </w:r>
      <w:r w:rsidRPr="00323427">
        <w:rPr>
          <w:rFonts w:eastAsia="AdvEPSTIM" w:hint="eastAsia"/>
        </w:rPr>
        <w:t>Section and Big Rock Quarry</w:t>
      </w:r>
      <w:r w:rsidR="008206B4">
        <w:rPr>
          <w:rFonts w:eastAsia="AdvEPSTIM"/>
        </w:rPr>
        <w:t xml:space="preserve"> </w:t>
      </w:r>
      <w:r w:rsidRPr="00323427">
        <w:rPr>
          <w:rFonts w:eastAsia="AdvEPSTIM" w:hint="eastAsia"/>
        </w:rPr>
        <w:t>which is on the trend of the depositional fairway</w:t>
      </w:r>
      <w:r w:rsidRPr="00323427">
        <w:rPr>
          <w:rFonts w:eastAsia="AdvEPSTIM"/>
        </w:rPr>
        <w:t xml:space="preserve">, </w:t>
      </w:r>
      <w:r w:rsidR="00D3310C">
        <w:rPr>
          <w:rFonts w:eastAsia="AdvEPSTIM" w:hint="eastAsia"/>
          <w:lang w:eastAsia="zh-CN"/>
        </w:rPr>
        <w:t xml:space="preserve">and </w:t>
      </w:r>
      <w:r w:rsidRPr="00323427">
        <w:rPr>
          <w:rFonts w:eastAsia="AdvEPSTIM"/>
        </w:rPr>
        <w:t xml:space="preserve">(3) </w:t>
      </w:r>
      <w:r w:rsidRPr="00323427">
        <w:rPr>
          <w:rFonts w:eastAsia="AdvEPSTIM" w:hint="eastAsia"/>
        </w:rPr>
        <w:t xml:space="preserve">chemical stratigraphic </w:t>
      </w:r>
      <w:r w:rsidRPr="00323427">
        <w:rPr>
          <w:rFonts w:eastAsia="AdvEPSTIM"/>
        </w:rPr>
        <w:t>data</w:t>
      </w:r>
      <w:r w:rsidRPr="00323427">
        <w:rPr>
          <w:rFonts w:eastAsia="AdvEPSTIM" w:hint="eastAsia"/>
        </w:rPr>
        <w:t xml:space="preserve"> </w:t>
      </w:r>
      <w:r w:rsidRPr="00323427">
        <w:rPr>
          <w:rFonts w:eastAsia="AdvEPSTIM" w:hint="eastAsia"/>
        </w:rPr>
        <w:lastRenderedPageBreak/>
        <w:t xml:space="preserve">from key shale layers which are considered as </w:t>
      </w:r>
      <w:r w:rsidRPr="00323427">
        <w:rPr>
          <w:rFonts w:eastAsia="AdvEPSTIM"/>
        </w:rPr>
        <w:t>potential</w:t>
      </w:r>
      <w:r w:rsidRPr="00323427">
        <w:rPr>
          <w:rFonts w:eastAsia="AdvEPSTIM" w:hint="eastAsia"/>
        </w:rPr>
        <w:t xml:space="preserve"> condensed sections for </w:t>
      </w:r>
      <w:r w:rsidRPr="00323427">
        <w:rPr>
          <w:rFonts w:eastAsia="AdvEPSTIM"/>
        </w:rPr>
        <w:t>assisting</w:t>
      </w:r>
      <w:r w:rsidR="008206B4">
        <w:rPr>
          <w:rFonts w:eastAsia="AdvEPSTIM"/>
        </w:rPr>
        <w:t xml:space="preserve"> </w:t>
      </w:r>
      <w:r w:rsidRPr="00323427">
        <w:rPr>
          <w:rFonts w:eastAsia="AdvEPSTIM" w:hint="eastAsia"/>
        </w:rPr>
        <w:t>correlation.</w:t>
      </w:r>
    </w:p>
    <w:p w:rsidR="007C49D7" w:rsidRPr="00323427" w:rsidRDefault="007C49D7" w:rsidP="007C49D7">
      <w:pPr>
        <w:rPr>
          <w:rFonts w:eastAsia="AdvEPSTIM"/>
        </w:rPr>
      </w:pPr>
      <w:r w:rsidRPr="00323427">
        <w:rPr>
          <w:rFonts w:eastAsia="AdvEPSTIM" w:hint="eastAsia"/>
        </w:rPr>
        <w:tab/>
        <w:t xml:space="preserve">Twenty-five key shale samples from Kirby, DeGray and Dierks sections have been tested using </w:t>
      </w:r>
      <w:r w:rsidRPr="00323427">
        <w:rPr>
          <w:rFonts w:eastAsia="AdvEPSTIM"/>
        </w:rPr>
        <w:t>Inductively Coupled Plasma</w:t>
      </w:r>
      <w:r w:rsidR="008206B4">
        <w:rPr>
          <w:rFonts w:eastAsia="AdvEPSTIM"/>
        </w:rPr>
        <w:t xml:space="preserve"> </w:t>
      </w:r>
      <w:r w:rsidRPr="00323427">
        <w:rPr>
          <w:rFonts w:eastAsia="AdvEPSTIM" w:hint="eastAsia"/>
        </w:rPr>
        <w:t xml:space="preserve">and </w:t>
      </w:r>
      <w:r w:rsidRPr="00323427">
        <w:rPr>
          <w:rFonts w:eastAsia="AdvEPSTIM"/>
        </w:rPr>
        <w:t>Mass Spectrometry</w:t>
      </w:r>
      <w:r w:rsidRPr="00323427">
        <w:rPr>
          <w:rFonts w:eastAsia="AdvEPSTIM" w:hint="eastAsia"/>
        </w:rPr>
        <w:t xml:space="preserve"> (ICP-MS)</w:t>
      </w:r>
      <w:r w:rsidR="004C01CE">
        <w:rPr>
          <w:rFonts w:eastAsia="AdvEPSTIM"/>
        </w:rPr>
        <w:t xml:space="preserve"> tests. </w:t>
      </w:r>
      <w:r w:rsidR="00D3310C">
        <w:rPr>
          <w:rFonts w:eastAsia="AdvEPSTIM" w:hint="eastAsia"/>
          <w:lang w:eastAsia="zh-CN"/>
        </w:rPr>
        <w:t>Along with</w:t>
      </w:r>
      <w:r w:rsidR="004C01CE">
        <w:rPr>
          <w:rFonts w:eastAsia="AdvEPSTIM"/>
        </w:rPr>
        <w:t xml:space="preserve"> </w:t>
      </w:r>
      <w:r w:rsidR="00361899">
        <w:rPr>
          <w:rFonts w:eastAsia="AdvEPSTIM"/>
        </w:rPr>
        <w:t>475</w:t>
      </w:r>
      <w:r w:rsidR="004C01CE">
        <w:rPr>
          <w:rFonts w:eastAsia="AdvEPSTIM"/>
        </w:rPr>
        <w:t xml:space="preserve"> samples </w:t>
      </w:r>
      <w:r w:rsidR="00D3310C">
        <w:rPr>
          <w:rFonts w:eastAsia="AdvEPSTIM" w:hint="eastAsia"/>
          <w:lang w:eastAsia="zh-CN"/>
        </w:rPr>
        <w:t>were</w:t>
      </w:r>
      <w:r w:rsidR="004C01CE">
        <w:rPr>
          <w:rFonts w:eastAsia="AdvEPSTIM"/>
        </w:rPr>
        <w:t xml:space="preserve"> collected for Handheld </w:t>
      </w:r>
      <w:r w:rsidR="004C01CE" w:rsidRPr="00323427">
        <w:rPr>
          <w:rFonts w:eastAsia="AdvEPSTIM"/>
        </w:rPr>
        <w:t>X-</w:t>
      </w:r>
      <w:r w:rsidR="004C01CE" w:rsidRPr="00323427">
        <w:rPr>
          <w:rFonts w:eastAsia="AdvEPSTIM" w:hint="eastAsia"/>
        </w:rPr>
        <w:t>R</w:t>
      </w:r>
      <w:r w:rsidR="004C01CE" w:rsidRPr="00323427">
        <w:rPr>
          <w:rFonts w:eastAsia="AdvEPSTIM"/>
        </w:rPr>
        <w:t xml:space="preserve">ay </w:t>
      </w:r>
      <w:r w:rsidR="004C01CE" w:rsidRPr="00323427">
        <w:rPr>
          <w:rFonts w:eastAsia="AdvEPSTIM" w:hint="eastAsia"/>
        </w:rPr>
        <w:t>F</w:t>
      </w:r>
      <w:r w:rsidR="004C01CE" w:rsidRPr="00323427">
        <w:rPr>
          <w:rFonts w:eastAsia="AdvEPSTIM"/>
        </w:rPr>
        <w:t>luorescence</w:t>
      </w:r>
      <w:r w:rsidR="004C01CE" w:rsidRPr="00323427">
        <w:rPr>
          <w:rFonts w:eastAsia="AdvEPSTIM" w:hint="eastAsia"/>
        </w:rPr>
        <w:t xml:space="preserve"> (</w:t>
      </w:r>
      <w:r w:rsidR="007F2917">
        <w:rPr>
          <w:rFonts w:eastAsia="AdvEPSTIM"/>
        </w:rPr>
        <w:t>HH</w:t>
      </w:r>
      <w:r w:rsidR="004C01CE" w:rsidRPr="00323427">
        <w:rPr>
          <w:rFonts w:eastAsia="AdvEPSTIM" w:hint="eastAsia"/>
        </w:rPr>
        <w:t>XRF)</w:t>
      </w:r>
      <w:r w:rsidR="004C01CE">
        <w:rPr>
          <w:rFonts w:eastAsia="AdvEPSTIM"/>
        </w:rPr>
        <w:t xml:space="preserve"> tests</w:t>
      </w:r>
      <w:r w:rsidR="00A66FA2">
        <w:rPr>
          <w:rFonts w:eastAsia="AdvEPSTIM"/>
        </w:rPr>
        <w:t xml:space="preserve"> for both major and trace elements</w:t>
      </w:r>
      <w:r w:rsidR="004C01CE" w:rsidRPr="00323427">
        <w:rPr>
          <w:rFonts w:eastAsia="AdvEPSTIM" w:hint="eastAsia"/>
        </w:rPr>
        <w:t>.</w:t>
      </w:r>
      <w:r w:rsidR="004C01CE">
        <w:rPr>
          <w:rFonts w:eastAsia="AdvEPSTIM"/>
        </w:rPr>
        <w:t xml:space="preserve"> </w:t>
      </w:r>
      <w:r w:rsidRPr="00323427">
        <w:rPr>
          <w:rFonts w:eastAsia="AdvEPSTIM"/>
        </w:rPr>
        <w:t>Results</w:t>
      </w:r>
      <w:r w:rsidRPr="00323427">
        <w:rPr>
          <w:rFonts w:eastAsia="AdvEPSTIM" w:hint="eastAsia"/>
        </w:rPr>
        <w:t xml:space="preserve"> of sequence and chemostrata analysis </w:t>
      </w:r>
      <w:r w:rsidRPr="00323427">
        <w:rPr>
          <w:rFonts w:eastAsia="AdvEPSTIM"/>
        </w:rPr>
        <w:t>indicate that the entire Kirby section</w:t>
      </w:r>
      <w:r w:rsidRPr="00323427">
        <w:rPr>
          <w:rFonts w:eastAsia="AdvEPSTIM" w:hint="eastAsia"/>
        </w:rPr>
        <w:t>s</w:t>
      </w:r>
      <w:r w:rsidRPr="00323427">
        <w:rPr>
          <w:rFonts w:eastAsia="AdvEPSTIM"/>
        </w:rPr>
        <w:t xml:space="preserve"> consist of at least three 3</w:t>
      </w:r>
      <w:r w:rsidRPr="00323427">
        <w:rPr>
          <w:rFonts w:eastAsia="AdvEPSTIM"/>
          <w:vertAlign w:val="superscript"/>
        </w:rPr>
        <w:t>rd</w:t>
      </w:r>
      <w:r w:rsidRPr="00323427">
        <w:rPr>
          <w:rFonts w:eastAsia="AdvEPSTIM"/>
        </w:rPr>
        <w:t xml:space="preserve"> order sequence</w:t>
      </w:r>
      <w:r w:rsidRPr="00323427">
        <w:rPr>
          <w:rFonts w:eastAsia="AdvEPSTIM" w:hint="eastAsia"/>
        </w:rPr>
        <w:t>s</w:t>
      </w:r>
      <w:r w:rsidRPr="00323427">
        <w:rPr>
          <w:rFonts w:eastAsia="AdvEPSTIM"/>
        </w:rPr>
        <w:t xml:space="preserve"> from the bottom of </w:t>
      </w:r>
      <w:r w:rsidRPr="00323427">
        <w:rPr>
          <w:rFonts w:eastAsia="AdvEPSTIM" w:hint="eastAsia"/>
        </w:rPr>
        <w:t xml:space="preserve">the </w:t>
      </w:r>
      <w:r w:rsidRPr="00323427">
        <w:rPr>
          <w:rFonts w:eastAsia="AdvEPSTIM"/>
        </w:rPr>
        <w:t>Jackfork Group to the</w:t>
      </w:r>
      <w:r w:rsidRPr="00323427">
        <w:rPr>
          <w:rFonts w:eastAsia="AdvEPSTIM" w:hint="eastAsia"/>
        </w:rPr>
        <w:t xml:space="preserve"> middle of the</w:t>
      </w:r>
      <w:r w:rsidRPr="00323427">
        <w:rPr>
          <w:rFonts w:eastAsia="AdvEPSTIM"/>
        </w:rPr>
        <w:t xml:space="preserve"> Johns Valley Group, and over ten 4</w:t>
      </w:r>
      <w:r w:rsidRPr="00323427">
        <w:rPr>
          <w:rFonts w:eastAsia="AdvEPSTIM"/>
          <w:vertAlign w:val="superscript"/>
        </w:rPr>
        <w:t>th</w:t>
      </w:r>
      <w:r w:rsidRPr="00323427">
        <w:rPr>
          <w:rFonts w:eastAsia="AdvEPSTIM"/>
        </w:rPr>
        <w:t xml:space="preserve"> order sequence</w:t>
      </w:r>
      <w:r w:rsidRPr="00323427">
        <w:rPr>
          <w:rFonts w:eastAsia="AdvEPSTIM" w:hint="eastAsia"/>
        </w:rPr>
        <w:t>s</w:t>
      </w:r>
      <w:r w:rsidR="008206B4">
        <w:rPr>
          <w:rFonts w:eastAsia="AdvEPSTIM"/>
        </w:rPr>
        <w:t xml:space="preserve"> </w:t>
      </w:r>
      <w:r w:rsidRPr="00323427">
        <w:rPr>
          <w:rFonts w:eastAsia="AdvEPSTIM"/>
        </w:rPr>
        <w:t>caused by a combined eff</w:t>
      </w:r>
      <w:r w:rsidRPr="000C61E0">
        <w:rPr>
          <w:rFonts w:eastAsia="AdvEPSTIM"/>
        </w:rPr>
        <w:t xml:space="preserve">ect </w:t>
      </w:r>
      <w:r w:rsidR="008206B4" w:rsidRPr="000C61E0">
        <w:rPr>
          <w:rFonts w:eastAsia="AdvEPSTIM"/>
        </w:rPr>
        <w:t>of tect</w:t>
      </w:r>
      <w:r w:rsidR="008206B4" w:rsidRPr="00323427">
        <w:rPr>
          <w:rFonts w:eastAsia="AdvEPSTIM"/>
        </w:rPr>
        <w:t>onic</w:t>
      </w:r>
      <w:r w:rsidRPr="00323427">
        <w:rPr>
          <w:rFonts w:eastAsia="AdvEPSTIM"/>
        </w:rPr>
        <w:t xml:space="preserve"> uplift, eustatic sea-level change, mixed sediment provenance and shifting of depositional fairway</w:t>
      </w:r>
      <w:r w:rsidRPr="00323427">
        <w:rPr>
          <w:rFonts w:eastAsia="AdvEPSTIM" w:hint="eastAsia"/>
        </w:rPr>
        <w:t>s</w:t>
      </w:r>
      <w:r w:rsidRPr="00323427">
        <w:rPr>
          <w:rFonts w:eastAsia="AdvEPSTIM"/>
        </w:rPr>
        <w:t xml:space="preserve"> when </w:t>
      </w:r>
      <w:r w:rsidRPr="00323427">
        <w:rPr>
          <w:rFonts w:eastAsia="AdvEPSTIM" w:hint="eastAsia"/>
        </w:rPr>
        <w:t xml:space="preserve">the </w:t>
      </w:r>
      <w:r>
        <w:rPr>
          <w:rFonts w:eastAsia="AdvEPSTIM"/>
        </w:rPr>
        <w:t>Ouachita Basin</w:t>
      </w:r>
      <w:r w:rsidRPr="00323427">
        <w:rPr>
          <w:rFonts w:eastAsia="AdvEPSTIM"/>
        </w:rPr>
        <w:t xml:space="preserve"> was </w:t>
      </w:r>
      <w:r>
        <w:rPr>
          <w:rFonts w:eastAsia="AdvEPSTIM"/>
        </w:rPr>
        <w:t>transitioning</w:t>
      </w:r>
      <w:r w:rsidRPr="00323427">
        <w:rPr>
          <w:rFonts w:eastAsia="AdvEPSTIM"/>
        </w:rPr>
        <w:t xml:space="preserve"> from </w:t>
      </w:r>
      <w:r w:rsidRPr="00323427">
        <w:rPr>
          <w:rFonts w:eastAsia="AdvEPSTIM" w:hint="eastAsia"/>
        </w:rPr>
        <w:t xml:space="preserve">a </w:t>
      </w:r>
      <w:r w:rsidRPr="00323427">
        <w:rPr>
          <w:rFonts w:eastAsia="AdvEPSTIM"/>
        </w:rPr>
        <w:t xml:space="preserve">passive margin to a remnant </w:t>
      </w:r>
      <w:r w:rsidR="008531B2">
        <w:rPr>
          <w:rFonts w:eastAsia="AdvEPSTIM"/>
        </w:rPr>
        <w:t>marine</w:t>
      </w:r>
      <w:r w:rsidRPr="00323427">
        <w:rPr>
          <w:rFonts w:eastAsia="AdvEPSTIM"/>
        </w:rPr>
        <w:t xml:space="preserve"> basin. Rare</w:t>
      </w:r>
      <w:r w:rsidRPr="00323427">
        <w:rPr>
          <w:rFonts w:eastAsia="AdvEPSTIM" w:hint="eastAsia"/>
        </w:rPr>
        <w:t xml:space="preserve"> Earth and Trace Element results are compared with known tectonic data to further pinpoint the tectonic </w:t>
      </w:r>
      <w:r w:rsidRPr="00323427">
        <w:rPr>
          <w:rFonts w:eastAsia="AdvEPSTIM"/>
        </w:rPr>
        <w:t>environment</w:t>
      </w:r>
      <w:r w:rsidRPr="00323427">
        <w:rPr>
          <w:rFonts w:eastAsia="AdvEPSTIM" w:hint="eastAsia"/>
        </w:rPr>
        <w:t xml:space="preserve"> of the </w:t>
      </w:r>
      <w:r>
        <w:rPr>
          <w:rFonts w:eastAsia="AdvEPSTIM" w:hint="eastAsia"/>
        </w:rPr>
        <w:t>Ouachita Basin</w:t>
      </w:r>
      <w:r w:rsidRPr="00323427">
        <w:rPr>
          <w:rFonts w:eastAsia="AdvEPSTIM" w:hint="eastAsia"/>
        </w:rPr>
        <w:t xml:space="preserve"> during early </w:t>
      </w:r>
      <w:r w:rsidRPr="00323427">
        <w:rPr>
          <w:rFonts w:eastAsia="AdvEPSTIM"/>
        </w:rPr>
        <w:t>Pennsylvanian</w:t>
      </w:r>
      <w:r w:rsidRPr="00323427">
        <w:rPr>
          <w:rFonts w:eastAsia="AdvEPSTIM" w:hint="eastAsia"/>
        </w:rPr>
        <w:t xml:space="preserve"> time, which is </w:t>
      </w:r>
      <w:r w:rsidRPr="00323427">
        <w:rPr>
          <w:rFonts w:eastAsia="AdvEPSTIM"/>
        </w:rPr>
        <w:t>dominantly</w:t>
      </w:r>
      <w:r w:rsidRPr="00323427">
        <w:rPr>
          <w:rFonts w:eastAsia="AdvEPSTIM" w:hint="eastAsia"/>
        </w:rPr>
        <w:t xml:space="preserve"> a </w:t>
      </w:r>
      <w:r w:rsidR="008206B4" w:rsidRPr="00323427">
        <w:rPr>
          <w:rFonts w:eastAsia="AdvEPSTIM"/>
        </w:rPr>
        <w:t>continental arc</w:t>
      </w:r>
      <w:r w:rsidRPr="00323427">
        <w:rPr>
          <w:rFonts w:eastAsia="AdvEPSTIM" w:hint="eastAsia"/>
        </w:rPr>
        <w:t xml:space="preserve"> setting</w:t>
      </w:r>
      <w:r w:rsidRPr="00323427">
        <w:rPr>
          <w:rFonts w:eastAsia="AdvEPSTIM"/>
        </w:rPr>
        <w:t>.</w:t>
      </w:r>
    </w:p>
    <w:p w:rsidR="007C49D7" w:rsidRDefault="007C49D7" w:rsidP="007C49D7">
      <w:pPr>
        <w:rPr>
          <w:lang w:eastAsia="zh-CN"/>
        </w:rPr>
      </w:pPr>
      <w:r w:rsidRPr="00323427">
        <w:rPr>
          <w:rFonts w:eastAsia="AdvEPSTIM" w:hint="eastAsia"/>
        </w:rPr>
        <w:tab/>
      </w:r>
      <w:r w:rsidR="00EA7296">
        <w:rPr>
          <w:rFonts w:eastAsia="AdvEPSTIM" w:hint="eastAsia"/>
          <w:lang w:eastAsia="zh-CN"/>
        </w:rPr>
        <w:t>A</w:t>
      </w:r>
      <w:r w:rsidRPr="00323427">
        <w:rPr>
          <w:rFonts w:eastAsia="AdvEPSTIM" w:hint="eastAsia"/>
        </w:rPr>
        <w:t xml:space="preserve"> direct reservoir analog of </w:t>
      </w:r>
      <w:r w:rsidR="00EA7296">
        <w:rPr>
          <w:rFonts w:eastAsia="AdvEPSTIM" w:hint="eastAsia"/>
          <w:lang w:eastAsia="zh-CN"/>
        </w:rPr>
        <w:t xml:space="preserve">the </w:t>
      </w:r>
      <w:r w:rsidRPr="00323427">
        <w:rPr>
          <w:rFonts w:eastAsia="AdvEPSTIM" w:hint="eastAsia"/>
        </w:rPr>
        <w:t>Jackfork</w:t>
      </w:r>
      <w:r w:rsidR="00EA7296">
        <w:rPr>
          <w:rFonts w:eastAsia="AdvEPSTIM" w:hint="eastAsia"/>
          <w:lang w:eastAsia="zh-CN"/>
        </w:rPr>
        <w:t xml:space="preserve"> Group</w:t>
      </w:r>
      <w:r w:rsidRPr="00323427">
        <w:rPr>
          <w:rFonts w:eastAsia="AdvEPSTIM" w:hint="eastAsia"/>
        </w:rPr>
        <w:t xml:space="preserve"> outcrops in </w:t>
      </w:r>
      <w:r w:rsidRPr="00F030C8">
        <w:rPr>
          <w:rFonts w:eastAsia="AdvEPSTIM" w:hint="eastAsia"/>
        </w:rPr>
        <w:t xml:space="preserve">Arkansas </w:t>
      </w:r>
      <w:r w:rsidRPr="00F030C8">
        <w:rPr>
          <w:rFonts w:eastAsia="AdvEPSTIM"/>
        </w:rPr>
        <w:t>is</w:t>
      </w:r>
      <w:r w:rsidRPr="00F030C8">
        <w:rPr>
          <w:rFonts w:eastAsia="AdvEPSTIM" w:hint="eastAsia"/>
        </w:rPr>
        <w:t xml:space="preserve"> the subs</w:t>
      </w:r>
      <w:r w:rsidRPr="00323427">
        <w:rPr>
          <w:rFonts w:eastAsia="AdvEPSTIM" w:hint="eastAsia"/>
        </w:rPr>
        <w:t xml:space="preserve">urface Jackfork Potato Hills gas field in southeastern </w:t>
      </w:r>
      <w:r w:rsidRPr="00323427">
        <w:rPr>
          <w:rFonts w:eastAsia="AdvEPSTIM"/>
        </w:rPr>
        <w:t>Oklahoma. Previous</w:t>
      </w:r>
      <w:r w:rsidRPr="00323427">
        <w:rPr>
          <w:rFonts w:eastAsia="AdvEPSTIM" w:hint="eastAsia"/>
        </w:rPr>
        <w:t xml:space="preserve"> well-based stratigraphic interpretations have been tied to the established and complete sequence stratigraphic framework</w:t>
      </w:r>
      <w:r w:rsidR="00EA7296">
        <w:rPr>
          <w:rFonts w:eastAsia="AdvEPSTIM" w:hint="eastAsia"/>
          <w:lang w:eastAsia="zh-CN"/>
        </w:rPr>
        <w:t xml:space="preserve"> of the Jackfork Group from outcrop to subsurface</w:t>
      </w:r>
      <w:r w:rsidRPr="00323427">
        <w:rPr>
          <w:rFonts w:eastAsia="AdvEPSTIM" w:hint="eastAsia"/>
        </w:rPr>
        <w:t xml:space="preserve">. With the sequence stratigraphic framework established in </w:t>
      </w:r>
      <w:r w:rsidRPr="00323427">
        <w:rPr>
          <w:rFonts w:eastAsia="AdvEPSTIM"/>
        </w:rPr>
        <w:t xml:space="preserve">the </w:t>
      </w:r>
      <w:r w:rsidRPr="00323427">
        <w:rPr>
          <w:rFonts w:eastAsia="AdvEPSTIM" w:hint="eastAsia"/>
        </w:rPr>
        <w:t xml:space="preserve">Jackfork Group, </w:t>
      </w:r>
      <w:r w:rsidRPr="00323427">
        <w:rPr>
          <w:rFonts w:hint="eastAsia"/>
        </w:rPr>
        <w:t xml:space="preserve">the interpretation, correlation and reservoir modeling of </w:t>
      </w:r>
      <w:r w:rsidRPr="00323427">
        <w:t>the</w:t>
      </w:r>
      <w:r w:rsidRPr="00323427">
        <w:rPr>
          <w:rFonts w:hint="eastAsia"/>
        </w:rPr>
        <w:t xml:space="preserve"> Jackfork</w:t>
      </w:r>
      <w:r w:rsidR="008206B4">
        <w:t xml:space="preserve"> </w:t>
      </w:r>
      <w:r w:rsidRPr="00323427">
        <w:rPr>
          <w:rFonts w:hint="eastAsia"/>
        </w:rPr>
        <w:t xml:space="preserve">reservoirs will gain more confidence and accuracy. </w:t>
      </w:r>
    </w:p>
    <w:p w:rsidR="00AE12BC" w:rsidRDefault="00AE12BC" w:rsidP="007C49D7">
      <w:pPr>
        <w:rPr>
          <w:lang w:eastAsia="zh-CN"/>
        </w:rPr>
      </w:pPr>
    </w:p>
    <w:p w:rsidR="00AE12BC" w:rsidRPr="00323427" w:rsidRDefault="00AE12BC" w:rsidP="007C49D7">
      <w:pPr>
        <w:rPr>
          <w:rFonts w:eastAsia="AdvEPSTIM"/>
          <w:color w:val="FF0000"/>
          <w:lang w:eastAsia="zh-CN"/>
        </w:rPr>
      </w:pPr>
    </w:p>
    <w:p w:rsidR="002C3CA3" w:rsidRPr="00833C66" w:rsidRDefault="002C3CA3" w:rsidP="00833C66">
      <w:pPr>
        <w:jc w:val="center"/>
        <w:rPr>
          <w:b/>
          <w:sz w:val="28"/>
        </w:rPr>
      </w:pPr>
      <w:r w:rsidRPr="00833C66">
        <w:rPr>
          <w:b/>
          <w:sz w:val="28"/>
        </w:rPr>
        <w:lastRenderedPageBreak/>
        <w:t>INTRODUCTION</w:t>
      </w:r>
    </w:p>
    <w:p w:rsidR="00C65A26" w:rsidRPr="00323427" w:rsidRDefault="00C65A26" w:rsidP="00C65A26">
      <w:pPr>
        <w:rPr>
          <w:lang w:eastAsia="zh-CN"/>
        </w:rPr>
      </w:pPr>
      <w:r w:rsidRPr="00323427">
        <w:tab/>
      </w:r>
      <w:r w:rsidR="004C01CE" w:rsidRPr="004C01CE">
        <w:t>The ancient Ouachita Basin consists of 15,000m of Carboniferous deepwater strata which covered an area of 246,592 km</w:t>
      </w:r>
      <w:r w:rsidR="004C01CE" w:rsidRPr="001A6B7A">
        <w:rPr>
          <w:vertAlign w:val="superscript"/>
        </w:rPr>
        <w:t>2</w:t>
      </w:r>
      <w:r w:rsidR="004C01CE" w:rsidRPr="004C01CE">
        <w:t xml:space="preserve"> from Little Rock, Arkansas to southeastern Oklahoma, U.S.A. </w:t>
      </w:r>
      <w:r w:rsidRPr="00323427">
        <w:t xml:space="preserve">The </w:t>
      </w:r>
      <w:r w:rsidRPr="00323427">
        <w:rPr>
          <w:rFonts w:hint="eastAsia"/>
        </w:rPr>
        <w:t xml:space="preserve">Early </w:t>
      </w:r>
      <w:r w:rsidRPr="00323427">
        <w:t xml:space="preserve">Pennsylvanian Jackfork Group in </w:t>
      </w:r>
      <w:r w:rsidRPr="00323427">
        <w:rPr>
          <w:rFonts w:hint="eastAsia"/>
        </w:rPr>
        <w:t xml:space="preserve">the </w:t>
      </w:r>
      <w:r w:rsidRPr="00323427">
        <w:t xml:space="preserve">Ouachita </w:t>
      </w:r>
      <w:r w:rsidR="00D2186B" w:rsidRPr="00323427">
        <w:t>Mountains (</w:t>
      </w:r>
      <w:r w:rsidR="00B83452">
        <w:rPr>
          <w:rFonts w:hint="eastAsia"/>
        </w:rPr>
        <w:t>Figure 2.1</w:t>
      </w:r>
      <w:r w:rsidRPr="00323427">
        <w:rPr>
          <w:rFonts w:hint="eastAsia"/>
        </w:rPr>
        <w:t>)</w:t>
      </w:r>
      <w:r w:rsidRPr="00323427">
        <w:t xml:space="preserve"> has been studied for over forty </w:t>
      </w:r>
      <w:r w:rsidRPr="006F1DC6">
        <w:t>years</w:t>
      </w:r>
      <w:r w:rsidRPr="006F1DC6">
        <w:rPr>
          <w:rFonts w:hint="eastAsia"/>
        </w:rPr>
        <w:t xml:space="preserve">. The outcrops display an excellent example of </w:t>
      </w:r>
      <w:r w:rsidRPr="006F1DC6">
        <w:t xml:space="preserve">different types of turbidite reservoirs from </w:t>
      </w:r>
      <w:r w:rsidRPr="00C645B4">
        <w:rPr>
          <w:i/>
        </w:rPr>
        <w:t xml:space="preserve">updip </w:t>
      </w:r>
      <w:r w:rsidR="00C645B4" w:rsidRPr="00C645B4">
        <w:rPr>
          <w:i/>
        </w:rPr>
        <w:t xml:space="preserve">slope </w:t>
      </w:r>
      <w:r w:rsidR="00367E8D">
        <w:rPr>
          <w:rFonts w:hint="eastAsia"/>
          <w:i/>
          <w:lang w:eastAsia="zh-CN"/>
        </w:rPr>
        <w:t>deposits</w:t>
      </w:r>
      <w:r w:rsidRPr="006F1DC6">
        <w:rPr>
          <w:rFonts w:hint="eastAsia"/>
        </w:rPr>
        <w:t xml:space="preserve"> t</w:t>
      </w:r>
      <w:r w:rsidRPr="006F1DC6">
        <w:t xml:space="preserve">o </w:t>
      </w:r>
      <w:r w:rsidRPr="00C645B4">
        <w:rPr>
          <w:i/>
        </w:rPr>
        <w:t>downdip basinal</w:t>
      </w:r>
      <w:r w:rsidR="008206B4" w:rsidRPr="00C645B4">
        <w:rPr>
          <w:i/>
        </w:rPr>
        <w:t xml:space="preserve"> </w:t>
      </w:r>
      <w:r w:rsidR="00367E8D">
        <w:rPr>
          <w:rFonts w:hint="eastAsia"/>
          <w:i/>
          <w:lang w:eastAsia="zh-CN"/>
        </w:rPr>
        <w:t xml:space="preserve">deposits </w:t>
      </w:r>
      <w:r w:rsidRPr="006F1DC6">
        <w:rPr>
          <w:rFonts w:hint="eastAsia"/>
        </w:rPr>
        <w:t xml:space="preserve">(Slatt </w:t>
      </w:r>
      <w:r w:rsidR="00880C6B" w:rsidRPr="00880C6B">
        <w:rPr>
          <w:rFonts w:hint="eastAsia"/>
          <w:i/>
        </w:rPr>
        <w:t>et al.</w:t>
      </w:r>
      <w:r w:rsidRPr="006F1DC6">
        <w:rPr>
          <w:rFonts w:hint="eastAsia"/>
        </w:rPr>
        <w:t>, 2000a</w:t>
      </w:r>
      <w:r w:rsidRPr="00323427">
        <w:rPr>
          <w:rFonts w:hint="eastAsia"/>
        </w:rPr>
        <w:t>).</w:t>
      </w:r>
      <w:r>
        <w:rPr>
          <w:rFonts w:hint="eastAsia"/>
        </w:rPr>
        <w:t>T</w:t>
      </w:r>
      <w:r w:rsidRPr="00323427">
        <w:t>he regional tectono-stratigraphic framework of</w:t>
      </w:r>
      <w:r w:rsidRPr="00323427">
        <w:rPr>
          <w:rFonts w:hint="eastAsia"/>
        </w:rPr>
        <w:t xml:space="preserve"> the</w:t>
      </w:r>
      <w:r w:rsidRPr="00323427">
        <w:t xml:space="preserve"> Jackfork Group in the Ouachita Mountains</w:t>
      </w:r>
      <w:r>
        <w:rPr>
          <w:rFonts w:hint="eastAsia"/>
        </w:rPr>
        <w:t xml:space="preserve"> was described by W</w:t>
      </w:r>
      <w:r w:rsidRPr="00323427">
        <w:t>althall, 1967; Morris, 1971</w:t>
      </w:r>
      <w:r w:rsidRPr="00323427">
        <w:rPr>
          <w:rFonts w:hint="eastAsia"/>
        </w:rPr>
        <w:t xml:space="preserve">; Graham </w:t>
      </w:r>
      <w:r w:rsidR="00880C6B" w:rsidRPr="00880C6B">
        <w:rPr>
          <w:rFonts w:hint="eastAsia"/>
          <w:i/>
        </w:rPr>
        <w:t>et al.</w:t>
      </w:r>
      <w:r w:rsidRPr="00323427">
        <w:rPr>
          <w:rFonts w:hint="eastAsia"/>
        </w:rPr>
        <w:t>, 1975</w:t>
      </w:r>
      <w:r w:rsidRPr="00323427">
        <w:t>)</w:t>
      </w:r>
      <w:r>
        <w:rPr>
          <w:rFonts w:hint="eastAsia"/>
        </w:rPr>
        <w:t>. Over</w:t>
      </w:r>
      <w:r w:rsidRPr="00323427">
        <w:rPr>
          <w:rFonts w:hint="eastAsia"/>
        </w:rPr>
        <w:t xml:space="preserve"> the last two decades,</w:t>
      </w:r>
      <w:r w:rsidRPr="00323427">
        <w:t xml:space="preserve"> various </w:t>
      </w:r>
      <w:r w:rsidRPr="00323427">
        <w:rPr>
          <w:rFonts w:hint="eastAsia"/>
        </w:rPr>
        <w:t xml:space="preserve">Jackfork </w:t>
      </w:r>
      <w:r w:rsidRPr="00323427">
        <w:t>outcrops (</w:t>
      </w:r>
      <w:r w:rsidRPr="00323427">
        <w:rPr>
          <w:rFonts w:hint="eastAsia"/>
        </w:rPr>
        <w:t xml:space="preserve">including </w:t>
      </w:r>
      <w:r w:rsidRPr="00323427">
        <w:t xml:space="preserve">roadcuts, rock quarry faces, lake spillways etc.) in the Ouachita Mountains region have been documented in detail. These studies </w:t>
      </w:r>
      <w:r w:rsidRPr="00323427">
        <w:rPr>
          <w:rFonts w:hint="eastAsia"/>
        </w:rPr>
        <w:t>have helped</w:t>
      </w:r>
      <w:r w:rsidRPr="00323427">
        <w:t xml:space="preserve"> geoscientists to </w:t>
      </w:r>
      <w:r w:rsidRPr="00323427">
        <w:rPr>
          <w:rFonts w:hint="eastAsia"/>
        </w:rPr>
        <w:t>develop</w:t>
      </w:r>
      <w:r w:rsidRPr="00323427">
        <w:t xml:space="preserve"> analogs </w:t>
      </w:r>
      <w:r w:rsidRPr="00323427">
        <w:rPr>
          <w:rFonts w:hint="eastAsia"/>
        </w:rPr>
        <w:t>for</w:t>
      </w:r>
      <w:r w:rsidRPr="00323427">
        <w:t xml:space="preserve"> deepwater reservoir characterization and development (Jordan </w:t>
      </w:r>
      <w:r w:rsidR="00880C6B" w:rsidRPr="00880C6B">
        <w:rPr>
          <w:i/>
        </w:rPr>
        <w:t>et al.</w:t>
      </w:r>
      <w:r w:rsidRPr="00323427">
        <w:t xml:space="preserve">, 1991; Pauli, 1994; Al-Siyabi, 1998; Slatt </w:t>
      </w:r>
      <w:r w:rsidR="00880C6B" w:rsidRPr="00880C6B">
        <w:rPr>
          <w:i/>
        </w:rPr>
        <w:t>et al.</w:t>
      </w:r>
      <w:r w:rsidRPr="00323427">
        <w:t xml:space="preserve">, 2000a; Slatt </w:t>
      </w:r>
      <w:r w:rsidR="00880C6B" w:rsidRPr="00880C6B">
        <w:rPr>
          <w:i/>
        </w:rPr>
        <w:t>et al.</w:t>
      </w:r>
      <w:r w:rsidRPr="00323427">
        <w:t xml:space="preserve">, 2000b; Omatsola and Slatt, 2003; Goyeneche </w:t>
      </w:r>
      <w:r w:rsidR="00880C6B" w:rsidRPr="00880C6B">
        <w:rPr>
          <w:i/>
        </w:rPr>
        <w:t>et al.</w:t>
      </w:r>
      <w:r w:rsidRPr="00323427">
        <w:t>, 2005; Shear, 2006; Duran, 2007; Schlichtemeier, 2011</w:t>
      </w:r>
      <w:r w:rsidRPr="00323427">
        <w:rPr>
          <w:rFonts w:hint="eastAsia"/>
        </w:rPr>
        <w:t xml:space="preserve">; </w:t>
      </w:r>
      <w:r w:rsidRPr="00323427">
        <w:t>Zou,</w:t>
      </w:r>
      <w:r w:rsidRPr="00323427">
        <w:rPr>
          <w:rFonts w:hint="eastAsia"/>
        </w:rPr>
        <w:t xml:space="preserve"> </w:t>
      </w:r>
      <w:r w:rsidR="00880C6B" w:rsidRPr="00880C6B">
        <w:rPr>
          <w:rFonts w:hint="eastAsia"/>
          <w:i/>
        </w:rPr>
        <w:t>et al.</w:t>
      </w:r>
      <w:r w:rsidRPr="00323427">
        <w:rPr>
          <w:rFonts w:hint="eastAsia"/>
        </w:rPr>
        <w:t>,</w:t>
      </w:r>
      <w:r w:rsidRPr="00323427">
        <w:t xml:space="preserve"> 201</w:t>
      </w:r>
      <w:r w:rsidRPr="00323427">
        <w:rPr>
          <w:rFonts w:hint="eastAsia"/>
        </w:rPr>
        <w:t>2</w:t>
      </w:r>
      <w:r w:rsidRPr="00323427">
        <w:t xml:space="preserve">). </w:t>
      </w:r>
      <w:r w:rsidRPr="00323427">
        <w:rPr>
          <w:rFonts w:hint="eastAsia"/>
        </w:rPr>
        <w:t>The Kirby Section</w:t>
      </w:r>
      <w:r>
        <w:rPr>
          <w:rFonts w:hint="eastAsia"/>
        </w:rPr>
        <w:t xml:space="preserve">, </w:t>
      </w:r>
      <w:r>
        <w:t>which was partially described by Morris (1971)</w:t>
      </w:r>
      <w:r>
        <w:rPr>
          <w:rFonts w:hint="eastAsia"/>
        </w:rPr>
        <w:t>,</w:t>
      </w:r>
      <w:r w:rsidRPr="00323427">
        <w:rPr>
          <w:rFonts w:hint="eastAsia"/>
        </w:rPr>
        <w:t xml:space="preserve"> i</w:t>
      </w:r>
      <w:r>
        <w:rPr>
          <w:rFonts w:hint="eastAsia"/>
        </w:rPr>
        <w:t>s located on Highway 27</w:t>
      </w:r>
      <w:r>
        <w:t>-</w:t>
      </w:r>
      <w:r w:rsidRPr="00323427">
        <w:rPr>
          <w:rFonts w:hint="eastAsia"/>
        </w:rPr>
        <w:t>3km south of Kirby, Arkansas</w:t>
      </w:r>
      <w:r>
        <w:rPr>
          <w:rFonts w:hint="eastAsia"/>
        </w:rPr>
        <w:t xml:space="preserve"> (</w:t>
      </w:r>
      <w:r w:rsidR="00D910A6">
        <w:rPr>
          <w:rFonts w:hint="eastAsia"/>
        </w:rPr>
        <w:t xml:space="preserve">Figure </w:t>
      </w:r>
      <w:r w:rsidR="00D910A6">
        <w:rPr>
          <w:rFonts w:hint="eastAsia"/>
          <w:lang w:eastAsia="zh-CN"/>
        </w:rPr>
        <w:t>2</w:t>
      </w:r>
      <w:r w:rsidR="00B83452">
        <w:rPr>
          <w:rFonts w:hint="eastAsia"/>
        </w:rPr>
        <w:t>.1</w:t>
      </w:r>
      <w:r>
        <w:rPr>
          <w:rFonts w:hint="eastAsia"/>
        </w:rPr>
        <w:t>)</w:t>
      </w:r>
      <w:r w:rsidRPr="00323427">
        <w:rPr>
          <w:rFonts w:hint="eastAsia"/>
        </w:rPr>
        <w:t xml:space="preserve">. </w:t>
      </w:r>
      <w:r>
        <w:rPr>
          <w:rFonts w:hint="eastAsia"/>
        </w:rPr>
        <w:t xml:space="preserve">This section </w:t>
      </w:r>
      <w:r w:rsidRPr="00323427">
        <w:t>contains</w:t>
      </w:r>
      <w:r w:rsidR="008206B4">
        <w:t xml:space="preserve"> </w:t>
      </w:r>
      <w:r w:rsidRPr="00323427">
        <w:rPr>
          <w:rFonts w:hint="eastAsia"/>
        </w:rPr>
        <w:t xml:space="preserve">a </w:t>
      </w:r>
      <w:r w:rsidRPr="004077C4">
        <w:t>~</w:t>
      </w:r>
      <w:r w:rsidRPr="004077C4">
        <w:rPr>
          <w:rFonts w:hint="eastAsia"/>
        </w:rPr>
        <w:t>1200m</w:t>
      </w:r>
      <w:r w:rsidR="00367E8D">
        <w:rPr>
          <w:rFonts w:hint="eastAsia"/>
          <w:lang w:eastAsia="zh-CN"/>
        </w:rPr>
        <w:t xml:space="preserve"> </w:t>
      </w:r>
      <w:r w:rsidRPr="004077C4">
        <w:t xml:space="preserve">exposure </w:t>
      </w:r>
      <w:r w:rsidRPr="004077C4">
        <w:rPr>
          <w:rFonts w:hint="eastAsia"/>
        </w:rPr>
        <w:t xml:space="preserve">of </w:t>
      </w:r>
      <w:r w:rsidRPr="004077C4">
        <w:t>Chickasaw</w:t>
      </w:r>
      <w:r w:rsidRPr="004077C4">
        <w:rPr>
          <w:rFonts w:hint="eastAsia"/>
        </w:rPr>
        <w:t xml:space="preserve"> Creek (top of Stanley Shale), Jackfork Group and Johns</w:t>
      </w:r>
      <w:r w:rsidRPr="00323427">
        <w:rPr>
          <w:rFonts w:hint="eastAsia"/>
        </w:rPr>
        <w:t xml:space="preserve"> Valley Shale</w:t>
      </w:r>
      <w:r w:rsidR="008206B4">
        <w:t xml:space="preserve"> </w:t>
      </w:r>
      <w:r>
        <w:t xml:space="preserve">strata </w:t>
      </w:r>
      <w:r>
        <w:rPr>
          <w:rFonts w:hint="eastAsia"/>
        </w:rPr>
        <w:t>(</w:t>
      </w:r>
      <w:r w:rsidR="00B83452">
        <w:rPr>
          <w:rFonts w:hint="eastAsia"/>
        </w:rPr>
        <w:t>Figure 2.2</w:t>
      </w:r>
      <w:r>
        <w:rPr>
          <w:rFonts w:hint="eastAsia"/>
        </w:rPr>
        <w:t>)</w:t>
      </w:r>
      <w:r w:rsidRPr="00323427">
        <w:rPr>
          <w:rFonts w:hint="eastAsia"/>
        </w:rPr>
        <w:t xml:space="preserve">.Recently, the </w:t>
      </w:r>
      <w:r w:rsidRPr="00323427">
        <w:t>Baumgartner</w:t>
      </w:r>
      <w:r w:rsidRPr="00323427">
        <w:rPr>
          <w:rFonts w:hint="eastAsia"/>
        </w:rPr>
        <w:t xml:space="preserve"> Quarry </w:t>
      </w:r>
      <w:r w:rsidRPr="00323427">
        <w:t>has</w:t>
      </w:r>
      <w:r w:rsidR="008206B4">
        <w:t xml:space="preserve"> </w:t>
      </w:r>
      <w:r w:rsidRPr="00323427">
        <w:rPr>
          <w:rFonts w:hint="eastAsia"/>
        </w:rPr>
        <w:t>become active, adding ov</w:t>
      </w:r>
      <w:r w:rsidRPr="004077C4">
        <w:rPr>
          <w:rFonts w:hint="eastAsia"/>
        </w:rPr>
        <w:t xml:space="preserve">er </w:t>
      </w:r>
      <w:r w:rsidRPr="004077C4">
        <w:t>~500m</w:t>
      </w:r>
      <w:r w:rsidR="00D910A6">
        <w:rPr>
          <w:rFonts w:hint="eastAsia"/>
          <w:lang w:eastAsia="zh-CN"/>
        </w:rPr>
        <w:t xml:space="preserve"> </w:t>
      </w:r>
      <w:r w:rsidRPr="004077C4">
        <w:rPr>
          <w:rFonts w:hint="eastAsia"/>
        </w:rPr>
        <w:t>of new e</w:t>
      </w:r>
      <w:r w:rsidRPr="00323427">
        <w:rPr>
          <w:rFonts w:hint="eastAsia"/>
        </w:rPr>
        <w:t>xposures</w:t>
      </w:r>
      <w:r w:rsidR="008206B4">
        <w:t xml:space="preserve"> </w:t>
      </w:r>
      <w:r w:rsidRPr="00323427">
        <w:rPr>
          <w:rFonts w:hint="eastAsia"/>
        </w:rPr>
        <w:t>to the Kirby section</w:t>
      </w:r>
      <w:r w:rsidR="00250BD8">
        <w:rPr>
          <w:rFonts w:hint="eastAsia"/>
          <w:lang w:eastAsia="zh-CN"/>
        </w:rPr>
        <w:t xml:space="preserve"> which belongs to </w:t>
      </w:r>
      <w:r w:rsidR="00367E8D">
        <w:rPr>
          <w:rFonts w:hint="eastAsia"/>
          <w:lang w:eastAsia="zh-CN"/>
        </w:rPr>
        <w:t xml:space="preserve">the </w:t>
      </w:r>
      <w:r w:rsidR="00250BD8">
        <w:rPr>
          <w:rFonts w:hint="eastAsia"/>
          <w:lang w:eastAsia="zh-CN"/>
        </w:rPr>
        <w:t>Middle and Upper Jackfork Group</w:t>
      </w:r>
      <w:r w:rsidRPr="00323427">
        <w:rPr>
          <w:rFonts w:hint="eastAsia"/>
        </w:rPr>
        <w:t>.</w:t>
      </w:r>
    </w:p>
    <w:p w:rsidR="00C65A26" w:rsidRDefault="00C65A26" w:rsidP="00C65A26">
      <w:pPr>
        <w:rPr>
          <w:lang w:eastAsia="zh-CN"/>
        </w:rPr>
      </w:pPr>
      <w:r w:rsidRPr="00323427">
        <w:rPr>
          <w:rFonts w:hint="eastAsia"/>
        </w:rPr>
        <w:tab/>
      </w:r>
      <w:r w:rsidR="0053654F">
        <w:rPr>
          <w:rFonts w:hint="eastAsia"/>
          <w:lang w:eastAsia="zh-CN"/>
        </w:rPr>
        <w:t xml:space="preserve">All related regional Jackfork outcrops are summarized in Table </w:t>
      </w:r>
      <w:r w:rsidR="007C7ADE">
        <w:rPr>
          <w:lang w:eastAsia="zh-CN"/>
        </w:rPr>
        <w:t>2.</w:t>
      </w:r>
      <w:r w:rsidR="0053654F">
        <w:rPr>
          <w:rFonts w:hint="eastAsia"/>
          <w:lang w:eastAsia="zh-CN"/>
        </w:rPr>
        <w:t xml:space="preserve">1. </w:t>
      </w:r>
      <w:r w:rsidRPr="00323427">
        <w:t>In the past</w:t>
      </w:r>
      <w:r w:rsidRPr="00323427">
        <w:rPr>
          <w:rFonts w:hint="eastAsia"/>
        </w:rPr>
        <w:t xml:space="preserve">, </w:t>
      </w:r>
      <w:r w:rsidRPr="00323427">
        <w:t>a</w:t>
      </w:r>
      <w:r w:rsidRPr="00323427">
        <w:rPr>
          <w:rFonts w:hint="eastAsia"/>
        </w:rPr>
        <w:t xml:space="preserve"> regional sequence </w:t>
      </w:r>
      <w:r w:rsidRPr="00323427">
        <w:t xml:space="preserve">stratigraphy of the Jackfork was </w:t>
      </w:r>
      <w:r w:rsidR="00D63425">
        <w:rPr>
          <w:rFonts w:hint="eastAsia"/>
          <w:lang w:eastAsia="zh-CN"/>
        </w:rPr>
        <w:t>difficult to complete</w:t>
      </w:r>
      <w:r w:rsidRPr="00323427">
        <w:t xml:space="preserve"> because of lack of exposures and structural complications within</w:t>
      </w:r>
      <w:r w:rsidRPr="00323427">
        <w:rPr>
          <w:rFonts w:hint="eastAsia"/>
        </w:rPr>
        <w:t xml:space="preserve"> the Ouachita Mountain area. </w:t>
      </w:r>
      <w:r w:rsidRPr="00323427">
        <w:rPr>
          <w:rFonts w:hint="eastAsia"/>
        </w:rPr>
        <w:lastRenderedPageBreak/>
        <w:t>Correlation of the different outcrops within the</w:t>
      </w:r>
      <w:r>
        <w:rPr>
          <w:rFonts w:hint="eastAsia"/>
        </w:rPr>
        <w:t xml:space="preserve"> Ouachita Basin</w:t>
      </w:r>
      <w:r w:rsidRPr="00323427">
        <w:rPr>
          <w:rFonts w:hint="eastAsia"/>
        </w:rPr>
        <w:t xml:space="preserve"> has been a challenging task. </w:t>
      </w:r>
      <w:r>
        <w:rPr>
          <w:rFonts w:hint="eastAsia"/>
        </w:rPr>
        <w:t xml:space="preserve">Coleman </w:t>
      </w:r>
      <w:r w:rsidR="00880C6B" w:rsidRPr="00880C6B">
        <w:rPr>
          <w:rFonts w:hint="eastAsia"/>
          <w:i/>
        </w:rPr>
        <w:t>et al.</w:t>
      </w:r>
      <w:r>
        <w:rPr>
          <w:rFonts w:hint="eastAsia"/>
        </w:rPr>
        <w:t xml:space="preserve"> (1994) established a qualitative correlation of the Jackfork Group in southeast Oklahoma and DeGray area. </w:t>
      </w:r>
      <w:r w:rsidRPr="00323427">
        <w:rPr>
          <w:rFonts w:hint="eastAsia"/>
        </w:rPr>
        <w:t>The Arkansas Geological Commission</w:t>
      </w:r>
      <w:r w:rsidR="008206B4">
        <w:t xml:space="preserve"> </w:t>
      </w:r>
      <w:r w:rsidRPr="00323427">
        <w:rPr>
          <w:rFonts w:hint="eastAsia"/>
        </w:rPr>
        <w:t>has mapped the Jackfork outcrops as Upper, Middle and Lower units, which provides</w:t>
      </w:r>
      <w:r w:rsidR="008206B4">
        <w:t xml:space="preserve"> </w:t>
      </w:r>
      <w:r w:rsidRPr="00323427">
        <w:rPr>
          <w:rFonts w:hint="eastAsia"/>
        </w:rPr>
        <w:t xml:space="preserve">basic </w:t>
      </w:r>
      <w:r w:rsidRPr="00323427">
        <w:t>guidance</w:t>
      </w:r>
      <w:r w:rsidR="008206B4">
        <w:t xml:space="preserve"> </w:t>
      </w:r>
      <w:r w:rsidRPr="00323427">
        <w:t>for correlation</w:t>
      </w:r>
      <w:r w:rsidR="0053654F">
        <w:rPr>
          <w:rFonts w:hint="eastAsia"/>
          <w:lang w:eastAsia="zh-CN"/>
        </w:rPr>
        <w:t xml:space="preserve">.  </w:t>
      </w:r>
      <w:r w:rsidRPr="00323427">
        <w:rPr>
          <w:rFonts w:hint="eastAsia"/>
        </w:rPr>
        <w:t xml:space="preserve">Coleman (2000) discussed the general evolution of the Ouachita deepwater basin with </w:t>
      </w:r>
      <w:r w:rsidRPr="00323427">
        <w:t>a series</w:t>
      </w:r>
      <w:r w:rsidRPr="00323427">
        <w:rPr>
          <w:rFonts w:hint="eastAsia"/>
        </w:rPr>
        <w:t xml:space="preserve"> of basin-wide paleogeography maps.</w:t>
      </w:r>
      <w:r w:rsidR="008206B4">
        <w:t xml:space="preserve"> </w:t>
      </w:r>
      <w:r w:rsidRPr="00323427">
        <w:rPr>
          <w:rFonts w:hint="eastAsia"/>
        </w:rPr>
        <w:t>However,</w:t>
      </w:r>
      <w:r w:rsidR="008206B4">
        <w:t xml:space="preserve"> </w:t>
      </w:r>
      <w:r w:rsidRPr="00323427">
        <w:rPr>
          <w:rFonts w:hint="eastAsia"/>
        </w:rPr>
        <w:t xml:space="preserve">the stratigraphic </w:t>
      </w:r>
      <w:r w:rsidRPr="00323427">
        <w:t xml:space="preserve">units inside </w:t>
      </w:r>
      <w:r w:rsidRPr="00323427">
        <w:rPr>
          <w:rFonts w:hint="eastAsia"/>
        </w:rPr>
        <w:t xml:space="preserve">the </w:t>
      </w:r>
      <w:r w:rsidRPr="00323427">
        <w:t>Jackfork Group were</w:t>
      </w:r>
      <w:r w:rsidR="008206B4">
        <w:t xml:space="preserve"> </w:t>
      </w:r>
      <w:r w:rsidRPr="00323427">
        <w:rPr>
          <w:rFonts w:hint="eastAsia"/>
        </w:rPr>
        <w:t xml:space="preserve">not differentiated. Recently, more Jackfork Group outcrops have been studied using a quantitative approach such as </w:t>
      </w:r>
      <w:r w:rsidRPr="00323427">
        <w:t xml:space="preserve">at </w:t>
      </w:r>
      <w:r w:rsidRPr="00323427">
        <w:rPr>
          <w:rFonts w:hint="eastAsia"/>
        </w:rPr>
        <w:t xml:space="preserve">Baumgartner Quarry (Duran, 2007; Zou </w:t>
      </w:r>
      <w:r w:rsidR="00880C6B" w:rsidRPr="00880C6B">
        <w:rPr>
          <w:rFonts w:hint="eastAsia"/>
          <w:i/>
        </w:rPr>
        <w:t>et al.</w:t>
      </w:r>
      <w:r w:rsidRPr="00323427">
        <w:rPr>
          <w:rFonts w:hint="eastAsia"/>
        </w:rPr>
        <w:t xml:space="preserve">, 2012), Hollywood </w:t>
      </w:r>
      <w:r w:rsidRPr="00323427">
        <w:t>Quarry</w:t>
      </w:r>
      <w:r w:rsidRPr="00323427">
        <w:rPr>
          <w:rFonts w:hint="eastAsia"/>
        </w:rPr>
        <w:t xml:space="preserve"> (Goyeneche </w:t>
      </w:r>
      <w:r w:rsidR="00880C6B" w:rsidRPr="00880C6B">
        <w:rPr>
          <w:rFonts w:hint="eastAsia"/>
          <w:i/>
        </w:rPr>
        <w:t>et al.</w:t>
      </w:r>
      <w:r w:rsidRPr="00323427">
        <w:rPr>
          <w:rFonts w:hint="eastAsia"/>
        </w:rPr>
        <w:t xml:space="preserve">, 2005), DeGray Lake Spillway (Slatt </w:t>
      </w:r>
      <w:r w:rsidR="00880C6B" w:rsidRPr="00880C6B">
        <w:rPr>
          <w:rFonts w:hint="eastAsia"/>
          <w:i/>
        </w:rPr>
        <w:t>et al.</w:t>
      </w:r>
      <w:r w:rsidRPr="00323427">
        <w:rPr>
          <w:rFonts w:hint="eastAsia"/>
        </w:rPr>
        <w:t xml:space="preserve">, 2000b; </w:t>
      </w:r>
      <w:r w:rsidRPr="00323427">
        <w:t>Schlichtemeier</w:t>
      </w:r>
      <w:r>
        <w:rPr>
          <w:rFonts w:hint="eastAsia"/>
        </w:rPr>
        <w:t>, 2011</w:t>
      </w:r>
      <w:r w:rsidRPr="00323427">
        <w:rPr>
          <w:rFonts w:hint="eastAsia"/>
        </w:rPr>
        <w:t>) and Big Rock Quarry (</w:t>
      </w:r>
      <w:r w:rsidRPr="00323427">
        <w:t>Olariu</w:t>
      </w:r>
      <w:r w:rsidRPr="00323427">
        <w:rPr>
          <w:rFonts w:hint="eastAsia"/>
        </w:rPr>
        <w:t xml:space="preserve"> </w:t>
      </w:r>
      <w:r w:rsidR="00880C6B" w:rsidRPr="00880C6B">
        <w:rPr>
          <w:rFonts w:hint="eastAsia"/>
          <w:i/>
        </w:rPr>
        <w:t>et al.</w:t>
      </w:r>
      <w:r w:rsidRPr="00323427">
        <w:rPr>
          <w:rFonts w:hint="eastAsia"/>
        </w:rPr>
        <w:t xml:space="preserve">, 2008; Funk </w:t>
      </w:r>
      <w:r w:rsidR="00880C6B" w:rsidRPr="00880C6B">
        <w:rPr>
          <w:rFonts w:hint="eastAsia"/>
          <w:i/>
        </w:rPr>
        <w:t>et al.</w:t>
      </w:r>
      <w:r w:rsidRPr="00323427">
        <w:rPr>
          <w:rFonts w:hint="eastAsia"/>
        </w:rPr>
        <w:t>, 2012). These detail</w:t>
      </w:r>
      <w:r w:rsidRPr="00323427">
        <w:t>ed</w:t>
      </w:r>
      <w:r w:rsidR="008206B4">
        <w:t xml:space="preserve"> </w:t>
      </w:r>
      <w:r w:rsidRPr="00323427">
        <w:t>characterizations provide</w:t>
      </w:r>
      <w:r w:rsidRPr="00323427">
        <w:rPr>
          <w:rFonts w:hint="eastAsia"/>
        </w:rPr>
        <w:t xml:space="preserve"> a solid base for </w:t>
      </w:r>
      <w:r w:rsidRPr="00323427">
        <w:t xml:space="preserve">developing a </w:t>
      </w:r>
      <w:r w:rsidRPr="00323427">
        <w:rPr>
          <w:rFonts w:hint="eastAsia"/>
        </w:rPr>
        <w:t xml:space="preserve">regional stratigraphic </w:t>
      </w:r>
      <w:r w:rsidRPr="00323427">
        <w:t>framework</w:t>
      </w:r>
      <w:r w:rsidRPr="00323427">
        <w:rPr>
          <w:rFonts w:hint="eastAsia"/>
        </w:rPr>
        <w:t>.</w:t>
      </w:r>
    </w:p>
    <w:p w:rsidR="00FF40D4" w:rsidRDefault="00FF40D4" w:rsidP="00FF40D4">
      <w:pPr>
        <w:ind w:firstLine="720"/>
        <w:rPr>
          <w:lang w:eastAsia="zh-CN"/>
        </w:rPr>
      </w:pPr>
      <w:r>
        <w:rPr>
          <w:rFonts w:hint="eastAsia"/>
          <w:lang w:eastAsia="zh-CN"/>
        </w:rPr>
        <w:t>T</w:t>
      </w:r>
      <w:r w:rsidRPr="00FF40D4">
        <w:rPr>
          <w:lang w:eastAsia="zh-CN"/>
        </w:rPr>
        <w:t xml:space="preserve">he </w:t>
      </w:r>
      <w:r>
        <w:rPr>
          <w:rFonts w:hint="eastAsia"/>
          <w:lang w:eastAsia="zh-CN"/>
        </w:rPr>
        <w:t xml:space="preserve">main </w:t>
      </w:r>
      <w:r w:rsidRPr="00FF40D4">
        <w:rPr>
          <w:lang w:eastAsia="zh-CN"/>
        </w:rPr>
        <w:t xml:space="preserve">scope of this </w:t>
      </w:r>
      <w:r>
        <w:rPr>
          <w:rFonts w:hint="eastAsia"/>
          <w:lang w:eastAsia="zh-CN"/>
        </w:rPr>
        <w:t>paper</w:t>
      </w:r>
      <w:r w:rsidRPr="00FF40D4">
        <w:rPr>
          <w:lang w:eastAsia="zh-CN"/>
        </w:rPr>
        <w:t xml:space="preserve"> is to study the Kirby </w:t>
      </w:r>
      <w:r w:rsidR="00952588" w:rsidRPr="00FF40D4">
        <w:rPr>
          <w:lang w:eastAsia="zh-CN"/>
        </w:rPr>
        <w:t>section which includes</w:t>
      </w:r>
      <w:r w:rsidRPr="00FF40D4">
        <w:rPr>
          <w:lang w:eastAsia="zh-CN"/>
        </w:rPr>
        <w:t xml:space="preserve"> </w:t>
      </w:r>
      <w:r w:rsidR="00405FAE">
        <w:rPr>
          <w:rFonts w:hint="eastAsia"/>
          <w:lang w:eastAsia="zh-CN"/>
        </w:rPr>
        <w:t xml:space="preserve">the </w:t>
      </w:r>
      <w:r w:rsidRPr="00FF40D4">
        <w:rPr>
          <w:lang w:eastAsia="zh-CN"/>
        </w:rPr>
        <w:t>Jackfork Group and the</w:t>
      </w:r>
      <w:r>
        <w:rPr>
          <w:lang w:eastAsia="zh-CN"/>
        </w:rPr>
        <w:t xml:space="preserve"> lower half of John Valley Shal</w:t>
      </w:r>
      <w:r w:rsidR="00952588">
        <w:rPr>
          <w:rFonts w:hint="eastAsia"/>
          <w:lang w:eastAsia="zh-CN"/>
        </w:rPr>
        <w:t xml:space="preserve">e with chemostratigraphic measurements. The results (description and interpretation) are used to conduct regional correlation to other outcrops nearby. </w:t>
      </w:r>
      <w:r w:rsidR="00405FAE">
        <w:rPr>
          <w:rFonts w:hint="eastAsia"/>
          <w:lang w:eastAsia="zh-CN"/>
        </w:rPr>
        <w:t>And</w:t>
      </w:r>
      <w:r w:rsidR="00952588">
        <w:rPr>
          <w:rFonts w:hint="eastAsia"/>
          <w:lang w:eastAsia="zh-CN"/>
        </w:rPr>
        <w:t xml:space="preserve"> re-establish </w:t>
      </w:r>
      <w:r w:rsidR="00405FAE">
        <w:rPr>
          <w:rFonts w:hint="eastAsia"/>
          <w:lang w:eastAsia="zh-CN"/>
        </w:rPr>
        <w:t>a</w:t>
      </w:r>
      <w:r w:rsidR="00952588">
        <w:rPr>
          <w:rFonts w:hint="eastAsia"/>
          <w:lang w:eastAsia="zh-CN"/>
        </w:rPr>
        <w:t xml:space="preserve"> sequence stratigraphic framework integrating our data and previous work.</w:t>
      </w:r>
    </w:p>
    <w:p w:rsidR="00C65A26" w:rsidRPr="00323427" w:rsidRDefault="00C65A26" w:rsidP="00FF40D4">
      <w:pPr>
        <w:ind w:firstLine="720"/>
        <w:rPr>
          <w:rFonts w:eastAsia="AdvEPSTIM"/>
        </w:rPr>
      </w:pPr>
      <w:r w:rsidRPr="00323427">
        <w:rPr>
          <w:rFonts w:eastAsia="AdvEPSTIM" w:hint="eastAsia"/>
        </w:rPr>
        <w:t xml:space="preserve">One direct reservoir analog of Jackfork outcrops in Arkansas would be the subsurface Jackfork tight gas fields in southeastern </w:t>
      </w:r>
      <w:r w:rsidRPr="00323427">
        <w:rPr>
          <w:rFonts w:eastAsia="AdvEPSTIM"/>
        </w:rPr>
        <w:t>Oklahoma</w:t>
      </w:r>
      <w:r w:rsidR="0030773F">
        <w:rPr>
          <w:rFonts w:eastAsia="AdvEPSTIM" w:hint="eastAsia"/>
          <w:lang w:eastAsia="zh-CN"/>
        </w:rPr>
        <w:t xml:space="preserve"> because they are the same </w:t>
      </w:r>
      <w:r w:rsidR="0030773F">
        <w:rPr>
          <w:rFonts w:eastAsia="AdvEPSTIM"/>
          <w:lang w:eastAsia="zh-CN"/>
        </w:rPr>
        <w:t>formation in</w:t>
      </w:r>
      <w:r w:rsidR="0030773F">
        <w:rPr>
          <w:rFonts w:eastAsia="AdvEPSTIM" w:hint="eastAsia"/>
          <w:lang w:eastAsia="zh-CN"/>
        </w:rPr>
        <w:t xml:space="preserve"> the same basin</w:t>
      </w:r>
      <w:r w:rsidRPr="00323427">
        <w:rPr>
          <w:rFonts w:eastAsia="AdvEPSTIM" w:hint="eastAsia"/>
        </w:rPr>
        <w:t xml:space="preserve"> (Roberts, 1994; Montgomery, 1996; Omatsola, 2003; Romero, 2004; Suneson and Slatt. 2004)</w:t>
      </w:r>
      <w:r>
        <w:rPr>
          <w:rFonts w:eastAsia="AdvEPSTIM"/>
        </w:rPr>
        <w:t xml:space="preserve">. </w:t>
      </w:r>
      <w:r w:rsidRPr="00323427">
        <w:rPr>
          <w:rFonts w:eastAsia="AdvEPSTIM" w:hint="eastAsia"/>
        </w:rPr>
        <w:t xml:space="preserve">Roberts (1994) first described outcrops </w:t>
      </w:r>
      <w:r w:rsidR="00405FAE" w:rsidRPr="00323427">
        <w:rPr>
          <w:rFonts w:eastAsia="AdvEPSTIM" w:hint="eastAsia"/>
        </w:rPr>
        <w:t>near Rich Mountains, Oklahoma</w:t>
      </w:r>
      <w:r w:rsidR="00405FAE">
        <w:rPr>
          <w:rFonts w:eastAsia="AdvEPSTIM" w:hint="eastAsia"/>
          <w:lang w:eastAsia="zh-CN"/>
        </w:rPr>
        <w:t xml:space="preserve"> containing</w:t>
      </w:r>
      <w:r w:rsidRPr="00323427">
        <w:rPr>
          <w:rFonts w:eastAsia="AdvEPSTIM" w:hint="eastAsia"/>
        </w:rPr>
        <w:t xml:space="preserve"> friable </w:t>
      </w:r>
      <w:r w:rsidR="00405FAE" w:rsidRPr="00323427">
        <w:rPr>
          <w:rFonts w:eastAsia="AdvEPSTIM" w:hint="eastAsia"/>
        </w:rPr>
        <w:t xml:space="preserve">sandstones </w:t>
      </w:r>
      <w:r w:rsidR="00C01959">
        <w:rPr>
          <w:rFonts w:eastAsia="AdvEPSTIM" w:hint="eastAsia"/>
          <w:lang w:eastAsia="zh-CN"/>
        </w:rPr>
        <w:t xml:space="preserve">(Figure </w:t>
      </w:r>
      <w:r w:rsidR="007C7ADE">
        <w:rPr>
          <w:rFonts w:eastAsia="AdvEPSTIM"/>
          <w:lang w:eastAsia="zh-CN"/>
        </w:rPr>
        <w:t>2.</w:t>
      </w:r>
      <w:r w:rsidR="00C01959">
        <w:rPr>
          <w:rFonts w:eastAsia="AdvEPSTIM" w:hint="eastAsia"/>
          <w:lang w:eastAsia="zh-CN"/>
        </w:rPr>
        <w:t>1)</w:t>
      </w:r>
      <w:r w:rsidRPr="00323427">
        <w:rPr>
          <w:rFonts w:eastAsia="AdvEPSTIM" w:hint="eastAsia"/>
        </w:rPr>
        <w:t xml:space="preserve">. Omatsola (2003) further investigated the relationship between </w:t>
      </w:r>
      <w:r w:rsidRPr="00323427">
        <w:rPr>
          <w:rFonts w:eastAsia="AdvEPSTIM"/>
        </w:rPr>
        <w:t>channelized</w:t>
      </w:r>
      <w:r w:rsidRPr="00323427">
        <w:rPr>
          <w:rFonts w:eastAsia="AdvEPSTIM" w:hint="eastAsia"/>
        </w:rPr>
        <w:t xml:space="preserve"> friable sandstone and </w:t>
      </w:r>
      <w:r w:rsidRPr="00323427">
        <w:rPr>
          <w:rFonts w:eastAsia="AdvEPSTIM" w:hint="eastAsia"/>
        </w:rPr>
        <w:lastRenderedPageBreak/>
        <w:t>subsurface reservoir intervals with good production performance. Romero</w:t>
      </w:r>
      <w:r>
        <w:rPr>
          <w:rFonts w:eastAsia="AdvEPSTIM"/>
        </w:rPr>
        <w:t xml:space="preserve"> (2004</w:t>
      </w:r>
      <w:r w:rsidR="00DE28D6">
        <w:rPr>
          <w:rFonts w:eastAsia="AdvEPSTIM"/>
        </w:rPr>
        <w:t>)</w:t>
      </w:r>
      <w:r w:rsidR="00DE28D6" w:rsidRPr="00323427">
        <w:rPr>
          <w:rFonts w:eastAsia="AdvEPSTIM"/>
        </w:rPr>
        <w:t xml:space="preserve"> built</w:t>
      </w:r>
      <w:r w:rsidRPr="00323427">
        <w:rPr>
          <w:rFonts w:eastAsia="AdvEPSTIM" w:hint="eastAsia"/>
        </w:rPr>
        <w:t xml:space="preserve"> a sequence stratigraphic framework in Potato Hills </w:t>
      </w:r>
      <w:r w:rsidR="00B466B2">
        <w:rPr>
          <w:rFonts w:eastAsia="AdvEPSTIM" w:hint="eastAsia"/>
          <w:lang w:eastAsia="zh-CN"/>
        </w:rPr>
        <w:t xml:space="preserve">(Figure </w:t>
      </w:r>
      <w:r w:rsidR="007C7ADE">
        <w:rPr>
          <w:rFonts w:eastAsia="AdvEPSTIM"/>
          <w:lang w:eastAsia="zh-CN"/>
        </w:rPr>
        <w:t>2.</w:t>
      </w:r>
      <w:r w:rsidR="00B466B2">
        <w:rPr>
          <w:rFonts w:eastAsia="AdvEPSTIM" w:hint="eastAsia"/>
          <w:lang w:eastAsia="zh-CN"/>
        </w:rPr>
        <w:t xml:space="preserve">1) </w:t>
      </w:r>
      <w:r w:rsidRPr="00323427">
        <w:rPr>
          <w:rFonts w:eastAsia="AdvEPSTIM" w:hint="eastAsia"/>
        </w:rPr>
        <w:t>area with well logs, borehole image and mud logs data.</w:t>
      </w:r>
      <w:r w:rsidR="008206B4">
        <w:rPr>
          <w:rFonts w:eastAsia="AdvEPSTIM"/>
        </w:rPr>
        <w:t xml:space="preserve"> </w:t>
      </w:r>
      <w:r w:rsidRPr="00323427">
        <w:rPr>
          <w:rFonts w:eastAsia="AdvEPSTIM" w:hint="eastAsia"/>
        </w:rPr>
        <w:t>The previous well-based stratigraphic interpretations can be tied to the established and complete sequence stratigraphic framework across the basin.</w:t>
      </w:r>
    </w:p>
    <w:p w:rsidR="00C65A26" w:rsidRPr="00323427" w:rsidRDefault="00C65A26" w:rsidP="00C65A26">
      <w:pPr>
        <w:rPr>
          <w:color w:val="FF0000"/>
        </w:rPr>
      </w:pPr>
    </w:p>
    <w:p w:rsidR="002C3CA3" w:rsidRDefault="00C65A26" w:rsidP="00C65A26">
      <w:pPr>
        <w:jc w:val="center"/>
        <w:rPr>
          <w:b/>
          <w:lang w:eastAsia="zh-CN"/>
        </w:rPr>
      </w:pPr>
      <w:r w:rsidRPr="00323427">
        <w:rPr>
          <w:b/>
        </w:rPr>
        <w:t>GEOLOGICAL SETTING</w:t>
      </w:r>
    </w:p>
    <w:p w:rsidR="00C65A26" w:rsidRPr="00323427" w:rsidRDefault="00C65A26" w:rsidP="00C65A26">
      <w:pPr>
        <w:rPr>
          <w:b/>
        </w:rPr>
      </w:pPr>
      <w:r w:rsidRPr="00323427">
        <w:rPr>
          <w:b/>
        </w:rPr>
        <w:t>Regional tectonic history</w:t>
      </w:r>
    </w:p>
    <w:p w:rsidR="00C65A26" w:rsidRDefault="00C65A26" w:rsidP="00C65A26">
      <w:pPr>
        <w:rPr>
          <w:lang w:eastAsia="zh-CN"/>
        </w:rPr>
      </w:pPr>
      <w:r w:rsidRPr="00323427">
        <w:tab/>
        <w:t xml:space="preserve">The </w:t>
      </w:r>
      <w:r>
        <w:t>Ouachita Basin</w:t>
      </w:r>
      <w:r w:rsidRPr="00323427">
        <w:t xml:space="preserve"> in the southern-central United States is </w:t>
      </w:r>
      <w:r w:rsidRPr="00323427">
        <w:rPr>
          <w:rFonts w:hint="eastAsia"/>
        </w:rPr>
        <w:t>a</w:t>
      </w:r>
      <w:r w:rsidRPr="00323427">
        <w:t xml:space="preserve"> distinct Paleozoic remnant </w:t>
      </w:r>
      <w:r w:rsidR="008531B2">
        <w:t>marine</w:t>
      </w:r>
      <w:r w:rsidRPr="00323427">
        <w:t xml:space="preserve"> basin. It is bounded by the Arkoma Basin to the north</w:t>
      </w:r>
      <w:r>
        <w:t>,</w:t>
      </w:r>
      <w:r w:rsidRPr="00323427">
        <w:t xml:space="preserve"> and the Gulf Coastal Plain to the south, and extends from Little Rock, Arkansas westward to Atoka, Oklahoma (</w:t>
      </w:r>
      <w:r w:rsidR="00B83452">
        <w:t>Figure 2.1</w:t>
      </w:r>
      <w:r w:rsidRPr="00323427">
        <w:t xml:space="preserve">). </w:t>
      </w:r>
      <w:r w:rsidRPr="00323427">
        <w:rPr>
          <w:rFonts w:hint="eastAsia"/>
        </w:rPr>
        <w:softHyphen/>
      </w:r>
      <w:r w:rsidRPr="00323427">
        <w:t xml:space="preserve">In the Ouachita region, rifting during the Late Precambrian and Early Cambrian resulted in a continental margin along the southern boundary of North America (Hatcher </w:t>
      </w:r>
      <w:r w:rsidR="00880C6B" w:rsidRPr="00880C6B">
        <w:rPr>
          <w:i/>
        </w:rPr>
        <w:t>et al.</w:t>
      </w:r>
      <w:r w:rsidRPr="00323427">
        <w:t xml:space="preserve">, 1989). Deposition started with carbonate shelf deposits, but as the rifting advanced in the Early Paleozoic, the depositional environment began to evolve into a deepwater clastic basin (Hatcher </w:t>
      </w:r>
      <w:r w:rsidR="00880C6B" w:rsidRPr="00880C6B">
        <w:rPr>
          <w:i/>
        </w:rPr>
        <w:t>et al.</w:t>
      </w:r>
      <w:r w:rsidRPr="00323427">
        <w:t xml:space="preserve">, 1989). During Middle-Late Pennsylvanian time, the entire basin began to close in response to the approach of the Gondwana continental plate </w:t>
      </w:r>
      <w:r>
        <w:rPr>
          <w:rFonts w:hint="eastAsia"/>
        </w:rPr>
        <w:t xml:space="preserve">front </w:t>
      </w:r>
      <w:r w:rsidRPr="00323427">
        <w:t>to the south</w:t>
      </w:r>
      <w:r w:rsidRPr="00323427">
        <w:rPr>
          <w:rFonts w:hint="eastAsia"/>
        </w:rPr>
        <w:t>.</w:t>
      </w:r>
      <w:r w:rsidRPr="00323427">
        <w:t xml:space="preserve"> As the </w:t>
      </w:r>
      <w:r>
        <w:t>Ouachita Basin</w:t>
      </w:r>
      <w:r w:rsidRPr="00323427">
        <w:t xml:space="preserve"> closed, all the strata from Late Cambrian to Carboniferous were deformed to a foreland fold and thrust belt (which defines the Ouachita Mountains). </w:t>
      </w:r>
    </w:p>
    <w:p w:rsidR="00C65A26" w:rsidRDefault="00C65A26" w:rsidP="00C65A26">
      <w:pPr>
        <w:rPr>
          <w:lang w:eastAsia="zh-CN"/>
        </w:rPr>
      </w:pPr>
    </w:p>
    <w:p w:rsidR="00C65A26" w:rsidRPr="00323427" w:rsidRDefault="00C65A26" w:rsidP="00C65A26">
      <w:pPr>
        <w:rPr>
          <w:b/>
        </w:rPr>
      </w:pPr>
      <w:r w:rsidRPr="00323427">
        <w:rPr>
          <w:rFonts w:hint="eastAsia"/>
          <w:b/>
        </w:rPr>
        <w:t xml:space="preserve">General </w:t>
      </w:r>
      <w:r w:rsidRPr="00323427">
        <w:rPr>
          <w:b/>
        </w:rPr>
        <w:t>Stratigraphy</w:t>
      </w:r>
    </w:p>
    <w:p w:rsidR="00C65A26" w:rsidRPr="00323427" w:rsidRDefault="00C65A26" w:rsidP="00C65A26">
      <w:r w:rsidRPr="00323427">
        <w:lastRenderedPageBreak/>
        <w:tab/>
        <w:t>The stratigraphy in the Ouachita Mountains is generally divided into two distinct units (</w:t>
      </w:r>
      <w:r w:rsidR="00B83452">
        <w:t>Figure 2.2</w:t>
      </w:r>
      <w:r w:rsidRPr="00323427">
        <w:t xml:space="preserve">). The older units are "pre-orogenic" strata which consist of Late Cambrian to Early Mississippian siliceous shales, cherts and sandstones (Hatcher </w:t>
      </w:r>
      <w:r w:rsidR="00880C6B" w:rsidRPr="00880C6B">
        <w:rPr>
          <w:i/>
        </w:rPr>
        <w:t>et al.</w:t>
      </w:r>
      <w:r w:rsidRPr="00323427">
        <w:t>, 1989). The sedimentation rate for these strata in the deep basin was very low (&lt;4m</w:t>
      </w:r>
      <w:r>
        <w:rPr>
          <w:rFonts w:hint="eastAsia"/>
        </w:rPr>
        <w:t>) per million years</w:t>
      </w:r>
      <w:r w:rsidRPr="00323427">
        <w:t>) (</w:t>
      </w:r>
      <w:r w:rsidRPr="00323427">
        <w:rPr>
          <w:rFonts w:hint="eastAsia"/>
        </w:rPr>
        <w:t>Lowe, 1989</w:t>
      </w:r>
      <w:r w:rsidRPr="00323427">
        <w:t>).</w:t>
      </w:r>
    </w:p>
    <w:p w:rsidR="00C65A26" w:rsidRPr="00323427" w:rsidRDefault="00C65A26" w:rsidP="00C65A26">
      <w:r w:rsidRPr="00323427">
        <w:tab/>
        <w:t xml:space="preserve">The younger units are "syn-orogenic" strata which consist of Early Mississippian to Pennsylvanian deepwater deposits (Stanley Group, Jackfork Group, Johns Valley Formation and Atoka Formation). These rocks make up more than 80% of the surface exposure (Roberts, 1994) and are about </w:t>
      </w:r>
      <w:r w:rsidRPr="0006396D">
        <w:t>10</w:t>
      </w:r>
      <w:r w:rsidRPr="0006396D">
        <w:rPr>
          <w:rFonts w:hint="eastAsia"/>
        </w:rPr>
        <w:t>,000</w:t>
      </w:r>
      <w:r w:rsidRPr="0006396D">
        <w:t>m</w:t>
      </w:r>
      <w:r w:rsidR="00FD77B9">
        <w:rPr>
          <w:rFonts w:hint="eastAsia"/>
          <w:lang w:eastAsia="zh-CN"/>
        </w:rPr>
        <w:t xml:space="preserve"> </w:t>
      </w:r>
      <w:r w:rsidRPr="00323427">
        <w:t>thick. These syn</w:t>
      </w:r>
      <w:r>
        <w:rPr>
          <w:rFonts w:hint="eastAsia"/>
        </w:rPr>
        <w:t>-</w:t>
      </w:r>
      <w:r w:rsidRPr="00323427">
        <w:t>orogenic rocks represent</w:t>
      </w:r>
      <w:r w:rsidR="006474E4">
        <w:t xml:space="preserve"> </w:t>
      </w:r>
      <w:r w:rsidRPr="00323427">
        <w:t xml:space="preserve">pre-foreland basin deepwater detrital fill which was deposited in water depth of 1,500 to </w:t>
      </w:r>
      <w:r w:rsidR="006474E4" w:rsidRPr="00323427">
        <w:t>2,000m (</w:t>
      </w:r>
      <w:r w:rsidRPr="00323427">
        <w:t xml:space="preserve">Coleman, 2000). </w:t>
      </w:r>
    </w:p>
    <w:p w:rsidR="00C65A26" w:rsidRPr="00323427" w:rsidRDefault="00C65A26" w:rsidP="00F907A5">
      <w:pPr>
        <w:ind w:firstLine="420"/>
      </w:pPr>
      <w:r w:rsidRPr="00323427">
        <w:t>The Mississippian Sta</w:t>
      </w:r>
      <w:r w:rsidRPr="00323427">
        <w:rPr>
          <w:rFonts w:hint="eastAsia"/>
        </w:rPr>
        <w:t>n</w:t>
      </w:r>
      <w:r w:rsidRPr="00323427">
        <w:t>ley Shale is composed of thick shales interbedded with fine-grained sandstone lenses which represent a highstand system tract</w:t>
      </w:r>
      <w:r w:rsidRPr="00323427">
        <w:rPr>
          <w:rFonts w:hint="eastAsia"/>
        </w:rPr>
        <w:t xml:space="preserve"> (Coleman, 2000; Slatt </w:t>
      </w:r>
      <w:r w:rsidR="00880C6B" w:rsidRPr="00880C6B">
        <w:rPr>
          <w:rFonts w:hint="eastAsia"/>
          <w:i/>
        </w:rPr>
        <w:t>et al.</w:t>
      </w:r>
      <w:r w:rsidRPr="00323427">
        <w:rPr>
          <w:rFonts w:hint="eastAsia"/>
        </w:rPr>
        <w:t>, 2000a)</w:t>
      </w:r>
      <w:r w:rsidRPr="00323427">
        <w:t>. It is sub-divided into three formations, the Tenmile Creek, Moyers and Chickasaw Creek Formations. The sandstones display numerous sedimentary features such as flute, load and groove casts (Morris, 1971). The thickness varies from 1</w:t>
      </w:r>
      <w:r w:rsidRPr="00323427">
        <w:rPr>
          <w:rFonts w:hint="eastAsia"/>
        </w:rPr>
        <w:t>,</w:t>
      </w:r>
      <w:r w:rsidRPr="00323427">
        <w:t>800-3</w:t>
      </w:r>
      <w:r w:rsidRPr="00323427">
        <w:rPr>
          <w:rFonts w:hint="eastAsia"/>
        </w:rPr>
        <w:t>,</w:t>
      </w:r>
      <w:r w:rsidRPr="00323427">
        <w:t>600mwith a</w:t>
      </w:r>
      <w:r w:rsidRPr="00323427">
        <w:rPr>
          <w:rFonts w:hint="eastAsia"/>
        </w:rPr>
        <w:t>n average</w:t>
      </w:r>
      <w:r>
        <w:t xml:space="preserve"> depositional rate of 160m</w:t>
      </w:r>
      <w:r>
        <w:rPr>
          <w:rFonts w:hint="eastAsia"/>
        </w:rPr>
        <w:t xml:space="preserve"> per million years</w:t>
      </w:r>
      <w:r w:rsidRPr="00323427">
        <w:t xml:space="preserve"> (Slatt </w:t>
      </w:r>
      <w:r w:rsidR="00880C6B" w:rsidRPr="00880C6B">
        <w:rPr>
          <w:i/>
        </w:rPr>
        <w:t>et al.</w:t>
      </w:r>
      <w:r w:rsidRPr="00323427">
        <w:t xml:space="preserve">, 2000a). </w:t>
      </w:r>
    </w:p>
    <w:p w:rsidR="00C65A26" w:rsidRDefault="00C65A26" w:rsidP="00C65A26">
      <w:pPr>
        <w:ind w:firstLine="420"/>
      </w:pPr>
      <w:r>
        <w:rPr>
          <w:rFonts w:hint="eastAsia"/>
        </w:rPr>
        <w:t xml:space="preserve">Details of the </w:t>
      </w:r>
      <w:r w:rsidRPr="00323427">
        <w:t>Jackfork Group in Arkansas ha</w:t>
      </w:r>
      <w:r>
        <w:rPr>
          <w:rFonts w:hint="eastAsia"/>
        </w:rPr>
        <w:t>ve</w:t>
      </w:r>
      <w:r w:rsidRPr="00323427">
        <w:t xml:space="preserve"> been described in publications by Morris (1971), Graham </w:t>
      </w:r>
      <w:r w:rsidR="00880C6B" w:rsidRPr="00880C6B">
        <w:rPr>
          <w:i/>
        </w:rPr>
        <w:t>et al.</w:t>
      </w:r>
      <w:r w:rsidRPr="00323427">
        <w:t xml:space="preserve"> (1975), Jordan </w:t>
      </w:r>
      <w:r w:rsidR="00880C6B" w:rsidRPr="00880C6B">
        <w:rPr>
          <w:i/>
        </w:rPr>
        <w:t>et al.</w:t>
      </w:r>
      <w:r w:rsidRPr="00323427">
        <w:t xml:space="preserve"> (1991), Roberts (1994), Slatt </w:t>
      </w:r>
      <w:r w:rsidR="00880C6B" w:rsidRPr="00880C6B">
        <w:rPr>
          <w:i/>
        </w:rPr>
        <w:t>et al.</w:t>
      </w:r>
      <w:r w:rsidRPr="00323427">
        <w:t xml:space="preserve"> (2000a) </w:t>
      </w:r>
      <w:r>
        <w:rPr>
          <w:rFonts w:hint="eastAsia"/>
        </w:rPr>
        <w:t>among other</w:t>
      </w:r>
      <w:r w:rsidR="00A177AD">
        <w:rPr>
          <w:rFonts w:hint="eastAsia"/>
          <w:lang w:eastAsia="zh-CN"/>
        </w:rPr>
        <w:t>s</w:t>
      </w:r>
      <w:r>
        <w:rPr>
          <w:rFonts w:hint="eastAsia"/>
        </w:rPr>
        <w:t xml:space="preserve">, </w:t>
      </w:r>
      <w:r w:rsidRPr="00323427">
        <w:t xml:space="preserve">and </w:t>
      </w:r>
      <w:r>
        <w:rPr>
          <w:rFonts w:hint="eastAsia"/>
        </w:rPr>
        <w:t>i</w:t>
      </w:r>
      <w:r>
        <w:t>s not repeated here</w:t>
      </w:r>
      <w:r w:rsidRPr="00323427">
        <w:t xml:space="preserve">. In Early Pennsylvanian (Morrowan) time, Jackfork sediments were </w:t>
      </w:r>
      <w:r>
        <w:rPr>
          <w:rFonts w:hint="eastAsia"/>
        </w:rPr>
        <w:t xml:space="preserve">mainly </w:t>
      </w:r>
      <w:r w:rsidRPr="00323427">
        <w:t>sourced from the north and northeast</w:t>
      </w:r>
      <w:r>
        <w:rPr>
          <w:rFonts w:hint="eastAsia"/>
        </w:rPr>
        <w:t>,</w:t>
      </w:r>
      <w:r w:rsidRPr="00323427">
        <w:t xml:space="preserve"> and </w:t>
      </w:r>
      <w:r>
        <w:rPr>
          <w:rFonts w:hint="eastAsia"/>
        </w:rPr>
        <w:t xml:space="preserve">were </w:t>
      </w:r>
      <w:r w:rsidRPr="00323427">
        <w:t xml:space="preserve">deposited in the west-east trending </w:t>
      </w:r>
      <w:r>
        <w:t>Ouachita Basin</w:t>
      </w:r>
      <w:r w:rsidRPr="00323427">
        <w:t>.</w:t>
      </w:r>
      <w:r w:rsidRPr="00323427">
        <w:rPr>
          <w:rFonts w:hint="eastAsia"/>
        </w:rPr>
        <w:t xml:space="preserve"> U-Pb dating at the top of Stanley </w:t>
      </w:r>
      <w:r w:rsidRPr="00323427">
        <w:rPr>
          <w:rFonts w:hint="eastAsia"/>
        </w:rPr>
        <w:lastRenderedPageBreak/>
        <w:t>Shale (</w:t>
      </w:r>
      <w:r w:rsidRPr="00323427">
        <w:rPr>
          <w:rFonts w:eastAsia="AGaramond-Regular"/>
        </w:rPr>
        <w:t>Shaulis</w:t>
      </w:r>
      <w:r w:rsidRPr="00323427">
        <w:rPr>
          <w:rFonts w:eastAsia="AGaramond-Regular" w:hint="eastAsia"/>
        </w:rPr>
        <w:t xml:space="preserve"> </w:t>
      </w:r>
      <w:r w:rsidR="00880C6B" w:rsidRPr="00880C6B">
        <w:rPr>
          <w:rFonts w:eastAsia="AGaramond-Regular" w:hint="eastAsia"/>
          <w:i/>
        </w:rPr>
        <w:t>et al.</w:t>
      </w:r>
      <w:r w:rsidRPr="00323427">
        <w:rPr>
          <w:rFonts w:eastAsia="AGaramond-Regular" w:hint="eastAsia"/>
        </w:rPr>
        <w:t>, 2012</w:t>
      </w:r>
      <w:r w:rsidRPr="00323427">
        <w:rPr>
          <w:rFonts w:hint="eastAsia"/>
        </w:rPr>
        <w:t>)</w:t>
      </w:r>
      <w:r>
        <w:rPr>
          <w:rFonts w:hint="eastAsia"/>
        </w:rPr>
        <w:t xml:space="preserve"> and</w:t>
      </w:r>
      <w:r w:rsidR="00A177AD">
        <w:rPr>
          <w:rFonts w:hint="eastAsia"/>
          <w:lang w:eastAsia="zh-CN"/>
        </w:rPr>
        <w:t xml:space="preserve"> the</w:t>
      </w:r>
      <w:r>
        <w:rPr>
          <w:rFonts w:hint="eastAsia"/>
        </w:rPr>
        <w:t xml:space="preserve"> global sea-level curve (Haq </w:t>
      </w:r>
      <w:r w:rsidR="00880C6B" w:rsidRPr="00880C6B">
        <w:rPr>
          <w:rFonts w:hint="eastAsia"/>
          <w:i/>
        </w:rPr>
        <w:t>et al.</w:t>
      </w:r>
      <w:r>
        <w:rPr>
          <w:rFonts w:hint="eastAsia"/>
        </w:rPr>
        <w:t xml:space="preserve">, 2008) </w:t>
      </w:r>
      <w:r w:rsidRPr="00323427">
        <w:t>indicate</w:t>
      </w:r>
      <w:r w:rsidRPr="00323427">
        <w:rPr>
          <w:rFonts w:hint="eastAsia"/>
        </w:rPr>
        <w:t xml:space="preserve"> that</w:t>
      </w:r>
      <w:r w:rsidRPr="00323427">
        <w:t xml:space="preserve"> the Jackfork</w:t>
      </w:r>
      <w:r>
        <w:rPr>
          <w:rFonts w:hint="eastAsia"/>
        </w:rPr>
        <w:t xml:space="preserve"> Group</w:t>
      </w:r>
      <w:r w:rsidRPr="00323427">
        <w:t xml:space="preserve"> was deposited during a 2</w:t>
      </w:r>
      <w:r w:rsidRPr="00323427">
        <w:rPr>
          <w:vertAlign w:val="superscript"/>
        </w:rPr>
        <w:t>nd</w:t>
      </w:r>
      <w:r w:rsidRPr="00323427">
        <w:t xml:space="preserve"> order </w:t>
      </w:r>
      <w:r>
        <w:rPr>
          <w:rFonts w:hint="eastAsia"/>
        </w:rPr>
        <w:t xml:space="preserve">global </w:t>
      </w:r>
      <w:r w:rsidRPr="00323427">
        <w:t xml:space="preserve">sea level </w:t>
      </w:r>
      <w:r>
        <w:rPr>
          <w:rFonts w:hint="eastAsia"/>
        </w:rPr>
        <w:t xml:space="preserve">drop </w:t>
      </w:r>
      <w:r w:rsidRPr="00323427">
        <w:t xml:space="preserve">beginning </w:t>
      </w:r>
      <w:r>
        <w:rPr>
          <w:rFonts w:hint="eastAsia"/>
        </w:rPr>
        <w:t xml:space="preserve">at </w:t>
      </w:r>
      <w:r w:rsidRPr="00323427">
        <w:t>320 million years ago</w:t>
      </w:r>
      <w:r>
        <w:rPr>
          <w:rFonts w:hint="eastAsia"/>
        </w:rPr>
        <w:t>,</w:t>
      </w:r>
      <w:r w:rsidRPr="00323427">
        <w:t xml:space="preserve"> with several 3</w:t>
      </w:r>
      <w:r w:rsidRPr="00323427">
        <w:rPr>
          <w:vertAlign w:val="superscript"/>
        </w:rPr>
        <w:t>rd</w:t>
      </w:r>
      <w:r w:rsidRPr="00323427">
        <w:t xml:space="preserve"> and probably 4</w:t>
      </w:r>
      <w:r w:rsidRPr="00323427">
        <w:rPr>
          <w:vertAlign w:val="superscript"/>
        </w:rPr>
        <w:t>th</w:t>
      </w:r>
      <w:r w:rsidRPr="00323427">
        <w:t xml:space="preserve"> order sequences superimposed (Ross and Ross, 1988</w:t>
      </w:r>
      <w:r w:rsidRPr="00323427">
        <w:rPr>
          <w:rFonts w:hint="eastAsia"/>
        </w:rPr>
        <w:t xml:space="preserve">; Slatt </w:t>
      </w:r>
      <w:r w:rsidR="00880C6B" w:rsidRPr="00880C6B">
        <w:rPr>
          <w:rFonts w:hint="eastAsia"/>
          <w:i/>
        </w:rPr>
        <w:t>et al.</w:t>
      </w:r>
      <w:r w:rsidRPr="00323427">
        <w:rPr>
          <w:rFonts w:hint="eastAsia"/>
        </w:rPr>
        <w:t>, 2000a</w:t>
      </w:r>
      <w:r w:rsidRPr="00323427">
        <w:t xml:space="preserve">). </w:t>
      </w:r>
      <w:r>
        <w:rPr>
          <w:rFonts w:hint="eastAsia"/>
        </w:rPr>
        <w:t>T</w:t>
      </w:r>
      <w:r w:rsidRPr="00323427">
        <w:t xml:space="preserve">he Jackfork Group </w:t>
      </w:r>
      <w:r>
        <w:rPr>
          <w:rFonts w:hint="eastAsia"/>
        </w:rPr>
        <w:t>was interpreted as a</w:t>
      </w:r>
      <w:r w:rsidRPr="00323427">
        <w:t xml:space="preserve"> large</w:t>
      </w:r>
      <w:r w:rsidRPr="00323427">
        <w:rPr>
          <w:rFonts w:hint="eastAsia"/>
        </w:rPr>
        <w:t xml:space="preserve"> major</w:t>
      </w:r>
      <w:r w:rsidRPr="00323427">
        <w:t xml:space="preserve"> lowstand system tract</w:t>
      </w:r>
      <w:r w:rsidRPr="00323427">
        <w:rPr>
          <w:rFonts w:hint="eastAsia"/>
        </w:rPr>
        <w:t xml:space="preserve"> (LST)</w:t>
      </w:r>
      <w:r>
        <w:rPr>
          <w:rFonts w:hint="eastAsia"/>
        </w:rPr>
        <w:t xml:space="preserve"> consisting of stacked</w:t>
      </w:r>
      <w:r w:rsidRPr="00323427">
        <w:t xml:space="preserve"> turbidite deposits (Pauli, 1994</w:t>
      </w:r>
      <w:r w:rsidR="00DE28D6" w:rsidRPr="00323427">
        <w:t>; Tillman</w:t>
      </w:r>
      <w:r w:rsidRPr="00323427">
        <w:t xml:space="preserve">, 2000; and Slatt </w:t>
      </w:r>
      <w:r w:rsidR="00880C6B" w:rsidRPr="00880C6B">
        <w:rPr>
          <w:i/>
        </w:rPr>
        <w:t>et al.</w:t>
      </w:r>
      <w:r w:rsidRPr="00323427">
        <w:t>, 2000</w:t>
      </w:r>
      <w:r w:rsidRPr="00323427">
        <w:rPr>
          <w:rFonts w:hint="eastAsia"/>
        </w:rPr>
        <w:t>a</w:t>
      </w:r>
      <w:r w:rsidRPr="00323427">
        <w:t xml:space="preserve">) which </w:t>
      </w:r>
      <w:r w:rsidRPr="00323427">
        <w:rPr>
          <w:rFonts w:hint="eastAsia"/>
        </w:rPr>
        <w:t>are</w:t>
      </w:r>
      <w:r w:rsidRPr="00323427">
        <w:t xml:space="preserve"> dominated by medium-to-fine-grained sandstones. </w:t>
      </w:r>
    </w:p>
    <w:p w:rsidR="00C65A26" w:rsidRPr="00323427" w:rsidRDefault="00C65A26" w:rsidP="00C65A26">
      <w:pPr>
        <w:ind w:firstLine="420"/>
      </w:pPr>
      <w:r w:rsidRPr="00323427">
        <w:t>The Jackfork</w:t>
      </w:r>
      <w:r>
        <w:rPr>
          <w:rFonts w:hint="eastAsia"/>
        </w:rPr>
        <w:t xml:space="preserve"> Group </w:t>
      </w:r>
      <w:r w:rsidRPr="00323427">
        <w:t xml:space="preserve">is subdivided into five units in </w:t>
      </w:r>
      <w:r w:rsidR="00A177AD" w:rsidRPr="00323427">
        <w:t>Oklahoma (</w:t>
      </w:r>
      <w:r w:rsidRPr="00323427">
        <w:t>from the y</w:t>
      </w:r>
      <w:r>
        <w:t>oungest to the oldest</w:t>
      </w:r>
      <w:r>
        <w:rPr>
          <w:rFonts w:hint="eastAsia"/>
        </w:rPr>
        <w:t>:</w:t>
      </w:r>
      <w:r w:rsidRPr="00323427">
        <w:t xml:space="preserve"> the Game Refugee Sandstone, Wesley Shale, Markham Mill Formation, Prairie Mountain Formation, and Wildhorse Mountain Formation</w:t>
      </w:r>
      <w:r>
        <w:rPr>
          <w:rFonts w:hint="eastAsia"/>
        </w:rPr>
        <w:t>)</w:t>
      </w:r>
      <w:r w:rsidRPr="00323427">
        <w:t xml:space="preserve"> and two units in </w:t>
      </w:r>
      <w:r w:rsidR="006474E4" w:rsidRPr="00323427">
        <w:t>Arkansas (</w:t>
      </w:r>
      <w:r w:rsidRPr="00323427">
        <w:t>from the youngest to the oldest</w:t>
      </w:r>
      <w:r>
        <w:rPr>
          <w:rFonts w:hint="eastAsia"/>
        </w:rPr>
        <w:t>:</w:t>
      </w:r>
      <w:r w:rsidRPr="00323427">
        <w:t xml:space="preserve"> Brushy Knob Formation and Iron Fork Mountain Formation</w:t>
      </w:r>
      <w:r>
        <w:rPr>
          <w:rFonts w:hint="eastAsia"/>
        </w:rPr>
        <w:t>)</w:t>
      </w:r>
      <w:r w:rsidRPr="00323427">
        <w:t xml:space="preserve">. The difference between Oklahoma and Arkansas strata is the absence of thick shale layers in the more proximal facies </w:t>
      </w:r>
      <w:r w:rsidRPr="00323427">
        <w:rPr>
          <w:rFonts w:hint="eastAsia"/>
        </w:rPr>
        <w:t xml:space="preserve">in </w:t>
      </w:r>
      <w:r w:rsidRPr="00323427">
        <w:t xml:space="preserve">Arkansas. </w:t>
      </w:r>
      <w:r>
        <w:rPr>
          <w:rFonts w:hint="eastAsia"/>
        </w:rPr>
        <w:t>Practically</w:t>
      </w:r>
      <w:r w:rsidRPr="00323427">
        <w:rPr>
          <w:rFonts w:hint="eastAsia"/>
        </w:rPr>
        <w:t>, the</w:t>
      </w:r>
      <w:r w:rsidR="00AD3CF6">
        <w:t xml:space="preserve"> </w:t>
      </w:r>
      <w:r w:rsidRPr="00323427">
        <w:rPr>
          <w:rFonts w:hint="eastAsia"/>
        </w:rPr>
        <w:t>stratigraphic units of the</w:t>
      </w:r>
      <w:r w:rsidR="00AD3CF6">
        <w:t xml:space="preserve"> </w:t>
      </w:r>
      <w:r w:rsidRPr="00323427">
        <w:t xml:space="preserve">Jackfork Group in Arkansas and Oklahoma in the last two decades </w:t>
      </w:r>
      <w:r w:rsidRPr="00323427">
        <w:rPr>
          <w:rFonts w:hint="eastAsia"/>
        </w:rPr>
        <w:t>have been</w:t>
      </w:r>
      <w:r w:rsidRPr="00323427">
        <w:t xml:space="preserve"> informally termed </w:t>
      </w:r>
      <w:r>
        <w:rPr>
          <w:rFonts w:hint="eastAsia"/>
        </w:rPr>
        <w:t xml:space="preserve">as </w:t>
      </w:r>
      <w:r w:rsidRPr="00323427">
        <w:t>the "Upper Jackfork", "Middle Jackfork", and "Lower Jackfork". The thickness varies from 350-2</w:t>
      </w:r>
      <w:r w:rsidRPr="00323427">
        <w:rPr>
          <w:rFonts w:hint="eastAsia"/>
        </w:rPr>
        <w:t>,</w:t>
      </w:r>
      <w:r w:rsidRPr="00323427">
        <w:t>200m wit</w:t>
      </w:r>
      <w:r>
        <w:t>h a</w:t>
      </w:r>
      <w:r>
        <w:rPr>
          <w:rFonts w:hint="eastAsia"/>
        </w:rPr>
        <w:t xml:space="preserve"> maximum</w:t>
      </w:r>
      <w:r>
        <w:t xml:space="preserve"> depositional rate of 150m</w:t>
      </w:r>
      <w:r>
        <w:rPr>
          <w:rFonts w:hint="eastAsia"/>
        </w:rPr>
        <w:t xml:space="preserve"> per million years</w:t>
      </w:r>
      <w:r w:rsidRPr="00323427">
        <w:t xml:space="preserve"> (Lowe, 1989).</w:t>
      </w:r>
    </w:p>
    <w:p w:rsidR="00C65A26" w:rsidRPr="00323427" w:rsidRDefault="00C65A26" w:rsidP="00F907A5">
      <w:pPr>
        <w:ind w:firstLine="420"/>
      </w:pPr>
      <w:r w:rsidRPr="00323427">
        <w:t>The Pennsylvanian Johns Valley Shale is a poorly exposed unit dominated by shale and thin</w:t>
      </w:r>
      <w:r>
        <w:rPr>
          <w:rFonts w:hint="eastAsia"/>
        </w:rPr>
        <w:t xml:space="preserve"> sandstone </w:t>
      </w:r>
      <w:r w:rsidRPr="00323427">
        <w:t xml:space="preserve">beds which </w:t>
      </w:r>
      <w:r w:rsidR="009F51DB">
        <w:t>over</w:t>
      </w:r>
      <w:r w:rsidR="009F51DB" w:rsidRPr="00323427">
        <w:t>lie</w:t>
      </w:r>
      <w:r w:rsidR="009F51DB">
        <w:t xml:space="preserve"> the</w:t>
      </w:r>
      <w:r>
        <w:t xml:space="preserve"> Jackfork Group</w:t>
      </w:r>
      <w:r>
        <w:rPr>
          <w:rFonts w:hint="eastAsia"/>
        </w:rPr>
        <w:t>.</w:t>
      </w:r>
      <w:r w:rsidRPr="00323427">
        <w:t xml:space="preserve"> It represents a transgressive systems tract </w:t>
      </w:r>
      <w:r>
        <w:rPr>
          <w:rFonts w:hint="eastAsia"/>
        </w:rPr>
        <w:t>following a</w:t>
      </w:r>
      <w:r w:rsidRPr="00323427">
        <w:t xml:space="preserve"> sea-level drop </w:t>
      </w:r>
      <w:r w:rsidRPr="00323427">
        <w:rPr>
          <w:rFonts w:hint="eastAsia"/>
        </w:rPr>
        <w:t>during</w:t>
      </w:r>
      <w:r w:rsidRPr="00323427">
        <w:t xml:space="preserve"> Jackfork Group time. The thickness varies from 60-300m. However, </w:t>
      </w:r>
      <w:r>
        <w:rPr>
          <w:rFonts w:hint="eastAsia"/>
        </w:rPr>
        <w:t>the formation i</w:t>
      </w:r>
      <w:r w:rsidRPr="00323427">
        <w:t>s difficult to distinguish</w:t>
      </w:r>
      <w:r w:rsidRPr="00323427">
        <w:rPr>
          <w:rFonts w:hint="eastAsia"/>
        </w:rPr>
        <w:t xml:space="preserve"> from</w:t>
      </w:r>
      <w:r w:rsidRPr="00323427">
        <w:t xml:space="preserve"> the underlying Jackfork Group</w:t>
      </w:r>
      <w:r>
        <w:rPr>
          <w:rFonts w:hint="eastAsia"/>
        </w:rPr>
        <w:t xml:space="preserve"> due to similar lithology</w:t>
      </w:r>
      <w:r w:rsidRPr="00323427">
        <w:t xml:space="preserve">. Morris (1989) suggests the presence of olistostromal deposits is a good way to identify the Johns Valley Shale. </w:t>
      </w:r>
    </w:p>
    <w:p w:rsidR="00C65A26" w:rsidRPr="00323427" w:rsidRDefault="00C65A26" w:rsidP="00F907A5">
      <w:pPr>
        <w:ind w:firstLine="420"/>
      </w:pPr>
      <w:r w:rsidRPr="00323427">
        <w:lastRenderedPageBreak/>
        <w:t>The Pennsylvanian Atoka Formation is another thick turbidite sequence which is a goo</w:t>
      </w:r>
      <w:r w:rsidRPr="000176B0">
        <w:t>d reservoir in the Arkoma Basin in eastern Oklahoma. The</w:t>
      </w:r>
      <w:r w:rsidRPr="000176B0">
        <w:rPr>
          <w:rFonts w:hint="eastAsia"/>
        </w:rPr>
        <w:t xml:space="preserve"> formation exhibits a</w:t>
      </w:r>
      <w:r w:rsidRPr="000176B0">
        <w:t xml:space="preserve"> thickness vari</w:t>
      </w:r>
      <w:r w:rsidRPr="000176B0">
        <w:rPr>
          <w:rFonts w:hint="eastAsia"/>
        </w:rPr>
        <w:t xml:space="preserve">ation </w:t>
      </w:r>
      <w:r w:rsidRPr="000176B0">
        <w:t>of</w:t>
      </w:r>
      <w:r w:rsidR="000B1CF4">
        <w:t xml:space="preserve"> </w:t>
      </w:r>
      <w:r w:rsidRPr="000176B0">
        <w:t>500-6</w:t>
      </w:r>
      <w:r w:rsidR="000B1CF4">
        <w:t>,</w:t>
      </w:r>
      <w:r w:rsidRPr="000176B0">
        <w:t>000m</w:t>
      </w:r>
      <w:r w:rsidR="000B1CF4">
        <w:t xml:space="preserve"> </w:t>
      </w:r>
      <w:r w:rsidRPr="000176B0">
        <w:t xml:space="preserve">with a </w:t>
      </w:r>
      <w:r w:rsidRPr="000176B0">
        <w:rPr>
          <w:rFonts w:hint="eastAsia"/>
        </w:rPr>
        <w:t>m</w:t>
      </w:r>
      <w:r>
        <w:rPr>
          <w:rFonts w:hint="eastAsia"/>
        </w:rPr>
        <w:t>aximum sedimentation</w:t>
      </w:r>
      <w:r w:rsidRPr="00323427">
        <w:t xml:space="preserve"> rate of 900m</w:t>
      </w:r>
      <w:r w:rsidR="000B1CF4">
        <w:t xml:space="preserve"> </w:t>
      </w:r>
      <w:r>
        <w:rPr>
          <w:rFonts w:hint="eastAsia"/>
        </w:rPr>
        <w:t xml:space="preserve">per </w:t>
      </w:r>
      <w:r>
        <w:t>million</w:t>
      </w:r>
      <w:r>
        <w:rPr>
          <w:rFonts w:hint="eastAsia"/>
        </w:rPr>
        <w:t xml:space="preserve"> years</w:t>
      </w:r>
      <w:r w:rsidRPr="00323427">
        <w:t xml:space="preserve"> (Morris, 1989). The </w:t>
      </w:r>
      <w:r>
        <w:rPr>
          <w:rFonts w:hint="eastAsia"/>
        </w:rPr>
        <w:t xml:space="preserve">likely cause of the </w:t>
      </w:r>
      <w:r w:rsidRPr="00323427">
        <w:t xml:space="preserve">increasing sedimentation rates </w:t>
      </w:r>
      <w:r>
        <w:rPr>
          <w:rFonts w:hint="eastAsia"/>
        </w:rPr>
        <w:t>is local uplift associated with</w:t>
      </w:r>
      <w:r w:rsidRPr="00323427">
        <w:t xml:space="preserve"> the closing of the remnant Ouachita </w:t>
      </w:r>
      <w:r w:rsidR="009F51DB">
        <w:t>marine</w:t>
      </w:r>
      <w:r w:rsidR="009F51DB" w:rsidRPr="00323427">
        <w:t xml:space="preserve"> basin</w:t>
      </w:r>
      <w:r w:rsidRPr="00323427">
        <w:t>, where large volume</w:t>
      </w:r>
      <w:r w:rsidRPr="00323427">
        <w:rPr>
          <w:rFonts w:hint="eastAsia"/>
        </w:rPr>
        <w:t>s</w:t>
      </w:r>
      <w:r w:rsidRPr="00323427">
        <w:t xml:space="preserve"> of sediments were dumped into the deep basin.</w:t>
      </w:r>
    </w:p>
    <w:p w:rsidR="00C65A26" w:rsidRPr="00323427" w:rsidRDefault="00C65A26" w:rsidP="00F907A5">
      <w:pPr>
        <w:ind w:firstLine="420"/>
      </w:pPr>
      <w:r w:rsidRPr="00323427">
        <w:t>Since Late Pennsylvanian time, the Ouachita Mountain region has been uplifted and eroded. Cretaceous conglomerates unconformabl</w:t>
      </w:r>
      <w:r w:rsidRPr="00323427">
        <w:rPr>
          <w:rFonts w:hint="eastAsia"/>
        </w:rPr>
        <w:t>y overlie</w:t>
      </w:r>
      <w:r w:rsidRPr="00323427">
        <w:t xml:space="preserve"> some of the Jackfork Group strata, forming a distinct regional unconformity in places such as DeGray Lake Spillway</w:t>
      </w:r>
      <w:r w:rsidRPr="00323427">
        <w:rPr>
          <w:rFonts w:hint="eastAsia"/>
        </w:rPr>
        <w:t xml:space="preserve"> (Shear, 2006)</w:t>
      </w:r>
      <w:r w:rsidRPr="00323427">
        <w:t xml:space="preserve">. </w:t>
      </w:r>
    </w:p>
    <w:p w:rsidR="00C65A26" w:rsidRPr="00C65A26" w:rsidRDefault="00C65A26" w:rsidP="00C65A26">
      <w:pPr>
        <w:rPr>
          <w:lang w:eastAsia="zh-CN"/>
        </w:rPr>
      </w:pPr>
    </w:p>
    <w:p w:rsidR="00C65A26" w:rsidRPr="00323427" w:rsidRDefault="00C65A26" w:rsidP="00C65A26">
      <w:pPr>
        <w:jc w:val="center"/>
        <w:rPr>
          <w:b/>
        </w:rPr>
      </w:pPr>
      <w:r w:rsidRPr="00323427">
        <w:rPr>
          <w:b/>
        </w:rPr>
        <w:t>CHARACTERIZATION</w:t>
      </w:r>
      <w:r w:rsidR="00C82158">
        <w:rPr>
          <w:rFonts w:hint="eastAsia"/>
          <w:b/>
          <w:lang w:eastAsia="zh-CN"/>
        </w:rPr>
        <w:t xml:space="preserve"> </w:t>
      </w:r>
      <w:r w:rsidRPr="00323427">
        <w:rPr>
          <w:rFonts w:hint="eastAsia"/>
          <w:b/>
        </w:rPr>
        <w:t>OF KIRBY SECTION</w:t>
      </w:r>
      <w:r>
        <w:rPr>
          <w:b/>
        </w:rPr>
        <w:t>S</w:t>
      </w:r>
    </w:p>
    <w:p w:rsidR="00C65A26" w:rsidRPr="005D31FC" w:rsidRDefault="00C65A26" w:rsidP="00F907A5">
      <w:pPr>
        <w:ind w:firstLine="420"/>
      </w:pPr>
      <w:r>
        <w:t xml:space="preserve">Slatt </w:t>
      </w:r>
      <w:r w:rsidR="00880C6B" w:rsidRPr="00880C6B">
        <w:rPr>
          <w:i/>
        </w:rPr>
        <w:t>et al.</w:t>
      </w:r>
      <w:r>
        <w:t xml:space="preserve"> (2000) and Zou </w:t>
      </w:r>
      <w:r w:rsidR="00880C6B" w:rsidRPr="00880C6B">
        <w:rPr>
          <w:i/>
        </w:rPr>
        <w:t>et al.</w:t>
      </w:r>
      <w:r>
        <w:t xml:space="preserve"> (2012) developed a systematic way to describe the Jackfork Group in the Ouachita Basin. It is used here to describe the Kirby sections. The descriptive lithofacies of </w:t>
      </w:r>
      <w:r w:rsidR="00EF54B2">
        <w:t xml:space="preserve">the </w:t>
      </w:r>
      <w:r>
        <w:t xml:space="preserve">Kirby sections are classified as (1) Bouma Ta-Tb beds with </w:t>
      </w:r>
      <w:r w:rsidR="009F51DB">
        <w:t>amalgamated, scoured</w:t>
      </w:r>
      <w:r>
        <w:t xml:space="preserve"> (lenticular) or tabular </w:t>
      </w:r>
      <w:r w:rsidR="00E20F2A">
        <w:t>geometry;</w:t>
      </w:r>
      <w:r w:rsidR="00E20F2A">
        <w:rPr>
          <w:rFonts w:hint="eastAsia"/>
          <w:lang w:eastAsia="zh-CN"/>
        </w:rPr>
        <w:t xml:space="preserve"> </w:t>
      </w:r>
      <w:r w:rsidR="00E20F2A">
        <w:t>(2</w:t>
      </w:r>
      <w:r>
        <w:t>) Bouma Tc-Td beds which are thin-bedded sandstones and shale; and (3)</w:t>
      </w:r>
      <w:r w:rsidR="00E20F2A">
        <w:rPr>
          <w:rFonts w:hint="eastAsia"/>
          <w:lang w:eastAsia="zh-CN"/>
        </w:rPr>
        <w:t xml:space="preserve"> </w:t>
      </w:r>
      <w:r>
        <w:t xml:space="preserve">Bouma Te beds with shaly units. </w:t>
      </w:r>
    </w:p>
    <w:p w:rsidR="00C65A26" w:rsidRPr="00323427" w:rsidRDefault="00C65A26" w:rsidP="00C65A26">
      <w:pPr>
        <w:ind w:firstLine="420"/>
      </w:pPr>
      <w:r>
        <w:t>Seven</w:t>
      </w:r>
      <w:r w:rsidR="009F51DB">
        <w:t xml:space="preserve"> </w:t>
      </w:r>
      <w:r w:rsidRPr="000176B0">
        <w:rPr>
          <w:rFonts w:hint="eastAsia"/>
        </w:rPr>
        <w:t>interpretive</w:t>
      </w:r>
      <w:r>
        <w:t>,</w:t>
      </w:r>
      <w:r w:rsidR="009F51DB">
        <w:t xml:space="preserve"> </w:t>
      </w:r>
      <w:r w:rsidRPr="000176B0">
        <w:rPr>
          <w:rFonts w:hint="eastAsia"/>
        </w:rPr>
        <w:t>generic</w:t>
      </w:r>
      <w:r w:rsidR="009F51DB">
        <w:t xml:space="preserve"> </w:t>
      </w:r>
      <w:r w:rsidRPr="000176B0">
        <w:t>architectura</w:t>
      </w:r>
      <w:r>
        <w:t>l facies</w:t>
      </w:r>
      <w:r w:rsidRPr="00323427">
        <w:t xml:space="preserve"> were</w:t>
      </w:r>
      <w:r>
        <w:t xml:space="preserve"> also</w:t>
      </w:r>
      <w:r w:rsidRPr="00323427">
        <w:t xml:space="preserve"> identified in</w:t>
      </w:r>
      <w:r w:rsidRPr="00323427">
        <w:rPr>
          <w:rFonts w:hint="eastAsia"/>
        </w:rPr>
        <w:t xml:space="preserve"> the</w:t>
      </w:r>
      <w:r w:rsidR="009F51DB">
        <w:t xml:space="preserve"> </w:t>
      </w:r>
      <w:r w:rsidRPr="00323427">
        <w:rPr>
          <w:rFonts w:hint="eastAsia"/>
        </w:rPr>
        <w:t>Kirby section:</w:t>
      </w:r>
      <w:r w:rsidR="009F51DB">
        <w:t xml:space="preserve"> </w:t>
      </w:r>
      <w:r w:rsidRPr="00323427">
        <w:rPr>
          <w:rFonts w:hint="eastAsia"/>
        </w:rPr>
        <w:t>cha</w:t>
      </w:r>
      <w:r w:rsidRPr="00323427">
        <w:t xml:space="preserve">nnel fill sandstone, </w:t>
      </w:r>
      <w:r w:rsidR="00FD77B9">
        <w:t>channelized sheet sandstone (weekly confined sandstone)</w:t>
      </w:r>
      <w:r w:rsidRPr="00323427">
        <w:t xml:space="preserve">, amalgamated sheet sandstone, layered sheet sandstone, thin-bedded sandstone and shale, parallel laminated shale and muddy </w:t>
      </w:r>
      <w:r>
        <w:rPr>
          <w:rFonts w:hint="eastAsia"/>
        </w:rPr>
        <w:t>debrites</w:t>
      </w:r>
      <w:r w:rsidRPr="00323427">
        <w:t xml:space="preserve"> deposits.</w:t>
      </w:r>
      <w:r w:rsidR="009F51DB">
        <w:t xml:space="preserve"> </w:t>
      </w:r>
      <w:r>
        <w:t xml:space="preserve">Details regarding these </w:t>
      </w:r>
      <w:r w:rsidRPr="00323427">
        <w:t xml:space="preserve">facies </w:t>
      </w:r>
      <w:r>
        <w:t>are</w:t>
      </w:r>
      <w:r w:rsidRPr="00323427">
        <w:t xml:space="preserve"> described by Slatt </w:t>
      </w:r>
      <w:r w:rsidR="00880C6B" w:rsidRPr="00880C6B">
        <w:rPr>
          <w:i/>
        </w:rPr>
        <w:t>et al.</w:t>
      </w:r>
      <w:r w:rsidRPr="00323427">
        <w:t>, (2000a), Zou (2010)</w:t>
      </w:r>
      <w:r>
        <w:t xml:space="preserve"> and Zou </w:t>
      </w:r>
      <w:r w:rsidR="00880C6B" w:rsidRPr="00880C6B">
        <w:rPr>
          <w:i/>
        </w:rPr>
        <w:t>et al.</w:t>
      </w:r>
      <w:r>
        <w:t xml:space="preserve"> (2012) and are</w:t>
      </w:r>
      <w:r w:rsidRPr="00323427">
        <w:rPr>
          <w:rFonts w:hint="eastAsia"/>
        </w:rPr>
        <w:t xml:space="preserve"> not repeated here</w:t>
      </w:r>
      <w:r w:rsidRPr="00323427">
        <w:t>.</w:t>
      </w:r>
    </w:p>
    <w:p w:rsidR="00C65A26" w:rsidRPr="00323427" w:rsidRDefault="00C65A26" w:rsidP="00F907A5">
      <w:pPr>
        <w:ind w:firstLine="420"/>
      </w:pPr>
      <w:r w:rsidRPr="00323427">
        <w:rPr>
          <w:rFonts w:eastAsia="AdvEPSTIM" w:hint="eastAsia"/>
        </w:rPr>
        <w:lastRenderedPageBreak/>
        <w:t xml:space="preserve">The Kirby </w:t>
      </w:r>
      <w:r w:rsidR="009F51DB" w:rsidRPr="00323427">
        <w:rPr>
          <w:rFonts w:eastAsia="AdvEPSTIM"/>
        </w:rPr>
        <w:t>Section consists</w:t>
      </w:r>
      <w:r w:rsidRPr="00323427">
        <w:rPr>
          <w:rFonts w:eastAsia="AdvEPSTIM"/>
        </w:rPr>
        <w:t xml:space="preserve"> of 25 outcrops</w:t>
      </w:r>
      <w:r w:rsidRPr="00323427">
        <w:rPr>
          <w:rFonts w:eastAsia="AdvEPSTIM" w:hint="eastAsia"/>
        </w:rPr>
        <w:t>,</w:t>
      </w:r>
      <w:r w:rsidRPr="00323427">
        <w:rPr>
          <w:rFonts w:eastAsia="AdvEPSTIM"/>
        </w:rPr>
        <w:t xml:space="preserve"> including 12 roadcuts </w:t>
      </w:r>
      <w:r>
        <w:rPr>
          <w:rFonts w:eastAsia="AdvEPSTIM" w:hint="eastAsia"/>
        </w:rPr>
        <w:t>along</w:t>
      </w:r>
      <w:r w:rsidRPr="00323427">
        <w:rPr>
          <w:rFonts w:eastAsia="AdvEPSTIM"/>
        </w:rPr>
        <w:t xml:space="preserve"> Highway 27 and 13 sections</w:t>
      </w:r>
      <w:r>
        <w:rPr>
          <w:rFonts w:eastAsia="AdvEPSTIM" w:hint="eastAsia"/>
        </w:rPr>
        <w:t xml:space="preserve"> located</w:t>
      </w:r>
      <w:r w:rsidRPr="00323427">
        <w:rPr>
          <w:rFonts w:eastAsia="AdvEPSTIM"/>
        </w:rPr>
        <w:t xml:space="preserve"> in Baumgartner Quarry</w:t>
      </w:r>
      <w:r w:rsidRPr="00323427">
        <w:rPr>
          <w:rFonts w:eastAsia="AdvEPSTIM" w:hint="eastAsia"/>
        </w:rPr>
        <w:t xml:space="preserve"> (</w:t>
      </w:r>
      <w:r w:rsidR="00B83452">
        <w:rPr>
          <w:rFonts w:eastAsia="AdvEPSTIM" w:hint="eastAsia"/>
        </w:rPr>
        <w:t>Figure 2.3</w:t>
      </w:r>
      <w:r w:rsidRPr="00323427">
        <w:rPr>
          <w:rFonts w:eastAsia="AdvEPSTIM" w:hint="eastAsia"/>
        </w:rPr>
        <w:t>). Total true stratigraphic thickness from the base of the Jackfork to the middle of the Johns Valley Shale</w:t>
      </w:r>
      <w:r>
        <w:rPr>
          <w:rFonts w:eastAsia="AdvEPSTIM" w:hint="eastAsia"/>
        </w:rPr>
        <w:t xml:space="preserve"> (including vegetation covers)</w:t>
      </w:r>
      <w:r w:rsidRPr="00323427">
        <w:rPr>
          <w:rFonts w:eastAsia="AdvEPSTIM" w:hint="eastAsia"/>
        </w:rPr>
        <w:t xml:space="preserve"> is 2400m</w:t>
      </w:r>
      <w:r>
        <w:rPr>
          <w:rFonts w:eastAsia="AdvEPSTIM" w:hint="eastAsia"/>
        </w:rPr>
        <w:t>. It</w:t>
      </w:r>
      <w:r w:rsidRPr="00323427">
        <w:rPr>
          <w:rFonts w:eastAsia="AdvEPSTIM" w:hint="eastAsia"/>
        </w:rPr>
        <w:t xml:space="preserve"> is measured and presented in a universal scale from 0m at the base to 2400m</w:t>
      </w:r>
      <w:r w:rsidR="00D61E6F">
        <w:rPr>
          <w:rFonts w:eastAsia="AdvEPSTIM" w:hint="eastAsia"/>
          <w:lang w:eastAsia="zh-CN"/>
        </w:rPr>
        <w:t xml:space="preserve"> </w:t>
      </w:r>
      <w:r w:rsidRPr="00323427">
        <w:rPr>
          <w:rFonts w:eastAsia="AdvEPSTIM" w:hint="eastAsia"/>
        </w:rPr>
        <w:t xml:space="preserve">at the top. </w:t>
      </w:r>
      <w:r w:rsidRPr="00323427">
        <w:rPr>
          <w:rFonts w:hint="eastAsia"/>
        </w:rPr>
        <w:t xml:space="preserve">The entire Jackfork Group in the Kirby Section has been divided into the Lower, Middle and Upper Jackfork. The Lower Jackfork Group includes </w:t>
      </w:r>
      <w:r>
        <w:rPr>
          <w:rFonts w:hint="eastAsia"/>
        </w:rPr>
        <w:t>Roadcut</w:t>
      </w:r>
      <w:r w:rsidR="00D61E6F">
        <w:rPr>
          <w:rFonts w:hint="eastAsia"/>
          <w:lang w:eastAsia="zh-CN"/>
        </w:rPr>
        <w:t xml:space="preserve"> </w:t>
      </w:r>
      <w:r w:rsidRPr="00323427">
        <w:rPr>
          <w:rFonts w:hint="eastAsia"/>
        </w:rPr>
        <w:t xml:space="preserve">1, 2, 3 and 4; the Middle Jackfork Group includes </w:t>
      </w:r>
      <w:r>
        <w:rPr>
          <w:rFonts w:hint="eastAsia"/>
        </w:rPr>
        <w:t>Roadcut</w:t>
      </w:r>
      <w:r w:rsidR="00D61E6F">
        <w:rPr>
          <w:rFonts w:hint="eastAsia"/>
          <w:lang w:eastAsia="zh-CN"/>
        </w:rPr>
        <w:t xml:space="preserve"> </w:t>
      </w:r>
      <w:r>
        <w:rPr>
          <w:rFonts w:hint="eastAsia"/>
        </w:rPr>
        <w:t>5,</w:t>
      </w:r>
      <w:r>
        <w:t xml:space="preserve"> 6, 7</w:t>
      </w:r>
      <w:r>
        <w:rPr>
          <w:rFonts w:hint="eastAsia"/>
        </w:rPr>
        <w:t xml:space="preserve">, </w:t>
      </w:r>
      <w:r w:rsidR="0023564E">
        <w:rPr>
          <w:rFonts w:hint="eastAsia"/>
        </w:rPr>
        <w:t>BQ_Section_1</w:t>
      </w:r>
      <w:r>
        <w:t>, 2</w:t>
      </w:r>
      <w:r>
        <w:rPr>
          <w:rFonts w:hint="eastAsia"/>
        </w:rPr>
        <w:t xml:space="preserve"> and lower part of </w:t>
      </w:r>
      <w:r w:rsidR="000305A3">
        <w:rPr>
          <w:rFonts w:hint="eastAsia"/>
        </w:rPr>
        <w:t>BQ_Section_3</w:t>
      </w:r>
      <w:r>
        <w:rPr>
          <w:rFonts w:hint="eastAsia"/>
        </w:rPr>
        <w:t>;</w:t>
      </w:r>
      <w:r w:rsidRPr="00323427">
        <w:rPr>
          <w:rFonts w:hint="eastAsia"/>
        </w:rPr>
        <w:t xml:space="preserve"> the Upper Jackfork Group includes </w:t>
      </w:r>
      <w:r>
        <w:rPr>
          <w:rFonts w:hint="eastAsia"/>
        </w:rPr>
        <w:t xml:space="preserve">the upper part of </w:t>
      </w:r>
      <w:r w:rsidR="000305A3">
        <w:rPr>
          <w:rFonts w:hint="eastAsia"/>
        </w:rPr>
        <w:t>BQ_Section_3</w:t>
      </w:r>
      <w:r>
        <w:rPr>
          <w:rFonts w:hint="eastAsia"/>
        </w:rPr>
        <w:t>, Roadcut</w:t>
      </w:r>
      <w:r w:rsidR="00D61E6F">
        <w:rPr>
          <w:rFonts w:hint="eastAsia"/>
          <w:lang w:eastAsia="zh-CN"/>
        </w:rPr>
        <w:t xml:space="preserve"> </w:t>
      </w:r>
      <w:r>
        <w:rPr>
          <w:rFonts w:hint="eastAsia"/>
        </w:rPr>
        <w:t>8 and 9</w:t>
      </w:r>
      <w:r w:rsidR="00125DD5">
        <w:t>.</w:t>
      </w:r>
      <w:r w:rsidRPr="00323427">
        <w:rPr>
          <w:rFonts w:hint="eastAsia"/>
        </w:rPr>
        <w:t xml:space="preserve"> The overlying Johns Valley Shale section includes </w:t>
      </w:r>
      <w:r w:rsidR="000A0AD3">
        <w:rPr>
          <w:rFonts w:hint="eastAsia"/>
        </w:rPr>
        <w:t>JV_Roadcut_1</w:t>
      </w:r>
      <w:r>
        <w:t>, 2, and</w:t>
      </w:r>
      <w:r>
        <w:rPr>
          <w:rFonts w:hint="eastAsia"/>
        </w:rPr>
        <w:t xml:space="preserve"> 3. </w:t>
      </w:r>
    </w:p>
    <w:p w:rsidR="00C65A26" w:rsidRPr="007B1C0B" w:rsidRDefault="00C65A26" w:rsidP="00C65A26"/>
    <w:p w:rsidR="00F907A5" w:rsidRDefault="00C65A26" w:rsidP="00F907A5">
      <w:pPr>
        <w:rPr>
          <w:b/>
        </w:rPr>
      </w:pPr>
      <w:r w:rsidRPr="00323427">
        <w:rPr>
          <w:rFonts w:hint="eastAsia"/>
          <w:b/>
        </w:rPr>
        <w:t>Lower Jackfork Group</w:t>
      </w:r>
    </w:p>
    <w:p w:rsidR="00713DE5" w:rsidRDefault="00713DE5" w:rsidP="00F907A5">
      <w:pPr>
        <w:ind w:firstLine="450"/>
        <w:rPr>
          <w:b/>
        </w:rPr>
      </w:pPr>
      <w:r>
        <w:rPr>
          <w:rFonts w:ascii="Times New Roman" w:hAnsi="Times New Roman"/>
          <w:sz w:val="23"/>
          <w:szCs w:val="23"/>
        </w:rPr>
        <w:t xml:space="preserve">General outcrop description and interpretation of the Lower Jackfork Group in Kirby Sections is summarized in Table 2.2. </w:t>
      </w:r>
      <w:r w:rsidRPr="00323427">
        <w:t>Approximately</w:t>
      </w:r>
      <w:r>
        <w:rPr>
          <w:rFonts w:hint="eastAsia"/>
        </w:rPr>
        <w:t xml:space="preserve"> </w:t>
      </w:r>
      <w:r>
        <w:t>370m</w:t>
      </w:r>
      <w:r>
        <w:rPr>
          <w:rFonts w:hint="eastAsia"/>
        </w:rPr>
        <w:t xml:space="preserve"> </w:t>
      </w:r>
      <w:r w:rsidRPr="00323427">
        <w:rPr>
          <w:rFonts w:hint="eastAsia"/>
        </w:rPr>
        <w:t xml:space="preserve">of mostly </w:t>
      </w:r>
      <w:r w:rsidRPr="00323427">
        <w:t>continuous</w:t>
      </w:r>
      <w:r w:rsidRPr="00323427">
        <w:rPr>
          <w:rFonts w:hint="eastAsia"/>
        </w:rPr>
        <w:t xml:space="preserve"> exposures including </w:t>
      </w:r>
      <w:r>
        <w:rPr>
          <w:rFonts w:hint="eastAsia"/>
        </w:rPr>
        <w:t>Roadcut</w:t>
      </w:r>
      <w:r w:rsidR="00D61E6F">
        <w:rPr>
          <w:rFonts w:hint="eastAsia"/>
          <w:lang w:eastAsia="zh-CN"/>
        </w:rPr>
        <w:t xml:space="preserve"> </w:t>
      </w:r>
      <w:r w:rsidRPr="00323427">
        <w:rPr>
          <w:rFonts w:hint="eastAsia"/>
        </w:rPr>
        <w:t>1</w:t>
      </w:r>
      <w:r w:rsidRPr="00323427">
        <w:t>, 2, 3</w:t>
      </w:r>
      <w:r w:rsidRPr="00323427">
        <w:rPr>
          <w:rFonts w:hint="eastAsia"/>
        </w:rPr>
        <w:t xml:space="preserve"> and 4 of Jackfork Group strata occur in the northernmost part of the Kirby section</w:t>
      </w:r>
      <w:r>
        <w:t xml:space="preserve"> from 0-370m</w:t>
      </w:r>
      <w:r w:rsidRPr="00323427">
        <w:rPr>
          <w:rFonts w:hint="eastAsia"/>
        </w:rPr>
        <w:t>.</w:t>
      </w:r>
    </w:p>
    <w:p w:rsidR="00C65A26" w:rsidRDefault="00C65A26" w:rsidP="00C65A26">
      <w:pPr>
        <w:rPr>
          <w:b/>
        </w:rPr>
      </w:pPr>
      <w:r>
        <w:rPr>
          <w:b/>
        </w:rPr>
        <w:t>Description</w:t>
      </w:r>
    </w:p>
    <w:p w:rsidR="00C65A26" w:rsidRDefault="00F907A5" w:rsidP="00F907A5">
      <w:pPr>
        <w:ind w:firstLine="360"/>
        <w:rPr>
          <w:color w:val="FF0000"/>
        </w:rPr>
      </w:pPr>
      <w:r>
        <w:t xml:space="preserve"> </w:t>
      </w:r>
      <w:r w:rsidR="00C65A26" w:rsidRPr="00323427">
        <w:rPr>
          <w:rFonts w:hint="eastAsia"/>
        </w:rPr>
        <w:t xml:space="preserve">The lowermost 20m of </w:t>
      </w:r>
      <w:r w:rsidR="00C65A26">
        <w:rPr>
          <w:rFonts w:hint="eastAsia"/>
        </w:rPr>
        <w:t>Roadcut</w:t>
      </w:r>
      <w:r w:rsidR="00D61E6F">
        <w:rPr>
          <w:rFonts w:hint="eastAsia"/>
          <w:lang w:eastAsia="zh-CN"/>
        </w:rPr>
        <w:t xml:space="preserve"> </w:t>
      </w:r>
      <w:r w:rsidR="00C65A26" w:rsidRPr="00323427">
        <w:rPr>
          <w:rFonts w:hint="eastAsia"/>
        </w:rPr>
        <w:t>1</w:t>
      </w:r>
      <w:r w:rsidR="00D61E6F">
        <w:rPr>
          <w:rFonts w:hint="eastAsia"/>
          <w:lang w:eastAsia="zh-CN"/>
        </w:rPr>
        <w:t xml:space="preserve">, </w:t>
      </w:r>
      <w:r w:rsidR="00C65A26" w:rsidRPr="00323427">
        <w:rPr>
          <w:rFonts w:hint="eastAsia"/>
        </w:rPr>
        <w:t xml:space="preserve">the transition </w:t>
      </w:r>
      <w:r w:rsidR="009F51DB" w:rsidRPr="00323427">
        <w:t>between the</w:t>
      </w:r>
      <w:r w:rsidR="00C65A26" w:rsidRPr="00323427">
        <w:rPr>
          <w:rFonts w:hint="eastAsia"/>
        </w:rPr>
        <w:t xml:space="preserve"> Stanley Group and the Jackfork Group</w:t>
      </w:r>
      <w:r w:rsidR="00D61E6F">
        <w:rPr>
          <w:rFonts w:hint="eastAsia"/>
          <w:lang w:eastAsia="zh-CN"/>
        </w:rPr>
        <w:t xml:space="preserve">, </w:t>
      </w:r>
      <w:r w:rsidR="00C65A26" w:rsidRPr="00323427">
        <w:rPr>
          <w:rFonts w:hint="eastAsia"/>
        </w:rPr>
        <w:t xml:space="preserve">is </w:t>
      </w:r>
      <w:r w:rsidR="00C65A26" w:rsidRPr="00323427">
        <w:t>characterized</w:t>
      </w:r>
      <w:r w:rsidR="00C65A26" w:rsidRPr="00323427">
        <w:rPr>
          <w:rFonts w:hint="eastAsia"/>
        </w:rPr>
        <w:t xml:space="preserve"> </w:t>
      </w:r>
      <w:r w:rsidR="009F51DB" w:rsidRPr="00323427">
        <w:t>by thin</w:t>
      </w:r>
      <w:r w:rsidR="00C65A26" w:rsidRPr="00323427">
        <w:rPr>
          <w:rFonts w:hint="eastAsia"/>
        </w:rPr>
        <w:t>-bedded</w:t>
      </w:r>
      <w:r w:rsidR="00C65A26" w:rsidRPr="00323427">
        <w:t>,</w:t>
      </w:r>
      <w:r w:rsidR="00C65A26" w:rsidRPr="00323427">
        <w:rPr>
          <w:rFonts w:hint="eastAsia"/>
        </w:rPr>
        <w:t xml:space="preserve"> fine</w:t>
      </w:r>
      <w:r w:rsidR="00C65A26" w:rsidRPr="00323427">
        <w:t>-grained</w:t>
      </w:r>
      <w:r w:rsidR="00C65A26">
        <w:rPr>
          <w:rFonts w:hint="eastAsia"/>
        </w:rPr>
        <w:t xml:space="preserve"> sandstone</w:t>
      </w:r>
      <w:r w:rsidR="00C65A26" w:rsidRPr="00323427">
        <w:rPr>
          <w:rFonts w:hint="eastAsia"/>
        </w:rPr>
        <w:t>, siltstone</w:t>
      </w:r>
      <w:r w:rsidR="00C65A26">
        <w:rPr>
          <w:rFonts w:hint="eastAsia"/>
        </w:rPr>
        <w:t xml:space="preserve"> and shale</w:t>
      </w:r>
      <w:r w:rsidR="00C65A26" w:rsidRPr="00323427">
        <w:rPr>
          <w:rFonts w:hint="eastAsia"/>
        </w:rPr>
        <w:t>. A</w:t>
      </w:r>
      <w:r w:rsidR="00C65A26">
        <w:rPr>
          <w:rFonts w:hint="eastAsia"/>
        </w:rPr>
        <w:t xml:space="preserve">n abrupt </w:t>
      </w:r>
      <w:r w:rsidR="00C65A26" w:rsidRPr="00323427">
        <w:rPr>
          <w:rFonts w:hint="eastAsia"/>
        </w:rPr>
        <w:t xml:space="preserve">change </w:t>
      </w:r>
      <w:r w:rsidR="00C65A26">
        <w:rPr>
          <w:rFonts w:hint="eastAsia"/>
        </w:rPr>
        <w:t>in</w:t>
      </w:r>
      <w:r w:rsidR="00C65A26" w:rsidRPr="00323427">
        <w:rPr>
          <w:rFonts w:hint="eastAsia"/>
        </w:rPr>
        <w:t xml:space="preserve"> lithology</w:t>
      </w:r>
      <w:r w:rsidR="009F51DB">
        <w:t xml:space="preserve"> </w:t>
      </w:r>
      <w:r w:rsidR="00C65A26" w:rsidRPr="00323427">
        <w:t>occurs</w:t>
      </w:r>
      <w:r w:rsidR="00C65A26" w:rsidRPr="00323427">
        <w:rPr>
          <w:rFonts w:hint="eastAsia"/>
        </w:rPr>
        <w:t xml:space="preserve"> at 20m, where a 5</w:t>
      </w:r>
      <w:r w:rsidR="00C65A26">
        <w:t>-</w:t>
      </w:r>
      <w:r w:rsidR="00C65A26" w:rsidRPr="00323427">
        <w:rPr>
          <w:rFonts w:hint="eastAsia"/>
        </w:rPr>
        <w:t xml:space="preserve">m thick </w:t>
      </w:r>
      <w:r w:rsidR="00C65A26" w:rsidRPr="00323427">
        <w:t>medium</w:t>
      </w:r>
      <w:r w:rsidR="00C65A26" w:rsidRPr="00323427">
        <w:rPr>
          <w:rFonts w:hint="eastAsia"/>
        </w:rPr>
        <w:t>-</w:t>
      </w:r>
      <w:r w:rsidR="00C65A26" w:rsidRPr="00323427">
        <w:t xml:space="preserve"> to </w:t>
      </w:r>
      <w:r w:rsidR="00C65A26" w:rsidRPr="00323427">
        <w:rPr>
          <w:rFonts w:hint="eastAsia"/>
        </w:rPr>
        <w:t>fine</w:t>
      </w:r>
      <w:r w:rsidR="00C65A26" w:rsidRPr="00323427">
        <w:t>-</w:t>
      </w:r>
      <w:r w:rsidR="00C65A26" w:rsidRPr="00323427">
        <w:rPr>
          <w:rFonts w:hint="eastAsia"/>
        </w:rPr>
        <w:t>grained</w:t>
      </w:r>
      <w:r w:rsidR="00C65A26">
        <w:rPr>
          <w:rFonts w:hint="eastAsia"/>
        </w:rPr>
        <w:t xml:space="preserve"> sandstone that exhibits a tabular </w:t>
      </w:r>
      <w:r w:rsidR="00C65A26">
        <w:t>geometry</w:t>
      </w:r>
      <w:r w:rsidR="00C65A26">
        <w:rPr>
          <w:rFonts w:hint="eastAsia"/>
        </w:rPr>
        <w:t xml:space="preserve"> with a flat base and top </w:t>
      </w:r>
      <w:r w:rsidR="00C65A26" w:rsidRPr="00323427">
        <w:rPr>
          <w:rFonts w:hint="eastAsia"/>
        </w:rPr>
        <w:t>overlies</w:t>
      </w:r>
      <w:r w:rsidR="00C65A26">
        <w:rPr>
          <w:rFonts w:hint="eastAsia"/>
        </w:rPr>
        <w:t xml:space="preserve"> the shaly </w:t>
      </w:r>
      <w:r w:rsidR="00C65A26" w:rsidRPr="00323427">
        <w:rPr>
          <w:rFonts w:hint="eastAsia"/>
        </w:rPr>
        <w:t>units</w:t>
      </w:r>
      <w:r w:rsidR="00F65265">
        <w:t xml:space="preserve"> (Figure 2.4)</w:t>
      </w:r>
      <w:r w:rsidR="00C65A26" w:rsidRPr="00323427">
        <w:rPr>
          <w:rFonts w:hint="eastAsia"/>
        </w:rPr>
        <w:t>.</w:t>
      </w:r>
      <w:r w:rsidR="009F51DB">
        <w:t xml:space="preserve"> </w:t>
      </w:r>
      <w:r w:rsidR="00C65A26" w:rsidRPr="00323427">
        <w:rPr>
          <w:rFonts w:hint="eastAsia"/>
        </w:rPr>
        <w:t xml:space="preserve">Similar </w:t>
      </w:r>
      <w:r w:rsidR="00C65A26">
        <w:t>tabular</w:t>
      </w:r>
      <w:r w:rsidR="00C65A26" w:rsidRPr="00323427">
        <w:rPr>
          <w:rFonts w:hint="eastAsia"/>
        </w:rPr>
        <w:t xml:space="preserve"> sandstones interbedded with shaly units </w:t>
      </w:r>
      <w:r w:rsidR="00C65A26">
        <w:t>continue</w:t>
      </w:r>
      <w:r w:rsidR="00C65A26" w:rsidRPr="00323427">
        <w:rPr>
          <w:rFonts w:hint="eastAsia"/>
        </w:rPr>
        <w:t xml:space="preserve"> up </w:t>
      </w:r>
      <w:r w:rsidR="00C65A26">
        <w:rPr>
          <w:rFonts w:hint="eastAsia"/>
        </w:rPr>
        <w:t xml:space="preserve">the section to </w:t>
      </w:r>
      <w:r w:rsidR="00C65A26" w:rsidRPr="00323427">
        <w:rPr>
          <w:rFonts w:hint="eastAsia"/>
        </w:rPr>
        <w:t>225m</w:t>
      </w:r>
      <w:r w:rsidR="00C65A26">
        <w:rPr>
          <w:rFonts w:hint="eastAsia"/>
        </w:rPr>
        <w:t xml:space="preserve"> (</w:t>
      </w:r>
      <w:r w:rsidR="00B83452">
        <w:rPr>
          <w:rFonts w:hint="eastAsia"/>
        </w:rPr>
        <w:t>Figure 2.</w:t>
      </w:r>
      <w:r w:rsidR="00F65265">
        <w:t>5</w:t>
      </w:r>
      <w:r w:rsidR="00C65A26">
        <w:rPr>
          <w:rFonts w:hint="eastAsia"/>
        </w:rPr>
        <w:t>)</w:t>
      </w:r>
      <w:r w:rsidR="00C65A26" w:rsidRPr="00323427">
        <w:rPr>
          <w:rFonts w:hint="eastAsia"/>
        </w:rPr>
        <w:t xml:space="preserve">. </w:t>
      </w:r>
      <w:r w:rsidR="00C65A26">
        <w:t>T</w:t>
      </w:r>
      <w:r w:rsidR="00C65A26" w:rsidRPr="00323427">
        <w:rPr>
          <w:rFonts w:hint="eastAsia"/>
        </w:rPr>
        <w:t>abular sandstone beds with scour surfaces</w:t>
      </w:r>
      <w:r w:rsidR="00AD3CF6">
        <w:t xml:space="preserve"> </w:t>
      </w:r>
      <w:r w:rsidR="00C65A26" w:rsidRPr="00323427">
        <w:t>locally occur</w:t>
      </w:r>
      <w:r w:rsidR="00C65A26" w:rsidRPr="00323427">
        <w:rPr>
          <w:rFonts w:hint="eastAsia"/>
        </w:rPr>
        <w:t xml:space="preserve"> at 57m, 63m, 165</w:t>
      </w:r>
      <w:r w:rsidR="00C65A26" w:rsidRPr="00323427">
        <w:t xml:space="preserve">m and </w:t>
      </w:r>
      <w:r w:rsidR="00C65A26" w:rsidRPr="00323427">
        <w:rPr>
          <w:rFonts w:hint="eastAsia"/>
        </w:rPr>
        <w:t>182</w:t>
      </w:r>
      <w:r w:rsidR="00C65A26" w:rsidRPr="00323427">
        <w:t>m</w:t>
      </w:r>
      <w:r w:rsidR="00C65A26" w:rsidRPr="00323427">
        <w:rPr>
          <w:rFonts w:hint="eastAsia"/>
        </w:rPr>
        <w:t>.</w:t>
      </w:r>
    </w:p>
    <w:p w:rsidR="00C65A26" w:rsidRPr="00323427" w:rsidRDefault="00C65A26" w:rsidP="00F907A5">
      <w:pPr>
        <w:ind w:firstLine="450"/>
      </w:pPr>
      <w:r w:rsidRPr="00323427">
        <w:lastRenderedPageBreak/>
        <w:t xml:space="preserve">At the top of </w:t>
      </w:r>
      <w:r>
        <w:rPr>
          <w:rFonts w:hint="eastAsia"/>
        </w:rPr>
        <w:t>Roadcut</w:t>
      </w:r>
      <w:r w:rsidR="00D61E6F">
        <w:rPr>
          <w:rFonts w:hint="eastAsia"/>
          <w:lang w:eastAsia="zh-CN"/>
        </w:rPr>
        <w:t xml:space="preserve"> </w:t>
      </w:r>
      <w:r w:rsidRPr="00323427">
        <w:t>2 (</w:t>
      </w:r>
      <w:r w:rsidRPr="00323427">
        <w:rPr>
          <w:rFonts w:hint="eastAsia"/>
        </w:rPr>
        <w:t>230</w:t>
      </w:r>
      <w:r w:rsidRPr="00323427">
        <w:t xml:space="preserve"> m</w:t>
      </w:r>
      <w:r w:rsidR="00F907A5">
        <w:t>, Figure 2.5</w:t>
      </w:r>
      <w:r w:rsidRPr="00323427">
        <w:t>), thick</w:t>
      </w:r>
      <w:r>
        <w:t>, massive and</w:t>
      </w:r>
      <w:r w:rsidRPr="00323427">
        <w:t xml:space="preserve"> amalgamated sandstones</w:t>
      </w:r>
      <w:r>
        <w:t xml:space="preserve"> with clear scour surfaces</w:t>
      </w:r>
      <w:r w:rsidRPr="00323427">
        <w:t xml:space="preserve"> occur</w:t>
      </w:r>
      <w:r>
        <w:t xml:space="preserve"> for the first time. </w:t>
      </w:r>
      <w:r w:rsidRPr="00323427">
        <w:t xml:space="preserve">Each scour surface </w:t>
      </w:r>
      <w:r>
        <w:t>is</w:t>
      </w:r>
      <w:r w:rsidRPr="00323427">
        <w:t xml:space="preserve"> 2-3m apart with dish structure</w:t>
      </w:r>
      <w:r w:rsidRPr="00323427">
        <w:rPr>
          <w:rFonts w:hint="eastAsia"/>
        </w:rPr>
        <w:t>s</w:t>
      </w:r>
      <w:r w:rsidRPr="00323427">
        <w:t xml:space="preserve"> and angular mud</w:t>
      </w:r>
      <w:r>
        <w:rPr>
          <w:rFonts w:hint="eastAsia"/>
        </w:rPr>
        <w:t>stone</w:t>
      </w:r>
      <w:r w:rsidRPr="00323427">
        <w:t xml:space="preserve"> clasts</w:t>
      </w:r>
      <w:r w:rsidR="00D61E6F">
        <w:rPr>
          <w:rFonts w:hint="eastAsia"/>
          <w:lang w:eastAsia="zh-CN"/>
        </w:rPr>
        <w:t xml:space="preserve"> in the deposits above</w:t>
      </w:r>
      <w:r w:rsidRPr="00323427">
        <w:t xml:space="preserve">. This </w:t>
      </w:r>
      <w:r w:rsidRPr="00323427">
        <w:rPr>
          <w:rFonts w:hint="eastAsia"/>
        </w:rPr>
        <w:t>transition</w:t>
      </w:r>
      <w:r w:rsidRPr="00323427">
        <w:t xml:space="preserve"> continues up to </w:t>
      </w:r>
      <w:r>
        <w:rPr>
          <w:rFonts w:hint="eastAsia"/>
        </w:rPr>
        <w:t>Roadcuts</w:t>
      </w:r>
      <w:r w:rsidR="00D61E6F">
        <w:rPr>
          <w:rFonts w:hint="eastAsia"/>
          <w:lang w:eastAsia="zh-CN"/>
        </w:rPr>
        <w:t xml:space="preserve"> </w:t>
      </w:r>
      <w:r w:rsidRPr="00323427">
        <w:t>3 and 4</w:t>
      </w:r>
      <w:r w:rsidR="00F907A5">
        <w:t xml:space="preserve"> (Figure 2.6)</w:t>
      </w:r>
      <w:r w:rsidRPr="00323427">
        <w:t xml:space="preserve">, where massive </w:t>
      </w:r>
      <w:r>
        <w:t>scoured (lenticular</w:t>
      </w:r>
      <w:r w:rsidR="006474E4">
        <w:t>)</w:t>
      </w:r>
      <w:r w:rsidR="006474E4" w:rsidRPr="00323427">
        <w:t xml:space="preserve"> sandstones</w:t>
      </w:r>
      <w:r w:rsidRPr="00323427">
        <w:t xml:space="preserve"> are </w:t>
      </w:r>
      <w:r w:rsidRPr="00323427">
        <w:rPr>
          <w:rFonts w:hint="eastAsia"/>
        </w:rPr>
        <w:t xml:space="preserve">found </w:t>
      </w:r>
      <w:r w:rsidRPr="00323427">
        <w:t xml:space="preserve">with debrites at </w:t>
      </w:r>
      <w:r w:rsidRPr="00323427">
        <w:rPr>
          <w:rFonts w:hint="eastAsia"/>
        </w:rPr>
        <w:t>360</w:t>
      </w:r>
      <w:r w:rsidRPr="00323427">
        <w:t xml:space="preserve">m. The top of </w:t>
      </w:r>
      <w:r w:rsidR="006B6CEC">
        <w:rPr>
          <w:rFonts w:hint="eastAsia"/>
        </w:rPr>
        <w:t>Roadcut 4</w:t>
      </w:r>
      <w:r w:rsidRPr="00323427">
        <w:t xml:space="preserve"> </w:t>
      </w:r>
      <w:r w:rsidRPr="00323427">
        <w:rPr>
          <w:rFonts w:hint="eastAsia"/>
        </w:rPr>
        <w:t xml:space="preserve">is </w:t>
      </w:r>
      <w:r w:rsidRPr="00323427">
        <w:t xml:space="preserve">composed of </w:t>
      </w:r>
      <w:r w:rsidRPr="00323427">
        <w:rPr>
          <w:rFonts w:hint="eastAsia"/>
        </w:rPr>
        <w:t>a</w:t>
      </w:r>
      <w:r w:rsidR="009F51DB">
        <w:t xml:space="preserve"> </w:t>
      </w:r>
      <w:r w:rsidRPr="00323427">
        <w:rPr>
          <w:rFonts w:hint="eastAsia"/>
        </w:rPr>
        <w:t>major unit of</w:t>
      </w:r>
      <w:r w:rsidRPr="00323427">
        <w:t xml:space="preserve"> thin-bedded sandstones and mudstones, followed by a shale</w:t>
      </w:r>
      <w:r>
        <w:rPr>
          <w:rFonts w:hint="eastAsia"/>
        </w:rPr>
        <w:t xml:space="preserve"> unit that is </w:t>
      </w:r>
      <w:r w:rsidRPr="00323427">
        <w:rPr>
          <w:rFonts w:hint="eastAsia"/>
        </w:rPr>
        <w:t>over 20m thick</w:t>
      </w:r>
      <w:r w:rsidRPr="00323427">
        <w:t xml:space="preserve">. </w:t>
      </w:r>
    </w:p>
    <w:p w:rsidR="00C65A26" w:rsidRDefault="00C65A26" w:rsidP="00C65A26">
      <w:pPr>
        <w:rPr>
          <w:b/>
          <w:color w:val="FF0000"/>
        </w:rPr>
      </w:pPr>
    </w:p>
    <w:p w:rsidR="00C65A26" w:rsidRDefault="00C65A26" w:rsidP="00C65A26">
      <w:pPr>
        <w:rPr>
          <w:b/>
        </w:rPr>
      </w:pPr>
      <w:r>
        <w:rPr>
          <w:rFonts w:hint="eastAsia"/>
          <w:b/>
        </w:rPr>
        <w:t>Interpretation</w:t>
      </w:r>
    </w:p>
    <w:p w:rsidR="00C65A26" w:rsidRDefault="00C65A26" w:rsidP="00C65A26">
      <w:pPr>
        <w:ind w:firstLine="420"/>
      </w:pPr>
      <w:r w:rsidRPr="00323427">
        <w:rPr>
          <w:rFonts w:hint="eastAsia"/>
        </w:rPr>
        <w:t xml:space="preserve">The bottom of this section is the boundary between the Lower Jackfork Group and the Stanley Group. </w:t>
      </w:r>
      <w:r w:rsidRPr="00323427">
        <w:t>Beneath</w:t>
      </w:r>
      <w:r w:rsidRPr="00323427">
        <w:rPr>
          <w:rFonts w:hint="eastAsia"/>
        </w:rPr>
        <w:t xml:space="preserve"> this boundary is the Chickasaw Creek </w:t>
      </w:r>
      <w:r w:rsidRPr="00323427">
        <w:t>Siliceous</w:t>
      </w:r>
      <w:r w:rsidRPr="00323427">
        <w:rPr>
          <w:rFonts w:hint="eastAsia"/>
        </w:rPr>
        <w:t xml:space="preserve"> Shale Member of the Stanley Group, which </w:t>
      </w:r>
      <w:r w:rsidRPr="00323427">
        <w:t>was interpreted as</w:t>
      </w:r>
      <w:r w:rsidRPr="00323427">
        <w:rPr>
          <w:rFonts w:hint="eastAsia"/>
        </w:rPr>
        <w:t xml:space="preserve"> a condensed section within a transgressive systems tract (Coleman </w:t>
      </w:r>
      <w:r w:rsidRPr="00323427">
        <w:t>2000</w:t>
      </w:r>
      <w:r w:rsidRPr="00323427">
        <w:rPr>
          <w:rFonts w:hint="eastAsia"/>
        </w:rPr>
        <w:t xml:space="preserve">; Slatt </w:t>
      </w:r>
      <w:r w:rsidR="00880C6B" w:rsidRPr="00880C6B">
        <w:rPr>
          <w:rFonts w:hint="eastAsia"/>
          <w:i/>
        </w:rPr>
        <w:t>et al.</w:t>
      </w:r>
      <w:r w:rsidRPr="00323427">
        <w:rPr>
          <w:rFonts w:hint="eastAsia"/>
        </w:rPr>
        <w:t xml:space="preserve">, 2000a). Zircon dating from a </w:t>
      </w:r>
      <w:r w:rsidRPr="00323427">
        <w:t xml:space="preserve">Chickasaw Creek </w:t>
      </w:r>
      <w:r w:rsidRPr="00323427">
        <w:rPr>
          <w:rFonts w:hint="eastAsia"/>
        </w:rPr>
        <w:t>t</w:t>
      </w:r>
      <w:r w:rsidRPr="00323427">
        <w:t>uff</w:t>
      </w:r>
      <w:r w:rsidRPr="00323427">
        <w:rPr>
          <w:rFonts w:hint="eastAsia"/>
        </w:rPr>
        <w:t xml:space="preserve"> unit indicated an absolute age of </w:t>
      </w:r>
      <w:r w:rsidRPr="00323427">
        <w:t>320.6±2.7Ma</w:t>
      </w:r>
      <w:r w:rsidRPr="00323427">
        <w:rPr>
          <w:rFonts w:hint="eastAsia"/>
        </w:rPr>
        <w:t xml:space="preserve"> (</w:t>
      </w:r>
      <w:r w:rsidRPr="00323427">
        <w:t>Shaulis</w:t>
      </w:r>
      <w:r w:rsidRPr="00323427">
        <w:rPr>
          <w:rFonts w:hint="eastAsia"/>
        </w:rPr>
        <w:t xml:space="preserve"> </w:t>
      </w:r>
      <w:r w:rsidR="00880C6B" w:rsidRPr="00880C6B">
        <w:rPr>
          <w:rFonts w:hint="eastAsia"/>
          <w:i/>
        </w:rPr>
        <w:t>et al.</w:t>
      </w:r>
      <w:r w:rsidRPr="00323427">
        <w:rPr>
          <w:rFonts w:hint="eastAsia"/>
        </w:rPr>
        <w:t>, 201</w:t>
      </w:r>
      <w:r w:rsidRPr="00323427">
        <w:t>2</w:t>
      </w:r>
      <w:r w:rsidRPr="00323427">
        <w:rPr>
          <w:rFonts w:hint="eastAsia"/>
        </w:rPr>
        <w:t xml:space="preserve">). </w:t>
      </w:r>
      <w:r>
        <w:rPr>
          <w:rFonts w:hint="eastAsia"/>
        </w:rPr>
        <w:t>T</w:t>
      </w:r>
      <w:r>
        <w:t xml:space="preserve">he </w:t>
      </w:r>
      <w:r>
        <w:rPr>
          <w:rFonts w:hint="eastAsia"/>
        </w:rPr>
        <w:t>tabular sandstone</w:t>
      </w:r>
      <w:r>
        <w:t xml:space="preserve"> at 20m</w:t>
      </w:r>
      <w:r w:rsidR="00EF54B2">
        <w:t xml:space="preserve"> </w:t>
      </w:r>
      <w:r w:rsidRPr="00323427">
        <w:rPr>
          <w:rFonts w:hint="eastAsia"/>
        </w:rPr>
        <w:t xml:space="preserve">is the </w:t>
      </w:r>
      <w:r>
        <w:rPr>
          <w:rFonts w:hint="eastAsia"/>
        </w:rPr>
        <w:t>oldest</w:t>
      </w:r>
      <w:r w:rsidRPr="00323427">
        <w:rPr>
          <w:rFonts w:hint="eastAsia"/>
        </w:rPr>
        <w:t xml:space="preserve"> turbidite sandstone found in the Jackfork Group, which marks </w:t>
      </w:r>
      <w:r w:rsidRPr="00323427">
        <w:t xml:space="preserve">the transition from a 'starved basin' to classic orogenic flysch deposition </w:t>
      </w:r>
      <w:r w:rsidRPr="00323427">
        <w:rPr>
          <w:rFonts w:hint="eastAsia"/>
        </w:rPr>
        <w:t xml:space="preserve">in Early </w:t>
      </w:r>
      <w:r w:rsidRPr="00323427">
        <w:t>Pennsylvanian</w:t>
      </w:r>
      <w:r w:rsidRPr="00323427">
        <w:rPr>
          <w:rFonts w:hint="eastAsia"/>
        </w:rPr>
        <w:t xml:space="preserve"> time (Shaulis </w:t>
      </w:r>
      <w:r w:rsidR="00880C6B" w:rsidRPr="00880C6B">
        <w:rPr>
          <w:rFonts w:hint="eastAsia"/>
          <w:i/>
        </w:rPr>
        <w:t>et al.</w:t>
      </w:r>
      <w:r w:rsidRPr="00323427">
        <w:rPr>
          <w:rFonts w:hint="eastAsia"/>
        </w:rPr>
        <w:t>, 201</w:t>
      </w:r>
      <w:r w:rsidRPr="00323427">
        <w:t>2</w:t>
      </w:r>
      <w:r w:rsidRPr="00323427">
        <w:rPr>
          <w:rFonts w:hint="eastAsia"/>
        </w:rPr>
        <w:t>).</w:t>
      </w:r>
    </w:p>
    <w:p w:rsidR="00C65A26" w:rsidRDefault="00C65A26" w:rsidP="00C65A26">
      <w:pPr>
        <w:ind w:firstLine="420"/>
      </w:pPr>
      <w:r>
        <w:t xml:space="preserve">In the first 230m’s </w:t>
      </w:r>
      <w:r w:rsidR="006B6CEC">
        <w:rPr>
          <w:rFonts w:hint="eastAsia"/>
          <w:lang w:eastAsia="zh-CN"/>
        </w:rPr>
        <w:t xml:space="preserve">of </w:t>
      </w:r>
      <w:r>
        <w:t>section, all the tabular sandstones with minor or no scour surfaces are interp</w:t>
      </w:r>
      <w:r w:rsidRPr="007B1C0B">
        <w:t xml:space="preserve">reted as </w:t>
      </w:r>
      <w:r w:rsidR="00A124C4">
        <w:rPr>
          <w:rFonts w:hint="eastAsia"/>
          <w:lang w:eastAsia="zh-CN"/>
        </w:rPr>
        <w:t>layered sheet sandstones</w:t>
      </w:r>
      <w:r w:rsidRPr="007B1C0B">
        <w:t xml:space="preserve"> </w:t>
      </w:r>
      <w:r w:rsidR="00A124C4">
        <w:rPr>
          <w:rFonts w:hint="eastAsia"/>
          <w:lang w:eastAsia="zh-CN"/>
        </w:rPr>
        <w:t>which represent a basin floor fan environment</w:t>
      </w:r>
      <w:r w:rsidRPr="007B1C0B">
        <w:t xml:space="preserve"> at the early stage of sea-level fall</w:t>
      </w:r>
      <w:r w:rsidR="0018364D">
        <w:t xml:space="preserve"> (Figure 2.7)</w:t>
      </w:r>
      <w:r w:rsidRPr="007B1C0B">
        <w:t xml:space="preserve">. The </w:t>
      </w:r>
      <w:r w:rsidR="006B6CEC">
        <w:rPr>
          <w:rFonts w:hint="eastAsia"/>
          <w:lang w:eastAsia="zh-CN"/>
        </w:rPr>
        <w:t>thicker</w:t>
      </w:r>
      <w:r w:rsidRPr="007B1C0B">
        <w:t xml:space="preserve"> amalgamated scour sandstones at 230m are interpreted as amalgamated channel sandstones</w:t>
      </w:r>
      <w:r w:rsidR="006B6CEC">
        <w:rPr>
          <w:rFonts w:hint="eastAsia"/>
          <w:lang w:eastAsia="zh-CN"/>
        </w:rPr>
        <w:t xml:space="preserve"> in proximal fan setting</w:t>
      </w:r>
      <w:r w:rsidR="00A124C4">
        <w:rPr>
          <w:rFonts w:hint="eastAsia"/>
          <w:lang w:eastAsia="zh-CN"/>
        </w:rPr>
        <w:t>.</w:t>
      </w:r>
      <w:r w:rsidR="00D058D2">
        <w:t xml:space="preserve"> </w:t>
      </w:r>
      <w:r>
        <w:t xml:space="preserve">The muddy </w:t>
      </w:r>
      <w:r w:rsidR="00EF54B2">
        <w:t>debris</w:t>
      </w:r>
      <w:r>
        <w:t xml:space="preserve"> flow deposits associated with the channel de</w:t>
      </w:r>
      <w:r w:rsidRPr="007B1C0B">
        <w:t xml:space="preserve">posits at </w:t>
      </w:r>
      <w:r w:rsidR="006B6CEC">
        <w:rPr>
          <w:rFonts w:hint="eastAsia"/>
        </w:rPr>
        <w:t>Roadcut 4</w:t>
      </w:r>
      <w:r w:rsidR="00EF54B2">
        <w:t xml:space="preserve"> indicate</w:t>
      </w:r>
      <w:r w:rsidRPr="007B1C0B">
        <w:t xml:space="preserve"> the increase of sea-bottom relief</w:t>
      </w:r>
      <w:r w:rsidR="006B6CEC">
        <w:rPr>
          <w:rFonts w:hint="eastAsia"/>
          <w:lang w:eastAsia="zh-CN"/>
        </w:rPr>
        <w:t xml:space="preserve"> or further drop of sea-</w:t>
      </w:r>
      <w:r w:rsidR="006B6CEC">
        <w:rPr>
          <w:rFonts w:hint="eastAsia"/>
          <w:lang w:eastAsia="zh-CN"/>
        </w:rPr>
        <w:lastRenderedPageBreak/>
        <w:t>level</w:t>
      </w:r>
      <w:r w:rsidRPr="007B1C0B">
        <w:t xml:space="preserve">. </w:t>
      </w:r>
      <w:r w:rsidRPr="007B1C0B">
        <w:rPr>
          <w:rFonts w:hint="eastAsia"/>
        </w:rPr>
        <w:t>A</w:t>
      </w:r>
      <w:r w:rsidR="00D058D2">
        <w:t xml:space="preserve"> </w:t>
      </w:r>
      <w:r w:rsidRPr="007B1C0B">
        <w:t>potential minor transgressive systems tract and sequence boundary</w:t>
      </w:r>
      <w:r w:rsidRPr="007B1C0B">
        <w:rPr>
          <w:rFonts w:hint="eastAsia"/>
        </w:rPr>
        <w:t xml:space="preserve"> may </w:t>
      </w:r>
      <w:r w:rsidRPr="007B1C0B">
        <w:t>occur</w:t>
      </w:r>
      <w:r w:rsidRPr="007B1C0B">
        <w:rPr>
          <w:rFonts w:hint="eastAsia"/>
        </w:rPr>
        <w:t xml:space="preserve"> at the top of Roadcut</w:t>
      </w:r>
      <w:r w:rsidR="0018364D">
        <w:t xml:space="preserve"> </w:t>
      </w:r>
      <w:r w:rsidRPr="007B1C0B">
        <w:t>4</w:t>
      </w:r>
      <w:r w:rsidR="006B6CEC">
        <w:rPr>
          <w:rFonts w:hint="eastAsia"/>
          <w:lang w:eastAsia="zh-CN"/>
        </w:rPr>
        <w:t xml:space="preserve"> as indicated by a 20-m shale</w:t>
      </w:r>
      <w:r w:rsidRPr="007B1C0B">
        <w:t>.</w:t>
      </w:r>
    </w:p>
    <w:p w:rsidR="00C65A26" w:rsidRPr="00323427" w:rsidRDefault="00C65A26" w:rsidP="00C65A26">
      <w:pPr>
        <w:rPr>
          <w:b/>
          <w:color w:val="FF0000"/>
        </w:rPr>
      </w:pPr>
    </w:p>
    <w:p w:rsidR="00C65A26" w:rsidRDefault="00C65A26" w:rsidP="00C65A26">
      <w:pPr>
        <w:rPr>
          <w:b/>
        </w:rPr>
      </w:pPr>
      <w:r w:rsidRPr="00323427">
        <w:rPr>
          <w:b/>
        </w:rPr>
        <w:t>Middle</w:t>
      </w:r>
      <w:r w:rsidRPr="00323427">
        <w:rPr>
          <w:rFonts w:hint="eastAsia"/>
          <w:b/>
        </w:rPr>
        <w:t xml:space="preserve"> Jackfork Group</w:t>
      </w:r>
    </w:p>
    <w:p w:rsidR="00FA18D2" w:rsidRDefault="00FA18D2" w:rsidP="00FA18D2">
      <w:pPr>
        <w:ind w:firstLine="450"/>
        <w:rPr>
          <w:b/>
        </w:rPr>
      </w:pPr>
      <w:r>
        <w:rPr>
          <w:rFonts w:ascii="Times New Roman" w:hAnsi="Times New Roman"/>
          <w:sz w:val="23"/>
          <w:szCs w:val="23"/>
        </w:rPr>
        <w:t xml:space="preserve">General outcrop description and interpretation of the Middle Jackfork Group in Kirby Sections is summarized in Table 2.3. </w:t>
      </w:r>
      <w:r w:rsidRPr="00323427">
        <w:t>Approximately</w:t>
      </w:r>
      <w:r>
        <w:rPr>
          <w:rFonts w:hint="eastAsia"/>
        </w:rPr>
        <w:t xml:space="preserve"> </w:t>
      </w:r>
      <w:r>
        <w:t>625m</w:t>
      </w:r>
      <w:r>
        <w:rPr>
          <w:rFonts w:hint="eastAsia"/>
        </w:rPr>
        <w:t xml:space="preserve"> </w:t>
      </w:r>
      <w:r w:rsidRPr="00323427">
        <w:rPr>
          <w:rFonts w:hint="eastAsia"/>
        </w:rPr>
        <w:t xml:space="preserve">of mostly </w:t>
      </w:r>
      <w:r w:rsidRPr="00323427">
        <w:t>continuous</w:t>
      </w:r>
      <w:r w:rsidRPr="00323427">
        <w:rPr>
          <w:rFonts w:hint="eastAsia"/>
        </w:rPr>
        <w:t xml:space="preserve"> </w:t>
      </w:r>
      <w:r w:rsidR="00906670">
        <w:rPr>
          <w:rFonts w:hint="eastAsia"/>
        </w:rPr>
        <w:t>exposures includ</w:t>
      </w:r>
      <w:r w:rsidR="00906670">
        <w:t>e</w:t>
      </w:r>
      <w:r w:rsidRPr="00323427">
        <w:rPr>
          <w:rFonts w:hint="eastAsia"/>
        </w:rPr>
        <w:t xml:space="preserve"> </w:t>
      </w:r>
      <w:r w:rsidRPr="007B1C0B">
        <w:rPr>
          <w:rFonts w:hint="eastAsia"/>
        </w:rPr>
        <w:t>Roadcut</w:t>
      </w:r>
      <w:r>
        <w:t xml:space="preserve"> </w:t>
      </w:r>
      <w:r w:rsidRPr="007B1C0B">
        <w:rPr>
          <w:rFonts w:hint="eastAsia"/>
        </w:rPr>
        <w:t>5, 6, 7, BQ_Section</w:t>
      </w:r>
      <w:r>
        <w:t>_</w:t>
      </w:r>
      <w:r w:rsidRPr="007B1C0B">
        <w:rPr>
          <w:rFonts w:hint="eastAsia"/>
        </w:rPr>
        <w:t>1</w:t>
      </w:r>
      <w:r w:rsidRPr="007B1C0B">
        <w:t>, 2, and</w:t>
      </w:r>
      <w:r>
        <w:rPr>
          <w:rFonts w:hint="eastAsia"/>
        </w:rPr>
        <w:t xml:space="preserve"> 3 </w:t>
      </w:r>
      <w:r>
        <w:t>(Lower) from 500m to 1120m</w:t>
      </w:r>
      <w:r w:rsidRPr="00323427">
        <w:rPr>
          <w:rFonts w:hint="eastAsia"/>
        </w:rPr>
        <w:t>.</w:t>
      </w:r>
    </w:p>
    <w:p w:rsidR="00C65A26" w:rsidRDefault="00C65A26" w:rsidP="00C65A26">
      <w:pPr>
        <w:rPr>
          <w:b/>
        </w:rPr>
      </w:pPr>
      <w:r>
        <w:rPr>
          <w:b/>
        </w:rPr>
        <w:t>Description</w:t>
      </w:r>
    </w:p>
    <w:p w:rsidR="00C65A26" w:rsidRPr="00323427" w:rsidRDefault="00C65A26" w:rsidP="00C65A26">
      <w:pPr>
        <w:spacing w:before="240"/>
        <w:ind w:firstLine="420"/>
      </w:pPr>
      <w:r>
        <w:rPr>
          <w:rFonts w:hint="eastAsia"/>
        </w:rPr>
        <w:t>Roadcut</w:t>
      </w:r>
      <w:r w:rsidR="005859ED">
        <w:t xml:space="preserve"> </w:t>
      </w:r>
      <w:r w:rsidRPr="00323427">
        <w:t xml:space="preserve">5 is </w:t>
      </w:r>
      <w:r w:rsidR="005859ED">
        <w:t xml:space="preserve">about </w:t>
      </w:r>
      <w:r w:rsidRPr="00323427">
        <w:rPr>
          <w:rFonts w:hint="eastAsia"/>
        </w:rPr>
        <w:t>100</w:t>
      </w:r>
      <w:r w:rsidRPr="00323427">
        <w:t>m above the top shal</w:t>
      </w:r>
      <w:r>
        <w:t>y</w:t>
      </w:r>
      <w:r w:rsidRPr="00323427">
        <w:t xml:space="preserve"> package in </w:t>
      </w:r>
      <w:r w:rsidR="006B6CEC">
        <w:rPr>
          <w:rFonts w:hint="eastAsia"/>
        </w:rPr>
        <w:t>Roadcut 4</w:t>
      </w:r>
      <w:r w:rsidRPr="00323427">
        <w:rPr>
          <w:rFonts w:hint="eastAsia"/>
        </w:rPr>
        <w:t xml:space="preserve"> (</w:t>
      </w:r>
      <w:r w:rsidR="00B83452">
        <w:rPr>
          <w:rFonts w:hint="eastAsia"/>
        </w:rPr>
        <w:t>Figure 2.</w:t>
      </w:r>
      <w:r w:rsidR="005859ED">
        <w:t>8</w:t>
      </w:r>
      <w:r w:rsidRPr="00323427">
        <w:rPr>
          <w:rFonts w:hint="eastAsia"/>
        </w:rPr>
        <w:t>)</w:t>
      </w:r>
      <w:r w:rsidRPr="00323427">
        <w:t>. The boundary between</w:t>
      </w:r>
      <w:r w:rsidRPr="00323427">
        <w:rPr>
          <w:rFonts w:hint="eastAsia"/>
        </w:rPr>
        <w:t xml:space="preserve"> the</w:t>
      </w:r>
      <w:r w:rsidRPr="00323427">
        <w:t xml:space="preserve"> Lower and Middle Jackfork Group </w:t>
      </w:r>
      <w:r w:rsidR="00D058D2" w:rsidRPr="00323427">
        <w:t>is</w:t>
      </w:r>
      <w:r w:rsidR="00D058D2">
        <w:t xml:space="preserve"> covered</w:t>
      </w:r>
      <w:r>
        <w:t xml:space="preserve"> by vegetation</w:t>
      </w:r>
      <w:r w:rsidRPr="00323427">
        <w:t xml:space="preserve">. Unlike the </w:t>
      </w:r>
      <w:r>
        <w:t xml:space="preserve">mostly-tabular </w:t>
      </w:r>
      <w:r w:rsidRPr="00323427">
        <w:t xml:space="preserve">Lower Jackfork Group, the Middle Jackfork Group is characterized by </w:t>
      </w:r>
      <w:r>
        <w:t>massive sandstones with scoured (lenticular) surfaces</w:t>
      </w:r>
      <w:r w:rsidRPr="00323427">
        <w:t xml:space="preserve">. In </w:t>
      </w:r>
      <w:r w:rsidR="00AA1B9C">
        <w:rPr>
          <w:rFonts w:hint="eastAsia"/>
        </w:rPr>
        <w:t>Roadcut 5</w:t>
      </w:r>
      <w:r w:rsidRPr="00323427">
        <w:t xml:space="preserve">, </w:t>
      </w:r>
      <w:r>
        <w:t xml:space="preserve">individual sandstone </w:t>
      </w:r>
      <w:r>
        <w:rPr>
          <w:rFonts w:hint="eastAsia"/>
        </w:rPr>
        <w:t xml:space="preserve">bed thickness is </w:t>
      </w:r>
      <w:r w:rsidRPr="00323427">
        <w:t xml:space="preserve">typically 1-2 m </w:t>
      </w:r>
      <w:r>
        <w:t>with frequent scour surfaces, and</w:t>
      </w:r>
      <w:r w:rsidRPr="00323427">
        <w:t xml:space="preserve"> amal</w:t>
      </w:r>
      <w:r w:rsidRPr="007B1C0B">
        <w:t>gamated</w:t>
      </w:r>
      <w:r w:rsidR="00D058D2">
        <w:t xml:space="preserve"> s</w:t>
      </w:r>
      <w:r w:rsidRPr="007B1C0B">
        <w:t>andstones</w:t>
      </w:r>
      <w:r w:rsidR="00D058D2">
        <w:t xml:space="preserve"> </w:t>
      </w:r>
      <w:r w:rsidRPr="007B1C0B">
        <w:t xml:space="preserve">up to </w:t>
      </w:r>
      <w:r w:rsidRPr="007B1C0B">
        <w:rPr>
          <w:rFonts w:hint="eastAsia"/>
        </w:rPr>
        <w:t>6</w:t>
      </w:r>
      <w:r w:rsidRPr="007B1C0B">
        <w:t>m thick.</w:t>
      </w:r>
      <w:r w:rsidRPr="007B1C0B">
        <w:rPr>
          <w:rFonts w:hint="eastAsia"/>
        </w:rPr>
        <w:t xml:space="preserve"> </w:t>
      </w:r>
      <w:r w:rsidR="00AA1B9C">
        <w:rPr>
          <w:rFonts w:hint="eastAsia"/>
        </w:rPr>
        <w:t>Roadcut 6</w:t>
      </w:r>
      <w:r w:rsidRPr="007B1C0B">
        <w:t xml:space="preserve"> is poorly e</w:t>
      </w:r>
      <w:r>
        <w:t xml:space="preserve">xposed and is partially covered by vegetation. However, one can still observe most exposed sandstones with massive scoured (lenticular) beds. </w:t>
      </w:r>
    </w:p>
    <w:p w:rsidR="00C65A26" w:rsidRDefault="0023564E" w:rsidP="00C65A26">
      <w:pPr>
        <w:ind w:firstLine="420"/>
      </w:pPr>
      <w:r>
        <w:rPr>
          <w:rFonts w:hint="eastAsia"/>
        </w:rPr>
        <w:t>BQ_Section_1</w:t>
      </w:r>
      <w:r w:rsidR="00C65A26">
        <w:t xml:space="preserve">, </w:t>
      </w:r>
      <w:r w:rsidR="00C65A26">
        <w:rPr>
          <w:rFonts w:hint="eastAsia"/>
        </w:rPr>
        <w:t>2</w:t>
      </w:r>
      <w:r w:rsidR="00C65A26">
        <w:t xml:space="preserve"> and </w:t>
      </w:r>
      <w:r w:rsidR="00C65A26">
        <w:rPr>
          <w:rFonts w:hint="eastAsia"/>
        </w:rPr>
        <w:t>3</w:t>
      </w:r>
      <w:r w:rsidR="00C65A26">
        <w:t xml:space="preserve"> are in the Baumgartner Quarry</w:t>
      </w:r>
      <w:r w:rsidR="005A1D54">
        <w:t xml:space="preserve"> (Figure 2.9)</w:t>
      </w:r>
      <w:r w:rsidR="00C65A26">
        <w:t xml:space="preserve">, with </w:t>
      </w:r>
      <w:r>
        <w:rPr>
          <w:rFonts w:hint="eastAsia"/>
        </w:rPr>
        <w:t>BQ_Section_1</w:t>
      </w:r>
      <w:r w:rsidR="00C65A26" w:rsidRPr="007B1C0B">
        <w:rPr>
          <w:rFonts w:hint="eastAsia"/>
        </w:rPr>
        <w:t xml:space="preserve"> </w:t>
      </w:r>
      <w:r w:rsidR="00C65A26" w:rsidRPr="007B1C0B">
        <w:t>beginning</w:t>
      </w:r>
      <w:r w:rsidR="00C65A26" w:rsidRPr="007B1C0B">
        <w:rPr>
          <w:rFonts w:hint="eastAsia"/>
        </w:rPr>
        <w:t xml:space="preserve"> at</w:t>
      </w:r>
      <w:r w:rsidR="00C65A26" w:rsidRPr="00323427">
        <w:rPr>
          <w:rFonts w:hint="eastAsia"/>
        </w:rPr>
        <w:t xml:space="preserve"> the entrance of the quarry (near the pond). </w:t>
      </w:r>
      <w:r>
        <w:rPr>
          <w:rFonts w:hint="eastAsia"/>
        </w:rPr>
        <w:t>BQ_Section_1</w:t>
      </w:r>
      <w:r w:rsidR="00C65A26" w:rsidRPr="00323427">
        <w:rPr>
          <w:rFonts w:hint="eastAsia"/>
        </w:rPr>
        <w:t xml:space="preserve"> is along the drainage of the quarry, </w:t>
      </w:r>
      <w:r w:rsidR="00C65A26">
        <w:t>wit</w:t>
      </w:r>
      <w:r w:rsidR="00C65A26" w:rsidRPr="007B1C0B">
        <w:t>h</w:t>
      </w:r>
      <w:r w:rsidR="00C65A26" w:rsidRPr="007B1C0B">
        <w:rPr>
          <w:rFonts w:hint="eastAsia"/>
        </w:rPr>
        <w:t xml:space="preserve"> only </w:t>
      </w:r>
      <w:r w:rsidR="00C65A26" w:rsidRPr="007B1C0B">
        <w:t>a</w:t>
      </w:r>
      <w:r w:rsidR="005A1D54">
        <w:t xml:space="preserve"> </w:t>
      </w:r>
      <w:r w:rsidR="00C65A26" w:rsidRPr="007B1C0B">
        <w:t xml:space="preserve">2-3m </w:t>
      </w:r>
      <w:r w:rsidR="00D058D2" w:rsidRPr="007B1C0B">
        <w:t>narrow exposure</w:t>
      </w:r>
      <w:r w:rsidR="00C65A26" w:rsidRPr="007B1C0B">
        <w:t xml:space="preserve"> of strata</w:t>
      </w:r>
      <w:r w:rsidR="00C65A26" w:rsidRPr="007B1C0B">
        <w:rPr>
          <w:rFonts w:hint="eastAsia"/>
        </w:rPr>
        <w:t xml:space="preserve">. </w:t>
      </w:r>
      <w:r>
        <w:rPr>
          <w:rFonts w:hint="eastAsia"/>
        </w:rPr>
        <w:t>BQ_Section_2</w:t>
      </w:r>
      <w:r w:rsidR="005A1D54">
        <w:t xml:space="preserve"> </w:t>
      </w:r>
      <w:r w:rsidR="00C65A26" w:rsidRPr="007B1C0B">
        <w:rPr>
          <w:rFonts w:hint="eastAsia"/>
        </w:rPr>
        <w:t xml:space="preserve">is up on the hill </w:t>
      </w:r>
      <w:r w:rsidR="00C65A26" w:rsidRPr="007B1C0B">
        <w:t xml:space="preserve">and </w:t>
      </w:r>
      <w:r w:rsidR="00D058D2" w:rsidRPr="007B1C0B">
        <w:t>is about</w:t>
      </w:r>
      <w:r w:rsidR="00C65A26" w:rsidRPr="007B1C0B">
        <w:rPr>
          <w:rFonts w:hint="eastAsia"/>
        </w:rPr>
        <w:t xml:space="preserve"> 270m wide and</w:t>
      </w:r>
      <w:r w:rsidR="00C65A26" w:rsidRPr="00323427">
        <w:rPr>
          <w:rFonts w:hint="eastAsia"/>
        </w:rPr>
        <w:t xml:space="preserve"> 130m thick</w:t>
      </w:r>
      <w:r w:rsidR="00B7353E">
        <w:t xml:space="preserve"> (Figure 2.10)</w:t>
      </w:r>
      <w:r w:rsidR="00C65A26" w:rsidRPr="00323427">
        <w:rPr>
          <w:rFonts w:hint="eastAsia"/>
        </w:rPr>
        <w:t xml:space="preserve">. </w:t>
      </w:r>
      <w:r w:rsidR="00EF54B2">
        <w:t>Three</w:t>
      </w:r>
      <w:r w:rsidR="00C65A26" w:rsidRPr="00323427">
        <w:rPr>
          <w:rFonts w:hint="eastAsia"/>
        </w:rPr>
        <w:t xml:space="preserve"> major, </w:t>
      </w:r>
      <w:r w:rsidR="00D058D2" w:rsidRPr="00323427">
        <w:t>thick,</w:t>
      </w:r>
      <w:r w:rsidR="00D058D2">
        <w:t xml:space="preserve"> and</w:t>
      </w:r>
      <w:r w:rsidR="00C65A26">
        <w:t xml:space="preserve"> distinct </w:t>
      </w:r>
      <w:r w:rsidR="00C65A26" w:rsidRPr="00323427">
        <w:rPr>
          <w:rFonts w:hint="eastAsia"/>
        </w:rPr>
        <w:t xml:space="preserve">shale packages </w:t>
      </w:r>
      <w:r w:rsidR="00C65A26">
        <w:t xml:space="preserve">occur </w:t>
      </w:r>
      <w:r w:rsidR="00C65A26" w:rsidRPr="00323427">
        <w:rPr>
          <w:rFonts w:hint="eastAsia"/>
        </w:rPr>
        <w:t>at 870m</w:t>
      </w:r>
      <w:r w:rsidR="00C65A26">
        <w:t>,</w:t>
      </w:r>
      <w:r w:rsidR="00C65A26" w:rsidRPr="00323427">
        <w:rPr>
          <w:rFonts w:hint="eastAsia"/>
        </w:rPr>
        <w:t xml:space="preserve"> 935m</w:t>
      </w:r>
      <w:r w:rsidR="00C65A26">
        <w:t xml:space="preserve"> and 1120m</w:t>
      </w:r>
      <w:r w:rsidR="00C65A26" w:rsidRPr="00323427">
        <w:rPr>
          <w:rFonts w:hint="eastAsia"/>
        </w:rPr>
        <w:t xml:space="preserve">, </w:t>
      </w:r>
      <w:r w:rsidR="00C65A26">
        <w:t xml:space="preserve">and </w:t>
      </w:r>
      <w:r w:rsidR="00C65A26" w:rsidRPr="00323427">
        <w:rPr>
          <w:rFonts w:hint="eastAsia"/>
        </w:rPr>
        <w:t>are 17m</w:t>
      </w:r>
      <w:r w:rsidR="00C65A26">
        <w:t>,</w:t>
      </w:r>
      <w:r w:rsidR="00C65A26" w:rsidRPr="00323427">
        <w:rPr>
          <w:rFonts w:hint="eastAsia"/>
        </w:rPr>
        <w:t xml:space="preserve"> 21m</w:t>
      </w:r>
      <w:r w:rsidR="00AA1B9C">
        <w:rPr>
          <w:rFonts w:hint="eastAsia"/>
          <w:lang w:eastAsia="zh-CN"/>
        </w:rPr>
        <w:t xml:space="preserve"> </w:t>
      </w:r>
      <w:r w:rsidR="00C65A26">
        <w:t xml:space="preserve">and 30m </w:t>
      </w:r>
      <w:r w:rsidR="00C65A26" w:rsidRPr="00323427">
        <w:rPr>
          <w:rFonts w:hint="eastAsia"/>
        </w:rPr>
        <w:t>t</w:t>
      </w:r>
      <w:r w:rsidR="00C65A26" w:rsidRPr="007B1C0B">
        <w:rPr>
          <w:rFonts w:hint="eastAsia"/>
        </w:rPr>
        <w:t>hick</w:t>
      </w:r>
      <w:r w:rsidR="00C65A26" w:rsidRPr="007B1C0B">
        <w:t>,</w:t>
      </w:r>
      <w:r w:rsidR="00C65A26" w:rsidRPr="007B1C0B">
        <w:rPr>
          <w:rFonts w:hint="eastAsia"/>
        </w:rPr>
        <w:t xml:space="preserve"> respec</w:t>
      </w:r>
      <w:r w:rsidR="00C65A26" w:rsidRPr="00323427">
        <w:rPr>
          <w:rFonts w:hint="eastAsia"/>
        </w:rPr>
        <w:t xml:space="preserve">tively. </w:t>
      </w:r>
      <w:r w:rsidR="00C65A26">
        <w:t>Fr</w:t>
      </w:r>
      <w:r w:rsidR="00C65A26" w:rsidRPr="00323427">
        <w:t>iable</w:t>
      </w:r>
      <w:r w:rsidR="00C65A26" w:rsidRPr="00323427">
        <w:rPr>
          <w:rFonts w:hint="eastAsia"/>
        </w:rPr>
        <w:t xml:space="preserve"> sandstones </w:t>
      </w:r>
      <w:r w:rsidR="00D058D2" w:rsidRPr="00323427">
        <w:t>occur from</w:t>
      </w:r>
      <w:r w:rsidR="00C65A26" w:rsidRPr="00323427">
        <w:rPr>
          <w:rFonts w:hint="eastAsia"/>
        </w:rPr>
        <w:t xml:space="preserve"> 920m to </w:t>
      </w:r>
      <w:r w:rsidR="00C65A26" w:rsidRPr="00323427">
        <w:rPr>
          <w:rFonts w:hint="eastAsia"/>
        </w:rPr>
        <w:lastRenderedPageBreak/>
        <w:t>930m.The main quarry</w:t>
      </w:r>
      <w:r w:rsidR="00C65A26">
        <w:t xml:space="preserve"> (</w:t>
      </w:r>
      <w:r>
        <w:rPr>
          <w:rFonts w:hint="eastAsia"/>
        </w:rPr>
        <w:t>BQ_Section_3</w:t>
      </w:r>
      <w:r w:rsidR="00C65A26">
        <w:t>)</w:t>
      </w:r>
      <w:r w:rsidR="00C65A26" w:rsidRPr="00323427">
        <w:rPr>
          <w:rFonts w:hint="eastAsia"/>
        </w:rPr>
        <w:t xml:space="preserve"> has been divided into the "Lower Sand", "Middle Shale" and "Upper Sand". </w:t>
      </w:r>
      <w:r w:rsidR="00C65A26">
        <w:rPr>
          <w:rFonts w:hint="eastAsia"/>
        </w:rPr>
        <w:t xml:space="preserve">The Lower </w:t>
      </w:r>
      <w:r w:rsidR="00C65A26">
        <w:t>Channelized</w:t>
      </w:r>
      <w:r w:rsidR="00C65A26">
        <w:rPr>
          <w:rFonts w:hint="eastAsia"/>
        </w:rPr>
        <w:t xml:space="preserve"> Sand and Upper Sheet-prone Sand have been </w:t>
      </w:r>
      <w:r w:rsidR="00C65A26">
        <w:t>described</w:t>
      </w:r>
      <w:r w:rsidR="00C65A26">
        <w:rPr>
          <w:rFonts w:hint="eastAsia"/>
        </w:rPr>
        <w:t xml:space="preserve">, modeled and simulated using a deepwater Gulf of Mexico field case. The results indicate a faster decline of </w:t>
      </w:r>
      <w:r w:rsidR="00D058D2">
        <w:t>channelized sands</w:t>
      </w:r>
      <w:r w:rsidR="00C65A26">
        <w:rPr>
          <w:rFonts w:hint="eastAsia"/>
        </w:rPr>
        <w:t xml:space="preserve"> with higher initial rates versus a slower decline of sheet </w:t>
      </w:r>
      <w:r w:rsidR="00D058D2">
        <w:t>sands.</w:t>
      </w:r>
      <w:r w:rsidR="00D058D2" w:rsidRPr="00323427">
        <w:t xml:space="preserve"> These</w:t>
      </w:r>
      <w:r w:rsidR="00C65A26" w:rsidRPr="00323427">
        <w:rPr>
          <w:rFonts w:hint="eastAsia"/>
        </w:rPr>
        <w:t xml:space="preserve"> have been discussed in detail by Zou </w:t>
      </w:r>
      <w:r w:rsidR="00880C6B" w:rsidRPr="00880C6B">
        <w:rPr>
          <w:rFonts w:hint="eastAsia"/>
          <w:i/>
        </w:rPr>
        <w:t>et al.</w:t>
      </w:r>
      <w:r w:rsidR="00C65A26" w:rsidRPr="00323427">
        <w:rPr>
          <w:rFonts w:hint="eastAsia"/>
        </w:rPr>
        <w:t xml:space="preserve"> (2012)</w:t>
      </w:r>
      <w:r w:rsidR="00D30E0D">
        <w:t>, so</w:t>
      </w:r>
      <w:r w:rsidR="00C65A26" w:rsidRPr="00323427">
        <w:rPr>
          <w:rFonts w:hint="eastAsia"/>
        </w:rPr>
        <w:t xml:space="preserve"> </w:t>
      </w:r>
      <w:r w:rsidR="00C65A26">
        <w:rPr>
          <w:rFonts w:hint="eastAsia"/>
        </w:rPr>
        <w:t>BQ_Section</w:t>
      </w:r>
      <w:r w:rsidR="00D30E0D">
        <w:t>_</w:t>
      </w:r>
      <w:r w:rsidR="00C65A26">
        <w:rPr>
          <w:rFonts w:hint="eastAsia"/>
        </w:rPr>
        <w:t>3</w:t>
      </w:r>
      <w:r w:rsidR="00C65A26" w:rsidRPr="00323427">
        <w:rPr>
          <w:rFonts w:hint="eastAsia"/>
        </w:rPr>
        <w:t xml:space="preserve"> is not repeated here in any detail.</w:t>
      </w:r>
    </w:p>
    <w:p w:rsidR="00C65A26" w:rsidRDefault="00C65A26" w:rsidP="00C65A26">
      <w:r>
        <w:tab/>
      </w:r>
      <w:r>
        <w:rPr>
          <w:rFonts w:hint="eastAsia"/>
        </w:rPr>
        <w:t>Roadcut</w:t>
      </w:r>
      <w:r w:rsidR="008C5287">
        <w:t xml:space="preserve"> </w:t>
      </w:r>
      <w:r>
        <w:rPr>
          <w:rFonts w:hint="eastAsia"/>
        </w:rPr>
        <w:t>7</w:t>
      </w:r>
      <w:r>
        <w:t xml:space="preserve"> is at the turn of High</w:t>
      </w:r>
      <w:r w:rsidRPr="00AC61E6">
        <w:t>way 27</w:t>
      </w:r>
      <w:r w:rsidR="008C5287">
        <w:t xml:space="preserve"> </w:t>
      </w:r>
      <w:r w:rsidRPr="00AC61E6">
        <w:t>southwest of the quarry</w:t>
      </w:r>
      <w:r w:rsidR="008C5287">
        <w:t xml:space="preserve"> (Figure 2.10)</w:t>
      </w:r>
      <w:r w:rsidRPr="00AC61E6">
        <w:t>. It i</w:t>
      </w:r>
      <w:r>
        <w:t xml:space="preserve">s 1600m away from the Lower Sand of </w:t>
      </w:r>
      <w:r w:rsidR="000305A3">
        <w:rPr>
          <w:rFonts w:hint="eastAsia"/>
        </w:rPr>
        <w:t>BQ_Section_3</w:t>
      </w:r>
      <w:r>
        <w:rPr>
          <w:rFonts w:hint="eastAsia"/>
        </w:rPr>
        <w:t xml:space="preserve"> </w:t>
      </w:r>
      <w:r>
        <w:t xml:space="preserve">along the strike direction. Similar to the Lower Sand in </w:t>
      </w:r>
      <w:r w:rsidR="000305A3">
        <w:rPr>
          <w:rFonts w:hint="eastAsia"/>
        </w:rPr>
        <w:t>BQ_Section_3</w:t>
      </w:r>
      <w:r>
        <w:t>, it is mostly amalgamated sandstones with scour surfaces. With 1600m distance along strike, direct</w:t>
      </w:r>
      <w:r>
        <w:rPr>
          <w:rFonts w:hint="eastAsia"/>
        </w:rPr>
        <w:t xml:space="preserve"> bed-level</w:t>
      </w:r>
      <w:r>
        <w:t xml:space="preserve"> correlation</w:t>
      </w:r>
      <w:r>
        <w:rPr>
          <w:rFonts w:hint="eastAsia"/>
        </w:rPr>
        <w:t xml:space="preserve"> to </w:t>
      </w:r>
      <w:r w:rsidR="000305A3">
        <w:rPr>
          <w:rFonts w:hint="eastAsia"/>
        </w:rPr>
        <w:t>BQ_Section_3</w:t>
      </w:r>
      <w:r>
        <w:t xml:space="preserve"> is difficult.</w:t>
      </w:r>
    </w:p>
    <w:p w:rsidR="00C65A26" w:rsidRDefault="00C65A26" w:rsidP="00C65A26"/>
    <w:p w:rsidR="00C65A26" w:rsidRPr="000213F0" w:rsidRDefault="00C65A26" w:rsidP="00C65A26">
      <w:pPr>
        <w:rPr>
          <w:b/>
        </w:rPr>
      </w:pPr>
      <w:r>
        <w:rPr>
          <w:rFonts w:hint="eastAsia"/>
          <w:b/>
        </w:rPr>
        <w:t>Interpretation</w:t>
      </w:r>
    </w:p>
    <w:p w:rsidR="00C65A26" w:rsidRDefault="00AA1B9C" w:rsidP="00C65A26">
      <w:pPr>
        <w:ind w:firstLine="420"/>
        <w:rPr>
          <w:lang w:eastAsia="zh-CN"/>
        </w:rPr>
      </w:pPr>
      <w:r>
        <w:rPr>
          <w:rFonts w:hint="eastAsia"/>
        </w:rPr>
        <w:t>Roadcut 5</w:t>
      </w:r>
      <w:r w:rsidR="00C65A26" w:rsidRPr="00323427">
        <w:t xml:space="preserve"> is bounded by shaly units</w:t>
      </w:r>
      <w:r w:rsidR="00C65A26">
        <w:t xml:space="preserve"> above </w:t>
      </w:r>
      <w:r w:rsidR="00D058D2">
        <w:t>and</w:t>
      </w:r>
      <w:r w:rsidR="00D058D2" w:rsidRPr="00323427">
        <w:t xml:space="preserve"> below</w:t>
      </w:r>
      <w:r w:rsidR="00C65A26">
        <w:t>, indicating</w:t>
      </w:r>
      <w:r w:rsidR="00C65A26" w:rsidRPr="00323427">
        <w:t xml:space="preserve"> </w:t>
      </w:r>
      <w:r w:rsidR="009163CF">
        <w:t xml:space="preserve">that it belongs to </w:t>
      </w:r>
      <w:r w:rsidR="00C65A26" w:rsidRPr="00323427">
        <w:t xml:space="preserve">a </w:t>
      </w:r>
      <w:r w:rsidR="002234EC">
        <w:rPr>
          <w:rFonts w:hint="eastAsia"/>
          <w:lang w:eastAsia="zh-CN"/>
        </w:rPr>
        <w:t xml:space="preserve">potential </w:t>
      </w:r>
      <w:r w:rsidR="00D865E2">
        <w:rPr>
          <w:rFonts w:hint="eastAsia"/>
          <w:lang w:eastAsia="zh-CN"/>
        </w:rPr>
        <w:t>proximal distributary complex</w:t>
      </w:r>
      <w:r w:rsidR="0023564E">
        <w:t>, which is similar concept by</w:t>
      </w:r>
      <w:r w:rsidR="00C65A26">
        <w:t xml:space="preserve"> Sprague </w:t>
      </w:r>
      <w:r w:rsidR="00880C6B" w:rsidRPr="00880C6B">
        <w:rPr>
          <w:i/>
        </w:rPr>
        <w:t>et al.</w:t>
      </w:r>
      <w:r w:rsidR="009163CF">
        <w:t xml:space="preserve"> (</w:t>
      </w:r>
      <w:r w:rsidR="00C65A26">
        <w:t>2002</w:t>
      </w:r>
      <w:r w:rsidR="00C65A26">
        <w:rPr>
          <w:rFonts w:hint="eastAsia"/>
        </w:rPr>
        <w:t>)</w:t>
      </w:r>
      <w:r w:rsidR="0023564E">
        <w:rPr>
          <w:rFonts w:hint="eastAsia"/>
          <w:lang w:eastAsia="zh-CN"/>
        </w:rPr>
        <w:t xml:space="preserve"> </w:t>
      </w:r>
      <w:r w:rsidR="0023564E">
        <w:rPr>
          <w:lang w:eastAsia="zh-CN"/>
        </w:rPr>
        <w:t>except</w:t>
      </w:r>
      <w:r w:rsidR="0023564E">
        <w:rPr>
          <w:rFonts w:hint="eastAsia"/>
          <w:lang w:eastAsia="zh-CN"/>
        </w:rPr>
        <w:t xml:space="preserve"> that Jackfork </w:t>
      </w:r>
      <w:r w:rsidR="0023564E">
        <w:rPr>
          <w:lang w:eastAsia="zh-CN"/>
        </w:rPr>
        <w:t>channel</w:t>
      </w:r>
      <w:r w:rsidR="0023564E">
        <w:rPr>
          <w:rFonts w:hint="eastAsia"/>
          <w:lang w:eastAsia="zh-CN"/>
        </w:rPr>
        <w:t>s are in deeper water</w:t>
      </w:r>
      <w:r w:rsidR="00C65A26" w:rsidRPr="00323427">
        <w:t>.</w:t>
      </w:r>
      <w:r w:rsidR="00C65A26">
        <w:rPr>
          <w:rFonts w:hint="eastAsia"/>
        </w:rPr>
        <w:t xml:space="preserve"> </w:t>
      </w:r>
      <w:r>
        <w:rPr>
          <w:rFonts w:hint="eastAsia"/>
        </w:rPr>
        <w:t>Roadcut 6</w:t>
      </w:r>
      <w:r w:rsidR="00C65A26">
        <w:rPr>
          <w:rFonts w:hint="eastAsia"/>
        </w:rPr>
        <w:t xml:space="preserve">, </w:t>
      </w:r>
      <w:r w:rsidR="0023564E">
        <w:rPr>
          <w:rFonts w:hint="eastAsia"/>
        </w:rPr>
        <w:t>BQ_Section_1</w:t>
      </w:r>
      <w:r w:rsidR="00C65A26">
        <w:rPr>
          <w:rFonts w:hint="eastAsia"/>
        </w:rPr>
        <w:t xml:space="preserve"> and 2</w:t>
      </w:r>
      <w:r w:rsidR="00C65A26">
        <w:t xml:space="preserve"> all have thicker massive channelized sandstones, indicting a potential drop of sea-level </w:t>
      </w:r>
      <w:r w:rsidR="00C65A26">
        <w:rPr>
          <w:rFonts w:hint="eastAsia"/>
        </w:rPr>
        <w:t>or</w:t>
      </w:r>
      <w:r w:rsidR="00C65A26">
        <w:t xml:space="preserve"> regression associate with large amount of sediment input and basin subsidence</w:t>
      </w:r>
      <w:r w:rsidR="009163CF">
        <w:t xml:space="preserve"> (Figure 2.11)</w:t>
      </w:r>
      <w:r w:rsidR="00C65A26">
        <w:t>. Three thick parallel laminated shale packages at 870m, 935m and 1120m</w:t>
      </w:r>
      <w:r w:rsidR="00C65A26">
        <w:rPr>
          <w:rFonts w:hint="eastAsia"/>
        </w:rPr>
        <w:t xml:space="preserve">, </w:t>
      </w:r>
      <w:r w:rsidR="00C65A26">
        <w:t xml:space="preserve">indicate potential condensed </w:t>
      </w:r>
      <w:r w:rsidR="00D058D2">
        <w:t>sections.</w:t>
      </w:r>
      <w:r w:rsidR="00D058D2" w:rsidRPr="00B3726F">
        <w:t xml:space="preserve"> </w:t>
      </w:r>
      <w:r w:rsidR="002234EC">
        <w:rPr>
          <w:rFonts w:hint="eastAsia"/>
          <w:lang w:eastAsia="zh-CN"/>
        </w:rPr>
        <w:t xml:space="preserve">These are higher-order </w:t>
      </w:r>
      <w:r w:rsidR="002234EC">
        <w:rPr>
          <w:lang w:eastAsia="zh-CN"/>
        </w:rPr>
        <w:t>transgression</w:t>
      </w:r>
      <w:r w:rsidR="002234EC">
        <w:rPr>
          <w:rFonts w:hint="eastAsia"/>
          <w:lang w:eastAsia="zh-CN"/>
        </w:rPr>
        <w:t xml:space="preserve"> stacked </w:t>
      </w:r>
      <w:r w:rsidR="00277669">
        <w:rPr>
          <w:rFonts w:hint="eastAsia"/>
          <w:lang w:eastAsia="zh-CN"/>
        </w:rPr>
        <w:t>on</w:t>
      </w:r>
      <w:r w:rsidR="002234EC">
        <w:rPr>
          <w:rFonts w:hint="eastAsia"/>
          <w:lang w:eastAsia="zh-CN"/>
        </w:rPr>
        <w:t xml:space="preserve"> a lower-order regression during Early </w:t>
      </w:r>
      <w:r w:rsidR="002234EC">
        <w:rPr>
          <w:lang w:eastAsia="zh-CN"/>
        </w:rPr>
        <w:t>Pennsylvanian</w:t>
      </w:r>
      <w:r w:rsidR="002234EC">
        <w:rPr>
          <w:rFonts w:hint="eastAsia"/>
          <w:lang w:eastAsia="zh-CN"/>
        </w:rPr>
        <w:t xml:space="preserve"> time. </w:t>
      </w:r>
      <w:r w:rsidR="00C65A26">
        <w:t xml:space="preserve">The 270m lateral exposure of </w:t>
      </w:r>
      <w:r w:rsidR="0023564E">
        <w:t>BQ_Section_2</w:t>
      </w:r>
      <w:r w:rsidR="00C65A26">
        <w:t xml:space="preserve"> shows good continuities</w:t>
      </w:r>
      <w:r w:rsidR="00277669">
        <w:rPr>
          <w:rFonts w:hint="eastAsia"/>
          <w:lang w:eastAsia="zh-CN"/>
        </w:rPr>
        <w:t xml:space="preserve"> against lenticular </w:t>
      </w:r>
      <w:r w:rsidR="00277669">
        <w:rPr>
          <w:lang w:eastAsia="zh-CN"/>
        </w:rPr>
        <w:t>geometries</w:t>
      </w:r>
      <w:r w:rsidR="00C65A26">
        <w:t xml:space="preserve"> of all channelized sandstones along strike, indicating a more </w:t>
      </w:r>
      <w:r w:rsidR="00D865E2">
        <w:rPr>
          <w:rFonts w:hint="eastAsia"/>
          <w:lang w:eastAsia="zh-CN"/>
        </w:rPr>
        <w:t>weekly confined channel</w:t>
      </w:r>
      <w:r w:rsidR="008D778C">
        <w:rPr>
          <w:rFonts w:hint="eastAsia"/>
          <w:lang w:eastAsia="zh-CN"/>
        </w:rPr>
        <w:t xml:space="preserve"> and splays</w:t>
      </w:r>
      <w:r w:rsidR="00C65A26">
        <w:t xml:space="preserve"> </w:t>
      </w:r>
      <w:r w:rsidR="00C65A26">
        <w:lastRenderedPageBreak/>
        <w:t xml:space="preserve">environment. In summary, the entire Middle Jackfork Group is </w:t>
      </w:r>
      <w:r w:rsidR="00D058D2">
        <w:t>an unconfined</w:t>
      </w:r>
      <w:r w:rsidR="00C65A26">
        <w:t xml:space="preserve"> channelized sequence located at the do</w:t>
      </w:r>
      <w:r w:rsidR="00C65A26" w:rsidRPr="00B3726F">
        <w:t xml:space="preserve">wnslope environment, with </w:t>
      </w:r>
      <w:r w:rsidR="00C65A26">
        <w:rPr>
          <w:rFonts w:hint="eastAsia"/>
        </w:rPr>
        <w:t>three</w:t>
      </w:r>
      <w:r w:rsidR="00C65A26" w:rsidRPr="00B3726F">
        <w:t xml:space="preserve"> exposed potential condensed sections in the upper </w:t>
      </w:r>
      <w:r w:rsidR="00DE28D6">
        <w:t>interval</w:t>
      </w:r>
      <w:r w:rsidR="00DE28D6">
        <w:rPr>
          <w:rFonts w:hint="eastAsia"/>
          <w:lang w:eastAsia="zh-CN"/>
        </w:rPr>
        <w:t>,</w:t>
      </w:r>
      <w:r w:rsidR="00D058D2" w:rsidRPr="00B3726F">
        <w:t xml:space="preserve"> and</w:t>
      </w:r>
      <w:r w:rsidR="00C65A26" w:rsidRPr="00B3726F">
        <w:t xml:space="preserve"> some in</w:t>
      </w:r>
      <w:r w:rsidR="008D778C">
        <w:t xml:space="preserve">tervals of unconsolidated sands caused by surface weathering. </w:t>
      </w:r>
      <w:proofErr w:type="gramStart"/>
      <w:r w:rsidR="008D778C">
        <w:rPr>
          <w:rFonts w:hint="eastAsia"/>
          <w:lang w:eastAsia="zh-CN"/>
        </w:rPr>
        <w:t>These</w:t>
      </w:r>
      <w:proofErr w:type="gramEnd"/>
      <w:r w:rsidR="008D778C">
        <w:rPr>
          <w:rFonts w:hint="eastAsia"/>
          <w:lang w:eastAsia="zh-CN"/>
        </w:rPr>
        <w:t xml:space="preserve"> </w:t>
      </w:r>
      <w:r w:rsidR="008D778C">
        <w:rPr>
          <w:lang w:eastAsia="zh-CN"/>
        </w:rPr>
        <w:t>friable</w:t>
      </w:r>
      <w:r w:rsidR="008D778C">
        <w:rPr>
          <w:rFonts w:hint="eastAsia"/>
          <w:lang w:eastAsia="zh-CN"/>
        </w:rPr>
        <w:t xml:space="preserve"> sandstone are interpreted as close to the axis of a distributary system (Omatsola, 2003).</w:t>
      </w:r>
    </w:p>
    <w:p w:rsidR="00C65A26" w:rsidRPr="00323427" w:rsidRDefault="00C65A26" w:rsidP="00C65A26">
      <w:pPr>
        <w:rPr>
          <w:color w:val="FF0000"/>
        </w:rPr>
      </w:pPr>
    </w:p>
    <w:p w:rsidR="00C65A26" w:rsidRDefault="00C65A26" w:rsidP="00C65A26">
      <w:pPr>
        <w:rPr>
          <w:b/>
        </w:rPr>
      </w:pPr>
      <w:r w:rsidRPr="00323427">
        <w:rPr>
          <w:b/>
        </w:rPr>
        <w:t>Upper</w:t>
      </w:r>
      <w:r w:rsidRPr="00323427">
        <w:rPr>
          <w:rFonts w:hint="eastAsia"/>
          <w:b/>
        </w:rPr>
        <w:t xml:space="preserve"> Jackfork Group</w:t>
      </w:r>
    </w:p>
    <w:p w:rsidR="00574BE7" w:rsidRDefault="00574BE7" w:rsidP="00574BE7">
      <w:pPr>
        <w:ind w:firstLine="720"/>
        <w:rPr>
          <w:b/>
        </w:rPr>
      </w:pPr>
      <w:r>
        <w:rPr>
          <w:rFonts w:ascii="Times New Roman" w:hAnsi="Times New Roman"/>
          <w:sz w:val="23"/>
          <w:szCs w:val="23"/>
        </w:rPr>
        <w:t xml:space="preserve">General outcrop description and interpretation of the Upper Jackfork Group in Kirby Sections is summarized in Table 2.4. </w:t>
      </w:r>
      <w:r w:rsidRPr="00323427">
        <w:t>The boundary between Middle and Upper Jackfork</w:t>
      </w:r>
      <w:r>
        <w:t xml:space="preserve"> Group</w:t>
      </w:r>
      <w:r w:rsidRPr="00323427">
        <w:t xml:space="preserve"> is</w:t>
      </w:r>
      <w:r>
        <w:t xml:space="preserve"> defined as</w:t>
      </w:r>
      <w:r w:rsidRPr="00323427">
        <w:t xml:space="preserve"> the 30</w:t>
      </w:r>
      <w:r>
        <w:t>-</w:t>
      </w:r>
      <w:r w:rsidRPr="00323427">
        <w:t>m</w:t>
      </w:r>
      <w:r>
        <w:t xml:space="preserve"> thick “Middle Shale” at 112</w:t>
      </w:r>
      <w:r w:rsidRPr="00C22131">
        <w:t xml:space="preserve">0m </w:t>
      </w:r>
      <w:r w:rsidRPr="00C22131">
        <w:rPr>
          <w:rFonts w:hint="eastAsia"/>
        </w:rPr>
        <w:t>(</w:t>
      </w:r>
      <w:r>
        <w:rPr>
          <w:rFonts w:hint="eastAsia"/>
        </w:rPr>
        <w:t>Figure 2.</w:t>
      </w:r>
      <w:r w:rsidR="007E7176">
        <w:t>11</w:t>
      </w:r>
      <w:r w:rsidRPr="00C22131">
        <w:t xml:space="preserve">, Zou </w:t>
      </w:r>
      <w:r w:rsidR="00880C6B" w:rsidRPr="00880C6B">
        <w:rPr>
          <w:i/>
        </w:rPr>
        <w:t>et al.</w:t>
      </w:r>
      <w:r w:rsidRPr="00C22131">
        <w:t>, 2012</w:t>
      </w:r>
      <w:r w:rsidRPr="00C22131">
        <w:rPr>
          <w:rFonts w:hint="eastAsia"/>
        </w:rPr>
        <w:t>)</w:t>
      </w:r>
      <w:r w:rsidRPr="00C22131">
        <w:t>.</w:t>
      </w:r>
      <w:r>
        <w:t xml:space="preserve"> </w:t>
      </w:r>
      <w:r w:rsidRPr="00323427">
        <w:t>Approximately</w:t>
      </w:r>
      <w:r>
        <w:rPr>
          <w:rFonts w:hint="eastAsia"/>
        </w:rPr>
        <w:t xml:space="preserve"> </w:t>
      </w:r>
      <w:r w:rsidR="007E7176">
        <w:t>490m</w:t>
      </w:r>
      <w:r>
        <w:rPr>
          <w:rFonts w:hint="eastAsia"/>
        </w:rPr>
        <w:t xml:space="preserve"> </w:t>
      </w:r>
      <w:r w:rsidRPr="00323427">
        <w:rPr>
          <w:rFonts w:hint="eastAsia"/>
        </w:rPr>
        <w:t xml:space="preserve">of mostly </w:t>
      </w:r>
      <w:r w:rsidRPr="00323427">
        <w:t>continuous</w:t>
      </w:r>
      <w:r w:rsidR="009836C2">
        <w:rPr>
          <w:rFonts w:hint="eastAsia"/>
        </w:rPr>
        <w:t xml:space="preserve"> exposures includ</w:t>
      </w:r>
      <w:r w:rsidR="00B5798A">
        <w:t>e</w:t>
      </w:r>
      <w:r w:rsidRPr="00323427">
        <w:rPr>
          <w:rFonts w:hint="eastAsia"/>
        </w:rPr>
        <w:t xml:space="preserve"> </w:t>
      </w:r>
      <w:r w:rsidR="009836C2">
        <w:t>R</w:t>
      </w:r>
      <w:r w:rsidRPr="007B1C0B">
        <w:rPr>
          <w:rFonts w:hint="eastAsia"/>
        </w:rPr>
        <w:t>oadcut</w:t>
      </w:r>
      <w:r>
        <w:t xml:space="preserve"> </w:t>
      </w:r>
      <w:r w:rsidR="007E7176">
        <w:t>8</w:t>
      </w:r>
      <w:r w:rsidRPr="007B1C0B">
        <w:rPr>
          <w:rFonts w:hint="eastAsia"/>
        </w:rPr>
        <w:t xml:space="preserve">, </w:t>
      </w:r>
      <w:r w:rsidR="007E7176">
        <w:t>9</w:t>
      </w:r>
      <w:r w:rsidRPr="007B1C0B">
        <w:rPr>
          <w:rFonts w:hint="eastAsia"/>
        </w:rPr>
        <w:t xml:space="preserve">, </w:t>
      </w:r>
      <w:r w:rsidR="00D947AE">
        <w:t xml:space="preserve">and </w:t>
      </w:r>
      <w:r w:rsidRPr="007B1C0B">
        <w:rPr>
          <w:rFonts w:hint="eastAsia"/>
        </w:rPr>
        <w:t>BQ_Section</w:t>
      </w:r>
      <w:r>
        <w:t>_</w:t>
      </w:r>
      <w:r>
        <w:rPr>
          <w:rFonts w:hint="eastAsia"/>
        </w:rPr>
        <w:t xml:space="preserve">3 </w:t>
      </w:r>
      <w:r>
        <w:t>(</w:t>
      </w:r>
      <w:r w:rsidR="007E7176">
        <w:t>Upper</w:t>
      </w:r>
      <w:r>
        <w:t>) from 1160m to 1650m</w:t>
      </w:r>
      <w:r w:rsidRPr="00323427">
        <w:rPr>
          <w:rFonts w:hint="eastAsia"/>
        </w:rPr>
        <w:t>.</w:t>
      </w:r>
    </w:p>
    <w:p w:rsidR="00574BE7" w:rsidRDefault="00574BE7" w:rsidP="00574BE7">
      <w:pPr>
        <w:ind w:firstLine="720"/>
      </w:pPr>
    </w:p>
    <w:p w:rsidR="00C65A26" w:rsidRDefault="00C65A26" w:rsidP="00C65A26">
      <w:pPr>
        <w:rPr>
          <w:b/>
        </w:rPr>
      </w:pPr>
      <w:r>
        <w:rPr>
          <w:b/>
        </w:rPr>
        <w:t>Description</w:t>
      </w:r>
    </w:p>
    <w:p w:rsidR="00C65A26" w:rsidRPr="00C22131" w:rsidRDefault="00C65A26" w:rsidP="00C65A26">
      <w:pPr>
        <w:rPr>
          <w:b/>
        </w:rPr>
      </w:pPr>
      <w:r>
        <w:rPr>
          <w:rFonts w:hint="eastAsia"/>
          <w:b/>
        </w:rPr>
        <w:tab/>
      </w:r>
      <w:r w:rsidRPr="00C22131">
        <w:t>The Upper Jackfork Group is dominated by quartz cemented,</w:t>
      </w:r>
      <w:r w:rsidR="00D058D2">
        <w:t xml:space="preserve"> </w:t>
      </w:r>
      <w:r>
        <w:t>tabular</w:t>
      </w:r>
      <w:r w:rsidR="00D058D2">
        <w:t xml:space="preserve"> </w:t>
      </w:r>
      <w:r w:rsidRPr="00323427">
        <w:t xml:space="preserve">sandstones and associated shaly units. </w:t>
      </w:r>
      <w:r w:rsidR="000305A3">
        <w:t>BQ_Section_3</w:t>
      </w:r>
      <w:r w:rsidR="006474E4">
        <w:t xml:space="preserve"> (</w:t>
      </w:r>
      <w:r>
        <w:t xml:space="preserve">Upper Sand) </w:t>
      </w:r>
      <w:r w:rsidRPr="00323427">
        <w:t xml:space="preserve">can be </w:t>
      </w:r>
      <w:r>
        <w:t>qualitatively</w:t>
      </w:r>
      <w:r w:rsidR="00D058D2">
        <w:t xml:space="preserve"> </w:t>
      </w:r>
      <w:r w:rsidRPr="00323427">
        <w:t xml:space="preserve">correlated </w:t>
      </w:r>
      <w:r w:rsidRPr="00323427">
        <w:rPr>
          <w:rFonts w:hint="eastAsia"/>
        </w:rPr>
        <w:t>1</w:t>
      </w:r>
      <w:r>
        <w:t>6</w:t>
      </w:r>
      <w:r w:rsidRPr="00323427">
        <w:rPr>
          <w:rFonts w:hint="eastAsia"/>
        </w:rPr>
        <w:t>00</w:t>
      </w:r>
      <w:r w:rsidRPr="00323427">
        <w:t xml:space="preserve">m </w:t>
      </w:r>
      <w:r>
        <w:t xml:space="preserve">along </w:t>
      </w:r>
      <w:r w:rsidRPr="00323427">
        <w:t xml:space="preserve">strike to </w:t>
      </w:r>
      <w:r w:rsidR="00AA1B9C">
        <w:t>Roadcut 8</w:t>
      </w:r>
      <w:r w:rsidRPr="00323427">
        <w:rPr>
          <w:rFonts w:hint="eastAsia"/>
        </w:rPr>
        <w:t xml:space="preserve"> through satellite image and quadrangle maps</w:t>
      </w:r>
      <w:r>
        <w:t xml:space="preserve">. </w:t>
      </w:r>
      <w:r w:rsidR="00AA1B9C">
        <w:t>Roadcut 8</w:t>
      </w:r>
      <w:r w:rsidRPr="00323427">
        <w:t xml:space="preserve"> begins with a </w:t>
      </w:r>
      <w:r w:rsidRPr="00323427">
        <w:rPr>
          <w:rFonts w:hint="eastAsia"/>
        </w:rPr>
        <w:t>15</w:t>
      </w:r>
      <w:r w:rsidRPr="00323427">
        <w:t xml:space="preserve">m-thick amalgamated </w:t>
      </w:r>
      <w:r>
        <w:t>tabular</w:t>
      </w:r>
      <w:r w:rsidR="00D058D2">
        <w:t xml:space="preserve"> </w:t>
      </w:r>
      <w:r w:rsidRPr="00323427">
        <w:t xml:space="preserve">sandstone, followed by </w:t>
      </w:r>
      <w:r w:rsidRPr="00323427">
        <w:rPr>
          <w:rFonts w:hint="eastAsia"/>
        </w:rPr>
        <w:t>10</w:t>
      </w:r>
      <w:r>
        <w:t>m</w:t>
      </w:r>
      <w:r w:rsidRPr="00323427">
        <w:t xml:space="preserve"> thin-bedded sandstone sequences</w:t>
      </w:r>
      <w:r w:rsidR="00C81ACB">
        <w:t xml:space="preserve"> (Figure 2.12)</w:t>
      </w:r>
      <w:r w:rsidRPr="00323427">
        <w:t>.</w:t>
      </w:r>
      <w:r w:rsidR="00EF54B2">
        <w:t xml:space="preserve"> </w:t>
      </w:r>
      <w:r w:rsidR="00AA1B9C">
        <w:t>Roadcut 8</w:t>
      </w:r>
      <w:r>
        <w:t xml:space="preserve"> and 9</w:t>
      </w:r>
      <w:r w:rsidR="00EF54B2">
        <w:t xml:space="preserve"> </w:t>
      </w:r>
      <w:r w:rsidRPr="00323427">
        <w:t xml:space="preserve">are separated by a </w:t>
      </w:r>
      <w:r w:rsidRPr="00323427">
        <w:rPr>
          <w:rFonts w:hint="eastAsia"/>
        </w:rPr>
        <w:t>50</w:t>
      </w:r>
      <w:r w:rsidRPr="00323427">
        <w:t xml:space="preserve">m gap, </w:t>
      </w:r>
      <w:r>
        <w:t>where</w:t>
      </w:r>
      <w:r w:rsidRPr="00323427">
        <w:t xml:space="preserve"> a</w:t>
      </w:r>
      <w:r>
        <w:t>n interpreted</w:t>
      </w:r>
      <w:r w:rsidRPr="00323427">
        <w:t xml:space="preserve"> strike-slip fault</w:t>
      </w:r>
      <w:r>
        <w:t xml:space="preserve"> </w:t>
      </w:r>
      <w:r w:rsidR="00D058D2">
        <w:t>cut</w:t>
      </w:r>
      <w:r w:rsidR="00D058D2" w:rsidRPr="0067058A">
        <w:t xml:space="preserve"> through</w:t>
      </w:r>
      <w:r w:rsidRPr="0067058A">
        <w:t xml:space="preserve"> (</w:t>
      </w:r>
      <w:r w:rsidR="00766F0F">
        <w:t xml:space="preserve">Figure 2.3, </w:t>
      </w:r>
      <w:r>
        <w:rPr>
          <w:rFonts w:hint="eastAsia"/>
        </w:rPr>
        <w:t xml:space="preserve">Godo </w:t>
      </w:r>
      <w:r w:rsidR="00880C6B" w:rsidRPr="00880C6B">
        <w:rPr>
          <w:rFonts w:hint="eastAsia"/>
          <w:i/>
        </w:rPr>
        <w:t>et al.</w:t>
      </w:r>
      <w:r>
        <w:rPr>
          <w:rFonts w:hint="eastAsia"/>
        </w:rPr>
        <w:t>, 2008</w:t>
      </w:r>
      <w:r w:rsidRPr="0067058A">
        <w:t>).</w:t>
      </w:r>
      <w:r w:rsidRPr="00323427">
        <w:rPr>
          <w:rFonts w:hint="eastAsia"/>
        </w:rPr>
        <w:t>Th</w:t>
      </w:r>
      <w:r w:rsidR="00766F0F">
        <w:t>is dominant tabular sandstone</w:t>
      </w:r>
      <w:r>
        <w:t xml:space="preserve"> trend continues</w:t>
      </w:r>
      <w:r w:rsidRPr="00323427">
        <w:rPr>
          <w:rFonts w:hint="eastAsia"/>
        </w:rPr>
        <w:t xml:space="preserve"> towards the top of the Jackfork </w:t>
      </w:r>
      <w:r w:rsidR="00EF54B2" w:rsidRPr="00323427">
        <w:t>Group</w:t>
      </w:r>
      <w:r w:rsidR="00C81ACB">
        <w:t xml:space="preserve"> in Roadcut 9</w:t>
      </w:r>
      <w:r w:rsidR="00EF54B2" w:rsidRPr="00323427">
        <w:t xml:space="preserve"> (</w:t>
      </w:r>
      <w:r w:rsidR="00B83452">
        <w:rPr>
          <w:rFonts w:hint="eastAsia"/>
        </w:rPr>
        <w:t>Figure 2.</w:t>
      </w:r>
      <w:r w:rsidR="00C81ACB">
        <w:t>13</w:t>
      </w:r>
      <w:r w:rsidRPr="00323427">
        <w:rPr>
          <w:rFonts w:hint="eastAsia"/>
        </w:rPr>
        <w:t>)</w:t>
      </w:r>
      <w:r>
        <w:t xml:space="preserve">. </w:t>
      </w:r>
    </w:p>
    <w:p w:rsidR="00C65A26" w:rsidRDefault="00C65A26" w:rsidP="00C65A26">
      <w:pPr>
        <w:rPr>
          <w:color w:val="FF0000"/>
        </w:rPr>
      </w:pPr>
    </w:p>
    <w:p w:rsidR="00C65A26" w:rsidRDefault="00C65A26" w:rsidP="00C65A26">
      <w:pPr>
        <w:rPr>
          <w:b/>
        </w:rPr>
      </w:pPr>
      <w:r>
        <w:rPr>
          <w:rFonts w:hint="eastAsia"/>
          <w:b/>
        </w:rPr>
        <w:t>Interpretation</w:t>
      </w:r>
    </w:p>
    <w:p w:rsidR="00C65A26" w:rsidRDefault="00C65A26" w:rsidP="00C65A26">
      <w:r>
        <w:lastRenderedPageBreak/>
        <w:tab/>
        <w:t>Upper Jackfork is an interval with sheet-prone deposits</w:t>
      </w:r>
      <w:r w:rsidR="008F6B27">
        <w:t xml:space="preserve"> (Zou </w:t>
      </w:r>
      <w:r w:rsidR="00880C6B" w:rsidRPr="00880C6B">
        <w:rPr>
          <w:i/>
        </w:rPr>
        <w:t>et al.</w:t>
      </w:r>
      <w:r w:rsidR="008F6B27">
        <w:t>, 2012)</w:t>
      </w:r>
      <w:r>
        <w:t>. T</w:t>
      </w:r>
      <w:r w:rsidRPr="00323427">
        <w:t xml:space="preserve">he depositional environment </w:t>
      </w:r>
      <w:r>
        <w:t>is</w:t>
      </w:r>
      <w:r w:rsidRPr="00323427">
        <w:t xml:space="preserve"> relatively further downdip than that of the Middle </w:t>
      </w:r>
      <w:r w:rsidR="00D058D2" w:rsidRPr="00323427">
        <w:t>Jackfork.</w:t>
      </w:r>
      <w:r w:rsidR="00D058D2">
        <w:t xml:space="preserve"> No</w:t>
      </w:r>
      <w:r>
        <w:t xml:space="preserve"> major shale </w:t>
      </w:r>
      <w:r w:rsidR="00D058D2">
        <w:t>brea</w:t>
      </w:r>
      <w:r w:rsidR="00D058D2" w:rsidRPr="00664EDB">
        <w:t>k was</w:t>
      </w:r>
      <w:r w:rsidRPr="00664EDB">
        <w:t xml:space="preserve"> observed throug</w:t>
      </w:r>
      <w:r>
        <w:t xml:space="preserve">hout the section except for </w:t>
      </w:r>
      <w:r w:rsidRPr="00664EDB">
        <w:t xml:space="preserve">the 4-m thick </w:t>
      </w:r>
      <w:r w:rsidR="00D058D2" w:rsidRPr="00664EDB">
        <w:t>section at</w:t>
      </w:r>
      <w:r w:rsidRPr="00664EDB">
        <w:t xml:space="preserve"> 1215m in</w:t>
      </w:r>
      <w:r w:rsidR="000305A3">
        <w:t xml:space="preserve"> BQ_Section_3</w:t>
      </w:r>
      <w:r w:rsidRPr="00664EDB">
        <w:t xml:space="preserve"> (Upper Sand), indicating a more continuous depositio</w:t>
      </w:r>
      <w:r>
        <w:t xml:space="preserve">n </w:t>
      </w:r>
      <w:r w:rsidR="00D058D2">
        <w:t>period. The</w:t>
      </w:r>
      <w:r>
        <w:t xml:space="preserve"> channel complex with muddy debris flow deposits at the top of BQ_Section</w:t>
      </w:r>
      <w:r w:rsidR="000305A3">
        <w:t>_</w:t>
      </w:r>
      <w:r>
        <w:t xml:space="preserve">3 (Zou </w:t>
      </w:r>
      <w:r w:rsidR="00880C6B" w:rsidRPr="00880C6B">
        <w:rPr>
          <w:i/>
        </w:rPr>
        <w:t>et al.</w:t>
      </w:r>
      <w:r>
        <w:t xml:space="preserve">, 2012) </w:t>
      </w:r>
      <w:r w:rsidR="00D058D2">
        <w:t>may indicate</w:t>
      </w:r>
      <w:r>
        <w:rPr>
          <w:rFonts w:hint="eastAsia"/>
        </w:rPr>
        <w:t xml:space="preserve"> a</w:t>
      </w:r>
      <w:r>
        <w:t xml:space="preserve"> higher order </w:t>
      </w:r>
      <w:r w:rsidRPr="00323427">
        <w:t>regression</w:t>
      </w:r>
      <w:r>
        <w:t xml:space="preserve"> event</w:t>
      </w:r>
      <w:r w:rsidR="00673EA0">
        <w:rPr>
          <w:rFonts w:hint="eastAsia"/>
          <w:lang w:eastAsia="zh-CN"/>
        </w:rPr>
        <w:t xml:space="preserve"> or </w:t>
      </w:r>
      <w:r w:rsidR="00673EA0">
        <w:rPr>
          <w:lang w:eastAsia="zh-CN"/>
        </w:rPr>
        <w:t>compositional</w:t>
      </w:r>
      <w:r w:rsidR="00673EA0">
        <w:rPr>
          <w:rFonts w:hint="eastAsia"/>
          <w:lang w:eastAsia="zh-CN"/>
        </w:rPr>
        <w:t xml:space="preserve"> stacked distributary system</w:t>
      </w:r>
      <w:r>
        <w:t xml:space="preserve">. At </w:t>
      </w:r>
      <w:r w:rsidR="00D61E6F">
        <w:t>Roadcut 9</w:t>
      </w:r>
      <w:r>
        <w:t>, the sandstone to shale ratio decreases upward towards the top of the Jackfork Group, indicating a major transgression even</w:t>
      </w:r>
      <w:r w:rsidRPr="007C714A">
        <w:t xml:space="preserve">t </w:t>
      </w:r>
      <w:r w:rsidR="00766F0F">
        <w:t>transition to</w:t>
      </w:r>
      <w:r w:rsidRPr="007C714A">
        <w:t xml:space="preserve"> </w:t>
      </w:r>
      <w:r w:rsidR="00D058D2" w:rsidRPr="007C714A">
        <w:t>the Johns</w:t>
      </w:r>
      <w:r w:rsidRPr="007C714A">
        <w:t xml:space="preserve"> Valley Sh</w:t>
      </w:r>
      <w:r>
        <w:t>ale</w:t>
      </w:r>
      <w:r w:rsidR="00FF797C">
        <w:t xml:space="preserve"> (Figure 2.14)</w:t>
      </w:r>
      <w:r>
        <w:t xml:space="preserve">. </w:t>
      </w:r>
    </w:p>
    <w:p w:rsidR="00C65A26" w:rsidRPr="00323427" w:rsidRDefault="00C65A26" w:rsidP="00C65A26">
      <w:pPr>
        <w:rPr>
          <w:color w:val="FF0000"/>
        </w:rPr>
      </w:pPr>
    </w:p>
    <w:p w:rsidR="00C65A26" w:rsidRDefault="00C65A26" w:rsidP="00C65A26">
      <w:pPr>
        <w:rPr>
          <w:b/>
        </w:rPr>
      </w:pPr>
      <w:r w:rsidRPr="00323427">
        <w:rPr>
          <w:rFonts w:hint="eastAsia"/>
          <w:b/>
        </w:rPr>
        <w:t>Johns Valley Shale</w:t>
      </w:r>
    </w:p>
    <w:p w:rsidR="00A540A6" w:rsidRDefault="00A540A6" w:rsidP="00A540A6">
      <w:pPr>
        <w:ind w:firstLine="720"/>
        <w:rPr>
          <w:b/>
        </w:rPr>
      </w:pPr>
      <w:r>
        <w:rPr>
          <w:rFonts w:ascii="Times New Roman" w:hAnsi="Times New Roman"/>
          <w:sz w:val="23"/>
          <w:szCs w:val="23"/>
        </w:rPr>
        <w:t xml:space="preserve">General outcrop description and interpretation of the Johns Valley Shale in Kirby Sections is summarized in Table 2.5. </w:t>
      </w:r>
      <w:r w:rsidRPr="00323427">
        <w:t>Approximately</w:t>
      </w:r>
      <w:r>
        <w:rPr>
          <w:rFonts w:hint="eastAsia"/>
        </w:rPr>
        <w:t xml:space="preserve"> </w:t>
      </w:r>
      <w:r w:rsidR="004D2D4A">
        <w:t>700</w:t>
      </w:r>
      <w:r>
        <w:t>m</w:t>
      </w:r>
      <w:r>
        <w:rPr>
          <w:rFonts w:hint="eastAsia"/>
        </w:rPr>
        <w:t xml:space="preserve"> </w:t>
      </w:r>
      <w:r w:rsidRPr="00323427">
        <w:rPr>
          <w:rFonts w:hint="eastAsia"/>
        </w:rPr>
        <w:t xml:space="preserve">of </w:t>
      </w:r>
      <w:r w:rsidR="004D2D4A">
        <w:t xml:space="preserve">partially covered exposures </w:t>
      </w:r>
      <w:r>
        <w:rPr>
          <w:rFonts w:hint="eastAsia"/>
        </w:rPr>
        <w:t>includ</w:t>
      </w:r>
      <w:r>
        <w:t>e</w:t>
      </w:r>
      <w:r w:rsidRPr="00323427">
        <w:rPr>
          <w:rFonts w:hint="eastAsia"/>
        </w:rPr>
        <w:t xml:space="preserve"> </w:t>
      </w:r>
      <w:r w:rsidR="004D2D4A">
        <w:t>JV_Section_1 to 3</w:t>
      </w:r>
      <w:r>
        <w:t xml:space="preserve"> from </w:t>
      </w:r>
      <w:r w:rsidR="004D2D4A">
        <w:t>1700m</w:t>
      </w:r>
      <w:r>
        <w:t xml:space="preserve"> to </w:t>
      </w:r>
      <w:r w:rsidR="004D2D4A">
        <w:t>2400</w:t>
      </w:r>
      <w:r>
        <w:t>m</w:t>
      </w:r>
      <w:r w:rsidRPr="00323427">
        <w:rPr>
          <w:rFonts w:hint="eastAsia"/>
        </w:rPr>
        <w:t>.</w:t>
      </w:r>
    </w:p>
    <w:p w:rsidR="00C65A26" w:rsidRPr="00323427" w:rsidRDefault="00C65A26" w:rsidP="00C65A26">
      <w:pPr>
        <w:rPr>
          <w:b/>
        </w:rPr>
      </w:pPr>
      <w:r>
        <w:rPr>
          <w:b/>
        </w:rPr>
        <w:t>Description</w:t>
      </w:r>
    </w:p>
    <w:p w:rsidR="00C65A26" w:rsidRDefault="00C65A26" w:rsidP="00C65A26">
      <w:r w:rsidRPr="00323427">
        <w:rPr>
          <w:rFonts w:hint="eastAsia"/>
          <w:b/>
        </w:rPr>
        <w:tab/>
      </w:r>
      <w:r w:rsidR="000A0AD3">
        <w:t>JV_Roadcut_1</w:t>
      </w:r>
      <w:r>
        <w:t>, which is</w:t>
      </w:r>
      <w:r w:rsidRPr="00323427">
        <w:rPr>
          <w:rFonts w:hint="eastAsia"/>
        </w:rPr>
        <w:t xml:space="preserve"> the first section of Johns Valley Shale</w:t>
      </w:r>
      <w:r>
        <w:t>,</w:t>
      </w:r>
      <w:r w:rsidRPr="00323427">
        <w:rPr>
          <w:rFonts w:hint="eastAsia"/>
        </w:rPr>
        <w:t xml:space="preserve"> occurs at 1700m</w:t>
      </w:r>
      <w:r>
        <w:t xml:space="preserve">. It </w:t>
      </w:r>
      <w:r w:rsidR="002F0758">
        <w:rPr>
          <w:rFonts w:hint="eastAsia"/>
        </w:rPr>
        <w:t xml:space="preserve">is </w:t>
      </w:r>
      <w:r w:rsidR="002F0758">
        <w:rPr>
          <w:rFonts w:hint="eastAsia"/>
          <w:lang w:eastAsia="zh-CN"/>
        </w:rPr>
        <w:t>5</w:t>
      </w:r>
      <w:r w:rsidRPr="00323427">
        <w:rPr>
          <w:rFonts w:hint="eastAsia"/>
        </w:rPr>
        <w:t xml:space="preserve">0m above the top of </w:t>
      </w:r>
      <w:r w:rsidR="00D61E6F">
        <w:t>Roadcut 9</w:t>
      </w:r>
      <w:r w:rsidRPr="00323427">
        <w:rPr>
          <w:rFonts w:hint="eastAsia"/>
        </w:rPr>
        <w:t xml:space="preserve">. </w:t>
      </w:r>
      <w:r>
        <w:t xml:space="preserve">It </w:t>
      </w:r>
      <w:r w:rsidRPr="00323427">
        <w:rPr>
          <w:rFonts w:hint="eastAsia"/>
        </w:rPr>
        <w:t xml:space="preserve">begins with a 15m thick amalgamated </w:t>
      </w:r>
      <w:r>
        <w:t>tabular</w:t>
      </w:r>
      <w:r w:rsidRPr="00323427">
        <w:t xml:space="preserve"> sandstone</w:t>
      </w:r>
      <w:r w:rsidRPr="00323427">
        <w:rPr>
          <w:rFonts w:hint="eastAsia"/>
        </w:rPr>
        <w:t xml:space="preserve"> package, followed by a 10m shaly and thin-bedded section (</w:t>
      </w:r>
      <w:r w:rsidR="00B83452">
        <w:rPr>
          <w:rFonts w:hint="eastAsia"/>
        </w:rPr>
        <w:t>Figure 2.</w:t>
      </w:r>
      <w:r w:rsidR="00D41E6B">
        <w:t>15</w:t>
      </w:r>
      <w:r w:rsidRPr="00323427">
        <w:rPr>
          <w:rFonts w:hint="eastAsia"/>
        </w:rPr>
        <w:t xml:space="preserve">). </w:t>
      </w:r>
      <w:r>
        <w:t>A</w:t>
      </w:r>
      <w:r w:rsidR="00766F0F">
        <w:t xml:space="preserve"> </w:t>
      </w:r>
      <w:r w:rsidRPr="00323427">
        <w:t>3m</w:t>
      </w:r>
      <w:r w:rsidR="00766F0F">
        <w:t>-</w:t>
      </w:r>
      <w:r w:rsidRPr="00323427">
        <w:rPr>
          <w:rFonts w:hint="eastAsia"/>
        </w:rPr>
        <w:t xml:space="preserve">thick </w:t>
      </w:r>
      <w:r>
        <w:t>scoured (lenticular</w:t>
      </w:r>
      <w:r w:rsidR="00DE28D6">
        <w:t>)</w:t>
      </w:r>
      <w:r w:rsidR="00DE28D6" w:rsidRPr="00323427">
        <w:t xml:space="preserve"> sandstone</w:t>
      </w:r>
      <w:r w:rsidR="00D058D2">
        <w:t xml:space="preserve"> occurs</w:t>
      </w:r>
      <w:r>
        <w:t xml:space="preserve"> at 1</w:t>
      </w:r>
      <w:r w:rsidR="00D41E6B">
        <w:rPr>
          <w:lang w:eastAsia="zh-CN"/>
        </w:rPr>
        <w:t>7</w:t>
      </w:r>
      <w:r>
        <w:t>25m</w:t>
      </w:r>
      <w:r w:rsidRPr="00323427">
        <w:rPr>
          <w:rFonts w:hint="eastAsia"/>
        </w:rPr>
        <w:t xml:space="preserve">. </w:t>
      </w:r>
      <w:r>
        <w:t xml:space="preserve">In </w:t>
      </w:r>
      <w:r w:rsidR="001371C3">
        <w:rPr>
          <w:rFonts w:hint="eastAsia"/>
          <w:lang w:eastAsia="zh-CN"/>
        </w:rPr>
        <w:t>JV_Section_2</w:t>
      </w:r>
      <w:r>
        <w:t xml:space="preserve"> and 3, </w:t>
      </w:r>
      <w:r w:rsidR="00766F0F">
        <w:t>sandstone</w:t>
      </w:r>
      <w:r w:rsidR="00D058D2" w:rsidRPr="00323427">
        <w:t xml:space="preserve"> packages</w:t>
      </w:r>
      <w:r>
        <w:t xml:space="preserve"> </w:t>
      </w:r>
      <w:r w:rsidR="00D058D2">
        <w:t>are located</w:t>
      </w:r>
      <w:r w:rsidRPr="00323427">
        <w:t xml:space="preserve"> from</w:t>
      </w:r>
      <w:r w:rsidRPr="00323427">
        <w:rPr>
          <w:rFonts w:hint="eastAsia"/>
        </w:rPr>
        <w:t xml:space="preserve"> 1</w:t>
      </w:r>
      <w:r w:rsidR="00D41E6B">
        <w:rPr>
          <w:lang w:eastAsia="zh-CN"/>
        </w:rPr>
        <w:t>7</w:t>
      </w:r>
      <w:r w:rsidRPr="00323427">
        <w:rPr>
          <w:rFonts w:hint="eastAsia"/>
        </w:rPr>
        <w:t>70~</w:t>
      </w:r>
      <w:r w:rsidR="00D41E6B">
        <w:rPr>
          <w:lang w:eastAsia="zh-CN"/>
        </w:rPr>
        <w:t>18</w:t>
      </w:r>
      <w:r w:rsidRPr="00323427">
        <w:rPr>
          <w:rFonts w:hint="eastAsia"/>
        </w:rPr>
        <w:t xml:space="preserve">20m (amalgamated </w:t>
      </w:r>
      <w:r>
        <w:t>tabular</w:t>
      </w:r>
      <w:r w:rsidRPr="00323427">
        <w:t xml:space="preserve"> sandstones</w:t>
      </w:r>
      <w:r w:rsidRPr="00323427">
        <w:rPr>
          <w:rFonts w:hint="eastAsia"/>
        </w:rPr>
        <w:t xml:space="preserve">), </w:t>
      </w:r>
      <w:r w:rsidR="00D41E6B">
        <w:t>19</w:t>
      </w:r>
      <w:r w:rsidRPr="00323427">
        <w:rPr>
          <w:rFonts w:hint="eastAsia"/>
        </w:rPr>
        <w:t>00~2</w:t>
      </w:r>
      <w:r w:rsidR="00D41E6B">
        <w:t>0</w:t>
      </w:r>
      <w:r w:rsidRPr="00323427">
        <w:rPr>
          <w:rFonts w:hint="eastAsia"/>
        </w:rPr>
        <w:t xml:space="preserve">00m (amalgamated </w:t>
      </w:r>
      <w:r>
        <w:t>scoured</w:t>
      </w:r>
      <w:r w:rsidRPr="00323427">
        <w:t xml:space="preserve"> sandstones</w:t>
      </w:r>
      <w:r w:rsidRPr="00323427">
        <w:rPr>
          <w:rFonts w:hint="eastAsia"/>
        </w:rPr>
        <w:t xml:space="preserve">) and 2280~2310m (mixed </w:t>
      </w:r>
      <w:r>
        <w:t>tabular and scou</w:t>
      </w:r>
      <w:r w:rsidRPr="009F5786">
        <w:t>red sandsto</w:t>
      </w:r>
      <w:r w:rsidRPr="00323427">
        <w:t>nes</w:t>
      </w:r>
      <w:r w:rsidRPr="00323427">
        <w:rPr>
          <w:rFonts w:hint="eastAsia"/>
        </w:rPr>
        <w:t xml:space="preserve">). The top of the </w:t>
      </w:r>
      <w:r w:rsidRPr="00323427">
        <w:t xml:space="preserve">section </w:t>
      </w:r>
      <w:r w:rsidRPr="00323427">
        <w:rPr>
          <w:rFonts w:hint="eastAsia"/>
        </w:rPr>
        <w:t xml:space="preserve">(from </w:t>
      </w:r>
      <w:r w:rsidRPr="00323427">
        <w:t>2310</w:t>
      </w:r>
      <w:r w:rsidRPr="00323427">
        <w:rPr>
          <w:rFonts w:hint="eastAsia"/>
        </w:rPr>
        <w:t>~2400m)</w:t>
      </w:r>
      <w:r w:rsidRPr="00323427">
        <w:t xml:space="preserve"> is over</w:t>
      </w:r>
      <w:r w:rsidRPr="00323427">
        <w:rPr>
          <w:rFonts w:hint="eastAsia"/>
        </w:rPr>
        <w:t xml:space="preserve"> 90% shale</w:t>
      </w:r>
      <w:r w:rsidR="0095429C">
        <w:t xml:space="preserve"> (</w:t>
      </w:r>
      <w:proofErr w:type="gramStart"/>
      <w:r w:rsidR="0095429C">
        <w:t>Figure  2.16</w:t>
      </w:r>
      <w:proofErr w:type="gramEnd"/>
      <w:r w:rsidR="0095429C">
        <w:t>)</w:t>
      </w:r>
      <w:r>
        <w:t xml:space="preserve">. </w:t>
      </w:r>
    </w:p>
    <w:p w:rsidR="00C65A26" w:rsidRDefault="00C65A26" w:rsidP="00C65A26"/>
    <w:p w:rsidR="00C65A26" w:rsidRPr="000213F0" w:rsidRDefault="00C65A26" w:rsidP="00C65A26">
      <w:pPr>
        <w:rPr>
          <w:b/>
        </w:rPr>
      </w:pPr>
      <w:r>
        <w:rPr>
          <w:rFonts w:hint="eastAsia"/>
          <w:b/>
        </w:rPr>
        <w:lastRenderedPageBreak/>
        <w:t>Interpretation</w:t>
      </w:r>
    </w:p>
    <w:p w:rsidR="00C65A26" w:rsidRDefault="00C65A26" w:rsidP="00C65A26">
      <w:pPr>
        <w:ind w:firstLine="420"/>
      </w:pPr>
      <w:r w:rsidRPr="00323427">
        <w:rPr>
          <w:rFonts w:hint="eastAsia"/>
        </w:rPr>
        <w:t xml:space="preserve">The Johns </w:t>
      </w:r>
      <w:r w:rsidRPr="00323427">
        <w:t>Valley</w:t>
      </w:r>
      <w:r w:rsidRPr="00323427">
        <w:rPr>
          <w:rFonts w:hint="eastAsia"/>
        </w:rPr>
        <w:t xml:space="preserve"> Shale above the Jackfork Group represents the major transgression after the first global sea-level drop during Early </w:t>
      </w:r>
      <w:r w:rsidR="00D058D2" w:rsidRPr="00323427">
        <w:t>Pennsylvanian time</w:t>
      </w:r>
      <w:r w:rsidRPr="00323427">
        <w:t>. Steel</w:t>
      </w:r>
      <w:r w:rsidRPr="00323427">
        <w:rPr>
          <w:rFonts w:hint="eastAsia"/>
        </w:rPr>
        <w:t xml:space="preserve"> </w:t>
      </w:r>
      <w:r w:rsidR="00880C6B" w:rsidRPr="00880C6B">
        <w:rPr>
          <w:rFonts w:hint="eastAsia"/>
          <w:i/>
        </w:rPr>
        <w:t>et al.</w:t>
      </w:r>
      <w:r w:rsidRPr="00323427">
        <w:rPr>
          <w:rFonts w:hint="eastAsia"/>
        </w:rPr>
        <w:t xml:space="preserve"> (2012) proposed that significant slope sediment delivery and basin floor fan growth can occur during sea level rise and highstand due to high sediment influx. The </w:t>
      </w:r>
      <w:r>
        <w:t xml:space="preserve">thin </w:t>
      </w:r>
      <w:r w:rsidRPr="00323427">
        <w:t>channelized</w:t>
      </w:r>
      <w:r w:rsidRPr="00323427">
        <w:rPr>
          <w:rFonts w:hint="eastAsia"/>
        </w:rPr>
        <w:t xml:space="preserve"> and sheet sandstones found in the Johns Valley Shale are such </w:t>
      </w:r>
      <w:r w:rsidR="00D058D2" w:rsidRPr="00323427">
        <w:t>examples.</w:t>
      </w:r>
      <w:r w:rsidR="00D058D2">
        <w:t xml:space="preserve"> The</w:t>
      </w:r>
      <w:r>
        <w:t xml:space="preserve"> 90% shale interval at the top of BQ_Section</w:t>
      </w:r>
      <w:r w:rsidR="003F69EA">
        <w:rPr>
          <w:rFonts w:hint="eastAsia"/>
          <w:lang w:eastAsia="zh-CN"/>
        </w:rPr>
        <w:t>_</w:t>
      </w:r>
      <w:r>
        <w:t>3</w:t>
      </w:r>
      <w:r w:rsidR="003F69EA">
        <w:rPr>
          <w:rFonts w:hint="eastAsia"/>
          <w:lang w:eastAsia="zh-CN"/>
        </w:rPr>
        <w:t xml:space="preserve"> </w:t>
      </w:r>
      <w:r w:rsidRPr="00323427">
        <w:rPr>
          <w:rFonts w:hint="eastAsia"/>
        </w:rPr>
        <w:t>represents the m</w:t>
      </w:r>
      <w:r w:rsidRPr="009F5786">
        <w:rPr>
          <w:rFonts w:hint="eastAsia"/>
        </w:rPr>
        <w:t xml:space="preserve">ost </w:t>
      </w:r>
      <w:r w:rsidRPr="009F5786">
        <w:t>highly</w:t>
      </w:r>
      <w:r w:rsidR="00D058D2">
        <w:t xml:space="preserve"> </w:t>
      </w:r>
      <w:r w:rsidRPr="009F5786">
        <w:t>transgre</w:t>
      </w:r>
      <w:r w:rsidRPr="00323427">
        <w:t>ssive</w:t>
      </w:r>
      <w:r w:rsidRPr="00323427">
        <w:rPr>
          <w:rFonts w:hint="eastAsia"/>
        </w:rPr>
        <w:t xml:space="preserve"> system in the middle of the Johns Valley Shale</w:t>
      </w:r>
      <w:r w:rsidR="0095429C">
        <w:t xml:space="preserve"> (Figure 2.16)</w:t>
      </w:r>
      <w:r w:rsidRPr="00323427">
        <w:rPr>
          <w:rFonts w:hint="eastAsia"/>
        </w:rPr>
        <w:t>.</w:t>
      </w:r>
    </w:p>
    <w:p w:rsidR="00C65A26" w:rsidRPr="00D058D2" w:rsidRDefault="00C65A26" w:rsidP="00C65A26">
      <w:pPr>
        <w:rPr>
          <w:lang w:eastAsia="zh-CN"/>
        </w:rPr>
      </w:pPr>
    </w:p>
    <w:p w:rsidR="00C65A26" w:rsidRPr="00DD2A16" w:rsidRDefault="00C65A26" w:rsidP="00DD2A16">
      <w:pPr>
        <w:jc w:val="center"/>
        <w:rPr>
          <w:b/>
          <w:sz w:val="28"/>
        </w:rPr>
      </w:pPr>
      <w:r w:rsidRPr="00DD2A16">
        <w:rPr>
          <w:rFonts w:hint="eastAsia"/>
          <w:b/>
          <w:sz w:val="28"/>
        </w:rPr>
        <w:t>REGIONAL</w:t>
      </w:r>
      <w:r w:rsidRPr="00DD2A16">
        <w:rPr>
          <w:b/>
          <w:sz w:val="28"/>
        </w:rPr>
        <w:t xml:space="preserve"> CORRELATION</w:t>
      </w:r>
    </w:p>
    <w:p w:rsidR="00C65A26" w:rsidRPr="00323427" w:rsidRDefault="00C65A26" w:rsidP="00C65A26">
      <w:r w:rsidRPr="00323427">
        <w:rPr>
          <w:rFonts w:hint="eastAsia"/>
          <w:b/>
        </w:rPr>
        <w:tab/>
      </w:r>
      <w:r w:rsidRPr="00323427">
        <w:rPr>
          <w:rFonts w:hint="eastAsia"/>
        </w:rPr>
        <w:t xml:space="preserve">Slatt </w:t>
      </w:r>
      <w:r w:rsidR="00880C6B" w:rsidRPr="00880C6B">
        <w:rPr>
          <w:rFonts w:hint="eastAsia"/>
          <w:i/>
        </w:rPr>
        <w:t>et al.</w:t>
      </w:r>
      <w:r w:rsidRPr="00323427">
        <w:rPr>
          <w:rFonts w:hint="eastAsia"/>
        </w:rPr>
        <w:t xml:space="preserve"> (2000a) described more than 15 outcrops of the Jackfork Group in Arkansas from the Little Rock</w:t>
      </w:r>
      <w:r w:rsidRPr="00323427">
        <w:t xml:space="preserve"> </w:t>
      </w:r>
      <w:r w:rsidR="008A3150">
        <w:rPr>
          <w:rFonts w:hint="eastAsia"/>
          <w:lang w:eastAsia="zh-CN"/>
        </w:rPr>
        <w:t>and</w:t>
      </w:r>
      <w:r w:rsidRPr="00323427">
        <w:t xml:space="preserve"> Hot Spring</w:t>
      </w:r>
      <w:r w:rsidR="008A3150">
        <w:rPr>
          <w:rFonts w:hint="eastAsia"/>
          <w:lang w:eastAsia="zh-CN"/>
        </w:rPr>
        <w:t>s</w:t>
      </w:r>
      <w:r w:rsidRPr="00323427">
        <w:t xml:space="preserve"> are</w:t>
      </w:r>
      <w:r w:rsidRPr="00323427">
        <w:rPr>
          <w:rFonts w:hint="eastAsia"/>
        </w:rPr>
        <w:t xml:space="preserve">a. In </w:t>
      </w:r>
      <w:r w:rsidRPr="00323427">
        <w:t xml:space="preserve">the </w:t>
      </w:r>
      <w:r>
        <w:rPr>
          <w:rFonts w:hint="eastAsia"/>
        </w:rPr>
        <w:t>Ouachita Basin</w:t>
      </w:r>
      <w:r w:rsidRPr="00323427">
        <w:rPr>
          <w:rFonts w:hint="eastAsia"/>
        </w:rPr>
        <w:t xml:space="preserve"> from northeast to the southwest</w:t>
      </w:r>
      <w:r w:rsidRPr="00323427">
        <w:t>, the</w:t>
      </w:r>
      <w:r w:rsidRPr="00323427">
        <w:rPr>
          <w:rFonts w:hint="eastAsia"/>
        </w:rPr>
        <w:t xml:space="preserve"> Jackfork Group </w:t>
      </w:r>
      <w:r w:rsidRPr="00323427">
        <w:t xml:space="preserve">exhibits a change </w:t>
      </w:r>
      <w:r w:rsidRPr="00323427">
        <w:rPr>
          <w:rFonts w:hint="eastAsia"/>
        </w:rPr>
        <w:t>from</w:t>
      </w:r>
      <w:r>
        <w:t xml:space="preserve"> updip</w:t>
      </w:r>
      <w:r w:rsidRPr="00323427">
        <w:rPr>
          <w:rFonts w:hint="eastAsia"/>
        </w:rPr>
        <w:t xml:space="preserve"> slope </w:t>
      </w:r>
      <w:r w:rsidRPr="00323427">
        <w:t>channelized</w:t>
      </w:r>
      <w:r w:rsidRPr="00323427">
        <w:rPr>
          <w:rFonts w:hint="eastAsia"/>
        </w:rPr>
        <w:t xml:space="preserve"> facies to </w:t>
      </w:r>
      <w:r>
        <w:t xml:space="preserve">downdip </w:t>
      </w:r>
      <w:r w:rsidRPr="00323427">
        <w:rPr>
          <w:rFonts w:hint="eastAsia"/>
        </w:rPr>
        <w:t xml:space="preserve">basin floor fan facies. </w:t>
      </w:r>
      <w:r>
        <w:rPr>
          <w:rFonts w:hint="eastAsia"/>
        </w:rPr>
        <w:t xml:space="preserve">Similar </w:t>
      </w:r>
      <w:r w:rsidR="001B0A1A">
        <w:rPr>
          <w:rFonts w:hint="eastAsia"/>
          <w:lang w:eastAsia="zh-CN"/>
        </w:rPr>
        <w:t>studies</w:t>
      </w:r>
      <w:r>
        <w:rPr>
          <w:rFonts w:hint="eastAsia"/>
        </w:rPr>
        <w:t xml:space="preserve"> have also been made by Jordan </w:t>
      </w:r>
      <w:r w:rsidR="00880C6B" w:rsidRPr="00880C6B">
        <w:rPr>
          <w:rFonts w:hint="eastAsia"/>
          <w:i/>
        </w:rPr>
        <w:t>et al.</w:t>
      </w:r>
      <w:r>
        <w:rPr>
          <w:rFonts w:hint="eastAsia"/>
        </w:rPr>
        <w:t xml:space="preserve"> (1991) and Coleman </w:t>
      </w:r>
      <w:r w:rsidR="00880C6B" w:rsidRPr="00880C6B">
        <w:rPr>
          <w:rFonts w:hint="eastAsia"/>
          <w:i/>
        </w:rPr>
        <w:t>et al.</w:t>
      </w:r>
      <w:r>
        <w:rPr>
          <w:rFonts w:hint="eastAsia"/>
        </w:rPr>
        <w:t xml:space="preserve"> (1994). </w:t>
      </w:r>
      <w:r w:rsidRPr="00323427">
        <w:rPr>
          <w:rFonts w:hint="eastAsia"/>
        </w:rPr>
        <w:t xml:space="preserve">However, little effort </w:t>
      </w:r>
      <w:r w:rsidRPr="00323427">
        <w:t>has</w:t>
      </w:r>
      <w:r w:rsidRPr="00323427">
        <w:rPr>
          <w:rFonts w:hint="eastAsia"/>
        </w:rPr>
        <w:t xml:space="preserve"> been made to regionally correlate these </w:t>
      </w:r>
      <w:r w:rsidRPr="00323427">
        <w:t>separate</w:t>
      </w:r>
      <w:r w:rsidRPr="00323427">
        <w:rPr>
          <w:rFonts w:hint="eastAsia"/>
        </w:rPr>
        <w:t xml:space="preserve"> Jackfork outcrops</w:t>
      </w:r>
      <w:r>
        <w:rPr>
          <w:rFonts w:hint="eastAsia"/>
        </w:rPr>
        <w:t xml:space="preserve"> at a fine</w:t>
      </w:r>
      <w:r w:rsidR="001B0A1A">
        <w:rPr>
          <w:rFonts w:hint="eastAsia"/>
          <w:lang w:eastAsia="zh-CN"/>
        </w:rPr>
        <w:t>r</w:t>
      </w:r>
      <w:r>
        <w:rPr>
          <w:rFonts w:hint="eastAsia"/>
        </w:rPr>
        <w:t xml:space="preserve"> scale due to complex structural geology and </w:t>
      </w:r>
      <w:r>
        <w:t>a lack</w:t>
      </w:r>
      <w:r>
        <w:rPr>
          <w:rFonts w:hint="eastAsia"/>
        </w:rPr>
        <w:t xml:space="preserve"> of continuous outcrop exposures</w:t>
      </w:r>
      <w:r w:rsidRPr="00323427">
        <w:rPr>
          <w:rFonts w:hint="eastAsia"/>
        </w:rPr>
        <w:t xml:space="preserve">. In order to build a more accurate </w:t>
      </w:r>
      <w:r w:rsidRPr="00323427">
        <w:t>sequence</w:t>
      </w:r>
      <w:r w:rsidRPr="00323427">
        <w:rPr>
          <w:rFonts w:hint="eastAsia"/>
        </w:rPr>
        <w:t xml:space="preserve"> stratigraphic framework of the Jackfork Group, we </w:t>
      </w:r>
      <w:r w:rsidR="00D058D2" w:rsidRPr="00323427">
        <w:t>start</w:t>
      </w:r>
      <w:r w:rsidR="00D058D2">
        <w:t>ed</w:t>
      </w:r>
      <w:r w:rsidR="00D058D2" w:rsidRPr="00323427">
        <w:t xml:space="preserve"> with</w:t>
      </w:r>
      <w:r w:rsidRPr="00323427">
        <w:t xml:space="preserve"> three</w:t>
      </w:r>
      <w:r w:rsidRPr="00323427">
        <w:rPr>
          <w:rFonts w:hint="eastAsia"/>
        </w:rPr>
        <w:t xml:space="preserve"> of the most </w:t>
      </w:r>
      <w:r w:rsidRPr="00323427">
        <w:t>continuous</w:t>
      </w:r>
      <w:r w:rsidRPr="00323427">
        <w:rPr>
          <w:rFonts w:hint="eastAsia"/>
        </w:rPr>
        <w:t xml:space="preserve"> and well-exposed downdip-basinal Jackfork outcrops: DeGray Lake, Kirby and Dierks (from east to west) as study examples. These three outcrops are 40-50km apart, and </w:t>
      </w:r>
      <w:r>
        <w:rPr>
          <w:rFonts w:hint="eastAsia"/>
        </w:rPr>
        <w:t>sub-</w:t>
      </w:r>
      <w:r w:rsidRPr="00323427">
        <w:rPr>
          <w:rFonts w:hint="eastAsia"/>
        </w:rPr>
        <w:t xml:space="preserve">parallel to the regional sediment </w:t>
      </w:r>
      <w:r w:rsidRPr="00323427">
        <w:t>transport</w:t>
      </w:r>
      <w:r w:rsidRPr="00323427">
        <w:rPr>
          <w:rFonts w:hint="eastAsia"/>
        </w:rPr>
        <w:t xml:space="preserve"> direction (</w:t>
      </w:r>
      <w:r w:rsidR="00B83452">
        <w:rPr>
          <w:rFonts w:hint="eastAsia"/>
        </w:rPr>
        <w:t>Figure</w:t>
      </w:r>
      <w:r w:rsidR="00752CEA">
        <w:t xml:space="preserve"> 2.1 and</w:t>
      </w:r>
      <w:r w:rsidR="00B83452">
        <w:rPr>
          <w:rFonts w:hint="eastAsia"/>
        </w:rPr>
        <w:t xml:space="preserve"> 2.</w:t>
      </w:r>
      <w:r w:rsidR="00752CEA">
        <w:t>17</w:t>
      </w:r>
      <w:r w:rsidRPr="00323427">
        <w:rPr>
          <w:rFonts w:hint="eastAsia"/>
        </w:rPr>
        <w:t>).</w:t>
      </w:r>
    </w:p>
    <w:p w:rsidR="00C65A26" w:rsidRPr="00323427" w:rsidRDefault="00C65A26" w:rsidP="00C65A26">
      <w:r w:rsidRPr="00323427">
        <w:rPr>
          <w:rFonts w:hint="eastAsia"/>
        </w:rPr>
        <w:lastRenderedPageBreak/>
        <w:tab/>
      </w:r>
      <w:r w:rsidRPr="00323427">
        <w:t>C</w:t>
      </w:r>
      <w:r w:rsidRPr="00323427">
        <w:rPr>
          <w:rFonts w:hint="eastAsia"/>
        </w:rPr>
        <w:t xml:space="preserve">orrelation </w:t>
      </w:r>
      <w:r w:rsidRPr="00323427">
        <w:t xml:space="preserve">of these outcrops </w:t>
      </w:r>
      <w:r w:rsidRPr="00323427">
        <w:rPr>
          <w:rFonts w:hint="eastAsia"/>
        </w:rPr>
        <w:t xml:space="preserve">is </w:t>
      </w:r>
      <w:r w:rsidRPr="00323427">
        <w:t xml:space="preserve">based on </w:t>
      </w:r>
      <w:r w:rsidRPr="00323427">
        <w:rPr>
          <w:rFonts w:hint="eastAsia"/>
        </w:rPr>
        <w:t>an integrat</w:t>
      </w:r>
      <w:r w:rsidRPr="00323427">
        <w:t>ion of chemical</w:t>
      </w:r>
      <w:r w:rsidRPr="00323427">
        <w:rPr>
          <w:rFonts w:hint="eastAsia"/>
        </w:rPr>
        <w:t xml:space="preserve"> stratigraphy, </w:t>
      </w:r>
      <w:r>
        <w:t>lithology</w:t>
      </w:r>
      <w:r w:rsidRPr="00323427">
        <w:rPr>
          <w:rFonts w:hint="eastAsia"/>
        </w:rPr>
        <w:t xml:space="preserve"> and generic </w:t>
      </w:r>
      <w:r>
        <w:rPr>
          <w:rFonts w:hint="eastAsia"/>
        </w:rPr>
        <w:t xml:space="preserve">facies </w:t>
      </w:r>
      <w:r>
        <w:t>analysis</w:t>
      </w:r>
      <w:r w:rsidRPr="00323427">
        <w:t xml:space="preserve">. Correlations using isotope geochemistry and biostratigraphy </w:t>
      </w:r>
      <w:r w:rsidRPr="00323427">
        <w:rPr>
          <w:rFonts w:hint="eastAsia"/>
        </w:rPr>
        <w:t>were</w:t>
      </w:r>
      <w:r w:rsidRPr="00323427">
        <w:t xml:space="preserve"> investigated</w:t>
      </w:r>
      <w:r w:rsidRPr="00323427">
        <w:rPr>
          <w:rFonts w:hint="eastAsia"/>
        </w:rPr>
        <w:t>,</w:t>
      </w:r>
      <w:r w:rsidRPr="00323427">
        <w:t xml:space="preserve"> but w</w:t>
      </w:r>
      <w:r w:rsidRPr="00323427">
        <w:rPr>
          <w:rFonts w:hint="eastAsia"/>
        </w:rPr>
        <w:t>ere</w:t>
      </w:r>
      <w:r w:rsidRPr="00323427">
        <w:t xml:space="preserve"> not successful. These </w:t>
      </w:r>
      <w:r w:rsidR="00D058D2" w:rsidRPr="00323427">
        <w:t>two methods</w:t>
      </w:r>
      <w:r w:rsidRPr="00323427">
        <w:t xml:space="preserve"> were ineffective because of</w:t>
      </w:r>
      <w:r w:rsidRPr="00323427">
        <w:rPr>
          <w:rFonts w:hint="eastAsia"/>
        </w:rPr>
        <w:t xml:space="preserve"> a lack of fossils and difficulty </w:t>
      </w:r>
      <w:r w:rsidRPr="00323427">
        <w:t xml:space="preserve">obtaining </w:t>
      </w:r>
      <w:r w:rsidRPr="00323427">
        <w:rPr>
          <w:rFonts w:hint="eastAsia"/>
        </w:rPr>
        <w:t xml:space="preserve">U-Pb </w:t>
      </w:r>
      <w:r w:rsidRPr="00323427">
        <w:t>dates from</w:t>
      </w:r>
      <w:r w:rsidRPr="00323427">
        <w:rPr>
          <w:rFonts w:hint="eastAsia"/>
        </w:rPr>
        <w:t xml:space="preserve"> Jackfork Group rocks. A handheld </w:t>
      </w:r>
      <w:r w:rsidRPr="00323427">
        <w:t>scintillometer</w:t>
      </w:r>
      <w:r w:rsidR="00D058D2">
        <w:t xml:space="preserve"> </w:t>
      </w:r>
      <w:r w:rsidRPr="00323427">
        <w:t xml:space="preserve">was </w:t>
      </w:r>
      <w:r w:rsidRPr="00323427">
        <w:rPr>
          <w:rFonts w:hint="eastAsia"/>
        </w:rPr>
        <w:t xml:space="preserve">used </w:t>
      </w:r>
      <w:r>
        <w:t>to collect</w:t>
      </w:r>
      <w:r w:rsidR="001B0A1A">
        <w:rPr>
          <w:rFonts w:hint="eastAsia"/>
        </w:rPr>
        <w:t xml:space="preserve"> </w:t>
      </w:r>
      <w:r w:rsidRPr="00323427">
        <w:rPr>
          <w:rFonts w:hint="eastAsia"/>
        </w:rPr>
        <w:t xml:space="preserve">shale samples from the intervals with highest gamma-ray </w:t>
      </w:r>
      <w:r w:rsidR="00DE28D6" w:rsidRPr="00323427">
        <w:t>reading (</w:t>
      </w:r>
      <w:r w:rsidRPr="00323427">
        <w:rPr>
          <w:rFonts w:hint="eastAsia"/>
        </w:rPr>
        <w:t xml:space="preserve">in counts per second, or CPS). These shales are the most likely candidates for condensed sections </w:t>
      </w:r>
      <w:r w:rsidRPr="00323427">
        <w:t>with maximum</w:t>
      </w:r>
      <w:r w:rsidRPr="00323427">
        <w:rPr>
          <w:rFonts w:hint="eastAsia"/>
        </w:rPr>
        <w:t xml:space="preserve"> flooding surfaces (Slatt </w:t>
      </w:r>
      <w:r w:rsidR="00880C6B" w:rsidRPr="00880C6B">
        <w:rPr>
          <w:rFonts w:hint="eastAsia"/>
          <w:i/>
        </w:rPr>
        <w:t>et al.</w:t>
      </w:r>
      <w:r w:rsidRPr="00323427">
        <w:rPr>
          <w:rFonts w:hint="eastAsia"/>
        </w:rPr>
        <w:t xml:space="preserve">, 2000a). </w:t>
      </w:r>
      <w:r w:rsidR="001B0A1A">
        <w:rPr>
          <w:rFonts w:hint="eastAsia"/>
          <w:lang w:eastAsia="zh-CN"/>
        </w:rPr>
        <w:t>S</w:t>
      </w:r>
      <w:r w:rsidR="003F69EA">
        <w:t>hale</w:t>
      </w:r>
      <w:r w:rsidR="003F69EA" w:rsidRPr="00323427">
        <w:t xml:space="preserve"> samples</w:t>
      </w:r>
      <w:r w:rsidRPr="00323427">
        <w:rPr>
          <w:rFonts w:hint="eastAsia"/>
        </w:rPr>
        <w:t xml:space="preserve"> </w:t>
      </w:r>
      <w:r w:rsidR="001B0A1A">
        <w:rPr>
          <w:rFonts w:hint="eastAsia"/>
          <w:lang w:eastAsia="zh-CN"/>
        </w:rPr>
        <w:t xml:space="preserve">were </w:t>
      </w:r>
      <w:r>
        <w:t>tested by</w:t>
      </w:r>
      <w:r>
        <w:rPr>
          <w:rFonts w:hint="eastAsia"/>
        </w:rPr>
        <w:t xml:space="preserve"> I</w:t>
      </w:r>
      <w:r w:rsidRPr="00323427">
        <w:rPr>
          <w:rFonts w:hint="eastAsia"/>
        </w:rPr>
        <w:t>CP-MS (</w:t>
      </w:r>
      <w:r w:rsidRPr="00323427">
        <w:rPr>
          <w:rStyle w:val="st"/>
        </w:rPr>
        <w:t>Inductively Coupled Plasma –Mass Spectrometry</w:t>
      </w:r>
      <w:r w:rsidRPr="00323427">
        <w:rPr>
          <w:rFonts w:hint="eastAsia"/>
        </w:rPr>
        <w:t>)</w:t>
      </w:r>
      <w:r w:rsidRPr="00323427">
        <w:t>,</w:t>
      </w:r>
      <w:r w:rsidR="001B0A1A">
        <w:rPr>
          <w:rFonts w:hint="eastAsia"/>
          <w:lang w:eastAsia="zh-CN"/>
        </w:rPr>
        <w:t xml:space="preserve"> and</w:t>
      </w:r>
      <w:r w:rsidRPr="00323427">
        <w:t xml:space="preserve"> shales with similar chemical components were correlated.</w:t>
      </w:r>
    </w:p>
    <w:p w:rsidR="00C65A26" w:rsidRPr="00323427" w:rsidRDefault="00C65A26" w:rsidP="00C65A26"/>
    <w:p w:rsidR="00C65A26" w:rsidRPr="00323427" w:rsidRDefault="00C65A26" w:rsidP="00C65A26">
      <w:pPr>
        <w:rPr>
          <w:b/>
        </w:rPr>
      </w:pPr>
      <w:r w:rsidRPr="00323427">
        <w:rPr>
          <w:rFonts w:hint="eastAsia"/>
          <w:b/>
        </w:rPr>
        <w:t>Review of DeGray Lake Area Geology</w:t>
      </w:r>
    </w:p>
    <w:p w:rsidR="00C65A26" w:rsidRPr="00323427" w:rsidRDefault="00C65A26" w:rsidP="00C65A26">
      <w:r w:rsidRPr="00323427">
        <w:tab/>
        <w:t xml:space="preserve">Outcrop </w:t>
      </w:r>
      <w:r>
        <w:rPr>
          <w:rFonts w:hint="eastAsia"/>
        </w:rPr>
        <w:t>at</w:t>
      </w:r>
      <w:r w:rsidRPr="00323427">
        <w:t xml:space="preserve"> DeGray Lake Spillway</w:t>
      </w:r>
      <w:r w:rsidRPr="00323427">
        <w:rPr>
          <w:rFonts w:hint="eastAsia"/>
        </w:rPr>
        <w:t>,</w:t>
      </w:r>
      <w:r w:rsidRPr="00323427">
        <w:t xml:space="preserve"> which is </w:t>
      </w:r>
      <w:r w:rsidRPr="00323427">
        <w:rPr>
          <w:rFonts w:hint="eastAsia"/>
        </w:rPr>
        <w:t xml:space="preserve">50 </w:t>
      </w:r>
      <w:r w:rsidRPr="00323427">
        <w:t xml:space="preserve">km </w:t>
      </w:r>
      <w:r w:rsidRPr="00323427">
        <w:rPr>
          <w:rFonts w:hint="eastAsia"/>
        </w:rPr>
        <w:t xml:space="preserve">east </w:t>
      </w:r>
      <w:r>
        <w:rPr>
          <w:rFonts w:hint="eastAsia"/>
        </w:rPr>
        <w:t>to</w:t>
      </w:r>
      <w:r w:rsidRPr="00323427">
        <w:rPr>
          <w:rFonts w:hint="eastAsia"/>
        </w:rPr>
        <w:t xml:space="preserve"> the Kirby Section,</w:t>
      </w:r>
      <w:r w:rsidRPr="00323427">
        <w:t xml:space="preserve"> expose</w:t>
      </w:r>
      <w:r w:rsidRPr="00323427">
        <w:rPr>
          <w:rFonts w:hint="eastAsia"/>
        </w:rPr>
        <w:t>s</w:t>
      </w:r>
      <w:r w:rsidRPr="00323427">
        <w:t xml:space="preserve"> a </w:t>
      </w:r>
      <w:r w:rsidRPr="00323427">
        <w:rPr>
          <w:rFonts w:hint="eastAsia"/>
        </w:rPr>
        <w:t>series of</w:t>
      </w:r>
      <w:r w:rsidR="00D058D2">
        <w:t xml:space="preserve"> </w:t>
      </w:r>
      <w:r w:rsidRPr="00323427">
        <w:rPr>
          <w:rFonts w:hint="eastAsia"/>
        </w:rPr>
        <w:t>sand</w:t>
      </w:r>
      <w:r>
        <w:rPr>
          <w:rFonts w:hint="eastAsia"/>
        </w:rPr>
        <w:t>stone</w:t>
      </w:r>
      <w:r w:rsidRPr="00323427">
        <w:rPr>
          <w:rFonts w:hint="eastAsia"/>
        </w:rPr>
        <w:t>-prone</w:t>
      </w:r>
      <w:r w:rsidR="00D058D2">
        <w:t xml:space="preserve"> </w:t>
      </w:r>
      <w:r w:rsidRPr="00323427">
        <w:t>section</w:t>
      </w:r>
      <w:r w:rsidRPr="00323427">
        <w:rPr>
          <w:rFonts w:hint="eastAsia"/>
        </w:rPr>
        <w:t>s</w:t>
      </w:r>
      <w:r w:rsidR="00D058D2">
        <w:t xml:space="preserve"> </w:t>
      </w:r>
      <w:r w:rsidRPr="00323427">
        <w:t>separated</w:t>
      </w:r>
      <w:r w:rsidRPr="00323427">
        <w:rPr>
          <w:rFonts w:hint="eastAsia"/>
        </w:rPr>
        <w:t xml:space="preserve"> by shales</w:t>
      </w:r>
      <w:r w:rsidRPr="00323427">
        <w:t xml:space="preserve">. </w:t>
      </w:r>
      <w:r>
        <w:rPr>
          <w:rFonts w:hint="eastAsia"/>
        </w:rPr>
        <w:t>This section</w:t>
      </w:r>
      <w:r w:rsidRPr="00323427">
        <w:rPr>
          <w:rFonts w:hint="eastAsia"/>
        </w:rPr>
        <w:t xml:space="preserve"> has</w:t>
      </w:r>
      <w:r w:rsidRPr="00323427">
        <w:t xml:space="preserve"> been studied by many geologists and </w:t>
      </w:r>
      <w:r w:rsidRPr="00323427">
        <w:rPr>
          <w:rFonts w:hint="eastAsia"/>
        </w:rPr>
        <w:t xml:space="preserve">is </w:t>
      </w:r>
      <w:r w:rsidRPr="00323427">
        <w:t xml:space="preserve">well documented (Morris, 1971; Jordan </w:t>
      </w:r>
      <w:r w:rsidR="00880C6B" w:rsidRPr="00880C6B">
        <w:rPr>
          <w:i/>
        </w:rPr>
        <w:t>et al.</w:t>
      </w:r>
      <w:r w:rsidRPr="00323427">
        <w:t xml:space="preserve">, 1991; DeVries, 1992; Shanmugam and Moiola, 1995; Slatt </w:t>
      </w:r>
      <w:r w:rsidR="00880C6B" w:rsidRPr="00880C6B">
        <w:rPr>
          <w:i/>
        </w:rPr>
        <w:t>et al.</w:t>
      </w:r>
      <w:r w:rsidRPr="00323427">
        <w:t xml:space="preserve">, 1997; Al-Siyabi, 2000; Slatt </w:t>
      </w:r>
      <w:r w:rsidR="00880C6B" w:rsidRPr="00880C6B">
        <w:rPr>
          <w:i/>
        </w:rPr>
        <w:t>et al.</w:t>
      </w:r>
      <w:r w:rsidRPr="00323427">
        <w:t>, 2000</w:t>
      </w:r>
      <w:r w:rsidRPr="00323427">
        <w:rPr>
          <w:rFonts w:hint="eastAsia"/>
        </w:rPr>
        <w:t>a</w:t>
      </w:r>
      <w:r w:rsidR="003F69EA" w:rsidRPr="00323427">
        <w:t>; Schlichtemeier</w:t>
      </w:r>
      <w:r w:rsidRPr="00323427">
        <w:t>, 2011).</w:t>
      </w:r>
      <w:r w:rsidRPr="00323427">
        <w:rPr>
          <w:rFonts w:hint="eastAsia"/>
        </w:rPr>
        <w:t xml:space="preserve"> For many years it has been a </w:t>
      </w:r>
      <w:r w:rsidRPr="00323427">
        <w:t xml:space="preserve">classic outcrop </w:t>
      </w:r>
      <w:r w:rsidR="003F69EA" w:rsidRPr="00323427">
        <w:t>for oil</w:t>
      </w:r>
      <w:r w:rsidRPr="00323427">
        <w:rPr>
          <w:rFonts w:hint="eastAsia"/>
        </w:rPr>
        <w:t xml:space="preserve"> and gas</w:t>
      </w:r>
      <w:r w:rsidRPr="00323427">
        <w:t xml:space="preserve"> geoscientist</w:t>
      </w:r>
      <w:r w:rsidRPr="00323427">
        <w:rPr>
          <w:rFonts w:hint="eastAsia"/>
        </w:rPr>
        <w:t>s</w:t>
      </w:r>
      <w:r w:rsidRPr="00323427">
        <w:t xml:space="preserve"> and engineers to </w:t>
      </w:r>
      <w:r w:rsidRPr="00323427">
        <w:rPr>
          <w:rFonts w:hint="eastAsia"/>
        </w:rPr>
        <w:t xml:space="preserve">study </w:t>
      </w:r>
      <w:r w:rsidRPr="00323427">
        <w:t xml:space="preserve">deepwater reservoir analogs because of </w:t>
      </w:r>
      <w:r w:rsidRPr="00323427">
        <w:rPr>
          <w:rFonts w:hint="eastAsia"/>
        </w:rPr>
        <w:t>the Jackfork</w:t>
      </w:r>
      <w:r w:rsidR="00446054">
        <w:rPr>
          <w:rFonts w:hint="eastAsia"/>
          <w:lang w:eastAsia="zh-CN"/>
        </w:rPr>
        <w:t xml:space="preserve"> Group</w:t>
      </w:r>
      <w:r w:rsidR="00446054">
        <w:rPr>
          <w:lang w:eastAsia="zh-CN"/>
        </w:rPr>
        <w:t>’</w:t>
      </w:r>
      <w:r w:rsidRPr="00323427">
        <w:rPr>
          <w:rFonts w:hint="eastAsia"/>
        </w:rPr>
        <w:t>s</w:t>
      </w:r>
      <w:r w:rsidRPr="00323427">
        <w:t xml:space="preserve"> excellent exposure </w:t>
      </w:r>
      <w:r w:rsidRPr="00323427">
        <w:rPr>
          <w:rFonts w:hint="eastAsia"/>
        </w:rPr>
        <w:t>with</w:t>
      </w:r>
      <w:r w:rsidRPr="00323427">
        <w:t xml:space="preserve"> a relatively long and continuous </w:t>
      </w:r>
      <w:r w:rsidRPr="00323427">
        <w:rPr>
          <w:rFonts w:hint="eastAsia"/>
        </w:rPr>
        <w:t xml:space="preserve">vertical </w:t>
      </w:r>
      <w:r w:rsidRPr="00323427">
        <w:t>section</w:t>
      </w:r>
      <w:r w:rsidRPr="00323427">
        <w:rPr>
          <w:rFonts w:hint="eastAsia"/>
        </w:rPr>
        <w:t xml:space="preserve"> (~1</w:t>
      </w:r>
      <w:r w:rsidRPr="000646C1">
        <w:rPr>
          <w:rFonts w:hint="eastAsia"/>
        </w:rPr>
        <w:t xml:space="preserve">000m) </w:t>
      </w:r>
      <w:r w:rsidRPr="000646C1">
        <w:t>in several separate outcrops (</w:t>
      </w:r>
      <w:r w:rsidR="00B83452">
        <w:t>Figure 2.</w:t>
      </w:r>
      <w:r w:rsidR="00B10AE5">
        <w:t>1</w:t>
      </w:r>
      <w:r w:rsidR="00B83452">
        <w:t>8</w:t>
      </w:r>
      <w:r w:rsidRPr="000646C1">
        <w:t>-A). One of</w:t>
      </w:r>
      <w:r w:rsidRPr="00323427">
        <w:t xml:space="preserve"> the key goals for previous researchers on DeGray Lake </w:t>
      </w:r>
      <w:r w:rsidRPr="00323427">
        <w:rPr>
          <w:rFonts w:hint="eastAsia"/>
        </w:rPr>
        <w:t>was</w:t>
      </w:r>
      <w:r w:rsidRPr="00323427">
        <w:t xml:space="preserve"> to develop an appropriate depositional </w:t>
      </w:r>
      <w:r w:rsidRPr="00323427">
        <w:rPr>
          <w:rFonts w:hint="eastAsia"/>
        </w:rPr>
        <w:t xml:space="preserve">and sequence stratigraphic </w:t>
      </w:r>
      <w:r w:rsidRPr="00323427">
        <w:t>model for the Jackfork Group</w:t>
      </w:r>
      <w:r w:rsidRPr="00323427">
        <w:rPr>
          <w:rFonts w:hint="eastAsia"/>
        </w:rPr>
        <w:t xml:space="preserve"> in the DeGray Lake area (</w:t>
      </w:r>
      <w:r w:rsidR="00B83452">
        <w:rPr>
          <w:rFonts w:hint="eastAsia"/>
        </w:rPr>
        <w:t>Figure 2.</w:t>
      </w:r>
      <w:r w:rsidR="00B10AE5">
        <w:t>1</w:t>
      </w:r>
      <w:r w:rsidR="00B83452">
        <w:rPr>
          <w:rFonts w:hint="eastAsia"/>
        </w:rPr>
        <w:t>8</w:t>
      </w:r>
      <w:r w:rsidRPr="00323427">
        <w:rPr>
          <w:rFonts w:hint="eastAsia"/>
        </w:rPr>
        <w:t>-A)</w:t>
      </w:r>
      <w:r w:rsidRPr="00323427">
        <w:t xml:space="preserve">. </w:t>
      </w:r>
    </w:p>
    <w:p w:rsidR="00C65A26" w:rsidRPr="00323427" w:rsidRDefault="00C65A26" w:rsidP="00C65A26">
      <w:r w:rsidRPr="00323427">
        <w:lastRenderedPageBreak/>
        <w:tab/>
      </w:r>
      <w:r>
        <w:t>Beginning with</w:t>
      </w:r>
      <w:r w:rsidRPr="00323427">
        <w:rPr>
          <w:rFonts w:hint="eastAsia"/>
        </w:rPr>
        <w:t xml:space="preserve"> the</w:t>
      </w:r>
      <w:r>
        <w:rPr>
          <w:rFonts w:hint="eastAsia"/>
        </w:rPr>
        <w:t xml:space="preserve"> base of the </w:t>
      </w:r>
      <w:r>
        <w:t>Jackfork Group at</w:t>
      </w:r>
      <w:r w:rsidRPr="00323427">
        <w:t xml:space="preserve"> the roadcut of Highway 7 (</w:t>
      </w:r>
      <w:r w:rsidR="00B83452">
        <w:t>Figure 2.</w:t>
      </w:r>
      <w:r w:rsidR="00B10AE5">
        <w:t>1</w:t>
      </w:r>
      <w:r w:rsidR="00B83452">
        <w:t>8</w:t>
      </w:r>
      <w:r w:rsidRPr="00323427">
        <w:rPr>
          <w:rFonts w:hint="eastAsia"/>
        </w:rPr>
        <w:t>-</w:t>
      </w:r>
      <w:r>
        <w:rPr>
          <w:rFonts w:hint="eastAsia"/>
        </w:rPr>
        <w:t>A</w:t>
      </w:r>
      <w:r w:rsidRPr="00323427">
        <w:t>)</w:t>
      </w:r>
      <w:r>
        <w:t>, t</w:t>
      </w:r>
      <w:r w:rsidRPr="00323427">
        <w:rPr>
          <w:rFonts w:hint="eastAsia"/>
        </w:rPr>
        <w:t>he c</w:t>
      </w:r>
      <w:r w:rsidRPr="00323427">
        <w:t>ontact between</w:t>
      </w:r>
      <w:r w:rsidRPr="00323427">
        <w:rPr>
          <w:rFonts w:hint="eastAsia"/>
        </w:rPr>
        <w:t xml:space="preserve"> the</w:t>
      </w:r>
      <w:r w:rsidRPr="00323427">
        <w:t xml:space="preserve"> underlying Stanley Shale and</w:t>
      </w:r>
      <w:r w:rsidRPr="00323427">
        <w:rPr>
          <w:rFonts w:hint="eastAsia"/>
        </w:rPr>
        <w:t xml:space="preserve"> the</w:t>
      </w:r>
      <w:r w:rsidRPr="00323427">
        <w:t xml:space="preserve"> Lower Jackfork Group </w:t>
      </w:r>
      <w:r w:rsidRPr="00323427">
        <w:rPr>
          <w:rFonts w:hint="eastAsia"/>
        </w:rPr>
        <w:t>is</w:t>
      </w:r>
      <w:r w:rsidRPr="00323427">
        <w:t xml:space="preserve"> identified </w:t>
      </w:r>
      <w:r w:rsidRPr="000646C1">
        <w:t>by a boundary separating shaly s</w:t>
      </w:r>
      <w:r w:rsidRPr="00323427">
        <w:t>trata at the bottom of th</w:t>
      </w:r>
      <w:r w:rsidRPr="000646C1">
        <w:t>e section from sandy</w:t>
      </w:r>
      <w:r w:rsidRPr="00323427">
        <w:t xml:space="preserve"> strata above. </w:t>
      </w:r>
      <w:r w:rsidRPr="00323427">
        <w:rPr>
          <w:rFonts w:hint="eastAsia"/>
        </w:rPr>
        <w:t xml:space="preserve">This boundary is </w:t>
      </w:r>
      <w:r>
        <w:rPr>
          <w:rFonts w:hint="eastAsia"/>
        </w:rPr>
        <w:t xml:space="preserve">interpreted as </w:t>
      </w:r>
      <w:r w:rsidRPr="00323427">
        <w:rPr>
          <w:rFonts w:hint="eastAsia"/>
        </w:rPr>
        <w:t xml:space="preserve">a global eustatic boundary dated at </w:t>
      </w:r>
      <w:r>
        <w:rPr>
          <w:rFonts w:hint="eastAsia"/>
        </w:rPr>
        <w:t>~</w:t>
      </w:r>
      <w:r w:rsidRPr="00323427">
        <w:rPr>
          <w:rFonts w:hint="eastAsia"/>
        </w:rPr>
        <w:t xml:space="preserve">320 Ma (Slatt </w:t>
      </w:r>
      <w:r w:rsidR="00880C6B" w:rsidRPr="00880C6B">
        <w:rPr>
          <w:rFonts w:hint="eastAsia"/>
          <w:i/>
        </w:rPr>
        <w:t>et al.</w:t>
      </w:r>
      <w:r w:rsidRPr="00323427">
        <w:rPr>
          <w:rFonts w:hint="eastAsia"/>
        </w:rPr>
        <w:t>, 2000a).</w:t>
      </w:r>
      <w:r w:rsidRPr="00323427">
        <w:t xml:space="preserve"> In the Lower Jackfork Group, channelized facies and sheet-prone facies are both present, which implies a </w:t>
      </w:r>
      <w:r w:rsidRPr="00323427">
        <w:rPr>
          <w:rFonts w:hint="eastAsia"/>
        </w:rPr>
        <w:t xml:space="preserve">general </w:t>
      </w:r>
      <w:r w:rsidRPr="00323427">
        <w:t>down slope proximal fan environment.</w:t>
      </w:r>
      <w:r>
        <w:rPr>
          <w:rFonts w:hint="eastAsia"/>
        </w:rPr>
        <w:t xml:space="preserve"> The Highway-7 section is followed by Lakeview Section and Old Roadcuts (</w:t>
      </w:r>
      <w:r w:rsidR="00B83452">
        <w:rPr>
          <w:rFonts w:hint="eastAsia"/>
        </w:rPr>
        <w:t>Figure 2.</w:t>
      </w:r>
      <w:r w:rsidR="00B10AE5">
        <w:t>1</w:t>
      </w:r>
      <w:r w:rsidR="00B83452">
        <w:rPr>
          <w:rFonts w:hint="eastAsia"/>
        </w:rPr>
        <w:t>8</w:t>
      </w:r>
      <w:r>
        <w:rPr>
          <w:rFonts w:hint="eastAsia"/>
        </w:rPr>
        <w:t xml:space="preserve">-A) along Arkansas Highway 283 (Coleman </w:t>
      </w:r>
      <w:r w:rsidR="00880C6B" w:rsidRPr="00880C6B">
        <w:rPr>
          <w:rFonts w:hint="eastAsia"/>
          <w:i/>
        </w:rPr>
        <w:t>et al.</w:t>
      </w:r>
      <w:r>
        <w:rPr>
          <w:rFonts w:hint="eastAsia"/>
        </w:rPr>
        <w:t xml:space="preserve">, 1994). However, the </w:t>
      </w:r>
      <w:r w:rsidR="003F69EA">
        <w:t>exposures of these two outcrops are</w:t>
      </w:r>
      <w:r>
        <w:rPr>
          <w:rFonts w:hint="eastAsia"/>
        </w:rPr>
        <w:t xml:space="preserve"> too poor to be </w:t>
      </w:r>
      <w:r>
        <w:t>effectively</w:t>
      </w:r>
      <w:r>
        <w:rPr>
          <w:rFonts w:hint="eastAsia"/>
        </w:rPr>
        <w:t xml:space="preserve"> measured and </w:t>
      </w:r>
      <w:r w:rsidR="003F69EA">
        <w:t>described. Thus</w:t>
      </w:r>
      <w:r>
        <w:rPr>
          <w:rFonts w:hint="eastAsia"/>
        </w:rPr>
        <w:t xml:space="preserve"> only a qualitative lithology description is available here.</w:t>
      </w:r>
    </w:p>
    <w:p w:rsidR="00917864" w:rsidRPr="00323427" w:rsidRDefault="00C65A26" w:rsidP="00917864">
      <w:r w:rsidRPr="00323427">
        <w:tab/>
        <w:t>The Middle Jackfork Group</w:t>
      </w:r>
      <w:r>
        <w:t xml:space="preserve"> outcrop</w:t>
      </w:r>
      <w:r w:rsidRPr="00323427">
        <w:t xml:space="preserve"> has been characterized in detail by Slatt </w:t>
      </w:r>
      <w:r w:rsidR="00880C6B" w:rsidRPr="00880C6B">
        <w:rPr>
          <w:i/>
        </w:rPr>
        <w:t>et al.</w:t>
      </w:r>
      <w:r w:rsidRPr="00323427">
        <w:t xml:space="preserve"> (2000</w:t>
      </w:r>
      <w:r w:rsidRPr="00323427">
        <w:rPr>
          <w:rFonts w:hint="eastAsia"/>
        </w:rPr>
        <w:t>a</w:t>
      </w:r>
      <w:r w:rsidR="00446054">
        <w:rPr>
          <w:rFonts w:hint="eastAsia"/>
          <w:lang w:eastAsia="zh-CN"/>
        </w:rPr>
        <w:t>) and</w:t>
      </w:r>
      <w:r w:rsidR="00B326D0">
        <w:t xml:space="preserve"> </w:t>
      </w:r>
      <w:r w:rsidR="00446054">
        <w:rPr>
          <w:rFonts w:hint="eastAsia"/>
        </w:rPr>
        <w:t>Shear</w:t>
      </w:r>
      <w:r w:rsidR="00446054">
        <w:rPr>
          <w:rFonts w:hint="eastAsia"/>
          <w:lang w:eastAsia="zh-CN"/>
        </w:rPr>
        <w:t xml:space="preserve"> (</w:t>
      </w:r>
      <w:r w:rsidRPr="00323427">
        <w:rPr>
          <w:rFonts w:hint="eastAsia"/>
        </w:rPr>
        <w:t>2006).</w:t>
      </w:r>
      <w:r>
        <w:t xml:space="preserve"> The </w:t>
      </w:r>
      <w:r w:rsidRPr="00323427">
        <w:t xml:space="preserve">Middle Jackfork Group is characterized by </w:t>
      </w:r>
      <w:r w:rsidRPr="00323427">
        <w:rPr>
          <w:rFonts w:hint="eastAsia"/>
        </w:rPr>
        <w:t xml:space="preserve">sheet sandstones at the bottom and </w:t>
      </w:r>
      <w:r w:rsidRPr="00323427">
        <w:t>friable channel sandstones with relative</w:t>
      </w:r>
      <w:r w:rsidRPr="00323427">
        <w:rPr>
          <w:rFonts w:hint="eastAsia"/>
        </w:rPr>
        <w:t>ly</w:t>
      </w:r>
      <w:r w:rsidRPr="00323427">
        <w:t xml:space="preserve"> thin-bedded levee facies</w:t>
      </w:r>
      <w:r w:rsidRPr="00323427">
        <w:rPr>
          <w:rFonts w:hint="eastAsia"/>
        </w:rPr>
        <w:t xml:space="preserve"> at the top</w:t>
      </w:r>
      <w:r w:rsidRPr="00323427">
        <w:t xml:space="preserve">. </w:t>
      </w:r>
      <w:r w:rsidR="00917864" w:rsidRPr="00323427">
        <w:t xml:space="preserve">Shell Exploration Corporation drilled </w:t>
      </w:r>
      <w:r w:rsidR="00917864">
        <w:rPr>
          <w:rFonts w:hint="eastAsia"/>
        </w:rPr>
        <w:t>the</w:t>
      </w:r>
      <w:r w:rsidR="00917864">
        <w:t xml:space="preserve"> Rex Timber No.</w:t>
      </w:r>
      <w:r w:rsidR="00917864">
        <w:rPr>
          <w:rFonts w:hint="eastAsia"/>
        </w:rPr>
        <w:t xml:space="preserve"> 1-9 </w:t>
      </w:r>
      <w:r w:rsidR="00917864">
        <w:t>well to</w:t>
      </w:r>
      <w:r w:rsidR="00917864" w:rsidRPr="00323427">
        <w:t xml:space="preserve"> test their Moccasin prospect in 1985 </w:t>
      </w:r>
      <w:r w:rsidR="00917864">
        <w:rPr>
          <w:rFonts w:hint="eastAsia"/>
        </w:rPr>
        <w:t>(</w:t>
      </w:r>
      <w:r w:rsidR="00917864">
        <w:t>Figure 2.</w:t>
      </w:r>
      <w:r w:rsidR="00B10AE5">
        <w:t>1</w:t>
      </w:r>
      <w:r w:rsidR="00917864">
        <w:t>8</w:t>
      </w:r>
      <w:r w:rsidR="00917864">
        <w:rPr>
          <w:rFonts w:hint="eastAsia"/>
        </w:rPr>
        <w:t>-B</w:t>
      </w:r>
      <w:r w:rsidR="00917864" w:rsidRPr="00323427">
        <w:t xml:space="preserve">). Detailed </w:t>
      </w:r>
      <w:r w:rsidR="00917864" w:rsidRPr="00323427">
        <w:rPr>
          <w:rFonts w:hint="eastAsia"/>
        </w:rPr>
        <w:t>analysis</w:t>
      </w:r>
      <w:r w:rsidR="00917864" w:rsidRPr="00323427">
        <w:t xml:space="preserve"> of the well </w:t>
      </w:r>
      <w:r w:rsidR="00917864" w:rsidRPr="00323427">
        <w:rPr>
          <w:rFonts w:hint="eastAsia"/>
        </w:rPr>
        <w:t>was</w:t>
      </w:r>
      <w:r w:rsidR="00917864" w:rsidRPr="00323427">
        <w:t xml:space="preserve"> done by Shear (2006) and then by Godo </w:t>
      </w:r>
      <w:r w:rsidR="00880C6B" w:rsidRPr="00880C6B">
        <w:rPr>
          <w:i/>
        </w:rPr>
        <w:t>et al.</w:t>
      </w:r>
      <w:r w:rsidR="00917864" w:rsidRPr="00323427">
        <w:t xml:space="preserve"> (2008), including the well log evaluation, lithology description, petrology, </w:t>
      </w:r>
      <w:r w:rsidR="00917864" w:rsidRPr="00323427">
        <w:rPr>
          <w:rFonts w:hint="eastAsia"/>
        </w:rPr>
        <w:t xml:space="preserve">and </w:t>
      </w:r>
      <w:r w:rsidR="00917864" w:rsidRPr="00323427">
        <w:t>geochemistry.</w:t>
      </w:r>
      <w:r w:rsidR="00917864">
        <w:t xml:space="preserve"> Coleman</w:t>
      </w:r>
      <w:r w:rsidR="00917864">
        <w:rPr>
          <w:rFonts w:hint="eastAsia"/>
        </w:rPr>
        <w:t xml:space="preserve"> </w:t>
      </w:r>
      <w:r w:rsidR="00880C6B" w:rsidRPr="00880C6B">
        <w:rPr>
          <w:rFonts w:hint="eastAsia"/>
          <w:i/>
        </w:rPr>
        <w:t>et al.</w:t>
      </w:r>
      <w:r w:rsidR="00917864">
        <w:rPr>
          <w:rFonts w:hint="eastAsia"/>
        </w:rPr>
        <w:t xml:space="preserve">, (1994) and </w:t>
      </w:r>
      <w:r w:rsidR="00917864" w:rsidRPr="00323427">
        <w:t>Shear (2006) proposed correlation</w:t>
      </w:r>
      <w:r w:rsidR="00917864">
        <w:rPr>
          <w:rFonts w:hint="eastAsia"/>
        </w:rPr>
        <w:t>s</w:t>
      </w:r>
      <w:r w:rsidR="00917864" w:rsidRPr="00323427">
        <w:t xml:space="preserve"> between the well and the outcrop sections of </w:t>
      </w:r>
      <w:r w:rsidR="00917864" w:rsidRPr="00323427">
        <w:rPr>
          <w:rFonts w:hint="eastAsia"/>
        </w:rPr>
        <w:t xml:space="preserve">the </w:t>
      </w:r>
      <w:r w:rsidR="00917864" w:rsidRPr="00323427">
        <w:t xml:space="preserve">Upper and Middle Jackfork Group. </w:t>
      </w:r>
      <w:r w:rsidR="00917864">
        <w:rPr>
          <w:rFonts w:hint="eastAsia"/>
        </w:rPr>
        <w:t>They</w:t>
      </w:r>
      <w:r w:rsidR="00917864" w:rsidRPr="00323427">
        <w:t xml:space="preserve"> correlated DeGray Lake Middle Jackfork Group section and Spillway Lower Jackfork Section from 500-1200m to the well interval from 800-1500m. </w:t>
      </w:r>
      <w:r w:rsidR="00917864" w:rsidRPr="00323427">
        <w:rPr>
          <w:rFonts w:hint="eastAsia"/>
        </w:rPr>
        <w:t>C</w:t>
      </w:r>
      <w:r w:rsidR="00917864" w:rsidRPr="00323427">
        <w:t>lay, feldspar and carbonate</w:t>
      </w:r>
      <w:r w:rsidR="00917864" w:rsidRPr="00323427">
        <w:rPr>
          <w:rFonts w:hint="eastAsia"/>
        </w:rPr>
        <w:t xml:space="preserve"> are </w:t>
      </w:r>
      <w:r w:rsidR="00917864" w:rsidRPr="00323427">
        <w:t>more abundant</w:t>
      </w:r>
      <w:r w:rsidR="00917864" w:rsidRPr="00323427">
        <w:rPr>
          <w:rFonts w:hint="eastAsia"/>
        </w:rPr>
        <w:t xml:space="preserve"> in the Middle </w:t>
      </w:r>
      <w:r w:rsidR="00917864" w:rsidRPr="00323427">
        <w:t>Jackfork</w:t>
      </w:r>
      <w:r w:rsidR="00917864" w:rsidRPr="00323427">
        <w:rPr>
          <w:rFonts w:hint="eastAsia"/>
        </w:rPr>
        <w:t xml:space="preserve"> and secondary d</w:t>
      </w:r>
      <w:r w:rsidR="00917864">
        <w:rPr>
          <w:rFonts w:hint="eastAsia"/>
        </w:rPr>
        <w:t xml:space="preserve">issolution </w:t>
      </w:r>
      <w:r w:rsidR="00917864" w:rsidRPr="00323427">
        <w:rPr>
          <w:rFonts w:hint="eastAsia"/>
        </w:rPr>
        <w:t xml:space="preserve">porosity </w:t>
      </w:r>
      <w:r w:rsidR="00917864" w:rsidRPr="00323427">
        <w:t>development</w:t>
      </w:r>
      <w:r w:rsidR="00917864">
        <w:t xml:space="preserve"> can</w:t>
      </w:r>
      <w:r w:rsidR="00917864" w:rsidRPr="00323427">
        <w:t xml:space="preserve"> be the cause of friability of </w:t>
      </w:r>
      <w:r w:rsidR="00917864" w:rsidRPr="00323427">
        <w:rPr>
          <w:rFonts w:hint="eastAsia"/>
        </w:rPr>
        <w:t xml:space="preserve">the </w:t>
      </w:r>
      <w:r w:rsidR="00917864" w:rsidRPr="00323427">
        <w:t>Middle Jackfork Group</w:t>
      </w:r>
      <w:r w:rsidR="00917864">
        <w:t xml:space="preserve"> in both DeGray outcrops, Rich Mountain outcrops and in </w:t>
      </w:r>
      <w:r w:rsidR="00917864">
        <w:lastRenderedPageBreak/>
        <w:t>the wells</w:t>
      </w:r>
      <w:r w:rsidR="00917864" w:rsidRPr="00323427">
        <w:rPr>
          <w:rFonts w:hint="eastAsia"/>
        </w:rPr>
        <w:t xml:space="preserve"> (Omatsola, 2003; Romero, 2004</w:t>
      </w:r>
      <w:r w:rsidR="00917864">
        <w:t xml:space="preserve">, Godo </w:t>
      </w:r>
      <w:r w:rsidR="00880C6B" w:rsidRPr="00880C6B">
        <w:rPr>
          <w:i/>
        </w:rPr>
        <w:t>et al.</w:t>
      </w:r>
      <w:r w:rsidR="00917864">
        <w:t>, 2008</w:t>
      </w:r>
      <w:r w:rsidR="00917864" w:rsidRPr="00323427">
        <w:rPr>
          <w:rFonts w:hint="eastAsia"/>
        </w:rPr>
        <w:t>)</w:t>
      </w:r>
      <w:r w:rsidR="00917864" w:rsidRPr="00323427">
        <w:t xml:space="preserve">. In contrast, the Upper Jackfork Group consists of mostly quartz cemented sandstone. </w:t>
      </w:r>
    </w:p>
    <w:p w:rsidR="00C65A26" w:rsidRPr="00323427" w:rsidRDefault="00C65A26" w:rsidP="00C65A26">
      <w:r w:rsidRPr="00323427">
        <w:tab/>
        <w:t xml:space="preserve">The Upper Jackfork Group has over </w:t>
      </w:r>
      <w:r w:rsidRPr="00323427">
        <w:rPr>
          <w:rFonts w:hint="eastAsia"/>
        </w:rPr>
        <w:t>300m</w:t>
      </w:r>
      <w:r w:rsidR="00917864">
        <w:t xml:space="preserve"> </w:t>
      </w:r>
      <w:r w:rsidRPr="00323427">
        <w:rPr>
          <w:rFonts w:hint="eastAsia"/>
        </w:rPr>
        <w:t xml:space="preserve">of </w:t>
      </w:r>
      <w:r w:rsidRPr="00323427">
        <w:t>excellent exposure in</w:t>
      </w:r>
      <w:r w:rsidRPr="00323427">
        <w:rPr>
          <w:rFonts w:hint="eastAsia"/>
        </w:rPr>
        <w:t xml:space="preserve"> the</w:t>
      </w:r>
      <w:r w:rsidRPr="00323427">
        <w:t xml:space="preserve"> DeGray Lake Spillway</w:t>
      </w:r>
      <w:r>
        <w:t>,</w:t>
      </w:r>
      <w:r w:rsidRPr="00323427">
        <w:t xml:space="preserve"> plus several dam and intake exposure</w:t>
      </w:r>
      <w:r w:rsidRPr="00323427">
        <w:rPr>
          <w:rFonts w:hint="eastAsia"/>
        </w:rPr>
        <w:t xml:space="preserve">s. </w:t>
      </w:r>
      <w:r w:rsidRPr="00323427">
        <w:t>DeVries (1992) studied the bedding associations and depositional cycles</w:t>
      </w:r>
      <w:r w:rsidRPr="00323427">
        <w:rPr>
          <w:rFonts w:hint="eastAsia"/>
        </w:rPr>
        <w:t xml:space="preserve"> at</w:t>
      </w:r>
      <w:r w:rsidRPr="00323427">
        <w:t xml:space="preserve"> DeGray Lake Spillway</w:t>
      </w:r>
      <w:r w:rsidRPr="00323427">
        <w:rPr>
          <w:rFonts w:hint="eastAsia"/>
        </w:rPr>
        <w:t xml:space="preserve">, and placed </w:t>
      </w:r>
      <w:r>
        <w:rPr>
          <w:rFonts w:hint="eastAsia"/>
        </w:rPr>
        <w:t xml:space="preserve">depositional </w:t>
      </w:r>
      <w:r w:rsidRPr="00323427">
        <w:t>environments in</w:t>
      </w:r>
      <w:r w:rsidRPr="00323427">
        <w:rPr>
          <w:rFonts w:hint="eastAsia"/>
        </w:rPr>
        <w:t>to</w:t>
      </w:r>
      <w:r w:rsidRPr="00323427">
        <w:t xml:space="preserve"> a middle fan depositional environment. Al-Siyabi (2000) </w:t>
      </w:r>
      <w:r>
        <w:rPr>
          <w:rFonts w:hint="eastAsia"/>
        </w:rPr>
        <w:t xml:space="preserve">also </w:t>
      </w:r>
      <w:r w:rsidRPr="00323427">
        <w:t>interpreted depositional environments based on analysis of facies distributions, vertical facies trends and downcurrent relationship</w:t>
      </w:r>
      <w:r w:rsidRPr="00323427">
        <w:rPr>
          <w:rFonts w:hint="eastAsia"/>
        </w:rPr>
        <w:t>s</w:t>
      </w:r>
      <w:r w:rsidRPr="00323427">
        <w:t>. He proposed that the Upper Jackfork Group in DeGray Lake Spillway is a Type II depositional system</w:t>
      </w:r>
      <w:r w:rsidRPr="00323427">
        <w:rPr>
          <w:rFonts w:hint="eastAsia"/>
        </w:rPr>
        <w:t xml:space="preserve"> (Mutti and Normark, 1991)</w:t>
      </w:r>
      <w:r w:rsidRPr="00323427">
        <w:t xml:space="preserve">, which </w:t>
      </w:r>
      <w:r w:rsidRPr="00293B4F">
        <w:t xml:space="preserve">is characterized by channel fill and lobate sandstone sequences. Schlichtemeier </w:t>
      </w:r>
      <w:r w:rsidRPr="00293B4F">
        <w:rPr>
          <w:rFonts w:hint="eastAsia"/>
        </w:rPr>
        <w:t>(2</w:t>
      </w:r>
      <w:r w:rsidRPr="00293B4F">
        <w:t>011</w:t>
      </w:r>
      <w:r w:rsidRPr="00293B4F">
        <w:rPr>
          <w:rFonts w:hint="eastAsia"/>
        </w:rPr>
        <w:t>) used LIDAR (</w:t>
      </w:r>
      <w:r w:rsidRPr="00293B4F">
        <w:t>Laser imaging and ranging</w:t>
      </w:r>
      <w:r w:rsidRPr="00293B4F">
        <w:rPr>
          <w:rFonts w:hint="eastAsia"/>
        </w:rPr>
        <w:t xml:space="preserve">) technology to scan both the west and east walls of DeGray Lake Spillway, adding much detail and </w:t>
      </w:r>
      <w:r w:rsidRPr="00293B4F">
        <w:t>confidence to</w:t>
      </w:r>
      <w:r w:rsidRPr="00293B4F">
        <w:rPr>
          <w:rFonts w:hint="eastAsia"/>
        </w:rPr>
        <w:t xml:space="preserve"> the correlation </w:t>
      </w:r>
      <w:r w:rsidRPr="00293B4F">
        <w:t>of strata</w:t>
      </w:r>
      <w:r w:rsidRPr="00293B4F">
        <w:rPr>
          <w:rFonts w:hint="eastAsia"/>
        </w:rPr>
        <w:t xml:space="preserve"> between</w:t>
      </w:r>
      <w:r w:rsidRPr="00323427">
        <w:rPr>
          <w:rFonts w:hint="eastAsia"/>
        </w:rPr>
        <w:t xml:space="preserve"> the two walls.</w:t>
      </w:r>
    </w:p>
    <w:p w:rsidR="00C65A26" w:rsidRPr="00323427" w:rsidRDefault="00C65A26" w:rsidP="00C65A26">
      <w:r w:rsidRPr="00323427">
        <w:tab/>
        <w:t xml:space="preserve">Based on </w:t>
      </w:r>
      <w:r>
        <w:rPr>
          <w:rFonts w:hint="eastAsia"/>
        </w:rPr>
        <w:t>the previous work and</w:t>
      </w:r>
      <w:r w:rsidRPr="00323427">
        <w:t xml:space="preserve"> our </w:t>
      </w:r>
      <w:r>
        <w:rPr>
          <w:rFonts w:hint="eastAsia"/>
        </w:rPr>
        <w:t>measurements</w:t>
      </w:r>
      <w:r w:rsidRPr="00323427">
        <w:t>, all related measured sections were combined to form a complete section of the Jackfork Group (</w:t>
      </w:r>
      <w:r w:rsidR="00B83452">
        <w:t>Figure 2.</w:t>
      </w:r>
      <w:r w:rsidR="00B10AE5">
        <w:t>1</w:t>
      </w:r>
      <w:r w:rsidR="00B83452">
        <w:t>8</w:t>
      </w:r>
      <w:r w:rsidRPr="00323427">
        <w:rPr>
          <w:rFonts w:hint="eastAsia"/>
        </w:rPr>
        <w:t>-</w:t>
      </w:r>
      <w:r>
        <w:rPr>
          <w:rFonts w:hint="eastAsia"/>
        </w:rPr>
        <w:t xml:space="preserve">A and </w:t>
      </w:r>
      <w:r w:rsidRPr="00323427">
        <w:rPr>
          <w:rFonts w:hint="eastAsia"/>
        </w:rPr>
        <w:t>B</w:t>
      </w:r>
      <w:r w:rsidRPr="00323427">
        <w:t xml:space="preserve">). In general, the whole sequence is characterized by a sheet-prone Lower Jackfork member with mainly quartz-cemented sandstones, a channelized Middle Jackfork member with relatively friable sandstones, </w:t>
      </w:r>
      <w:r w:rsidRPr="00323427">
        <w:rPr>
          <w:rFonts w:hint="eastAsia"/>
        </w:rPr>
        <w:t xml:space="preserve">and </w:t>
      </w:r>
      <w:r w:rsidRPr="00323427">
        <w:t>an Upper Jackfork member with mixed facies of sheet and channel sandstones that are quartz cemented.</w:t>
      </w:r>
    </w:p>
    <w:p w:rsidR="00C65A26" w:rsidRPr="00323427" w:rsidRDefault="00C65A26" w:rsidP="00C65A26">
      <w:r w:rsidRPr="00323427">
        <w:tab/>
      </w:r>
    </w:p>
    <w:p w:rsidR="00C65A26" w:rsidRPr="00323427" w:rsidRDefault="00C65A26" w:rsidP="00C65A26">
      <w:pPr>
        <w:rPr>
          <w:b/>
        </w:rPr>
      </w:pPr>
      <w:r w:rsidRPr="00323427">
        <w:rPr>
          <w:rFonts w:hint="eastAsia"/>
          <w:b/>
        </w:rPr>
        <w:t>Review of Dierks Area Geology</w:t>
      </w:r>
    </w:p>
    <w:p w:rsidR="00C65A26" w:rsidRPr="00323427" w:rsidRDefault="00C65A26" w:rsidP="00C65A26">
      <w:pPr>
        <w:ind w:firstLine="420"/>
      </w:pPr>
      <w:r w:rsidRPr="00323427">
        <w:t>The Dierks Spillway is a</w:t>
      </w:r>
      <w:r w:rsidR="00D058D2">
        <w:t xml:space="preserve"> </w:t>
      </w:r>
      <w:r w:rsidRPr="00323427">
        <w:t>continuous</w:t>
      </w:r>
      <w:r w:rsidR="00D058D2">
        <w:t xml:space="preserve"> </w:t>
      </w:r>
      <w:r w:rsidRPr="00323427">
        <w:t xml:space="preserve">outcrop of the Jackfork Group located </w:t>
      </w:r>
      <w:r w:rsidRPr="00323427">
        <w:rPr>
          <w:rFonts w:hint="eastAsia"/>
        </w:rPr>
        <w:t xml:space="preserve">44 </w:t>
      </w:r>
      <w:r w:rsidRPr="00323427">
        <w:t>kilometers</w:t>
      </w:r>
      <w:r>
        <w:t xml:space="preserve"> to</w:t>
      </w:r>
      <w:r>
        <w:rPr>
          <w:rFonts w:hint="eastAsia"/>
        </w:rPr>
        <w:t xml:space="preserve"> the west </w:t>
      </w:r>
      <w:r>
        <w:t xml:space="preserve">of </w:t>
      </w:r>
      <w:r w:rsidR="003F69EA">
        <w:t>Kirby</w:t>
      </w:r>
      <w:r w:rsidR="003F69EA" w:rsidRPr="00323427">
        <w:t xml:space="preserve"> (</w:t>
      </w:r>
      <w:r w:rsidRPr="00323427">
        <w:t>Figure</w:t>
      </w:r>
      <w:r>
        <w:rPr>
          <w:rFonts w:hint="eastAsia"/>
        </w:rPr>
        <w:t xml:space="preserve"> </w:t>
      </w:r>
      <w:r w:rsidR="00DB342F">
        <w:t>2.</w:t>
      </w:r>
      <w:r w:rsidR="00B10AE5">
        <w:t>1</w:t>
      </w:r>
      <w:r>
        <w:rPr>
          <w:rFonts w:hint="eastAsia"/>
        </w:rPr>
        <w:t>7</w:t>
      </w:r>
      <w:r>
        <w:t>)</w:t>
      </w:r>
      <w:r>
        <w:rPr>
          <w:rFonts w:hint="eastAsia"/>
        </w:rPr>
        <w:t>.</w:t>
      </w:r>
      <w:r w:rsidR="00DB342F">
        <w:t xml:space="preserve"> </w:t>
      </w:r>
      <w:r>
        <w:t>It</w:t>
      </w:r>
      <w:r w:rsidRPr="00323427">
        <w:t xml:space="preserve"> represen</w:t>
      </w:r>
      <w:r>
        <w:t>ts</w:t>
      </w:r>
      <w:r w:rsidRPr="00323427">
        <w:t xml:space="preserve"> a more</w:t>
      </w:r>
      <w:r>
        <w:t xml:space="preserve"> downdip and</w:t>
      </w:r>
      <w:r w:rsidRPr="00323427">
        <w:t xml:space="preserve"> distal </w:t>
      </w:r>
      <w:r w:rsidRPr="00323427">
        <w:lastRenderedPageBreak/>
        <w:t xml:space="preserve">facies than at </w:t>
      </w:r>
      <w:r w:rsidRPr="00323427">
        <w:rPr>
          <w:rFonts w:hint="eastAsia"/>
        </w:rPr>
        <w:t>the Kirby Section</w:t>
      </w:r>
      <w:r>
        <w:t>.</w:t>
      </w:r>
      <w:r>
        <w:rPr>
          <w:rFonts w:hint="eastAsia"/>
        </w:rPr>
        <w:t xml:space="preserve"> T</w:t>
      </w:r>
      <w:r w:rsidRPr="00323427">
        <w:rPr>
          <w:rFonts w:hint="eastAsia"/>
        </w:rPr>
        <w:t xml:space="preserve">he </w:t>
      </w:r>
      <w:r w:rsidRPr="00323427">
        <w:t>Dierks Spillway</w:t>
      </w:r>
      <w:r>
        <w:t xml:space="preserve"> has</w:t>
      </w:r>
      <w:r w:rsidRPr="00323427">
        <w:t xml:space="preserve"> two measured sections</w:t>
      </w:r>
      <w:r w:rsidR="00DB342F">
        <w:rPr>
          <w:rFonts w:hint="eastAsia"/>
        </w:rPr>
        <w:t xml:space="preserve"> </w:t>
      </w:r>
      <w:r w:rsidR="00DB342F">
        <w:t>(</w:t>
      </w:r>
      <w:r w:rsidRPr="00323427">
        <w:rPr>
          <w:rFonts w:hint="eastAsia"/>
        </w:rPr>
        <w:t>th</w:t>
      </w:r>
      <w:r w:rsidRPr="00323427">
        <w:t>e West Wall and the East Wall</w:t>
      </w:r>
      <w:r w:rsidR="00DB342F">
        <w:t>)</w:t>
      </w:r>
      <w:r w:rsidRPr="00323427">
        <w:t xml:space="preserve"> </w:t>
      </w:r>
      <w:r w:rsidRPr="00323427">
        <w:rPr>
          <w:rFonts w:hint="eastAsia"/>
        </w:rPr>
        <w:t>that</w:t>
      </w:r>
      <w:r w:rsidRPr="00323427">
        <w:t xml:space="preserve"> are </w:t>
      </w:r>
      <w:r w:rsidRPr="00323427">
        <w:rPr>
          <w:rFonts w:hint="eastAsia"/>
        </w:rPr>
        <w:t>240m</w:t>
      </w:r>
      <w:r w:rsidR="00DB342F">
        <w:t xml:space="preserve"> </w:t>
      </w:r>
      <w:proofErr w:type="gramStart"/>
      <w:r w:rsidRPr="00323427">
        <w:t>apart</w:t>
      </w:r>
      <w:proofErr w:type="gramEnd"/>
      <w:r w:rsidRPr="00323427">
        <w:t xml:space="preserve"> (</w:t>
      </w:r>
      <w:r w:rsidR="00DB342F">
        <w:t>Figure 2.</w:t>
      </w:r>
      <w:r w:rsidR="00B10AE5">
        <w:t>1</w:t>
      </w:r>
      <w:r w:rsidR="00DB342F">
        <w:t xml:space="preserve">9, </w:t>
      </w:r>
      <w:r w:rsidRPr="00323427">
        <w:t xml:space="preserve">Jordan </w:t>
      </w:r>
      <w:r w:rsidR="00880C6B" w:rsidRPr="00880C6B">
        <w:rPr>
          <w:i/>
        </w:rPr>
        <w:t>et al.</w:t>
      </w:r>
      <w:r w:rsidRPr="00323427">
        <w:t>, 1991)</w:t>
      </w:r>
      <w:r w:rsidRPr="00323427">
        <w:rPr>
          <w:rFonts w:hint="eastAsia"/>
        </w:rPr>
        <w:t xml:space="preserve">. </w:t>
      </w:r>
      <w:r w:rsidRPr="00323427">
        <w:t xml:space="preserve">The West Wall is </w:t>
      </w:r>
      <w:r w:rsidRPr="00323427">
        <w:rPr>
          <w:rFonts w:hint="eastAsia"/>
        </w:rPr>
        <w:t>140m</w:t>
      </w:r>
      <w:r w:rsidRPr="00323427">
        <w:t xml:space="preserve"> thick and the East Wall is </w:t>
      </w:r>
      <w:r w:rsidRPr="00323427">
        <w:rPr>
          <w:rFonts w:hint="eastAsia"/>
        </w:rPr>
        <w:t>70m</w:t>
      </w:r>
      <w:r w:rsidRPr="00323427">
        <w:t xml:space="preserve"> thick. The majority of the </w:t>
      </w:r>
      <w:r>
        <w:t>facies</w:t>
      </w:r>
      <w:r w:rsidR="003A5771">
        <w:t xml:space="preserve"> </w:t>
      </w:r>
      <w:r w:rsidRPr="00323427">
        <w:t>are flat-based sheet sandstones</w:t>
      </w:r>
      <w:r>
        <w:rPr>
          <w:rFonts w:hint="eastAsia"/>
        </w:rPr>
        <w:t xml:space="preserve"> (</w:t>
      </w:r>
      <w:r w:rsidR="00B83452">
        <w:rPr>
          <w:rFonts w:hint="eastAsia"/>
        </w:rPr>
        <w:t>Figure 2.9</w:t>
      </w:r>
      <w:r>
        <w:rPr>
          <w:rFonts w:hint="eastAsia"/>
        </w:rPr>
        <w:t xml:space="preserve"> photo)</w:t>
      </w:r>
      <w:r w:rsidRPr="00323427">
        <w:t>,</w:t>
      </w:r>
      <w:r w:rsidR="00A7071C">
        <w:rPr>
          <w:rFonts w:hint="eastAsia"/>
          <w:lang w:eastAsia="zh-CN"/>
        </w:rPr>
        <w:t xml:space="preserve"> and</w:t>
      </w:r>
      <w:r w:rsidRPr="00323427">
        <w:t xml:space="preserve"> thin beds </w:t>
      </w:r>
      <w:r>
        <w:t>separated</w:t>
      </w:r>
      <w:r>
        <w:rPr>
          <w:rFonts w:hint="eastAsia"/>
        </w:rPr>
        <w:t xml:space="preserve"> by</w:t>
      </w:r>
      <w:r w:rsidRPr="00323427">
        <w:t xml:space="preserve"> parallel laminated shales. </w:t>
      </w:r>
      <w:r w:rsidRPr="00323427">
        <w:rPr>
          <w:rFonts w:hint="eastAsia"/>
        </w:rPr>
        <w:t>M</w:t>
      </w:r>
      <w:r w:rsidRPr="00323427">
        <w:t xml:space="preserve">ost of </w:t>
      </w:r>
      <w:r>
        <w:rPr>
          <w:rFonts w:hint="eastAsia"/>
        </w:rPr>
        <w:t>these</w:t>
      </w:r>
      <w:r w:rsidRPr="00323427">
        <w:t xml:space="preserve"> sandstones are well cemented "hammer-ringer</w:t>
      </w:r>
      <w:r w:rsidRPr="00323427">
        <w:rPr>
          <w:rFonts w:hint="eastAsia"/>
        </w:rPr>
        <w:t>s</w:t>
      </w:r>
      <w:r>
        <w:t>" with few friable sandstone</w:t>
      </w:r>
      <w:r>
        <w:rPr>
          <w:rFonts w:hint="eastAsia"/>
        </w:rPr>
        <w:t xml:space="preserve"> beds</w:t>
      </w:r>
      <w:r w:rsidRPr="00323427">
        <w:t xml:space="preserve"> present. Interpreted </w:t>
      </w:r>
      <w:r w:rsidR="00FD77B9">
        <w:t xml:space="preserve">channelized sheet sandstone </w:t>
      </w:r>
      <w:r w:rsidR="00A7071C">
        <w:t>(weekly confined sandstone)</w:t>
      </w:r>
      <w:r w:rsidRPr="00323427">
        <w:t xml:space="preserve"> account for 8% of the entire section. </w:t>
      </w:r>
      <w:r w:rsidRPr="00323427">
        <w:rPr>
          <w:rFonts w:hint="eastAsia"/>
        </w:rPr>
        <w:t>The</w:t>
      </w:r>
      <w:r w:rsidRPr="00323427">
        <w:t xml:space="preserve"> sandstone package</w:t>
      </w:r>
      <w:r w:rsidRPr="00323427">
        <w:rPr>
          <w:rFonts w:hint="eastAsia"/>
        </w:rPr>
        <w:t xml:space="preserve"> at Dierks</w:t>
      </w:r>
      <w:r w:rsidRPr="00323427">
        <w:t xml:space="preserve"> is interpreted as compensational</w:t>
      </w:r>
      <w:r w:rsidRPr="00323427">
        <w:rPr>
          <w:rFonts w:hint="eastAsia"/>
        </w:rPr>
        <w:t>ly</w:t>
      </w:r>
      <w:r w:rsidRPr="00323427">
        <w:t xml:space="preserve"> stacked</w:t>
      </w:r>
      <w:r>
        <w:t xml:space="preserve"> middle</w:t>
      </w:r>
      <w:r>
        <w:rPr>
          <w:rFonts w:hint="eastAsia"/>
        </w:rPr>
        <w:t>-distal</w:t>
      </w:r>
      <w:r w:rsidRPr="00323427">
        <w:t xml:space="preserve"> fan deposits.</w:t>
      </w:r>
    </w:p>
    <w:p w:rsidR="00C65A26" w:rsidRPr="00323427" w:rsidRDefault="00C65A26" w:rsidP="00C65A26">
      <w:pPr>
        <w:rPr>
          <w:b/>
        </w:rPr>
      </w:pPr>
    </w:p>
    <w:p w:rsidR="00C65A26" w:rsidRPr="005D2D84" w:rsidRDefault="005D2D84" w:rsidP="005D2D84">
      <w:pPr>
        <w:jc w:val="center"/>
        <w:rPr>
          <w:b/>
        </w:rPr>
      </w:pPr>
      <w:r w:rsidRPr="005D2D84">
        <w:rPr>
          <w:b/>
        </w:rPr>
        <w:t>CHEMOSTRATIGRAPHY</w:t>
      </w:r>
    </w:p>
    <w:p w:rsidR="00C65A26" w:rsidRPr="002B01B6" w:rsidRDefault="00D17C6F" w:rsidP="00C65A26">
      <w:r>
        <w:rPr>
          <w:b/>
        </w:rPr>
        <w:tab/>
      </w:r>
      <w:r>
        <w:t xml:space="preserve">475 samples mainly from shaly intervals in Kirby Section, DeGray Lake Sections and Dierks sections were collected to test chemostratigraphy (both trace and major elements) with the Hand-Held XRF. In addition, for calibration purposes, </w:t>
      </w:r>
      <w:r w:rsidR="00C65A26">
        <w:rPr>
          <w:rFonts w:hint="eastAsia"/>
        </w:rPr>
        <w:t>10</w:t>
      </w:r>
      <w:r w:rsidR="00C65A26" w:rsidRPr="00323427">
        <w:rPr>
          <w:rFonts w:hint="eastAsia"/>
        </w:rPr>
        <w:t xml:space="preserve"> shale </w:t>
      </w:r>
      <w:r w:rsidR="00D058D2" w:rsidRPr="00323427">
        <w:t>samples from</w:t>
      </w:r>
      <w:r w:rsidR="00C65A26" w:rsidRPr="00323427">
        <w:rPr>
          <w:rFonts w:hint="eastAsia"/>
        </w:rPr>
        <w:t xml:space="preserve"> DeGray </w:t>
      </w:r>
      <w:r w:rsidR="00C65A26">
        <w:rPr>
          <w:rFonts w:hint="eastAsia"/>
        </w:rPr>
        <w:t>Sections</w:t>
      </w:r>
      <w:r w:rsidR="00C65A26" w:rsidRPr="00323427">
        <w:rPr>
          <w:rFonts w:hint="eastAsia"/>
        </w:rPr>
        <w:t xml:space="preserve">, </w:t>
      </w:r>
      <w:r w:rsidR="00C65A26">
        <w:rPr>
          <w:rFonts w:hint="eastAsia"/>
        </w:rPr>
        <w:t xml:space="preserve">12 shale samples from </w:t>
      </w:r>
      <w:r w:rsidR="00C65A26" w:rsidRPr="00323427">
        <w:rPr>
          <w:rFonts w:hint="eastAsia"/>
        </w:rPr>
        <w:t xml:space="preserve">Kirby and </w:t>
      </w:r>
      <w:r w:rsidR="00C65A26">
        <w:rPr>
          <w:rFonts w:hint="eastAsia"/>
        </w:rPr>
        <w:t xml:space="preserve">3 shale </w:t>
      </w:r>
      <w:r w:rsidR="00C65A26">
        <w:t>samples</w:t>
      </w:r>
      <w:r w:rsidR="00C65A26">
        <w:rPr>
          <w:rFonts w:hint="eastAsia"/>
        </w:rPr>
        <w:t xml:space="preserve"> from </w:t>
      </w:r>
      <w:r w:rsidR="00C65A26" w:rsidRPr="00323427">
        <w:rPr>
          <w:rFonts w:hint="eastAsia"/>
        </w:rPr>
        <w:t xml:space="preserve">Dierks sections </w:t>
      </w:r>
      <w:r w:rsidR="00C65A26">
        <w:rPr>
          <w:rFonts w:hint="eastAsia"/>
        </w:rPr>
        <w:t>were</w:t>
      </w:r>
      <w:r w:rsidR="00C65A26" w:rsidRPr="00323427">
        <w:rPr>
          <w:rFonts w:hint="eastAsia"/>
        </w:rPr>
        <w:t xml:space="preserve"> collected</w:t>
      </w:r>
      <w:r w:rsidR="00C65A26" w:rsidRPr="00822998">
        <w:t xml:space="preserve"> with </w:t>
      </w:r>
      <w:r w:rsidR="00C65A26">
        <w:rPr>
          <w:rFonts w:hint="eastAsia"/>
        </w:rPr>
        <w:t xml:space="preserve">the </w:t>
      </w:r>
      <w:r w:rsidR="00C65A26" w:rsidRPr="00822998">
        <w:t>high</w:t>
      </w:r>
      <w:r w:rsidR="00C65A26">
        <w:rPr>
          <w:rFonts w:hint="eastAsia"/>
        </w:rPr>
        <w:t>est</w:t>
      </w:r>
      <w:r w:rsidR="00C65A26" w:rsidRPr="00822998">
        <w:t xml:space="preserve"> </w:t>
      </w:r>
      <w:r w:rsidR="00F83FCF">
        <w:t xml:space="preserve">outcrop </w:t>
      </w:r>
      <w:r w:rsidR="00C65A26" w:rsidRPr="00822998">
        <w:t>gamma ray responses</w:t>
      </w:r>
      <w:r w:rsidR="00C65A26" w:rsidRPr="00323427">
        <w:rPr>
          <w:rFonts w:hint="eastAsia"/>
        </w:rPr>
        <w:t xml:space="preserve">. They were sent to the State Key Laboratory at China Academy of Geosciences </w:t>
      </w:r>
      <w:r w:rsidR="00C65A26">
        <w:rPr>
          <w:rFonts w:hint="eastAsia"/>
        </w:rPr>
        <w:t xml:space="preserve">(Beijing) </w:t>
      </w:r>
      <w:r w:rsidR="00C65A26" w:rsidRPr="00323427">
        <w:rPr>
          <w:rFonts w:hint="eastAsia"/>
        </w:rPr>
        <w:t xml:space="preserve">for </w:t>
      </w:r>
      <w:r w:rsidR="00C65A26">
        <w:rPr>
          <w:rFonts w:hint="eastAsia"/>
        </w:rPr>
        <w:t xml:space="preserve">high resolution </w:t>
      </w:r>
      <w:r w:rsidR="00C65A26" w:rsidRPr="00323427">
        <w:rPr>
          <w:rFonts w:hint="eastAsia"/>
        </w:rPr>
        <w:t xml:space="preserve">X-Ray </w:t>
      </w:r>
      <w:r w:rsidR="00C65A26">
        <w:rPr>
          <w:rFonts w:hint="eastAsia"/>
        </w:rPr>
        <w:t>Fluorescence</w:t>
      </w:r>
      <w:r w:rsidR="00C65A26" w:rsidRPr="00323427">
        <w:rPr>
          <w:rFonts w:hint="eastAsia"/>
        </w:rPr>
        <w:t xml:space="preserve"> (XRF) </w:t>
      </w:r>
      <w:r w:rsidR="00C65A26" w:rsidRPr="00323427">
        <w:t>a</w:t>
      </w:r>
      <w:r w:rsidR="00C65A26" w:rsidRPr="002B01B6">
        <w:t xml:space="preserve">nd Inductively </w:t>
      </w:r>
      <w:r w:rsidR="00C65A26" w:rsidRPr="002B01B6">
        <w:rPr>
          <w:rFonts w:hint="eastAsia"/>
        </w:rPr>
        <w:t>C</w:t>
      </w:r>
      <w:r w:rsidR="00C65A26" w:rsidRPr="002B01B6">
        <w:t xml:space="preserve">oupled </w:t>
      </w:r>
      <w:r w:rsidR="00C65A26" w:rsidRPr="002B01B6">
        <w:rPr>
          <w:rFonts w:hint="eastAsia"/>
        </w:rPr>
        <w:t>P</w:t>
      </w:r>
      <w:r w:rsidR="00C65A26" w:rsidRPr="002B01B6">
        <w:t>lasma</w:t>
      </w:r>
      <w:r w:rsidR="00C65A26" w:rsidRPr="002B01B6">
        <w:rPr>
          <w:rFonts w:hint="eastAsia"/>
        </w:rPr>
        <w:t xml:space="preserve"> and M</w:t>
      </w:r>
      <w:r w:rsidR="00C65A26" w:rsidRPr="002B01B6">
        <w:t xml:space="preserve">ass </w:t>
      </w:r>
      <w:r w:rsidR="00C65A26" w:rsidRPr="002B01B6">
        <w:rPr>
          <w:rFonts w:hint="eastAsia"/>
        </w:rPr>
        <w:t>S</w:t>
      </w:r>
      <w:r w:rsidR="00C65A26" w:rsidRPr="002B01B6">
        <w:t xml:space="preserve">pectrometry </w:t>
      </w:r>
      <w:r w:rsidR="00C65A26" w:rsidRPr="002B01B6">
        <w:rPr>
          <w:rFonts w:hint="eastAsia"/>
        </w:rPr>
        <w:t>(ICP-MS) tests. The main chemical elements tested includ</w:t>
      </w:r>
      <w:r w:rsidR="00C65A26" w:rsidRPr="002B01B6">
        <w:t xml:space="preserve">e all </w:t>
      </w:r>
      <w:r w:rsidR="00C65A26" w:rsidRPr="002B01B6">
        <w:rPr>
          <w:i/>
        </w:rPr>
        <w:t>Major Oxides</w:t>
      </w:r>
      <w:r w:rsidR="00C65A26" w:rsidRPr="002B01B6">
        <w:t xml:space="preserve">, </w:t>
      </w:r>
      <w:r w:rsidR="00C65A26" w:rsidRPr="002B01B6">
        <w:rPr>
          <w:i/>
        </w:rPr>
        <w:t>Trace Elements</w:t>
      </w:r>
      <w:r w:rsidR="00C65A26" w:rsidRPr="002B01B6">
        <w:t xml:space="preserve"> and </w:t>
      </w:r>
      <w:r w:rsidR="00C65A26" w:rsidRPr="002B01B6">
        <w:rPr>
          <w:i/>
        </w:rPr>
        <w:t>Rare Earth Elements (REEs).</w:t>
      </w:r>
    </w:p>
    <w:p w:rsidR="00C65A26" w:rsidRDefault="00C65A26" w:rsidP="00C65A26">
      <w:r w:rsidRPr="002B01B6">
        <w:rPr>
          <w:rFonts w:hint="eastAsia"/>
          <w:b/>
        </w:rPr>
        <w:tab/>
      </w:r>
      <w:r w:rsidRPr="002B01B6">
        <w:t>These elements have prove</w:t>
      </w:r>
      <w:r w:rsidRPr="002B01B6">
        <w:rPr>
          <w:rFonts w:hint="eastAsia"/>
        </w:rPr>
        <w:t>n</w:t>
      </w:r>
      <w:r w:rsidRPr="002B01B6">
        <w:t xml:space="preserve"> useful </w:t>
      </w:r>
      <w:r w:rsidRPr="002B01B6">
        <w:rPr>
          <w:rFonts w:hint="eastAsia"/>
        </w:rPr>
        <w:t xml:space="preserve">from both deepwater turbidites [e.g., Australia Paleozoic turbidites, Bhatia (1983), </w:t>
      </w:r>
      <w:r>
        <w:rPr>
          <w:rFonts w:hint="eastAsia"/>
        </w:rPr>
        <w:t xml:space="preserve">and </w:t>
      </w:r>
      <w:r w:rsidRPr="002B01B6">
        <w:rPr>
          <w:rFonts w:hint="eastAsia"/>
        </w:rPr>
        <w:t>Bhatia (1985)</w:t>
      </w:r>
      <w:r w:rsidRPr="002B01B6">
        <w:t>]</w:t>
      </w:r>
      <w:r w:rsidRPr="002B01B6">
        <w:rPr>
          <w:rFonts w:hint="eastAsia"/>
        </w:rPr>
        <w:t xml:space="preserve"> and unconventional play</w:t>
      </w:r>
      <w:r w:rsidRPr="002B01B6">
        <w:t>s</w:t>
      </w:r>
      <w:r w:rsidRPr="002B01B6">
        <w:rPr>
          <w:rFonts w:hint="eastAsia"/>
        </w:rPr>
        <w:t xml:space="preserve"> [e.g., Eagle Ford, Ratcliffe </w:t>
      </w:r>
      <w:r w:rsidR="00880C6B" w:rsidRPr="00880C6B">
        <w:rPr>
          <w:rFonts w:hint="eastAsia"/>
          <w:i/>
        </w:rPr>
        <w:t>et al.</w:t>
      </w:r>
      <w:proofErr w:type="gramStart"/>
      <w:r w:rsidRPr="002B01B6">
        <w:t>,(</w:t>
      </w:r>
      <w:proofErr w:type="gramEnd"/>
      <w:r w:rsidRPr="002B01B6">
        <w:rPr>
          <w:rFonts w:hint="eastAsia"/>
        </w:rPr>
        <w:t>2012</w:t>
      </w:r>
      <w:r w:rsidRPr="002B01B6">
        <w:t>)</w:t>
      </w:r>
      <w:r>
        <w:rPr>
          <w:rFonts w:hint="eastAsia"/>
        </w:rPr>
        <w:t>; L</w:t>
      </w:r>
      <w:r w:rsidRPr="002B01B6">
        <w:t>ongmaxi Shale</w:t>
      </w:r>
      <w:r>
        <w:rPr>
          <w:rFonts w:hint="eastAsia"/>
        </w:rPr>
        <w:t xml:space="preserve"> in Sichuan, China, </w:t>
      </w:r>
      <w:r w:rsidRPr="002B01B6">
        <w:t xml:space="preserve">Mu </w:t>
      </w:r>
      <w:r w:rsidR="00880C6B" w:rsidRPr="00880C6B">
        <w:rPr>
          <w:i/>
        </w:rPr>
        <w:t>et al.</w:t>
      </w:r>
      <w:r w:rsidRPr="002B01B6">
        <w:t>, (2013)</w:t>
      </w:r>
      <w:r w:rsidRPr="002B01B6">
        <w:rPr>
          <w:rFonts w:hint="eastAsia"/>
        </w:rPr>
        <w:t>]f</w:t>
      </w:r>
      <w:r w:rsidRPr="00323427">
        <w:rPr>
          <w:rFonts w:hint="eastAsia"/>
        </w:rPr>
        <w:t>or</w:t>
      </w:r>
      <w:r w:rsidRPr="00323427">
        <w:t xml:space="preserve"> developing a </w:t>
      </w:r>
      <w:r w:rsidRPr="00323427">
        <w:rPr>
          <w:rFonts w:hint="eastAsia"/>
        </w:rPr>
        <w:t xml:space="preserve">sequence stratigraphic framework. </w:t>
      </w:r>
      <w:r>
        <w:rPr>
          <w:rFonts w:hint="eastAsia"/>
        </w:rPr>
        <w:t>The</w:t>
      </w:r>
      <w:r w:rsidR="00D058D2">
        <w:t xml:space="preserve"> </w:t>
      </w:r>
      <w:r>
        <w:rPr>
          <w:rFonts w:hint="eastAsia"/>
        </w:rPr>
        <w:t>elements</w:t>
      </w:r>
      <w:r w:rsidR="00D058D2">
        <w:t xml:space="preserve"> </w:t>
      </w:r>
      <w:r>
        <w:rPr>
          <w:rFonts w:hint="eastAsia"/>
        </w:rPr>
        <w:t>and</w:t>
      </w:r>
      <w:r w:rsidRPr="00323427">
        <w:rPr>
          <w:rFonts w:hint="eastAsia"/>
        </w:rPr>
        <w:t xml:space="preserve"> </w:t>
      </w:r>
      <w:r w:rsidRPr="00323427">
        <w:rPr>
          <w:rFonts w:hint="eastAsia"/>
        </w:rPr>
        <w:lastRenderedPageBreak/>
        <w:t xml:space="preserve">proxies </w:t>
      </w:r>
      <w:r w:rsidRPr="00323427">
        <w:t>proposed in</w:t>
      </w:r>
      <w:r w:rsidRPr="00323427">
        <w:rPr>
          <w:rFonts w:hint="eastAsia"/>
        </w:rPr>
        <w:t xml:space="preserve"> this </w:t>
      </w:r>
      <w:r w:rsidRPr="00323427">
        <w:t>research</w:t>
      </w:r>
      <w:r w:rsidRPr="00323427">
        <w:rPr>
          <w:rFonts w:hint="eastAsia"/>
        </w:rPr>
        <w:t xml:space="preserve"> are</w:t>
      </w:r>
      <w:r>
        <w:t xml:space="preserve"> summarized</w:t>
      </w:r>
      <w:r>
        <w:rPr>
          <w:rFonts w:hint="eastAsia"/>
        </w:rPr>
        <w:t xml:space="preserve"> in Table 2</w:t>
      </w:r>
      <w:r w:rsidR="00B10AE5">
        <w:t>.6</w:t>
      </w:r>
      <w:r>
        <w:rPr>
          <w:rFonts w:hint="eastAsia"/>
        </w:rPr>
        <w:t xml:space="preserve"> (</w:t>
      </w:r>
      <w:r>
        <w:t xml:space="preserve">Tribovillard </w:t>
      </w:r>
      <w:r w:rsidR="00880C6B" w:rsidRPr="00880C6B">
        <w:rPr>
          <w:i/>
        </w:rPr>
        <w:t>et al.</w:t>
      </w:r>
      <w:r>
        <w:t>, 2006</w:t>
      </w:r>
      <w:r w:rsidR="003F69EA">
        <w:t>; Radcliffe</w:t>
      </w:r>
      <w:r>
        <w:rPr>
          <w:rFonts w:hint="eastAsia"/>
        </w:rPr>
        <w:t xml:space="preserve"> </w:t>
      </w:r>
      <w:r w:rsidR="00880C6B" w:rsidRPr="00880C6B">
        <w:rPr>
          <w:rFonts w:hint="eastAsia"/>
          <w:i/>
        </w:rPr>
        <w:t>et al.</w:t>
      </w:r>
      <w:r>
        <w:rPr>
          <w:rFonts w:hint="eastAsia"/>
        </w:rPr>
        <w:t>, 2012</w:t>
      </w:r>
      <w:r>
        <w:t xml:space="preserve">; and Mu </w:t>
      </w:r>
      <w:r w:rsidR="00880C6B" w:rsidRPr="00880C6B">
        <w:rPr>
          <w:i/>
        </w:rPr>
        <w:t>et al.</w:t>
      </w:r>
      <w:r>
        <w:t>, 2013</w:t>
      </w:r>
      <w:r>
        <w:rPr>
          <w:rFonts w:hint="eastAsia"/>
        </w:rPr>
        <w:t>)</w:t>
      </w:r>
      <w:r w:rsidRPr="00323427">
        <w:rPr>
          <w:rFonts w:hint="eastAsia"/>
        </w:rPr>
        <w:t>:</w:t>
      </w:r>
    </w:p>
    <w:p w:rsidR="00C65A26" w:rsidRPr="00323427" w:rsidRDefault="00C65A26" w:rsidP="00C65A26">
      <w:r>
        <w:rPr>
          <w:rFonts w:hint="eastAsia"/>
        </w:rPr>
        <w:tab/>
        <w:t xml:space="preserve">Based on these existing criteria for </w:t>
      </w:r>
      <w:r w:rsidR="00F83FCF">
        <w:t xml:space="preserve">chemostratigraphic </w:t>
      </w:r>
      <w:r>
        <w:rPr>
          <w:rFonts w:hint="eastAsia"/>
        </w:rPr>
        <w:t>analysis, t</w:t>
      </w:r>
      <w:r w:rsidRPr="00323427">
        <w:rPr>
          <w:rFonts w:hint="eastAsia"/>
        </w:rPr>
        <w:t>hree key problems were to be investigated with these data:</w:t>
      </w:r>
      <w:r w:rsidRPr="00323427">
        <w:tab/>
      </w:r>
    </w:p>
    <w:p w:rsidR="00C65A26" w:rsidRPr="00323427" w:rsidRDefault="00C65A26" w:rsidP="00C65A26">
      <w:r w:rsidRPr="00323427">
        <w:rPr>
          <w:rFonts w:hint="eastAsia"/>
        </w:rPr>
        <w:tab/>
      </w:r>
      <w:r w:rsidRPr="00323427">
        <w:t xml:space="preserve">1. </w:t>
      </w:r>
      <w:r w:rsidRPr="00323427">
        <w:rPr>
          <w:rFonts w:hint="eastAsia"/>
        </w:rPr>
        <w:t xml:space="preserve">The vertical change in Stanley </w:t>
      </w:r>
      <w:r w:rsidRPr="00323427">
        <w:t>Shale</w:t>
      </w:r>
      <w:r w:rsidRPr="00323427">
        <w:rPr>
          <w:rFonts w:hint="eastAsia"/>
        </w:rPr>
        <w:t xml:space="preserve">, </w:t>
      </w:r>
      <w:r w:rsidRPr="00323427">
        <w:t>Lower, Middle, Upper Jackfork and Johns Valley Shale</w:t>
      </w:r>
      <w:r w:rsidRPr="00323427">
        <w:rPr>
          <w:rFonts w:hint="eastAsia"/>
        </w:rPr>
        <w:t xml:space="preserve"> regarding</w:t>
      </w:r>
      <w:r w:rsidR="00D058D2">
        <w:t xml:space="preserve"> </w:t>
      </w:r>
      <w:r w:rsidRPr="00323427">
        <w:rPr>
          <w:rFonts w:hint="eastAsia"/>
        </w:rPr>
        <w:t xml:space="preserve">eustatic sea-level changes </w:t>
      </w:r>
      <w:r>
        <w:rPr>
          <w:rFonts w:hint="eastAsia"/>
        </w:rPr>
        <w:t xml:space="preserve">versus </w:t>
      </w:r>
      <w:r w:rsidRPr="00323427">
        <w:rPr>
          <w:rFonts w:hint="eastAsia"/>
        </w:rPr>
        <w:t>tectonic events.</w:t>
      </w:r>
    </w:p>
    <w:p w:rsidR="00C65A26" w:rsidRPr="00323427" w:rsidRDefault="00C65A26" w:rsidP="00C65A26">
      <w:r w:rsidRPr="00323427">
        <w:tab/>
        <w:t xml:space="preserve">2. </w:t>
      </w:r>
      <w:r w:rsidRPr="00323427">
        <w:rPr>
          <w:rFonts w:hint="eastAsia"/>
        </w:rPr>
        <w:t xml:space="preserve">The lateral </w:t>
      </w:r>
      <w:r w:rsidRPr="00323427">
        <w:t>correlation</w:t>
      </w:r>
      <w:r w:rsidR="00D058D2">
        <w:t xml:space="preserve"> </w:t>
      </w:r>
      <w:r w:rsidRPr="00323427">
        <w:t>between</w:t>
      </w:r>
      <w:r w:rsidR="00D058D2">
        <w:t xml:space="preserve"> </w:t>
      </w:r>
      <w:r w:rsidRPr="00323427">
        <w:t xml:space="preserve">Dierks, Kirby, </w:t>
      </w:r>
      <w:r w:rsidRPr="00323427">
        <w:rPr>
          <w:rFonts w:hint="eastAsia"/>
        </w:rPr>
        <w:t xml:space="preserve">and </w:t>
      </w:r>
      <w:r w:rsidRPr="00323427">
        <w:t xml:space="preserve">DeGray </w:t>
      </w:r>
      <w:r w:rsidRPr="00323427">
        <w:rPr>
          <w:rFonts w:hint="eastAsia"/>
        </w:rPr>
        <w:t>sections with</w:t>
      </w:r>
      <w:r>
        <w:t xml:space="preserve"> similarit</w:t>
      </w:r>
      <w:r>
        <w:rPr>
          <w:rFonts w:hint="eastAsia"/>
        </w:rPr>
        <w:t>ies</w:t>
      </w:r>
      <w:r w:rsidRPr="00323427">
        <w:t xml:space="preserve"> and difference</w:t>
      </w:r>
      <w:r w:rsidRPr="00323427">
        <w:rPr>
          <w:rFonts w:hint="eastAsia"/>
        </w:rPr>
        <w:t>s</w:t>
      </w:r>
      <w:r w:rsidRPr="00323427">
        <w:t xml:space="preserve"> along depositional dip and strike</w:t>
      </w:r>
      <w:r w:rsidRPr="00323427">
        <w:rPr>
          <w:rFonts w:hint="eastAsia"/>
        </w:rPr>
        <w:t>;</w:t>
      </w:r>
    </w:p>
    <w:p w:rsidR="00C65A26" w:rsidRDefault="00C65A26" w:rsidP="00C65A26">
      <w:r w:rsidRPr="00323427">
        <w:tab/>
        <w:t xml:space="preserve">3. Characters of local shale </w:t>
      </w:r>
      <w:r>
        <w:t>versus</w:t>
      </w:r>
      <w:r w:rsidRPr="00323427">
        <w:t xml:space="preserve"> regional condensed section</w:t>
      </w:r>
      <w:r w:rsidRPr="00323427">
        <w:rPr>
          <w:rFonts w:hint="eastAsia"/>
        </w:rPr>
        <w:t xml:space="preserve">s (generic </w:t>
      </w:r>
      <w:r w:rsidRPr="00323427">
        <w:t>sequence</w:t>
      </w:r>
      <w:r w:rsidRPr="00323427">
        <w:rPr>
          <w:rFonts w:hint="eastAsia"/>
        </w:rPr>
        <w:t xml:space="preserve"> boundary) to</w:t>
      </w:r>
      <w:r w:rsidRPr="00323427">
        <w:t xml:space="preserve"> better restrict</w:t>
      </w:r>
      <w:r w:rsidRPr="00323427">
        <w:rPr>
          <w:rFonts w:hint="eastAsia"/>
        </w:rPr>
        <w:t xml:space="preserve"> a</w:t>
      </w:r>
      <w:r w:rsidRPr="00323427">
        <w:t xml:space="preserve"> sequence stratigraphic framework.</w:t>
      </w:r>
    </w:p>
    <w:p w:rsidR="00B10AE5" w:rsidRPr="00323427" w:rsidRDefault="00B10AE5" w:rsidP="00C65A26">
      <w:r>
        <w:tab/>
        <w:t xml:space="preserve">Preliminary results of </w:t>
      </w:r>
      <w:r w:rsidR="00A316B0">
        <w:t>HXRF</w:t>
      </w:r>
      <w:r>
        <w:t xml:space="preserve"> (Hand Held X-Ray Florescence) are shown from Figure 2.20-2.25, including Roadcut 1, 2, 7, 8 and 9 of Kirby Sections, Highway 7 and DeGray Spillway sections. </w:t>
      </w:r>
      <w:r w:rsidR="00A316B0">
        <w:rPr>
          <w:rFonts w:hint="eastAsia"/>
          <w:lang w:eastAsia="zh-CN"/>
        </w:rPr>
        <w:t>Future work includes additional</w:t>
      </w:r>
      <w:r>
        <w:t xml:space="preserve"> samples collected and tested in the area to build a complete chemostratigraphic logs within the shale </w:t>
      </w:r>
      <w:r w:rsidR="00294176">
        <w:t>units in</w:t>
      </w:r>
      <w:r>
        <w:t xml:space="preserve"> the Jackfork Group.</w:t>
      </w:r>
    </w:p>
    <w:p w:rsidR="00C65A26" w:rsidRDefault="00C65A26" w:rsidP="00C65A26">
      <w:r w:rsidRPr="00323427">
        <w:rPr>
          <w:rFonts w:hint="eastAsia"/>
          <w:color w:val="FF0000"/>
        </w:rPr>
        <w:tab/>
      </w:r>
      <w:r w:rsidRPr="00323427">
        <w:rPr>
          <w:rFonts w:hint="eastAsia"/>
        </w:rPr>
        <w:t xml:space="preserve">The raw results of whole rock geochemistry tests are shown in </w:t>
      </w:r>
      <w:r w:rsidR="00B83452">
        <w:rPr>
          <w:rFonts w:hint="eastAsia"/>
        </w:rPr>
        <w:t>Figure 2.</w:t>
      </w:r>
      <w:r w:rsidR="00294176">
        <w:t>26</w:t>
      </w:r>
      <w:r w:rsidRPr="00323427">
        <w:rPr>
          <w:rFonts w:hint="eastAsia"/>
        </w:rPr>
        <w:t xml:space="preserve"> with key </w:t>
      </w:r>
      <w:r>
        <w:rPr>
          <w:rFonts w:hint="eastAsia"/>
        </w:rPr>
        <w:t>elements and proxies</w:t>
      </w:r>
      <w:r w:rsidRPr="00323427">
        <w:rPr>
          <w:rFonts w:hint="eastAsia"/>
        </w:rPr>
        <w:t xml:space="preserve">. </w:t>
      </w:r>
      <w:r w:rsidRPr="00323427">
        <w:t>In the</w:t>
      </w:r>
      <w:r w:rsidRPr="00323427">
        <w:rPr>
          <w:rFonts w:hint="eastAsia"/>
        </w:rPr>
        <w:t xml:space="preserve"> Lower </w:t>
      </w:r>
      <w:r w:rsidRPr="00323427">
        <w:t xml:space="preserve">Jackfork Group, the Th/U </w:t>
      </w:r>
      <w:r>
        <w:rPr>
          <w:rFonts w:hint="eastAsia"/>
        </w:rPr>
        <w:t>ranges from 3</w:t>
      </w:r>
      <w:r w:rsidRPr="00323427">
        <w:rPr>
          <w:rFonts w:hint="eastAsia"/>
        </w:rPr>
        <w:t>.85</w:t>
      </w:r>
      <w:r w:rsidRPr="00323427">
        <w:t xml:space="preserve"> to </w:t>
      </w:r>
      <w:r w:rsidRPr="00323427">
        <w:rPr>
          <w:rFonts w:hint="eastAsia"/>
        </w:rPr>
        <w:t>6.60 with an avera</w:t>
      </w:r>
      <w:r w:rsidRPr="00BA45CB">
        <w:rPr>
          <w:rFonts w:hint="eastAsia"/>
        </w:rPr>
        <w:t>ge of 5.15</w:t>
      </w:r>
      <w:r w:rsidRPr="00BA45CB">
        <w:t xml:space="preserve">. Deep basin-floor indicators such as Ni, Mo, Mn and V </w:t>
      </w:r>
      <w:r w:rsidRPr="00BA45CB">
        <w:rPr>
          <w:rFonts w:hint="eastAsia"/>
        </w:rPr>
        <w:t>var</w:t>
      </w:r>
      <w:r w:rsidRPr="00BA45CB">
        <w:t>y dramatically.</w:t>
      </w:r>
      <w:r w:rsidRPr="00BA45CB">
        <w:rPr>
          <w:rFonts w:hint="eastAsia"/>
        </w:rPr>
        <w:t xml:space="preserve"> Ni</w:t>
      </w:r>
      <w:r w:rsidRPr="00BA45CB">
        <w:t>,</w:t>
      </w:r>
      <w:r w:rsidR="00D058D2">
        <w:t xml:space="preserve"> </w:t>
      </w:r>
      <w:r w:rsidRPr="00BA45CB">
        <w:t>which</w:t>
      </w:r>
      <w:r w:rsidR="00D058D2">
        <w:t xml:space="preserve"> </w:t>
      </w:r>
      <w:r w:rsidRPr="00BA45CB">
        <w:rPr>
          <w:rFonts w:hint="eastAsia"/>
        </w:rPr>
        <w:t>is sensitive to sea-level change, ranges from 28.9 to 128 ppm (parts per million)</w:t>
      </w:r>
      <w:r>
        <w:rPr>
          <w:rFonts w:hint="eastAsia"/>
        </w:rPr>
        <w:t xml:space="preserve">. </w:t>
      </w:r>
      <w:r w:rsidRPr="00323427">
        <w:t>The relatively high Th/U</w:t>
      </w:r>
      <w:r w:rsidR="00D058D2">
        <w:t xml:space="preserve"> </w:t>
      </w:r>
      <w:r w:rsidRPr="00323427">
        <w:t xml:space="preserve">and low </w:t>
      </w:r>
      <w:r w:rsidRPr="00323427">
        <w:rPr>
          <w:rFonts w:hint="eastAsia"/>
        </w:rPr>
        <w:t>Ni</w:t>
      </w:r>
      <w:r>
        <w:rPr>
          <w:rFonts w:hint="eastAsia"/>
        </w:rPr>
        <w:t xml:space="preserve"> in</w:t>
      </w:r>
      <w:r w:rsidR="00A561BD">
        <w:t xml:space="preserve"> the</w:t>
      </w:r>
      <w:r>
        <w:rPr>
          <w:rFonts w:hint="eastAsia"/>
        </w:rPr>
        <w:t xml:space="preserve"> Kirby </w:t>
      </w:r>
      <w:r w:rsidR="00D058D2">
        <w:t>section</w:t>
      </w:r>
      <w:r w:rsidR="00D058D2" w:rsidRPr="00323427">
        <w:t xml:space="preserve"> indicate</w:t>
      </w:r>
      <w:r w:rsidRPr="00323427">
        <w:t xml:space="preserve"> high sediment </w:t>
      </w:r>
      <w:r w:rsidRPr="00323427">
        <w:rPr>
          <w:rFonts w:hint="eastAsia"/>
        </w:rPr>
        <w:t xml:space="preserve">supply </w:t>
      </w:r>
      <w:r w:rsidRPr="00323427">
        <w:t xml:space="preserve">with shallower water depth than </w:t>
      </w:r>
      <w:r w:rsidRPr="00323427">
        <w:rPr>
          <w:rFonts w:hint="eastAsia"/>
        </w:rPr>
        <w:t xml:space="preserve">the </w:t>
      </w:r>
      <w:r>
        <w:rPr>
          <w:rFonts w:hint="eastAsia"/>
        </w:rPr>
        <w:t xml:space="preserve">underlying </w:t>
      </w:r>
      <w:r w:rsidRPr="00323427">
        <w:t>Sta</w:t>
      </w:r>
      <w:r w:rsidRPr="00323427">
        <w:rPr>
          <w:rFonts w:hint="eastAsia"/>
        </w:rPr>
        <w:t>n</w:t>
      </w:r>
      <w:r w:rsidRPr="00323427">
        <w:t>ley Shale.</w:t>
      </w:r>
      <w:r w:rsidR="00A77050" w:rsidRPr="00A77050">
        <w:t xml:space="preserve"> </w:t>
      </w:r>
      <w:r w:rsidR="00A77050">
        <w:t>The data</w:t>
      </w:r>
      <w:r w:rsidR="00A77050" w:rsidRPr="00BA45CB">
        <w:rPr>
          <w:rFonts w:hint="eastAsia"/>
        </w:rPr>
        <w:t xml:space="preserve"> also</w:t>
      </w:r>
      <w:r w:rsidR="00A77050">
        <w:t xml:space="preserve"> implies derivation</w:t>
      </w:r>
      <w:r w:rsidR="00A77050" w:rsidRPr="00BA45CB">
        <w:rPr>
          <w:rFonts w:hint="eastAsia"/>
        </w:rPr>
        <w:t xml:space="preserve"> </w:t>
      </w:r>
      <w:r w:rsidR="00A77050">
        <w:rPr>
          <w:rFonts w:hint="eastAsia"/>
        </w:rPr>
        <w:t xml:space="preserve">from </w:t>
      </w:r>
      <w:r w:rsidR="00A77050" w:rsidRPr="00323427">
        <w:rPr>
          <w:rFonts w:hint="eastAsia"/>
        </w:rPr>
        <w:t xml:space="preserve">a mafic provenance (Totten </w:t>
      </w:r>
      <w:r w:rsidR="00A77050" w:rsidRPr="00880C6B">
        <w:rPr>
          <w:rFonts w:hint="eastAsia"/>
          <w:i/>
        </w:rPr>
        <w:t>et al.</w:t>
      </w:r>
      <w:r w:rsidR="00A77050" w:rsidRPr="00323427">
        <w:rPr>
          <w:rFonts w:hint="eastAsia"/>
        </w:rPr>
        <w:t>, 2000).</w:t>
      </w:r>
    </w:p>
    <w:p w:rsidR="00C65A26" w:rsidRPr="00323427" w:rsidRDefault="00C65A26" w:rsidP="00C65A26">
      <w:pPr>
        <w:rPr>
          <w:color w:val="FF0000"/>
        </w:rPr>
      </w:pPr>
      <w:r w:rsidRPr="00323427">
        <w:lastRenderedPageBreak/>
        <w:tab/>
      </w:r>
      <w:r>
        <w:rPr>
          <w:rFonts w:hint="eastAsia"/>
        </w:rPr>
        <w:t>In t</w:t>
      </w:r>
      <w:r w:rsidRPr="00323427">
        <w:rPr>
          <w:rFonts w:hint="eastAsia"/>
        </w:rPr>
        <w:t xml:space="preserve">he </w:t>
      </w:r>
      <w:r w:rsidRPr="00323427">
        <w:t xml:space="preserve">Middle </w:t>
      </w:r>
      <w:r w:rsidRPr="00323427">
        <w:rPr>
          <w:rFonts w:hint="eastAsia"/>
        </w:rPr>
        <w:t xml:space="preserve">Jackfork </w:t>
      </w:r>
      <w:r w:rsidRPr="00323427">
        <w:t>Group</w:t>
      </w:r>
      <w:r>
        <w:t>,</w:t>
      </w:r>
      <w:r w:rsidRPr="00323427">
        <w:t xml:space="preserve"> Th</w:t>
      </w:r>
      <w:r w:rsidRPr="00323427">
        <w:rPr>
          <w:rFonts w:hint="eastAsia"/>
        </w:rPr>
        <w:t xml:space="preserve">/U </w:t>
      </w:r>
      <w:r>
        <w:rPr>
          <w:rFonts w:hint="eastAsia"/>
        </w:rPr>
        <w:t>ranges</w:t>
      </w:r>
      <w:r w:rsidRPr="00323427">
        <w:rPr>
          <w:rFonts w:hint="eastAsia"/>
        </w:rPr>
        <w:t xml:space="preserve"> from 4.44 up to 6.24 with an average of 5.4. </w:t>
      </w:r>
      <w:r w:rsidR="00A561BD">
        <w:t xml:space="preserve">A </w:t>
      </w:r>
      <w:r w:rsidR="00A77050">
        <w:rPr>
          <w:rFonts w:hint="eastAsia"/>
          <w:lang w:eastAsia="zh-CN"/>
        </w:rPr>
        <w:t>l</w:t>
      </w:r>
      <w:r>
        <w:rPr>
          <w:rFonts w:hint="eastAsia"/>
        </w:rPr>
        <w:t>arge increase</w:t>
      </w:r>
      <w:r w:rsidRPr="00323427">
        <w:rPr>
          <w:rFonts w:hint="eastAsia"/>
        </w:rPr>
        <w:t xml:space="preserve"> of </w:t>
      </w:r>
      <w:r w:rsidRPr="00323427">
        <w:t>Nb/Y</w:t>
      </w:r>
      <w:r>
        <w:rPr>
          <w:rFonts w:hint="eastAsia"/>
        </w:rPr>
        <w:t xml:space="preserve"> (</w:t>
      </w:r>
      <w:r w:rsidR="00B83452">
        <w:rPr>
          <w:rFonts w:hint="eastAsia"/>
        </w:rPr>
        <w:t>Figure 2.</w:t>
      </w:r>
      <w:r w:rsidR="00BC479A">
        <w:t>27</w:t>
      </w:r>
      <w:r>
        <w:rPr>
          <w:rFonts w:hint="eastAsia"/>
        </w:rPr>
        <w:t>)</w:t>
      </w:r>
      <w:r w:rsidRPr="00323427">
        <w:rPr>
          <w:rFonts w:hint="eastAsia"/>
        </w:rPr>
        <w:t xml:space="preserve"> occurs</w:t>
      </w:r>
      <w:r w:rsidRPr="00323427">
        <w:t xml:space="preserve"> from </w:t>
      </w:r>
      <w:r w:rsidRPr="00323427">
        <w:rPr>
          <w:rFonts w:hint="eastAsia"/>
        </w:rPr>
        <w:t>0.46</w:t>
      </w:r>
      <w:r w:rsidRPr="00323427">
        <w:t xml:space="preserve"> to </w:t>
      </w:r>
      <w:r w:rsidRPr="00323427">
        <w:rPr>
          <w:rFonts w:hint="eastAsia"/>
        </w:rPr>
        <w:t>0.69 with an average of 0.</w:t>
      </w:r>
      <w:r w:rsidRPr="001E55BA">
        <w:rPr>
          <w:rFonts w:hint="eastAsia"/>
        </w:rPr>
        <w:t>62</w:t>
      </w:r>
      <w:r w:rsidR="00A561BD" w:rsidRPr="001E55BA">
        <w:t>, indicating</w:t>
      </w:r>
      <w:r w:rsidRPr="001E55BA">
        <w:t xml:space="preserve"> a major change in </w:t>
      </w:r>
      <w:r w:rsidRPr="001E55BA">
        <w:rPr>
          <w:rFonts w:hint="eastAsia"/>
        </w:rPr>
        <w:t xml:space="preserve">detrital sediments within these intervals. Sea bottom </w:t>
      </w:r>
      <w:r w:rsidR="00A561BD" w:rsidRPr="001E55BA">
        <w:t xml:space="preserve">indictors </w:t>
      </w:r>
      <w:r w:rsidR="00A561BD">
        <w:t>vary</w:t>
      </w:r>
      <w:r>
        <w:rPr>
          <w:rFonts w:hint="eastAsia"/>
        </w:rPr>
        <w:t>, including</w:t>
      </w:r>
      <w:r w:rsidR="00D058D2">
        <w:t xml:space="preserve"> </w:t>
      </w:r>
      <w:r w:rsidR="00A561BD" w:rsidRPr="001E55BA">
        <w:t>Ni (</w:t>
      </w:r>
      <w:r w:rsidRPr="001E55BA">
        <w:rPr>
          <w:rFonts w:hint="eastAsia"/>
        </w:rPr>
        <w:t>17 to 90ppm</w:t>
      </w:r>
      <w:r w:rsidRPr="001E55BA">
        <w:t xml:space="preserve"> with an average of 43ppm)</w:t>
      </w:r>
      <w:r w:rsidRPr="001E55BA">
        <w:rPr>
          <w:rFonts w:hint="eastAsia"/>
        </w:rPr>
        <w:t xml:space="preserve"> and </w:t>
      </w:r>
      <w:r w:rsidR="00A561BD" w:rsidRPr="001E55BA">
        <w:t>Co (</w:t>
      </w:r>
      <w:r w:rsidRPr="001E55BA">
        <w:rPr>
          <w:rFonts w:hint="eastAsia"/>
        </w:rPr>
        <w:t>2.9 to 27.8ppm with an average of 8.6ppm</w:t>
      </w:r>
      <w:r w:rsidRPr="001E55BA">
        <w:t>)</w:t>
      </w:r>
      <w:r w:rsidR="006C6350">
        <w:t>,</w:t>
      </w:r>
      <w:r>
        <w:rPr>
          <w:rFonts w:hint="eastAsia"/>
        </w:rPr>
        <w:t xml:space="preserve"> </w:t>
      </w:r>
      <w:r w:rsidR="006C6350">
        <w:t>and</w:t>
      </w:r>
      <w:r>
        <w:rPr>
          <w:rFonts w:hint="eastAsia"/>
        </w:rPr>
        <w:t xml:space="preserve"> </w:t>
      </w:r>
      <w:r w:rsidRPr="00323427">
        <w:rPr>
          <w:rFonts w:hint="eastAsia"/>
        </w:rPr>
        <w:t xml:space="preserve">detrital </w:t>
      </w:r>
      <w:r w:rsidRPr="00323427">
        <w:t>indicators such as Th/U</w:t>
      </w:r>
      <w:r>
        <w:rPr>
          <w:rFonts w:hint="eastAsia"/>
        </w:rPr>
        <w:t xml:space="preserve"> and Terr. In. (see Table </w:t>
      </w:r>
      <w:r w:rsidR="00BC479A">
        <w:t>2.6</w:t>
      </w:r>
      <w:r>
        <w:rPr>
          <w:rFonts w:hint="eastAsia"/>
        </w:rPr>
        <w:t xml:space="preserve"> for </w:t>
      </w:r>
      <w:r>
        <w:t>definition</w:t>
      </w:r>
      <w:r>
        <w:rPr>
          <w:rFonts w:hint="eastAsia"/>
        </w:rPr>
        <w:t>)</w:t>
      </w:r>
      <w:r w:rsidRPr="00323427">
        <w:t xml:space="preserve"> show</w:t>
      </w:r>
      <w:r w:rsidRPr="00323427">
        <w:rPr>
          <w:rFonts w:hint="eastAsia"/>
        </w:rPr>
        <w:t xml:space="preserve"> a generally </w:t>
      </w:r>
      <w:r w:rsidR="006C6350">
        <w:t>inverse</w:t>
      </w:r>
      <w:r w:rsidRPr="00323427">
        <w:rPr>
          <w:rFonts w:hint="eastAsia"/>
        </w:rPr>
        <w:t xml:space="preserve"> </w:t>
      </w:r>
      <w:r w:rsidR="00A561BD" w:rsidRPr="00323427">
        <w:t>relationship</w:t>
      </w:r>
      <w:r w:rsidR="00A561BD">
        <w:t xml:space="preserve"> against</w:t>
      </w:r>
      <w:r w:rsidRPr="00323427">
        <w:rPr>
          <w:rFonts w:hint="eastAsia"/>
        </w:rPr>
        <w:t xml:space="preserve"> Co and Ni</w:t>
      </w:r>
      <w:r>
        <w:rPr>
          <w:rFonts w:hint="eastAsia"/>
        </w:rPr>
        <w:t>.</w:t>
      </w:r>
    </w:p>
    <w:p w:rsidR="00C65A26" w:rsidRPr="00323427" w:rsidRDefault="00C65A26" w:rsidP="00C65A26">
      <w:r w:rsidRPr="00323427">
        <w:rPr>
          <w:rFonts w:hint="eastAsia"/>
        </w:rPr>
        <w:tab/>
        <w:t>In the Upper Jackfork Group section</w:t>
      </w:r>
      <w:r w:rsidRPr="001E55BA">
        <w:rPr>
          <w:rFonts w:hint="eastAsia"/>
        </w:rPr>
        <w:t xml:space="preserve">, the Th/U decreases, ranging from 3.8 to 5.2 with an average of 4.6. </w:t>
      </w:r>
      <w:r w:rsidR="002359A7">
        <w:rPr>
          <w:rFonts w:hint="eastAsia"/>
        </w:rPr>
        <w:t>Ni and Co increase</w:t>
      </w:r>
      <w:r w:rsidRPr="001E55BA">
        <w:rPr>
          <w:rFonts w:hint="eastAsia"/>
        </w:rPr>
        <w:t xml:space="preserve"> dramatically</w:t>
      </w:r>
      <w:r w:rsidRPr="00323427">
        <w:rPr>
          <w:rFonts w:hint="eastAsia"/>
        </w:rPr>
        <w:t>, with Ni ranging from 57.2 to 81.</w:t>
      </w:r>
      <w:r w:rsidRPr="001E55BA">
        <w:rPr>
          <w:rFonts w:hint="eastAsia"/>
        </w:rPr>
        <w:t xml:space="preserve">9ppm, averaging 68.1ppm. These changes indicate both a reduction of the amount of detrital components and an increase in water depth. As the Kirby section </w:t>
      </w:r>
      <w:r w:rsidRPr="001E55BA">
        <w:t>grades</w:t>
      </w:r>
      <w:r w:rsidRPr="001E55BA">
        <w:rPr>
          <w:rFonts w:hint="eastAsia"/>
        </w:rPr>
        <w:t xml:space="preserve"> into </w:t>
      </w:r>
      <w:r w:rsidRPr="001E55BA">
        <w:t>the</w:t>
      </w:r>
      <w:r w:rsidRPr="001E55BA">
        <w:rPr>
          <w:rFonts w:hint="eastAsia"/>
        </w:rPr>
        <w:t xml:space="preserve"> Johns Valle</w:t>
      </w:r>
      <w:r w:rsidRPr="00323427">
        <w:rPr>
          <w:rFonts w:hint="eastAsia"/>
        </w:rPr>
        <w:t>y Shale, Ni and Co reach their peak level, with Ni ranging from 80.2 to 97.5,</w:t>
      </w:r>
      <w:r>
        <w:rPr>
          <w:rFonts w:hint="eastAsia"/>
        </w:rPr>
        <w:t xml:space="preserve"> averaging 88.9, which</w:t>
      </w:r>
      <w:r w:rsidRPr="00323427">
        <w:rPr>
          <w:rFonts w:hint="eastAsia"/>
        </w:rPr>
        <w:t xml:space="preserve"> indicates that the Johns Valley Group </w:t>
      </w:r>
      <w:r w:rsidR="002359A7">
        <w:t>was deposited in</w:t>
      </w:r>
      <w:r w:rsidRPr="00323427">
        <w:rPr>
          <w:rFonts w:hint="eastAsia"/>
        </w:rPr>
        <w:t xml:space="preserve"> the deepest</w:t>
      </w:r>
      <w:r>
        <w:rPr>
          <w:rFonts w:hint="eastAsia"/>
        </w:rPr>
        <w:t xml:space="preserve"> water.</w:t>
      </w:r>
    </w:p>
    <w:p w:rsidR="00C65A26" w:rsidRPr="00323427" w:rsidRDefault="00C65A26" w:rsidP="00C65A26">
      <w:r w:rsidRPr="00323427">
        <w:rPr>
          <w:rFonts w:hint="eastAsia"/>
        </w:rPr>
        <w:tab/>
        <w:t xml:space="preserve">Not only do the elements </w:t>
      </w:r>
      <w:r w:rsidRPr="00323427">
        <w:t>vary</w:t>
      </w:r>
      <w:r w:rsidRPr="00323427">
        <w:rPr>
          <w:rFonts w:hint="eastAsia"/>
        </w:rPr>
        <w:t xml:space="preserve"> vertically, but also they change along the dip and strike</w:t>
      </w:r>
      <w:r>
        <w:rPr>
          <w:rFonts w:hint="eastAsia"/>
        </w:rPr>
        <w:t>.</w:t>
      </w:r>
      <w:r w:rsidRPr="00323427">
        <w:rPr>
          <w:rFonts w:hint="eastAsia"/>
        </w:rPr>
        <w:t xml:space="preserve"> Ni in the Kirby Section is 28.9 </w:t>
      </w:r>
      <w:r w:rsidRPr="00323427">
        <w:t>ppm</w:t>
      </w:r>
      <w:r w:rsidRPr="00323427">
        <w:rPr>
          <w:rFonts w:hint="eastAsia"/>
        </w:rPr>
        <w:t xml:space="preserve"> and 44.6 </w:t>
      </w:r>
      <w:r w:rsidRPr="00323427">
        <w:t>ppm</w:t>
      </w:r>
      <w:r w:rsidRPr="00323427">
        <w:rPr>
          <w:rFonts w:hint="eastAsia"/>
        </w:rPr>
        <w:t xml:space="preserve">, while in DeGray </w:t>
      </w:r>
      <w:r w:rsidR="00B61CAF">
        <w:t>Lake</w:t>
      </w:r>
      <w:r w:rsidRPr="00323427">
        <w:rPr>
          <w:rFonts w:hint="eastAsia"/>
        </w:rPr>
        <w:t xml:space="preserve"> it </w:t>
      </w:r>
      <w:r w:rsidRPr="00323427">
        <w:t>varies</w:t>
      </w:r>
      <w:r w:rsidRPr="00323427">
        <w:rPr>
          <w:rFonts w:hint="eastAsia"/>
        </w:rPr>
        <w:t xml:space="preserve"> from 36.7 to 128 </w:t>
      </w:r>
      <w:r w:rsidRPr="00323427">
        <w:t>ppm</w:t>
      </w:r>
      <w:r w:rsidRPr="00323427">
        <w:rPr>
          <w:rFonts w:hint="eastAsia"/>
        </w:rPr>
        <w:t xml:space="preserve">. The </w:t>
      </w:r>
      <w:r w:rsidRPr="00323427">
        <w:t>values of Th/U of these two locations are</w:t>
      </w:r>
      <w:r w:rsidRPr="00323427">
        <w:rPr>
          <w:rFonts w:hint="eastAsia"/>
        </w:rPr>
        <w:t xml:space="preserve"> generally at the same level. However, the shale sample DG-08</w:t>
      </w:r>
      <w:r w:rsidR="00BC479A" w:rsidRPr="00323427">
        <w:t>, which</w:t>
      </w:r>
      <w:r w:rsidRPr="00323427">
        <w:rPr>
          <w:rFonts w:hint="eastAsia"/>
        </w:rPr>
        <w:t xml:space="preserve"> was taken from the shale within the </w:t>
      </w:r>
      <w:r w:rsidRPr="00323427">
        <w:t>channelized</w:t>
      </w:r>
      <w:r w:rsidRPr="00323427">
        <w:rPr>
          <w:rFonts w:hint="eastAsia"/>
        </w:rPr>
        <w:t xml:space="preserve"> intervals at the top of the DeGray </w:t>
      </w:r>
      <w:r w:rsidRPr="001E55BA">
        <w:rPr>
          <w:rFonts w:hint="eastAsia"/>
        </w:rPr>
        <w:t>Lake Spillw</w:t>
      </w:r>
      <w:r w:rsidR="00B61CAF">
        <w:rPr>
          <w:rFonts w:hint="eastAsia"/>
        </w:rPr>
        <w:t>ay section, shows low Ni and Co</w:t>
      </w:r>
      <w:r w:rsidR="00B61CAF">
        <w:t xml:space="preserve"> </w:t>
      </w:r>
      <w:r w:rsidR="00B61CAF" w:rsidRPr="00B61CAF">
        <w:t>coincident</w:t>
      </w:r>
      <w:r w:rsidR="00B61CAF">
        <w:t xml:space="preserve"> with r</w:t>
      </w:r>
      <w:r w:rsidRPr="001E55BA">
        <w:rPr>
          <w:rFonts w:hint="eastAsia"/>
        </w:rPr>
        <w:t xml:space="preserve">ounded to sub-rounded conglomerates (Slatt </w:t>
      </w:r>
      <w:r w:rsidR="00880C6B" w:rsidRPr="00880C6B">
        <w:rPr>
          <w:rFonts w:hint="eastAsia"/>
          <w:i/>
        </w:rPr>
        <w:t>et al.</w:t>
      </w:r>
      <w:r w:rsidRPr="001E55BA">
        <w:rPr>
          <w:rFonts w:hint="eastAsia"/>
        </w:rPr>
        <w:t xml:space="preserve">, 2000a). The low values </w:t>
      </w:r>
      <w:r w:rsidRPr="001E55BA">
        <w:t>for</w:t>
      </w:r>
      <w:r w:rsidRPr="001E55BA">
        <w:rPr>
          <w:rFonts w:hint="eastAsia"/>
        </w:rPr>
        <w:t xml:space="preserve"> DG-08 </w:t>
      </w:r>
      <w:r w:rsidRPr="001E55BA">
        <w:t>indicate</w:t>
      </w:r>
      <w:r w:rsidRPr="001E55BA">
        <w:rPr>
          <w:rFonts w:hint="eastAsia"/>
        </w:rPr>
        <w:t xml:space="preserve"> a different provenance and a higher order regressive sequence from the </w:t>
      </w:r>
      <w:r w:rsidR="00E90FEA" w:rsidRPr="001E55BA">
        <w:t>south (</w:t>
      </w:r>
      <w:r w:rsidRPr="001E55BA">
        <w:rPr>
          <w:rFonts w:hint="eastAsia"/>
        </w:rPr>
        <w:t xml:space="preserve">Slatt </w:t>
      </w:r>
      <w:r w:rsidR="00880C6B" w:rsidRPr="00880C6B">
        <w:rPr>
          <w:rFonts w:hint="eastAsia"/>
          <w:i/>
        </w:rPr>
        <w:t>et al.</w:t>
      </w:r>
      <w:r w:rsidRPr="001E55BA">
        <w:rPr>
          <w:rFonts w:hint="eastAsia"/>
        </w:rPr>
        <w:t xml:space="preserve">, 2000a). The </w:t>
      </w:r>
      <w:r w:rsidRPr="001E55BA">
        <w:t>equivalent</w:t>
      </w:r>
      <w:r w:rsidRPr="001E55BA">
        <w:rPr>
          <w:rFonts w:hint="eastAsia"/>
        </w:rPr>
        <w:t xml:space="preserve"> channelized </w:t>
      </w:r>
      <w:r w:rsidRPr="001E55BA">
        <w:t>sequence has</w:t>
      </w:r>
      <w:r w:rsidRPr="001E55BA">
        <w:rPr>
          <w:rFonts w:hint="eastAsia"/>
        </w:rPr>
        <w:t xml:space="preserve"> been found near the top of the </w:t>
      </w:r>
      <w:r w:rsidRPr="001E55BA">
        <w:t>Baumgartner</w:t>
      </w:r>
      <w:r w:rsidRPr="001E55BA">
        <w:rPr>
          <w:rFonts w:hint="eastAsia"/>
        </w:rPr>
        <w:t xml:space="preserve"> Quarry section (Zou </w:t>
      </w:r>
      <w:r w:rsidR="00880C6B" w:rsidRPr="00880C6B">
        <w:rPr>
          <w:rFonts w:hint="eastAsia"/>
          <w:i/>
        </w:rPr>
        <w:t>et al.</w:t>
      </w:r>
      <w:r w:rsidRPr="001E55BA">
        <w:rPr>
          <w:rFonts w:hint="eastAsia"/>
        </w:rPr>
        <w:t xml:space="preserve">, </w:t>
      </w:r>
      <w:r w:rsidRPr="001E55BA">
        <w:rPr>
          <w:rFonts w:hint="eastAsia"/>
        </w:rPr>
        <w:lastRenderedPageBreak/>
        <w:t>2012). How</w:t>
      </w:r>
      <w:r w:rsidRPr="00323427">
        <w:rPr>
          <w:rFonts w:hint="eastAsia"/>
        </w:rPr>
        <w:t xml:space="preserve">ever, </w:t>
      </w:r>
      <w:r w:rsidRPr="00323427">
        <w:t>that section has</w:t>
      </w:r>
      <w:r w:rsidRPr="00323427">
        <w:rPr>
          <w:rFonts w:hint="eastAsia"/>
        </w:rPr>
        <w:t xml:space="preserve"> been mined since 2011 and is no longer available for sampling.</w:t>
      </w:r>
    </w:p>
    <w:p w:rsidR="00C65A26" w:rsidRPr="00323427" w:rsidRDefault="00B61CAF" w:rsidP="00C65A26">
      <w:pPr>
        <w:ind w:firstLine="420"/>
      </w:pPr>
      <w:r>
        <w:t xml:space="preserve">The </w:t>
      </w:r>
      <w:r w:rsidR="00C65A26" w:rsidRPr="00323427">
        <w:t xml:space="preserve">Dierks Spillway section </w:t>
      </w:r>
      <w:r w:rsidR="00C65A26" w:rsidRPr="00323427">
        <w:rPr>
          <w:rFonts w:hint="eastAsia"/>
        </w:rPr>
        <w:t xml:space="preserve">is 140m </w:t>
      </w:r>
      <w:r w:rsidR="00C65A26" w:rsidRPr="00323427">
        <w:t>thick</w:t>
      </w:r>
      <w:r w:rsidR="00C65A26" w:rsidRPr="00323427">
        <w:rPr>
          <w:rFonts w:hint="eastAsia"/>
        </w:rPr>
        <w:t xml:space="preserve">. Without </w:t>
      </w:r>
      <w:r w:rsidR="00C65A26" w:rsidRPr="00323427">
        <w:t>exposure of the</w:t>
      </w:r>
      <w:r w:rsidR="00C65A26" w:rsidRPr="00323427">
        <w:rPr>
          <w:rFonts w:hint="eastAsia"/>
        </w:rPr>
        <w:t xml:space="preserve"> top and base of </w:t>
      </w:r>
      <w:r w:rsidR="00C65A26" w:rsidRPr="00323427">
        <w:t xml:space="preserve">the </w:t>
      </w:r>
      <w:r w:rsidR="00C65A26" w:rsidRPr="00323427">
        <w:rPr>
          <w:rFonts w:hint="eastAsia"/>
        </w:rPr>
        <w:t xml:space="preserve">Jackfork Group, direct lithological correlation is difficult. The Dierks area </w:t>
      </w:r>
      <w:r w:rsidR="00C65A26" w:rsidRPr="00323427">
        <w:t>Quadrangle</w:t>
      </w:r>
      <w:r w:rsidR="00C65A26" w:rsidRPr="00323427">
        <w:rPr>
          <w:rFonts w:hint="eastAsia"/>
        </w:rPr>
        <w:t xml:space="preserve"> map from the Arkansas Geological </w:t>
      </w:r>
      <w:r w:rsidR="00C65A26" w:rsidRPr="00323427">
        <w:t>Commission</w:t>
      </w:r>
      <w:r w:rsidR="00C65A26" w:rsidRPr="00323427">
        <w:rPr>
          <w:rFonts w:hint="eastAsia"/>
        </w:rPr>
        <w:t xml:space="preserve"> shows the bottom of the Dierks section is 450m above the base of the Jackfork, thus the main sandstone package in </w:t>
      </w:r>
      <w:r w:rsidR="00723FC5">
        <w:t xml:space="preserve">the </w:t>
      </w:r>
      <w:r w:rsidR="00C65A26" w:rsidRPr="00323427">
        <w:rPr>
          <w:rFonts w:hint="eastAsia"/>
        </w:rPr>
        <w:t xml:space="preserve">Dierks section is likely to be in the Middle Jackfork. </w:t>
      </w:r>
      <w:r w:rsidR="00723FC5">
        <w:t>Chemostratigraphic data</w:t>
      </w:r>
      <w:r w:rsidR="00C65A26">
        <w:rPr>
          <w:rFonts w:hint="eastAsia"/>
        </w:rPr>
        <w:t xml:space="preserve"> </w:t>
      </w:r>
      <w:r w:rsidR="00D058D2" w:rsidRPr="00323427">
        <w:t>improved this</w:t>
      </w:r>
      <w:r w:rsidR="00C65A26" w:rsidRPr="00323427">
        <w:rPr>
          <w:rFonts w:hint="eastAsia"/>
        </w:rPr>
        <w:t xml:space="preserve"> interpretation, </w:t>
      </w:r>
      <w:r w:rsidR="00D058D2" w:rsidRPr="00323427">
        <w:t>where</w:t>
      </w:r>
      <w:r w:rsidR="00D058D2">
        <w:t xml:space="preserve"> the</w:t>
      </w:r>
      <w:r w:rsidR="00C65A26" w:rsidRPr="00323427">
        <w:t xml:space="preserve"> trace</w:t>
      </w:r>
      <w:r w:rsidR="00C65A26" w:rsidRPr="00323427">
        <w:rPr>
          <w:rFonts w:hint="eastAsia"/>
        </w:rPr>
        <w:t xml:space="preserve"> element</w:t>
      </w:r>
      <w:r w:rsidR="00C65A26">
        <w:rPr>
          <w:rFonts w:hint="eastAsia"/>
        </w:rPr>
        <w:t xml:space="preserve"> data fit</w:t>
      </w:r>
      <w:r w:rsidR="00C65A26" w:rsidRPr="00323427">
        <w:rPr>
          <w:rFonts w:hint="eastAsia"/>
        </w:rPr>
        <w:t xml:space="preserve"> in the range of the Middle Jackfork from Kirby and DeGray Lake sections (</w:t>
      </w:r>
      <w:r w:rsidR="00B83452">
        <w:rPr>
          <w:rFonts w:hint="eastAsia"/>
        </w:rPr>
        <w:t>Figure 2.</w:t>
      </w:r>
      <w:r w:rsidR="00F9327B">
        <w:t>26</w:t>
      </w:r>
      <w:r w:rsidR="00C65A26">
        <w:rPr>
          <w:rFonts w:hint="eastAsia"/>
        </w:rPr>
        <w:t xml:space="preserve"> and </w:t>
      </w:r>
      <w:r w:rsidR="00F9327B">
        <w:t>27</w:t>
      </w:r>
      <w:r w:rsidR="00C65A26" w:rsidRPr="00323427">
        <w:rPr>
          <w:rFonts w:hint="eastAsia"/>
        </w:rPr>
        <w:t>). Moreover, sea-bo</w:t>
      </w:r>
      <w:r w:rsidR="00C65A26">
        <w:rPr>
          <w:rFonts w:hint="eastAsia"/>
        </w:rPr>
        <w:t>ttom indicator</w:t>
      </w:r>
      <w:r w:rsidR="00C65A26" w:rsidRPr="00BA45CB">
        <w:t>s</w:t>
      </w:r>
      <w:r w:rsidR="00C65A26">
        <w:rPr>
          <w:rFonts w:hint="eastAsia"/>
        </w:rPr>
        <w:t xml:space="preserve"> such as Co,</w:t>
      </w:r>
      <w:r w:rsidR="00C65A26" w:rsidRPr="00323427">
        <w:rPr>
          <w:rFonts w:hint="eastAsia"/>
        </w:rPr>
        <w:t xml:space="preserve"> Ni</w:t>
      </w:r>
      <w:r w:rsidR="00C65A26">
        <w:rPr>
          <w:rFonts w:hint="eastAsia"/>
        </w:rPr>
        <w:t xml:space="preserve"> and U</w:t>
      </w:r>
      <w:r w:rsidR="00C65A26" w:rsidRPr="00323427">
        <w:rPr>
          <w:rFonts w:hint="eastAsia"/>
        </w:rPr>
        <w:t xml:space="preserve"> are much higher than in its </w:t>
      </w:r>
      <w:r w:rsidR="00C65A26" w:rsidRPr="00323427">
        <w:t>equivalent</w:t>
      </w:r>
      <w:r w:rsidR="00C65A26" w:rsidRPr="00323427">
        <w:rPr>
          <w:rFonts w:hint="eastAsia"/>
        </w:rPr>
        <w:t xml:space="preserve"> intervals at Kirby and DeGray Lake section, indicating a downdip basinal environment</w:t>
      </w:r>
      <w:r w:rsidR="00C65A26">
        <w:rPr>
          <w:rFonts w:hint="eastAsia"/>
        </w:rPr>
        <w:t>.</w:t>
      </w:r>
    </w:p>
    <w:p w:rsidR="00C65A26" w:rsidRPr="00323427" w:rsidRDefault="00C65A26" w:rsidP="00C65A26">
      <w:r w:rsidRPr="00323427">
        <w:rPr>
          <w:rFonts w:hint="eastAsia"/>
          <w:b/>
        </w:rPr>
        <w:tab/>
      </w:r>
      <w:r w:rsidR="00B83452">
        <w:rPr>
          <w:rFonts w:hint="eastAsia"/>
        </w:rPr>
        <w:t>Figure 2.</w:t>
      </w:r>
      <w:r w:rsidR="00F9327B">
        <w:t>28</w:t>
      </w:r>
      <w:r>
        <w:rPr>
          <w:rFonts w:hint="eastAsia"/>
        </w:rPr>
        <w:t xml:space="preserve"> </w:t>
      </w:r>
      <w:r w:rsidRPr="00323427">
        <w:rPr>
          <w:rFonts w:hint="eastAsia"/>
        </w:rPr>
        <w:t>is the trace elements plot against the average upper crust (</w:t>
      </w:r>
      <w:r w:rsidRPr="00323427">
        <w:t>Taylor</w:t>
      </w:r>
      <w:r w:rsidRPr="00323427">
        <w:rPr>
          <w:rFonts w:hint="eastAsia"/>
        </w:rPr>
        <w:t xml:space="preserve"> and McLennan, 1985)</w:t>
      </w:r>
      <w:r>
        <w:rPr>
          <w:rFonts w:hint="eastAsia"/>
        </w:rPr>
        <w:t xml:space="preserve">, </w:t>
      </w:r>
      <w:r>
        <w:t>with</w:t>
      </w:r>
      <w:r>
        <w:rPr>
          <w:rFonts w:hint="eastAsia"/>
        </w:rPr>
        <w:t xml:space="preserve"> t</w:t>
      </w:r>
      <w:r w:rsidRPr="00323427">
        <w:rPr>
          <w:rFonts w:hint="eastAsia"/>
        </w:rPr>
        <w:t>he Stanley shale data</w:t>
      </w:r>
      <w:r>
        <w:rPr>
          <w:rFonts w:hint="eastAsia"/>
        </w:rPr>
        <w:t xml:space="preserve"> overlay</w:t>
      </w:r>
      <w:r w:rsidRPr="00323427">
        <w:rPr>
          <w:rFonts w:hint="eastAsia"/>
        </w:rPr>
        <w:t xml:space="preserve"> from Totten </w:t>
      </w:r>
      <w:r w:rsidR="00880C6B" w:rsidRPr="00880C6B">
        <w:rPr>
          <w:rFonts w:hint="eastAsia"/>
          <w:i/>
        </w:rPr>
        <w:t>et al.</w:t>
      </w:r>
      <w:r w:rsidRPr="00323427">
        <w:rPr>
          <w:rFonts w:hint="eastAsia"/>
        </w:rPr>
        <w:t xml:space="preserve"> (2000). Average continental arc, active margin and passive margin data are from </w:t>
      </w:r>
      <w:r w:rsidRPr="00323427">
        <w:t>Floyd (</w:t>
      </w:r>
      <w:r w:rsidRPr="00323427">
        <w:rPr>
          <w:rFonts w:hint="eastAsia"/>
        </w:rPr>
        <w:t xml:space="preserve">1991).The trace elements </w:t>
      </w:r>
      <w:r w:rsidRPr="00323427">
        <w:t>result</w:t>
      </w:r>
      <w:r>
        <w:t>s</w:t>
      </w:r>
      <w:r w:rsidRPr="00323427">
        <w:t xml:space="preserve"> from </w:t>
      </w:r>
      <w:r>
        <w:t xml:space="preserve">the </w:t>
      </w:r>
      <w:r w:rsidRPr="00323427">
        <w:t xml:space="preserve">Stanley Shale (Totten </w:t>
      </w:r>
      <w:r w:rsidRPr="001E55BA">
        <w:t xml:space="preserve">and Blatt, 1993; Totten </w:t>
      </w:r>
      <w:r w:rsidR="00880C6B" w:rsidRPr="00880C6B">
        <w:rPr>
          <w:i/>
        </w:rPr>
        <w:t>et al.</w:t>
      </w:r>
      <w:r w:rsidRPr="001E55BA">
        <w:t>, 2000) indicate enrichment</w:t>
      </w:r>
      <w:r w:rsidRPr="001E55BA">
        <w:rPr>
          <w:rFonts w:hint="eastAsia"/>
        </w:rPr>
        <w:t xml:space="preserve"> in Cs-V-Cr-Ni-Yb-Ti and depletion in Sr-Ta-Nb</w:t>
      </w:r>
      <w:r w:rsidR="00723FC5">
        <w:t xml:space="preserve"> relative</w:t>
      </w:r>
      <w:r w:rsidRPr="001E55BA">
        <w:rPr>
          <w:rFonts w:hint="eastAsia"/>
        </w:rPr>
        <w:t xml:space="preserve"> to the </w:t>
      </w:r>
      <w:r w:rsidRPr="001E55BA">
        <w:t>standard average upper</w:t>
      </w:r>
      <w:r w:rsidRPr="001E55BA">
        <w:rPr>
          <w:rFonts w:hint="eastAsia"/>
        </w:rPr>
        <w:t xml:space="preserve"> crust content (</w:t>
      </w:r>
      <w:r w:rsidRPr="001E55BA">
        <w:t>Taylor</w:t>
      </w:r>
      <w:r w:rsidRPr="001E55BA">
        <w:rPr>
          <w:rFonts w:hint="eastAsia"/>
        </w:rPr>
        <w:t xml:space="preserve"> and McLennan, 1985; Floyd, 1991). Totten </w:t>
      </w:r>
      <w:r w:rsidR="00880C6B" w:rsidRPr="00880C6B">
        <w:rPr>
          <w:rFonts w:hint="eastAsia"/>
          <w:i/>
        </w:rPr>
        <w:t>et al.</w:t>
      </w:r>
      <w:r w:rsidRPr="001E55BA">
        <w:rPr>
          <w:rFonts w:hint="eastAsia"/>
        </w:rPr>
        <w:t xml:space="preserve"> (2000</w:t>
      </w:r>
      <w:r w:rsidR="00E90FEA" w:rsidRPr="001E55BA">
        <w:t>) compared</w:t>
      </w:r>
      <w:r w:rsidRPr="001E55BA">
        <w:rPr>
          <w:rFonts w:hint="eastAsia"/>
        </w:rPr>
        <w:t xml:space="preserve"> the trace elements </w:t>
      </w:r>
      <w:r w:rsidRPr="001E55BA">
        <w:t>of the</w:t>
      </w:r>
      <w:r w:rsidRPr="001E55BA">
        <w:rPr>
          <w:rFonts w:hint="eastAsia"/>
        </w:rPr>
        <w:t xml:space="preserve"> Stanley </w:t>
      </w:r>
      <w:r w:rsidRPr="001E55BA">
        <w:t>S</w:t>
      </w:r>
      <w:r w:rsidRPr="001E55BA">
        <w:rPr>
          <w:rFonts w:hint="eastAsia"/>
        </w:rPr>
        <w:t>hale to active margin, continent arc and passive margin settings</w:t>
      </w:r>
      <w:r w:rsidR="00723FC5">
        <w:t xml:space="preserve"> and</w:t>
      </w:r>
      <w:r w:rsidRPr="001E55BA">
        <w:rPr>
          <w:rFonts w:hint="eastAsia"/>
        </w:rPr>
        <w:t xml:space="preserve"> </w:t>
      </w:r>
      <w:r w:rsidR="00723FC5">
        <w:t>t</w:t>
      </w:r>
      <w:r w:rsidRPr="001E55BA">
        <w:rPr>
          <w:rFonts w:hint="eastAsia"/>
        </w:rPr>
        <w:t xml:space="preserve">hey concluded that the Stanley shale in </w:t>
      </w:r>
      <w:r w:rsidRPr="001E55BA">
        <w:t>the Ouachita</w:t>
      </w:r>
      <w:r w:rsidRPr="001E55BA">
        <w:rPr>
          <w:rFonts w:hint="eastAsia"/>
        </w:rPr>
        <w:t xml:space="preserve"> Basin is a result of a dominant passive margin source with </w:t>
      </w:r>
      <w:r w:rsidRPr="001E55BA">
        <w:t>sediments</w:t>
      </w:r>
      <w:r w:rsidRPr="001E55BA">
        <w:rPr>
          <w:rFonts w:hint="eastAsia"/>
        </w:rPr>
        <w:t xml:space="preserve"> from </w:t>
      </w:r>
      <w:r w:rsidRPr="001E55BA">
        <w:t>an</w:t>
      </w:r>
      <w:r w:rsidRPr="001E55BA">
        <w:rPr>
          <w:rFonts w:hint="eastAsia"/>
        </w:rPr>
        <w:t xml:space="preserve"> active margin setting. Our results deliver similar trace element patterns to the previous work on</w:t>
      </w:r>
      <w:r w:rsidR="00C52EBE">
        <w:t xml:space="preserve"> the</w:t>
      </w:r>
      <w:r w:rsidRPr="001E55BA">
        <w:rPr>
          <w:rFonts w:hint="eastAsia"/>
        </w:rPr>
        <w:t xml:space="preserve"> Stanley shale such as:</w:t>
      </w:r>
    </w:p>
    <w:p w:rsidR="00C65A26" w:rsidRPr="00323427" w:rsidRDefault="00C65A26" w:rsidP="00C65A26">
      <w:r w:rsidRPr="00323427">
        <w:rPr>
          <w:rFonts w:hint="eastAsia"/>
        </w:rPr>
        <w:lastRenderedPageBreak/>
        <w:tab/>
        <w:t xml:space="preserve">1. The </w:t>
      </w:r>
      <w:r>
        <w:rPr>
          <w:rFonts w:hint="eastAsia"/>
        </w:rPr>
        <w:t>low</w:t>
      </w:r>
      <w:r w:rsidRPr="00323427">
        <w:rPr>
          <w:rFonts w:hint="eastAsia"/>
        </w:rPr>
        <w:t xml:space="preserve"> Sr</w:t>
      </w:r>
      <w:r w:rsidR="00723FC5">
        <w:t xml:space="preserve"> level</w:t>
      </w:r>
      <w:r w:rsidRPr="00323427">
        <w:rPr>
          <w:rFonts w:hint="eastAsia"/>
        </w:rPr>
        <w:t xml:space="preserve"> </w:t>
      </w:r>
      <w:r w:rsidR="00E90FEA" w:rsidRPr="00323427">
        <w:t>is</w:t>
      </w:r>
      <w:r w:rsidR="00D058D2" w:rsidRPr="00323427">
        <w:t xml:space="preserve"> consistent</w:t>
      </w:r>
      <w:r w:rsidRPr="00323427">
        <w:rPr>
          <w:rFonts w:hint="eastAsia"/>
        </w:rPr>
        <w:t xml:space="preserve"> across </w:t>
      </w:r>
      <w:r w:rsidR="00723FC5" w:rsidRPr="00323427">
        <w:rPr>
          <w:rFonts w:hint="eastAsia"/>
        </w:rPr>
        <w:t xml:space="preserve">all </w:t>
      </w:r>
      <w:r w:rsidRPr="00323427">
        <w:rPr>
          <w:rFonts w:hint="eastAsia"/>
        </w:rPr>
        <w:t xml:space="preserve">the tested intervals, which </w:t>
      </w:r>
      <w:r w:rsidR="00723FC5">
        <w:t xml:space="preserve">in an indication of </w:t>
      </w:r>
      <w:r w:rsidRPr="00323427">
        <w:rPr>
          <w:rFonts w:hint="eastAsia"/>
        </w:rPr>
        <w:t xml:space="preserve">passive margins (Floyd, 1991; Totten </w:t>
      </w:r>
      <w:r w:rsidR="00880C6B" w:rsidRPr="00880C6B">
        <w:rPr>
          <w:rFonts w:hint="eastAsia"/>
          <w:i/>
        </w:rPr>
        <w:t>et al.</w:t>
      </w:r>
      <w:r w:rsidRPr="00323427">
        <w:rPr>
          <w:rFonts w:hint="eastAsia"/>
        </w:rPr>
        <w:t>, 2000).</w:t>
      </w:r>
    </w:p>
    <w:p w:rsidR="00C65A26" w:rsidRPr="00323427" w:rsidRDefault="00C65A26" w:rsidP="00C65A26">
      <w:r w:rsidRPr="00323427">
        <w:rPr>
          <w:rFonts w:hint="eastAsia"/>
        </w:rPr>
        <w:tab/>
        <w:t>2. The enrichment of Ti</w:t>
      </w:r>
      <w:r w:rsidR="00D058D2">
        <w:t xml:space="preserve"> </w:t>
      </w:r>
      <w:r w:rsidRPr="00323427">
        <w:t>is</w:t>
      </w:r>
      <w:r w:rsidRPr="00323427">
        <w:rPr>
          <w:rFonts w:hint="eastAsia"/>
        </w:rPr>
        <w:t xml:space="preserve"> higher in the Jackfork and Johns Valley shale</w:t>
      </w:r>
      <w:r w:rsidR="00C52EBE">
        <w:t xml:space="preserve"> than Stanley Shale</w:t>
      </w:r>
      <w:r w:rsidRPr="00323427">
        <w:rPr>
          <w:rFonts w:hint="eastAsia"/>
        </w:rPr>
        <w:t xml:space="preserve">. They are related to both mafic tectonic provenance and high </w:t>
      </w:r>
      <w:r w:rsidRPr="00323427">
        <w:t>terrestrial</w:t>
      </w:r>
      <w:r w:rsidRPr="00323427">
        <w:rPr>
          <w:rFonts w:hint="eastAsia"/>
        </w:rPr>
        <w:t xml:space="preserve"> input into the basin (Totten </w:t>
      </w:r>
      <w:r w:rsidR="00880C6B" w:rsidRPr="00880C6B">
        <w:rPr>
          <w:rFonts w:hint="eastAsia"/>
          <w:i/>
        </w:rPr>
        <w:t>et al.</w:t>
      </w:r>
      <w:r w:rsidRPr="00323427">
        <w:rPr>
          <w:rFonts w:hint="eastAsia"/>
        </w:rPr>
        <w:t>, 2000).</w:t>
      </w:r>
    </w:p>
    <w:p w:rsidR="00C65A26" w:rsidRPr="00323427" w:rsidRDefault="00C65A26" w:rsidP="00C65A26">
      <w:r w:rsidRPr="00323427">
        <w:rPr>
          <w:rFonts w:hint="eastAsia"/>
        </w:rPr>
        <w:tab/>
        <w:t xml:space="preserve">3. </w:t>
      </w:r>
      <w:r>
        <w:rPr>
          <w:rFonts w:hint="eastAsia"/>
        </w:rPr>
        <w:t>Similar values of k</w:t>
      </w:r>
      <w:r w:rsidRPr="00323427">
        <w:rPr>
          <w:rFonts w:hint="eastAsia"/>
        </w:rPr>
        <w:t xml:space="preserve">ey provenance </w:t>
      </w:r>
      <w:r w:rsidRPr="00323427">
        <w:t>indicators La</w:t>
      </w:r>
      <w:r w:rsidRPr="00323427">
        <w:rPr>
          <w:rFonts w:hint="eastAsia"/>
        </w:rPr>
        <w:t>-Sc-Th</w:t>
      </w:r>
      <w:r w:rsidRPr="00323427">
        <w:t xml:space="preserve"> were</w:t>
      </w:r>
      <w:r w:rsidRPr="00323427">
        <w:rPr>
          <w:rFonts w:hint="eastAsia"/>
        </w:rPr>
        <w:t xml:space="preserve"> used by many geologists to indicate the </w:t>
      </w:r>
      <w:r w:rsidR="007D3FA4">
        <w:t xml:space="preserve">similar </w:t>
      </w:r>
      <w:r w:rsidRPr="00323427">
        <w:rPr>
          <w:rFonts w:hint="eastAsia"/>
        </w:rPr>
        <w:t xml:space="preserve">tectonic environment (Bhatia, 1983; Bhatia, 1985; Totten et al, 2000; Meng </w:t>
      </w:r>
      <w:r w:rsidR="00880C6B" w:rsidRPr="00880C6B">
        <w:rPr>
          <w:rFonts w:hint="eastAsia"/>
          <w:i/>
        </w:rPr>
        <w:t>et al.</w:t>
      </w:r>
      <w:r w:rsidRPr="00323427">
        <w:rPr>
          <w:rFonts w:hint="eastAsia"/>
        </w:rPr>
        <w:t xml:space="preserve">, 2007). </w:t>
      </w:r>
    </w:p>
    <w:p w:rsidR="00C65A26" w:rsidRPr="00323427" w:rsidRDefault="00C65A26" w:rsidP="00C65A26">
      <w:r w:rsidRPr="00323427">
        <w:rPr>
          <w:rFonts w:hint="eastAsia"/>
        </w:rPr>
        <w:tab/>
        <w:t>However, there are also differences such as:</w:t>
      </w:r>
    </w:p>
    <w:p w:rsidR="00C65A26" w:rsidRPr="00323427" w:rsidRDefault="00C65A26" w:rsidP="00C65A26">
      <w:r w:rsidRPr="00323427">
        <w:rPr>
          <w:rFonts w:hint="eastAsia"/>
        </w:rPr>
        <w:tab/>
        <w:t xml:space="preserve">1. </w:t>
      </w:r>
      <w:r w:rsidRPr="00323427">
        <w:t>The</w:t>
      </w:r>
      <w:r w:rsidRPr="00323427">
        <w:rPr>
          <w:rFonts w:hint="eastAsia"/>
        </w:rPr>
        <w:t xml:space="preserve"> negative P and positive Cs of the Jackfork Group and Johns Valley shale. Negative P is caused by lowstand sediment input during Early </w:t>
      </w:r>
      <w:r w:rsidRPr="00323427">
        <w:t>Pennsylvanian</w:t>
      </w:r>
      <w:r w:rsidRPr="00323427">
        <w:rPr>
          <w:rFonts w:hint="eastAsia"/>
        </w:rPr>
        <w:t xml:space="preserve"> time, which reduces the surface productivity. Positive Cs is </w:t>
      </w:r>
      <w:r w:rsidRPr="00323427">
        <w:t>consistent</w:t>
      </w:r>
      <w:r w:rsidRPr="00323427">
        <w:rPr>
          <w:rFonts w:hint="eastAsia"/>
        </w:rPr>
        <w:t xml:space="preserve"> with </w:t>
      </w:r>
      <w:r w:rsidRPr="00323427">
        <w:rPr>
          <w:bCs/>
        </w:rPr>
        <w:t>large-ion lithophile</w:t>
      </w:r>
      <w:r w:rsidRPr="00323427">
        <w:t> elements (LILEs) </w:t>
      </w:r>
      <w:r w:rsidRPr="00323427">
        <w:rPr>
          <w:rFonts w:hint="eastAsia"/>
        </w:rPr>
        <w:t xml:space="preserve">such as K and Rb, which indicate that the tectonics of the </w:t>
      </w:r>
      <w:r w:rsidRPr="00323427">
        <w:t>proven</w:t>
      </w:r>
      <w:r w:rsidRPr="001E55BA">
        <w:t>ance</w:t>
      </w:r>
      <w:r w:rsidRPr="001E55BA">
        <w:rPr>
          <w:rFonts w:hint="eastAsia"/>
        </w:rPr>
        <w:t xml:space="preserve"> </w:t>
      </w:r>
      <w:r w:rsidR="00D058D2" w:rsidRPr="001E55BA">
        <w:t xml:space="preserve">shifted </w:t>
      </w:r>
      <w:r w:rsidRPr="001E55BA">
        <w:t>from a passive margin</w:t>
      </w:r>
      <w:r w:rsidRPr="001E55BA">
        <w:rPr>
          <w:rFonts w:hint="eastAsia"/>
        </w:rPr>
        <w:t xml:space="preserve"> towards an active</w:t>
      </w:r>
      <w:r w:rsidRPr="00323427">
        <w:rPr>
          <w:rFonts w:hint="eastAsia"/>
        </w:rPr>
        <w:t xml:space="preserve"> margin environment.</w:t>
      </w:r>
    </w:p>
    <w:p w:rsidR="00C65A26" w:rsidRPr="00323427" w:rsidRDefault="00C65A26" w:rsidP="00C65A26">
      <w:r w:rsidRPr="00323427">
        <w:rPr>
          <w:rFonts w:hint="eastAsia"/>
        </w:rPr>
        <w:tab/>
        <w:t xml:space="preserve">2. </w:t>
      </w:r>
      <w:r w:rsidRPr="00323427">
        <w:t>The separations</w:t>
      </w:r>
      <w:r w:rsidRPr="00323427">
        <w:rPr>
          <w:rFonts w:hint="eastAsia"/>
        </w:rPr>
        <w:t xml:space="preserve"> in Ni-Hf-Zr in Lower, Middle, Upp</w:t>
      </w:r>
      <w:r w:rsidRPr="001E55BA">
        <w:rPr>
          <w:rFonts w:hint="eastAsia"/>
        </w:rPr>
        <w:t xml:space="preserve">er Jackfork Group and Johns Valley </w:t>
      </w:r>
      <w:r w:rsidRPr="001E55BA">
        <w:t xml:space="preserve">shale </w:t>
      </w:r>
      <w:r w:rsidR="00D058D2" w:rsidRPr="001E55BA">
        <w:t>are consistent</w:t>
      </w:r>
      <w:r w:rsidRPr="001E55BA">
        <w:rPr>
          <w:rFonts w:hint="eastAsia"/>
        </w:rPr>
        <w:t xml:space="preserve"> with the division of the intervals</w:t>
      </w:r>
      <w:r w:rsidR="00DF63C0">
        <w:t xml:space="preserve"> which are different from Stanley Shale</w:t>
      </w:r>
      <w:r w:rsidRPr="001E55BA">
        <w:rPr>
          <w:rFonts w:hint="eastAsia"/>
        </w:rPr>
        <w:t xml:space="preserve">. The Ni increases from the Stanley shale into </w:t>
      </w:r>
      <w:r w:rsidRPr="001E55BA">
        <w:t>the Lower</w:t>
      </w:r>
      <w:r w:rsidRPr="001E55BA">
        <w:rPr>
          <w:rFonts w:hint="eastAsia"/>
        </w:rPr>
        <w:t xml:space="preserve"> Jackfork Group, then decreases into Middle Jackfork Group, increases again into Upper Jackfork Group, and reaches the highest </w:t>
      </w:r>
      <w:r w:rsidR="00DF63C0">
        <w:t>value</w:t>
      </w:r>
      <w:r w:rsidRPr="001E55BA">
        <w:rPr>
          <w:rFonts w:hint="eastAsia"/>
        </w:rPr>
        <w:t xml:space="preserve"> </w:t>
      </w:r>
      <w:r w:rsidRPr="001E55BA">
        <w:t>in the</w:t>
      </w:r>
      <w:r w:rsidRPr="001E55BA">
        <w:rPr>
          <w:rFonts w:hint="eastAsia"/>
        </w:rPr>
        <w:t xml:space="preserve"> Johns Valley shale. Hr and Zr share a common trend as </w:t>
      </w:r>
      <w:r w:rsidRPr="001E55BA">
        <w:t>high field-strength element</w:t>
      </w:r>
      <w:r w:rsidRPr="001E55BA">
        <w:rPr>
          <w:rFonts w:hint="eastAsia"/>
        </w:rPr>
        <w:t xml:space="preserve">s </w:t>
      </w:r>
      <w:r w:rsidRPr="001E55BA">
        <w:t>(HFSE)</w:t>
      </w:r>
      <w:r w:rsidRPr="001E55BA">
        <w:rPr>
          <w:rFonts w:hint="eastAsia"/>
        </w:rPr>
        <w:t>. Their range is between passive margin and active margin. They also follow the same</w:t>
      </w:r>
      <w:r w:rsidRPr="00323427">
        <w:rPr>
          <w:rFonts w:hint="eastAsia"/>
        </w:rPr>
        <w:t xml:space="preserve"> trend as Ni from the Stanley shale to the Johns Valley Group. The </w:t>
      </w:r>
      <w:r w:rsidRPr="00323427">
        <w:t>fundamental</w:t>
      </w:r>
      <w:r w:rsidRPr="00323427">
        <w:rPr>
          <w:rFonts w:hint="eastAsia"/>
        </w:rPr>
        <w:t xml:space="preserve"> control of </w:t>
      </w:r>
      <w:r w:rsidRPr="00323427">
        <w:t>these separations</w:t>
      </w:r>
      <w:r w:rsidRPr="00323427">
        <w:rPr>
          <w:rFonts w:hint="eastAsia"/>
        </w:rPr>
        <w:t xml:space="preserve"> is a result of </w:t>
      </w:r>
      <w:r w:rsidRPr="00323427">
        <w:rPr>
          <w:rFonts w:hint="eastAsia"/>
        </w:rPr>
        <w:lastRenderedPageBreak/>
        <w:t xml:space="preserve">tectonic environment of the </w:t>
      </w:r>
      <w:r w:rsidRPr="00323427">
        <w:t>provenance</w:t>
      </w:r>
      <w:r w:rsidRPr="00323427">
        <w:rPr>
          <w:rFonts w:hint="eastAsia"/>
        </w:rPr>
        <w:t>, which also has an impact on sedimentation and sequence stratigraphy.</w:t>
      </w:r>
    </w:p>
    <w:p w:rsidR="00C65A26" w:rsidRPr="00323427" w:rsidRDefault="00C65A26" w:rsidP="00C65A26">
      <w:pPr>
        <w:ind w:firstLine="420"/>
      </w:pPr>
    </w:p>
    <w:p w:rsidR="00C65A26" w:rsidRPr="00DD2A16" w:rsidRDefault="00C65A26" w:rsidP="00DD2A16">
      <w:pPr>
        <w:jc w:val="center"/>
        <w:rPr>
          <w:b/>
          <w:sz w:val="28"/>
        </w:rPr>
      </w:pPr>
      <w:r w:rsidRPr="00DD2A16">
        <w:rPr>
          <w:b/>
          <w:sz w:val="28"/>
        </w:rPr>
        <w:t>DEPOSITIONAL ENVIRONMENTS AND SEQUENCE STRATIGRAPHY</w:t>
      </w:r>
    </w:p>
    <w:p w:rsidR="00C65A26" w:rsidRPr="001E55BA" w:rsidRDefault="00C65A26" w:rsidP="00670DBA">
      <w:pPr>
        <w:tabs>
          <w:tab w:val="left" w:pos="6327"/>
        </w:tabs>
        <w:ind w:firstLineChars="295" w:firstLine="708"/>
      </w:pPr>
      <w:r w:rsidRPr="00323427">
        <w:rPr>
          <w:rFonts w:hint="eastAsia"/>
        </w:rPr>
        <w:t xml:space="preserve">We integrated lithological and </w:t>
      </w:r>
      <w:r w:rsidR="003E002B">
        <w:t>chemostratigraphic</w:t>
      </w:r>
      <w:r w:rsidRPr="00323427">
        <w:rPr>
          <w:rFonts w:hint="eastAsia"/>
        </w:rPr>
        <w:t xml:space="preserve"> information in order to build </w:t>
      </w:r>
      <w:r w:rsidRPr="00323427">
        <w:t>a continuous</w:t>
      </w:r>
      <w:r w:rsidRPr="00323427">
        <w:rPr>
          <w:rFonts w:hint="eastAsia"/>
        </w:rPr>
        <w:t xml:space="preserve"> sequence stratigraphic </w:t>
      </w:r>
      <w:r w:rsidRPr="00323427">
        <w:t>framework</w:t>
      </w:r>
      <w:r w:rsidRPr="00323427">
        <w:rPr>
          <w:rFonts w:hint="eastAsia"/>
        </w:rPr>
        <w:t xml:space="preserve"> across the </w:t>
      </w:r>
      <w:r>
        <w:rPr>
          <w:rFonts w:hint="eastAsia"/>
        </w:rPr>
        <w:t xml:space="preserve">Ouachita </w:t>
      </w:r>
      <w:r w:rsidRPr="00323427">
        <w:rPr>
          <w:rFonts w:hint="eastAsia"/>
        </w:rPr>
        <w:t>ba</w:t>
      </w:r>
      <w:r w:rsidRPr="001E55BA">
        <w:rPr>
          <w:rFonts w:hint="eastAsia"/>
        </w:rPr>
        <w:t>sin</w:t>
      </w:r>
      <w:r w:rsidRPr="001E55BA">
        <w:t>. In</w:t>
      </w:r>
      <w:r w:rsidRPr="001E55BA">
        <w:rPr>
          <w:rFonts w:hint="eastAsia"/>
        </w:rPr>
        <w:t xml:space="preserve"> all the sections measured, the distinct shale layers are categorized into those that are regional and </w:t>
      </w:r>
      <w:r w:rsidRPr="001E55BA">
        <w:t>those that are local</w:t>
      </w:r>
      <w:r w:rsidRPr="001E55BA">
        <w:rPr>
          <w:rFonts w:hint="eastAsia"/>
        </w:rPr>
        <w:t xml:space="preserve"> (Table </w:t>
      </w:r>
      <w:r w:rsidR="00F9327B">
        <w:t>2.7</w:t>
      </w:r>
      <w:r w:rsidRPr="001E55BA">
        <w:rPr>
          <w:rFonts w:hint="eastAsia"/>
        </w:rPr>
        <w:t>), including 3</w:t>
      </w:r>
      <w:r w:rsidRPr="001E55BA">
        <w:rPr>
          <w:rFonts w:hint="eastAsia"/>
          <w:vertAlign w:val="superscript"/>
        </w:rPr>
        <w:t>rd</w:t>
      </w:r>
      <w:r w:rsidRPr="001E55BA">
        <w:rPr>
          <w:rFonts w:hint="eastAsia"/>
        </w:rPr>
        <w:t xml:space="preserve"> and 4</w:t>
      </w:r>
      <w:r w:rsidRPr="001E55BA">
        <w:rPr>
          <w:rFonts w:hint="eastAsia"/>
          <w:vertAlign w:val="superscript"/>
        </w:rPr>
        <w:t>th</w:t>
      </w:r>
      <w:r w:rsidRPr="001E55BA">
        <w:rPr>
          <w:rFonts w:hint="eastAsia"/>
        </w:rPr>
        <w:t xml:space="preserve"> order sequence boundaries, local </w:t>
      </w:r>
      <w:r w:rsidR="00E90FEA" w:rsidRPr="001E55BA">
        <w:t>shales (</w:t>
      </w:r>
      <w:r w:rsidRPr="001E55BA">
        <w:rPr>
          <w:rFonts w:hint="eastAsia"/>
        </w:rPr>
        <w:t xml:space="preserve">caused either by compensational stacking patterns or by shutdown of </w:t>
      </w:r>
      <w:r w:rsidRPr="001E55BA">
        <w:t>sandy depositional</w:t>
      </w:r>
      <w:r w:rsidRPr="001E55BA">
        <w:rPr>
          <w:rFonts w:hint="eastAsia"/>
        </w:rPr>
        <w:t xml:space="preserve"> fairways), and their correlations </w:t>
      </w:r>
      <w:r w:rsidRPr="001E55BA">
        <w:t>confidence</w:t>
      </w:r>
      <w:r w:rsidR="00F9327B">
        <w:t xml:space="preserve"> (Figure 2.29)</w:t>
      </w:r>
      <w:r w:rsidRPr="001E55BA">
        <w:t>. In</w:t>
      </w:r>
      <w:r w:rsidRPr="001E55BA">
        <w:rPr>
          <w:rFonts w:hint="eastAsia"/>
        </w:rPr>
        <w:t xml:space="preserve"> addition, there are </w:t>
      </w:r>
      <w:r w:rsidRPr="001E55BA">
        <w:t xml:space="preserve">unsampled </w:t>
      </w:r>
      <w:r w:rsidRPr="001E55BA">
        <w:rPr>
          <w:rFonts w:hint="eastAsia"/>
        </w:rPr>
        <w:t xml:space="preserve">shales which could be higher order sequence boundaries or local shales. The outcrop </w:t>
      </w:r>
      <w:r w:rsidRPr="001E55BA">
        <w:t>exposures are</w:t>
      </w:r>
      <w:r w:rsidRPr="001E55BA">
        <w:rPr>
          <w:rFonts w:hint="eastAsia"/>
        </w:rPr>
        <w:t xml:space="preserve"> limited in extent so </w:t>
      </w:r>
      <w:r w:rsidRPr="001E55BA">
        <w:t>gaps exist</w:t>
      </w:r>
      <w:r w:rsidRPr="001E55BA">
        <w:rPr>
          <w:rFonts w:hint="eastAsia"/>
        </w:rPr>
        <w:t xml:space="preserve"> between roadcuts and sections. </w:t>
      </w:r>
    </w:p>
    <w:p w:rsidR="00C65A26" w:rsidRPr="00323427" w:rsidRDefault="00C65A26" w:rsidP="00C65A26">
      <w:r w:rsidRPr="001E55BA">
        <w:rPr>
          <w:rFonts w:hint="eastAsia"/>
          <w:b/>
        </w:rPr>
        <w:tab/>
      </w:r>
      <w:r w:rsidRPr="001E55BA">
        <w:rPr>
          <w:rFonts w:hint="eastAsia"/>
        </w:rPr>
        <w:t>The Lower Jackfork Group was deposited when sea-</w:t>
      </w:r>
      <w:r w:rsidRPr="001E55BA">
        <w:t xml:space="preserve">level </w:t>
      </w:r>
      <w:r>
        <w:t>began</w:t>
      </w:r>
      <w:r w:rsidRPr="001E55BA">
        <w:t xml:space="preserve"> falling</w:t>
      </w:r>
      <w:r w:rsidRPr="001E55BA">
        <w:rPr>
          <w:rFonts w:hint="eastAsia"/>
        </w:rPr>
        <w:t xml:space="preserve"> during Early </w:t>
      </w:r>
      <w:r w:rsidRPr="001E55BA">
        <w:t>Pennsylvanian time</w:t>
      </w:r>
      <w:r w:rsidRPr="001E55BA">
        <w:rPr>
          <w:rFonts w:hint="eastAsia"/>
        </w:rPr>
        <w:t xml:space="preserve">. The depositional environment in the Kirby area is interpreted as middle </w:t>
      </w:r>
      <w:r w:rsidRPr="001E55BA">
        <w:t>fan with</w:t>
      </w:r>
      <w:r w:rsidRPr="001E55BA">
        <w:rPr>
          <w:rFonts w:hint="eastAsia"/>
        </w:rPr>
        <w:t xml:space="preserve"> no major depositional break. The shale units found in the Lo</w:t>
      </w:r>
      <w:r w:rsidRPr="00323427">
        <w:rPr>
          <w:rFonts w:hint="eastAsia"/>
        </w:rPr>
        <w:t xml:space="preserve">wer Jackfork Group are all likely to be local (i.e., shutdown of </w:t>
      </w:r>
      <w:r w:rsidRPr="00323427">
        <w:t>depositional</w:t>
      </w:r>
      <w:r w:rsidRPr="00323427">
        <w:rPr>
          <w:rFonts w:hint="eastAsia"/>
        </w:rPr>
        <w:t xml:space="preserve"> fairways) without any </w:t>
      </w:r>
      <w:r w:rsidRPr="00323427">
        <w:t>noticeable</w:t>
      </w:r>
      <w:r w:rsidRPr="00323427">
        <w:rPr>
          <w:rFonts w:hint="eastAsia"/>
        </w:rPr>
        <w:t xml:space="preserve"> higher order transgressions. Both </w:t>
      </w:r>
      <w:r w:rsidRPr="00323427">
        <w:t>channelized</w:t>
      </w:r>
      <w:r w:rsidRPr="00323427">
        <w:rPr>
          <w:rFonts w:hint="eastAsia"/>
        </w:rPr>
        <w:t xml:space="preserve"> and sheet</w:t>
      </w:r>
      <w:r>
        <w:rPr>
          <w:rFonts w:hint="eastAsia"/>
        </w:rPr>
        <w:t>-prone</w:t>
      </w:r>
      <w:r w:rsidRPr="00323427">
        <w:rPr>
          <w:rFonts w:hint="eastAsia"/>
        </w:rPr>
        <w:t xml:space="preserve"> facies are present in this interval</w:t>
      </w:r>
      <w:r w:rsidR="00127769">
        <w:rPr>
          <w:rFonts w:hint="eastAsia"/>
          <w:lang w:eastAsia="zh-CN"/>
        </w:rPr>
        <w:t xml:space="preserve"> (Figure 2.</w:t>
      </w:r>
      <w:r w:rsidR="00F9327B">
        <w:rPr>
          <w:lang w:eastAsia="zh-CN"/>
        </w:rPr>
        <w:t>31</w:t>
      </w:r>
      <w:r w:rsidR="00127769">
        <w:rPr>
          <w:rFonts w:hint="eastAsia"/>
          <w:lang w:eastAsia="zh-CN"/>
        </w:rPr>
        <w:t xml:space="preserve"> and 2.</w:t>
      </w:r>
      <w:r w:rsidR="00F9327B">
        <w:rPr>
          <w:lang w:eastAsia="zh-CN"/>
        </w:rPr>
        <w:t>32</w:t>
      </w:r>
      <w:r w:rsidR="00127769">
        <w:rPr>
          <w:rFonts w:hint="eastAsia"/>
          <w:lang w:eastAsia="zh-CN"/>
        </w:rPr>
        <w:t>)</w:t>
      </w:r>
      <w:r w:rsidRPr="00323427">
        <w:rPr>
          <w:rFonts w:hint="eastAsia"/>
        </w:rPr>
        <w:t>.</w:t>
      </w:r>
    </w:p>
    <w:p w:rsidR="00C65A26" w:rsidRPr="00A64401" w:rsidRDefault="00C65A26" w:rsidP="00C65A26">
      <w:r w:rsidRPr="00323427">
        <w:rPr>
          <w:rFonts w:hint="eastAsia"/>
        </w:rPr>
        <w:tab/>
      </w:r>
      <w:r w:rsidRPr="001E55BA">
        <w:rPr>
          <w:rFonts w:hint="eastAsia"/>
        </w:rPr>
        <w:t>The Middle Jackfork Group is an interval with</w:t>
      </w:r>
      <w:r w:rsidR="003E002B">
        <w:t xml:space="preserve"> a</w:t>
      </w:r>
      <w:r w:rsidRPr="001E55BA">
        <w:rPr>
          <w:rFonts w:hint="eastAsia"/>
        </w:rPr>
        <w:t xml:space="preserve"> large amount of sediment input </w:t>
      </w:r>
      <w:r>
        <w:rPr>
          <w:rFonts w:hint="eastAsia"/>
        </w:rPr>
        <w:t>associated with</w:t>
      </w:r>
      <w:r w:rsidRPr="001E55BA">
        <w:rPr>
          <w:rFonts w:hint="eastAsia"/>
        </w:rPr>
        <w:t xml:space="preserve"> sea-level fluctuations. Channelized sandstones are most common across the DeGray Lake </w:t>
      </w:r>
      <w:r w:rsidRPr="001E55BA">
        <w:t>area to</w:t>
      </w:r>
      <w:r w:rsidRPr="001E55BA">
        <w:rPr>
          <w:rFonts w:hint="eastAsia"/>
        </w:rPr>
        <w:t xml:space="preserve"> the Kirby sections. At least three</w:t>
      </w:r>
      <w:r>
        <w:rPr>
          <w:rFonts w:hint="eastAsia"/>
        </w:rPr>
        <w:t xml:space="preserve"> </w:t>
      </w:r>
      <w:r w:rsidR="00D058D2">
        <w:t>confident and</w:t>
      </w:r>
      <w:r>
        <w:rPr>
          <w:rFonts w:hint="eastAsia"/>
        </w:rPr>
        <w:t xml:space="preserve"> </w:t>
      </w:r>
      <w:r w:rsidRPr="001E55BA">
        <w:rPr>
          <w:rFonts w:hint="eastAsia"/>
        </w:rPr>
        <w:t xml:space="preserve">major regional </w:t>
      </w:r>
      <w:r w:rsidRPr="001E55BA">
        <w:rPr>
          <w:rFonts w:hint="eastAsia"/>
        </w:rPr>
        <w:lastRenderedPageBreak/>
        <w:t xml:space="preserve">3rd </w:t>
      </w:r>
      <w:r w:rsidRPr="001E55BA">
        <w:t>order transgressions</w:t>
      </w:r>
      <w:r w:rsidRPr="001E55BA">
        <w:rPr>
          <w:rFonts w:hint="eastAsia"/>
        </w:rPr>
        <w:t xml:space="preserve"> can be correlated across DeGray Lake to the Kirby sections (Table 3 and </w:t>
      </w:r>
      <w:r w:rsidR="00B83452">
        <w:rPr>
          <w:rFonts w:hint="eastAsia"/>
        </w:rPr>
        <w:t>Figure 2.13</w:t>
      </w:r>
      <w:r w:rsidRPr="001E55BA">
        <w:rPr>
          <w:rFonts w:hint="eastAsia"/>
        </w:rPr>
        <w:t>).</w:t>
      </w:r>
      <w:r w:rsidR="00A77050">
        <w:rPr>
          <w:rFonts w:hint="eastAsia"/>
          <w:lang w:eastAsia="zh-CN"/>
        </w:rPr>
        <w:t xml:space="preserve"> </w:t>
      </w:r>
      <w:r w:rsidRPr="001E55BA">
        <w:rPr>
          <w:rFonts w:hint="eastAsia"/>
        </w:rPr>
        <w:t>Architectural elements ar</w:t>
      </w:r>
      <w:r w:rsidRPr="00A64401">
        <w:rPr>
          <w:rFonts w:hint="eastAsia"/>
        </w:rPr>
        <w:t>e dominated by</w:t>
      </w:r>
      <w:r w:rsidR="00D058D2">
        <w:t xml:space="preserve"> </w:t>
      </w:r>
      <w:r w:rsidRPr="00A64401">
        <w:rPr>
          <w:rFonts w:hint="eastAsia"/>
        </w:rPr>
        <w:t xml:space="preserve">low-relief erosional channel deposits. </w:t>
      </w:r>
      <w:r w:rsidR="00E90FEA" w:rsidRPr="00A64401">
        <w:rPr>
          <w:rFonts w:hint="eastAsia"/>
        </w:rPr>
        <w:t>The depositional environments are interpreted as mainly downslope channels to proximal fan</w:t>
      </w:r>
      <w:r w:rsidR="00E90FEA">
        <w:rPr>
          <w:rFonts w:hint="eastAsia"/>
          <w:lang w:eastAsia="zh-CN"/>
        </w:rPr>
        <w:t xml:space="preserve"> (Figure 2.</w:t>
      </w:r>
      <w:r w:rsidR="00F9327B">
        <w:rPr>
          <w:lang w:eastAsia="zh-CN"/>
        </w:rPr>
        <w:t>31</w:t>
      </w:r>
      <w:r w:rsidR="00E90FEA">
        <w:rPr>
          <w:rFonts w:hint="eastAsia"/>
          <w:lang w:eastAsia="zh-CN"/>
        </w:rPr>
        <w:t xml:space="preserve"> and 2.</w:t>
      </w:r>
      <w:r w:rsidR="00F9327B">
        <w:rPr>
          <w:lang w:eastAsia="zh-CN"/>
        </w:rPr>
        <w:t>32</w:t>
      </w:r>
      <w:r w:rsidR="00E90FEA">
        <w:rPr>
          <w:rFonts w:hint="eastAsia"/>
          <w:lang w:eastAsia="zh-CN"/>
        </w:rPr>
        <w:t>)</w:t>
      </w:r>
      <w:r w:rsidR="00E90FEA" w:rsidRPr="00323427">
        <w:rPr>
          <w:rFonts w:hint="eastAsia"/>
        </w:rPr>
        <w:t>.</w:t>
      </w:r>
    </w:p>
    <w:p w:rsidR="00C65A26" w:rsidRDefault="00C65A26" w:rsidP="00C65A26">
      <w:r>
        <w:rPr>
          <w:rFonts w:hint="eastAsia"/>
        </w:rPr>
        <w:tab/>
      </w:r>
      <w:r w:rsidRPr="00A64401">
        <w:t>The</w:t>
      </w:r>
      <w:r w:rsidRPr="00A64401">
        <w:rPr>
          <w:rFonts w:hint="eastAsia"/>
        </w:rPr>
        <w:t xml:space="preserve"> Upper Jackfork Group </w:t>
      </w:r>
      <w:r w:rsidR="00E90FEA" w:rsidRPr="00A64401">
        <w:t>corresponds</w:t>
      </w:r>
      <w:r w:rsidRPr="00A64401">
        <w:t xml:space="preserve"> to</w:t>
      </w:r>
      <w:r w:rsidRPr="00A64401">
        <w:rPr>
          <w:rFonts w:hint="eastAsia"/>
        </w:rPr>
        <w:t xml:space="preserve"> a significant rise in sea </w:t>
      </w:r>
      <w:r w:rsidRPr="00A64401">
        <w:t>level</w:t>
      </w:r>
      <w:r w:rsidRPr="00A64401">
        <w:rPr>
          <w:rFonts w:hint="eastAsia"/>
        </w:rPr>
        <w:t xml:space="preserve">. The Upper Sand in the </w:t>
      </w:r>
      <w:r w:rsidR="000305A3">
        <w:t>BQ_Section_3</w:t>
      </w:r>
      <w:r w:rsidRPr="00A64401">
        <w:rPr>
          <w:rFonts w:hint="eastAsia"/>
        </w:rPr>
        <w:t xml:space="preserve"> is likely correlated to the lower part of the </w:t>
      </w:r>
      <w:r w:rsidR="00F9327B">
        <w:rPr>
          <w:rFonts w:hint="eastAsia"/>
        </w:rPr>
        <w:t>DeGray Lake Spillway section</w:t>
      </w:r>
      <w:r w:rsidRPr="00A64401">
        <w:rPr>
          <w:rFonts w:hint="eastAsia"/>
        </w:rPr>
        <w:t>. The top of the Upper Sand is characterized by debris flow and slump deposits as well as channel fill</w:t>
      </w:r>
      <w:r w:rsidRPr="00323427">
        <w:rPr>
          <w:rFonts w:hint="eastAsia"/>
        </w:rPr>
        <w:t xml:space="preserve"> sandstones (Zou </w:t>
      </w:r>
      <w:r w:rsidR="00880C6B" w:rsidRPr="00880C6B">
        <w:rPr>
          <w:rFonts w:hint="eastAsia"/>
          <w:i/>
        </w:rPr>
        <w:t>et al.</w:t>
      </w:r>
      <w:r w:rsidRPr="00323427">
        <w:rPr>
          <w:rFonts w:hint="eastAsia"/>
        </w:rPr>
        <w:t xml:space="preserve">, 2012). Such higher order sequence fluctuation in the Kirby section can be </w:t>
      </w:r>
      <w:r w:rsidRPr="00323427">
        <w:t>correlated</w:t>
      </w:r>
      <w:r w:rsidRPr="00323427">
        <w:rPr>
          <w:rFonts w:hint="eastAsia"/>
        </w:rPr>
        <w:t xml:space="preserve"> to the top of the DeGray Lake Spillway section, where a shift in</w:t>
      </w:r>
      <w:r>
        <w:rPr>
          <w:rFonts w:hint="eastAsia"/>
        </w:rPr>
        <w:t xml:space="preserve"> chemostrata and lithology </w:t>
      </w:r>
      <w:r w:rsidRPr="00323427">
        <w:t>occur</w:t>
      </w:r>
      <w:r w:rsidRPr="00323427">
        <w:rPr>
          <w:rFonts w:hint="eastAsia"/>
        </w:rPr>
        <w:t xml:space="preserve">. The </w:t>
      </w:r>
      <w:r w:rsidRPr="00323427">
        <w:t>provenance</w:t>
      </w:r>
      <w:r w:rsidRPr="00323427">
        <w:rPr>
          <w:rFonts w:hint="eastAsia"/>
        </w:rPr>
        <w:t xml:space="preserve"> of </w:t>
      </w:r>
      <w:r w:rsidRPr="00323427">
        <w:t>these channelized</w:t>
      </w:r>
      <w:r>
        <w:rPr>
          <w:rFonts w:hint="eastAsia"/>
        </w:rPr>
        <w:t xml:space="preserve"> sandstones </w:t>
      </w:r>
      <w:r w:rsidR="003E002B">
        <w:t>was</w:t>
      </w:r>
      <w:r w:rsidR="00D058D2">
        <w:t xml:space="preserve"> interpreted</w:t>
      </w:r>
      <w:r>
        <w:rPr>
          <w:rFonts w:hint="eastAsia"/>
        </w:rPr>
        <w:t xml:space="preserve"> </w:t>
      </w:r>
      <w:r w:rsidR="003E002B">
        <w:t xml:space="preserve">to be </w:t>
      </w:r>
      <w:r>
        <w:rPr>
          <w:rFonts w:hint="eastAsia"/>
        </w:rPr>
        <w:t xml:space="preserve">from the </w:t>
      </w:r>
      <w:r w:rsidR="00E90FEA">
        <w:t>south (</w:t>
      </w:r>
      <w:r w:rsidRPr="00E5099A">
        <w:t xml:space="preserve">Proctor, 1974; Graham </w:t>
      </w:r>
      <w:r w:rsidR="00880C6B" w:rsidRPr="00880C6B">
        <w:rPr>
          <w:i/>
        </w:rPr>
        <w:t>et al.</w:t>
      </w:r>
      <w:r w:rsidRPr="00E5099A">
        <w:t>, 1976; Morris, 1977; Miller, 1985; Owen and Carozz</w:t>
      </w:r>
      <w:r>
        <w:t>i, 1986;</w:t>
      </w:r>
      <w:r>
        <w:rPr>
          <w:rFonts w:hint="eastAsia"/>
        </w:rPr>
        <w:t xml:space="preserve"> and</w:t>
      </w:r>
      <w:r>
        <w:t xml:space="preserve"> Danielson </w:t>
      </w:r>
      <w:r w:rsidR="00880C6B" w:rsidRPr="00880C6B">
        <w:rPr>
          <w:i/>
        </w:rPr>
        <w:t>et al.</w:t>
      </w:r>
      <w:r>
        <w:t>, 1988</w:t>
      </w:r>
      <w:r>
        <w:rPr>
          <w:rFonts w:hint="eastAsia"/>
        </w:rPr>
        <w:t>)</w:t>
      </w:r>
      <w:r w:rsidRPr="00323427">
        <w:rPr>
          <w:rFonts w:hint="eastAsia"/>
        </w:rPr>
        <w:t>.</w:t>
      </w:r>
      <w:r w:rsidR="00C83BA9">
        <w:rPr>
          <w:rFonts w:hint="eastAsia"/>
          <w:lang w:eastAsia="zh-CN"/>
        </w:rPr>
        <w:t xml:space="preserve"> </w:t>
      </w:r>
      <w:r>
        <w:rPr>
          <w:rFonts w:hint="eastAsia"/>
        </w:rPr>
        <w:t>Moreover, a</w:t>
      </w:r>
      <w:r w:rsidRPr="00323427">
        <w:rPr>
          <w:rFonts w:hint="eastAsia"/>
        </w:rPr>
        <w:t xml:space="preserve">ccording to the bottom current indicators from Hollywood Quarry (an Upper Jackfork quarry close to DeGray Lake, Goyeneche </w:t>
      </w:r>
      <w:r w:rsidR="00880C6B" w:rsidRPr="00880C6B">
        <w:rPr>
          <w:rFonts w:hint="eastAsia"/>
          <w:i/>
        </w:rPr>
        <w:t>et al.</w:t>
      </w:r>
      <w:r w:rsidRPr="00323427">
        <w:rPr>
          <w:rFonts w:hint="eastAsia"/>
        </w:rPr>
        <w:t>, 2006), it is</w:t>
      </w:r>
      <w:r>
        <w:rPr>
          <w:rFonts w:hint="eastAsia"/>
        </w:rPr>
        <w:t xml:space="preserve"> also</w:t>
      </w:r>
      <w:r w:rsidRPr="00323427">
        <w:rPr>
          <w:rFonts w:hint="eastAsia"/>
        </w:rPr>
        <w:t xml:space="preserve"> likely that sediment transport was from the southern active margin. Other than this regressional higher order sequence, most of the Upper Jackfork is dominated by sheet sandstones and associated shales</w:t>
      </w:r>
      <w:r>
        <w:rPr>
          <w:rFonts w:hint="eastAsia"/>
        </w:rPr>
        <w:t xml:space="preserve">. </w:t>
      </w:r>
      <w:r w:rsidR="00E90FEA" w:rsidRPr="00323427">
        <w:rPr>
          <w:rFonts w:hint="eastAsia"/>
        </w:rPr>
        <w:t xml:space="preserve">Depositional </w:t>
      </w:r>
      <w:r w:rsidR="00E90FEA" w:rsidRPr="00323427">
        <w:t>environment</w:t>
      </w:r>
      <w:r w:rsidR="00E90FEA">
        <w:t>s are</w:t>
      </w:r>
      <w:r w:rsidR="00E90FEA" w:rsidRPr="00323427">
        <w:rPr>
          <w:rFonts w:hint="eastAsia"/>
        </w:rPr>
        <w:t xml:space="preserve"> most likely middle and dist</w:t>
      </w:r>
      <w:r w:rsidR="00E90FEA">
        <w:rPr>
          <w:rFonts w:hint="eastAsia"/>
        </w:rPr>
        <w:t>al fan</w:t>
      </w:r>
      <w:r w:rsidR="00E90FEA">
        <w:rPr>
          <w:rFonts w:hint="eastAsia"/>
          <w:lang w:eastAsia="zh-CN"/>
        </w:rPr>
        <w:t xml:space="preserve"> (Figure 2.</w:t>
      </w:r>
      <w:r w:rsidR="00F9327B">
        <w:rPr>
          <w:lang w:eastAsia="zh-CN"/>
        </w:rPr>
        <w:t>31</w:t>
      </w:r>
      <w:r w:rsidR="00E90FEA">
        <w:rPr>
          <w:rFonts w:hint="eastAsia"/>
          <w:lang w:eastAsia="zh-CN"/>
        </w:rPr>
        <w:t xml:space="preserve"> and 2.</w:t>
      </w:r>
      <w:r w:rsidR="00F9327B">
        <w:rPr>
          <w:lang w:eastAsia="zh-CN"/>
        </w:rPr>
        <w:t>32</w:t>
      </w:r>
      <w:r w:rsidR="00E90FEA">
        <w:rPr>
          <w:rFonts w:hint="eastAsia"/>
          <w:lang w:eastAsia="zh-CN"/>
        </w:rPr>
        <w:t>)</w:t>
      </w:r>
      <w:r w:rsidR="00E90FEA" w:rsidRPr="00323427">
        <w:rPr>
          <w:rFonts w:hint="eastAsia"/>
        </w:rPr>
        <w:t>.</w:t>
      </w:r>
    </w:p>
    <w:p w:rsidR="00C65A26" w:rsidRDefault="00C65A26" w:rsidP="00C65A26">
      <w:r>
        <w:rPr>
          <w:rFonts w:hint="eastAsia"/>
        </w:rPr>
        <w:tab/>
        <w:t>From p</w:t>
      </w:r>
      <w:r w:rsidRPr="00A64401">
        <w:rPr>
          <w:rFonts w:hint="eastAsia"/>
        </w:rPr>
        <w:t xml:space="preserve">revious regional work (Morris, 1974; Slatt </w:t>
      </w:r>
      <w:r w:rsidR="00880C6B" w:rsidRPr="00880C6B">
        <w:rPr>
          <w:rFonts w:hint="eastAsia"/>
          <w:i/>
        </w:rPr>
        <w:t>et al.</w:t>
      </w:r>
      <w:r w:rsidRPr="00A64401">
        <w:rPr>
          <w:rFonts w:hint="eastAsia"/>
        </w:rPr>
        <w:t xml:space="preserve">, 2000a; Coleman, 2000; and </w:t>
      </w:r>
      <w:r w:rsidRPr="00A64401">
        <w:rPr>
          <w:rFonts w:eastAsia="AGaramond-Regular"/>
        </w:rPr>
        <w:t>Shaulis</w:t>
      </w:r>
      <w:r w:rsidRPr="00A64401">
        <w:rPr>
          <w:rFonts w:eastAsia="AGaramond-Regular" w:hint="eastAsia"/>
        </w:rPr>
        <w:t xml:space="preserve"> </w:t>
      </w:r>
      <w:r w:rsidR="00880C6B" w:rsidRPr="00880C6B">
        <w:rPr>
          <w:rFonts w:eastAsia="AGaramond-Regular" w:hint="eastAsia"/>
          <w:i/>
        </w:rPr>
        <w:t>et al.</w:t>
      </w:r>
      <w:r w:rsidRPr="00A64401">
        <w:rPr>
          <w:rFonts w:eastAsia="AGaramond-Regular" w:hint="eastAsia"/>
        </w:rPr>
        <w:t>, 2012)</w:t>
      </w:r>
      <w:r w:rsidRPr="00A64401">
        <w:rPr>
          <w:rFonts w:hint="eastAsia"/>
        </w:rPr>
        <w:t xml:space="preserve">, the age from </w:t>
      </w:r>
      <w:r w:rsidRPr="00A64401">
        <w:t>the</w:t>
      </w:r>
      <w:r w:rsidRPr="00A64401">
        <w:rPr>
          <w:rFonts w:hint="eastAsia"/>
        </w:rPr>
        <w:t xml:space="preserve"> bottom of the Jackfork to </w:t>
      </w:r>
      <w:r w:rsidRPr="00A64401">
        <w:t>the</w:t>
      </w:r>
      <w:r w:rsidRPr="00A64401">
        <w:rPr>
          <w:rFonts w:hint="eastAsia"/>
        </w:rPr>
        <w:t xml:space="preserve"> top of Johns Valley </w:t>
      </w:r>
      <w:r w:rsidRPr="00A64401">
        <w:t>G</w:t>
      </w:r>
      <w:r w:rsidRPr="00A64401">
        <w:rPr>
          <w:rFonts w:hint="eastAsia"/>
        </w:rPr>
        <w:t>roup (Morrowan) is likely to be from 323Ma to 311Ma. Haq's (</w:t>
      </w:r>
      <w:r w:rsidRPr="005D31FC">
        <w:rPr>
          <w:rFonts w:eastAsia="AGaramond-Regular"/>
          <w:bCs/>
        </w:rPr>
        <w:t>Haq</w:t>
      </w:r>
      <w:r>
        <w:rPr>
          <w:rFonts w:eastAsia="AGaramond-Regular"/>
          <w:bCs/>
        </w:rPr>
        <w:t xml:space="preserve"> and Shutter, </w:t>
      </w:r>
      <w:r w:rsidRPr="00A64401">
        <w:rPr>
          <w:rFonts w:hint="eastAsia"/>
        </w:rPr>
        <w:t>2008) global sea-level curve indicates at least 13 significant 3</w:t>
      </w:r>
      <w:r w:rsidRPr="00A64401">
        <w:rPr>
          <w:rFonts w:hint="eastAsia"/>
          <w:vertAlign w:val="superscript"/>
        </w:rPr>
        <w:t>rd</w:t>
      </w:r>
      <w:r w:rsidRPr="00A64401">
        <w:rPr>
          <w:rFonts w:hint="eastAsia"/>
        </w:rPr>
        <w:t xml:space="preserve"> order seal-level </w:t>
      </w:r>
      <w:r w:rsidRPr="00A64401">
        <w:t>fluctuations</w:t>
      </w:r>
      <w:r w:rsidRPr="00A64401">
        <w:rPr>
          <w:rFonts w:hint="eastAsia"/>
        </w:rPr>
        <w:t xml:space="preserve"> that can be dated during this time peri</w:t>
      </w:r>
      <w:r>
        <w:rPr>
          <w:rFonts w:hint="eastAsia"/>
        </w:rPr>
        <w:t xml:space="preserve">od. An effort </w:t>
      </w:r>
      <w:r w:rsidRPr="00C073FF">
        <w:rPr>
          <w:rFonts w:hint="eastAsia"/>
        </w:rPr>
        <w:t>to correlate these well</w:t>
      </w:r>
      <w:r w:rsidRPr="00C073FF">
        <w:t>-</w:t>
      </w:r>
      <w:r w:rsidRPr="00C073FF">
        <w:rPr>
          <w:rFonts w:hint="eastAsia"/>
        </w:rPr>
        <w:lastRenderedPageBreak/>
        <w:t xml:space="preserve">documented time intervals to the Jackfork </w:t>
      </w:r>
      <w:r w:rsidRPr="00C073FF">
        <w:t>sequences has</w:t>
      </w:r>
      <w:r w:rsidRPr="00C073FF">
        <w:rPr>
          <w:rFonts w:hint="eastAsia"/>
        </w:rPr>
        <w:t xml:space="preserve"> been made</w:t>
      </w:r>
      <w:r w:rsidR="00F9327B">
        <w:t xml:space="preserve"> (Figure 2.29)</w:t>
      </w:r>
      <w:r w:rsidR="003E002B">
        <w:t xml:space="preserve"> </w:t>
      </w:r>
      <w:r w:rsidRPr="00C073FF">
        <w:rPr>
          <w:rFonts w:hint="eastAsia"/>
        </w:rPr>
        <w:t xml:space="preserve">using an estimated depositional rate from Slatt </w:t>
      </w:r>
      <w:r w:rsidR="00880C6B" w:rsidRPr="00880C6B">
        <w:rPr>
          <w:rFonts w:hint="eastAsia"/>
          <w:i/>
        </w:rPr>
        <w:t>et al.</w:t>
      </w:r>
      <w:r w:rsidR="003E002B" w:rsidRPr="00C073FF">
        <w:t xml:space="preserve"> (</w:t>
      </w:r>
      <w:r w:rsidRPr="00C073FF">
        <w:rPr>
          <w:rFonts w:hint="eastAsia"/>
        </w:rPr>
        <w:t>2000a).</w:t>
      </w:r>
      <w:r w:rsidR="003E002B">
        <w:t xml:space="preserve"> </w:t>
      </w:r>
    </w:p>
    <w:p w:rsidR="00C65A26" w:rsidRPr="00C073FF" w:rsidRDefault="00C65A26" w:rsidP="00C65A26">
      <w:r w:rsidRPr="00323427">
        <w:rPr>
          <w:rFonts w:hint="eastAsia"/>
        </w:rPr>
        <w:tab/>
        <w:t xml:space="preserve">In addition to the local correlation, various efforts have been made to correlate the major downdip basinal facies of </w:t>
      </w:r>
      <w:r w:rsidRPr="00323427">
        <w:t>the</w:t>
      </w:r>
      <w:r w:rsidR="00D058D2">
        <w:t xml:space="preserve"> </w:t>
      </w:r>
      <w:r w:rsidRPr="00323427">
        <w:rPr>
          <w:rFonts w:hint="eastAsia"/>
        </w:rPr>
        <w:t xml:space="preserve">Jackfork Group to the upper slope </w:t>
      </w:r>
      <w:r w:rsidRPr="00323427">
        <w:t>channelized</w:t>
      </w:r>
      <w:r w:rsidRPr="00323427">
        <w:rPr>
          <w:rFonts w:hint="eastAsia"/>
        </w:rPr>
        <w:t xml:space="preserve"> facies near Little Rock. Because of the distance (90km from Big Rock quarry to DeGray Lake), structu</w:t>
      </w:r>
      <w:r w:rsidRPr="00C073FF">
        <w:rPr>
          <w:rFonts w:hint="eastAsia"/>
        </w:rPr>
        <w:t>ral complexity</w:t>
      </w:r>
      <w:r w:rsidR="003E002B">
        <w:t>,</w:t>
      </w:r>
      <w:r w:rsidRPr="00C073FF">
        <w:rPr>
          <w:rFonts w:hint="eastAsia"/>
        </w:rPr>
        <w:t xml:space="preserve"> and lack of stratigraphic control, the correlation remains qualitative (Slatt </w:t>
      </w:r>
      <w:r w:rsidR="00880C6B" w:rsidRPr="00880C6B">
        <w:rPr>
          <w:rFonts w:hint="eastAsia"/>
          <w:i/>
        </w:rPr>
        <w:t>et al.</w:t>
      </w:r>
      <w:r w:rsidRPr="00C073FF">
        <w:rPr>
          <w:rFonts w:hint="eastAsia"/>
        </w:rPr>
        <w:t xml:space="preserve">, 2000a). </w:t>
      </w:r>
    </w:p>
    <w:p w:rsidR="00C65A26" w:rsidRPr="00C073FF" w:rsidRDefault="00C65A26" w:rsidP="00C65A26">
      <w:r w:rsidRPr="00C073FF">
        <w:rPr>
          <w:rFonts w:hint="eastAsia"/>
        </w:rPr>
        <w:tab/>
        <w:t xml:space="preserve">The Upper Jackfork stratigraphy </w:t>
      </w:r>
      <w:r w:rsidRPr="00C073FF">
        <w:t>at the</w:t>
      </w:r>
      <w:r w:rsidRPr="00C073FF">
        <w:rPr>
          <w:rFonts w:hint="eastAsia"/>
        </w:rPr>
        <w:t xml:space="preserve"> Big Rock </w:t>
      </w:r>
      <w:r w:rsidRPr="00C073FF">
        <w:t>Q</w:t>
      </w:r>
      <w:r w:rsidRPr="00C073FF">
        <w:rPr>
          <w:rFonts w:hint="eastAsia"/>
        </w:rPr>
        <w:t xml:space="preserve">uarry has been studied in detail by Olariu </w:t>
      </w:r>
      <w:r w:rsidR="00880C6B" w:rsidRPr="00880C6B">
        <w:rPr>
          <w:rFonts w:hint="eastAsia"/>
          <w:i/>
        </w:rPr>
        <w:t>et al.</w:t>
      </w:r>
      <w:r w:rsidRPr="00C073FF">
        <w:rPr>
          <w:rFonts w:hint="eastAsia"/>
        </w:rPr>
        <w:t>, (2008 and 2011) with major erosional channel co</w:t>
      </w:r>
      <w:r w:rsidRPr="00323427">
        <w:rPr>
          <w:rFonts w:hint="eastAsia"/>
        </w:rPr>
        <w:t xml:space="preserve">ntacts highlighted with a 3-D laser scanner and photo real models. The Middle Jackfork Group in Big Rock Quarry consists of only slope </w:t>
      </w:r>
      <w:r w:rsidR="00D058D2" w:rsidRPr="00323427">
        <w:t>shale on</w:t>
      </w:r>
      <w:r w:rsidRPr="00323427">
        <w:rPr>
          <w:rFonts w:hint="eastAsia"/>
        </w:rPr>
        <w:t xml:space="preserve"> the quarry floor (Jordan </w:t>
      </w:r>
      <w:r w:rsidR="00880C6B" w:rsidRPr="00880C6B">
        <w:rPr>
          <w:rFonts w:hint="eastAsia"/>
          <w:i/>
        </w:rPr>
        <w:t>et al.</w:t>
      </w:r>
      <w:r w:rsidRPr="00323427">
        <w:rPr>
          <w:rFonts w:hint="eastAsia"/>
        </w:rPr>
        <w:t xml:space="preserve">, 1991; Slatt </w:t>
      </w:r>
      <w:r w:rsidR="00880C6B" w:rsidRPr="00880C6B">
        <w:rPr>
          <w:rFonts w:hint="eastAsia"/>
          <w:i/>
        </w:rPr>
        <w:t>et al.</w:t>
      </w:r>
      <w:r w:rsidRPr="00323427">
        <w:rPr>
          <w:rFonts w:hint="eastAsia"/>
        </w:rPr>
        <w:t>, 2000a).</w:t>
      </w:r>
      <w:r w:rsidR="00942B94">
        <w:rPr>
          <w:rFonts w:hint="eastAsia"/>
          <w:lang w:eastAsia="zh-CN"/>
        </w:rPr>
        <w:t xml:space="preserve"> </w:t>
      </w:r>
      <w:r w:rsidRPr="00323427">
        <w:rPr>
          <w:rFonts w:hint="eastAsia"/>
        </w:rPr>
        <w:t xml:space="preserve">Other well-documented outcrops such as </w:t>
      </w:r>
      <w:r w:rsidRPr="00323427">
        <w:t>Pinnacle</w:t>
      </w:r>
      <w:r w:rsidRPr="00323427">
        <w:rPr>
          <w:rFonts w:hint="eastAsia"/>
        </w:rPr>
        <w:t xml:space="preserve"> Mountain State Park (Slatt </w:t>
      </w:r>
      <w:r w:rsidR="00880C6B" w:rsidRPr="00880C6B">
        <w:rPr>
          <w:rFonts w:hint="eastAsia"/>
          <w:i/>
        </w:rPr>
        <w:t>et al.</w:t>
      </w:r>
      <w:r w:rsidRPr="00323427">
        <w:rPr>
          <w:rFonts w:hint="eastAsia"/>
        </w:rPr>
        <w:t xml:space="preserve">, 2000a), </w:t>
      </w:r>
      <w:r w:rsidRPr="00E63FDC">
        <w:t xml:space="preserve">Maumelle </w:t>
      </w:r>
      <w:r>
        <w:rPr>
          <w:rFonts w:hint="eastAsia"/>
        </w:rPr>
        <w:t xml:space="preserve">chaotic </w:t>
      </w:r>
      <w:r w:rsidRPr="00E63FDC">
        <w:t>zone (Viele, 1973)</w:t>
      </w:r>
      <w:r>
        <w:rPr>
          <w:rFonts w:hint="eastAsia"/>
        </w:rPr>
        <w:t xml:space="preserve">, </w:t>
      </w:r>
      <w:r w:rsidRPr="00323427">
        <w:rPr>
          <w:rFonts w:hint="eastAsia"/>
        </w:rPr>
        <w:t>Mena forest road in Arkansas (Morris, 197</w:t>
      </w:r>
      <w:r w:rsidRPr="00323427">
        <w:t>1</w:t>
      </w:r>
      <w:r w:rsidRPr="00323427">
        <w:rPr>
          <w:rFonts w:hint="eastAsia"/>
        </w:rPr>
        <w:t xml:space="preserve">), and Rich Mountain in Oklahoma (Pauli, 1994; Montgomery, 1996; </w:t>
      </w:r>
      <w:r w:rsidRPr="00323427">
        <w:t>Ti</w:t>
      </w:r>
      <w:r w:rsidRPr="00323427">
        <w:rPr>
          <w:rFonts w:hint="eastAsia"/>
        </w:rPr>
        <w:t>ll</w:t>
      </w:r>
      <w:r w:rsidRPr="00323427">
        <w:t>man</w:t>
      </w:r>
      <w:r w:rsidRPr="00323427">
        <w:rPr>
          <w:rFonts w:hint="eastAsia"/>
        </w:rPr>
        <w:t xml:space="preserve">, </w:t>
      </w:r>
      <w:r w:rsidRPr="00323427">
        <w:t>2000</w:t>
      </w:r>
      <w:r w:rsidR="00942B94">
        <w:rPr>
          <w:rFonts w:hint="eastAsia"/>
          <w:lang w:eastAsia="zh-CN"/>
        </w:rPr>
        <w:t xml:space="preserve"> </w:t>
      </w:r>
      <w:r w:rsidRPr="00323427">
        <w:rPr>
          <w:rFonts w:hint="eastAsia"/>
        </w:rPr>
        <w:t xml:space="preserve">and </w:t>
      </w:r>
      <w:r w:rsidRPr="00323427">
        <w:t>Omatsola and Slatt</w:t>
      </w:r>
      <w:r w:rsidRPr="00323427">
        <w:rPr>
          <w:rFonts w:hint="eastAsia"/>
        </w:rPr>
        <w:t xml:space="preserve">, 2003) are also included in the correlation. </w:t>
      </w:r>
      <w:r>
        <w:rPr>
          <w:rFonts w:hint="eastAsia"/>
        </w:rPr>
        <w:t xml:space="preserve">The southeast Oklahoma </w:t>
      </w:r>
      <w:r w:rsidR="00D058D2">
        <w:t>outcrops</w:t>
      </w:r>
      <w:r w:rsidR="00D058D2" w:rsidRPr="00C073FF">
        <w:t xml:space="preserve"> are</w:t>
      </w:r>
      <w:r w:rsidRPr="00C073FF">
        <w:rPr>
          <w:rFonts w:hint="eastAsia"/>
        </w:rPr>
        <w:t xml:space="preserve"> beyond the distal Dierks spillway and </w:t>
      </w:r>
      <w:r w:rsidR="00047742">
        <w:t>interfered</w:t>
      </w:r>
      <w:r w:rsidRPr="00C073FF">
        <w:rPr>
          <w:rFonts w:hint="eastAsia"/>
        </w:rPr>
        <w:t xml:space="preserve"> by a </w:t>
      </w:r>
      <w:r>
        <w:rPr>
          <w:rFonts w:hint="eastAsia"/>
        </w:rPr>
        <w:t>northern source</w:t>
      </w:r>
      <w:r w:rsidRPr="00C073FF">
        <w:rPr>
          <w:rFonts w:hint="eastAsia"/>
        </w:rPr>
        <w:t xml:space="preserve"> with </w:t>
      </w:r>
      <w:r w:rsidRPr="00C073FF">
        <w:t>channelized</w:t>
      </w:r>
      <w:r w:rsidRPr="00C073FF">
        <w:rPr>
          <w:rFonts w:hint="eastAsia"/>
        </w:rPr>
        <w:t xml:space="preserve"> friable sandstones (Figure</w:t>
      </w:r>
      <w:r w:rsidRPr="00C073FF">
        <w:t>s</w:t>
      </w:r>
      <w:r w:rsidR="00B83452">
        <w:t xml:space="preserve"> 2.</w:t>
      </w:r>
      <w:r w:rsidR="00FE4625">
        <w:t>31</w:t>
      </w:r>
      <w:r w:rsidRPr="00C073FF">
        <w:rPr>
          <w:rFonts w:hint="eastAsia"/>
        </w:rPr>
        <w:t xml:space="preserve"> and </w:t>
      </w:r>
      <w:r w:rsidR="00FE4625">
        <w:t>32</w:t>
      </w:r>
      <w:r w:rsidRPr="00C073FF">
        <w:rPr>
          <w:rFonts w:hint="eastAsia"/>
        </w:rPr>
        <w:t xml:space="preserve">). </w:t>
      </w:r>
    </w:p>
    <w:p w:rsidR="00C65A26" w:rsidRPr="00C073FF" w:rsidRDefault="00C65A26" w:rsidP="00C65A26">
      <w:pPr>
        <w:ind w:firstLine="420"/>
      </w:pPr>
      <w:r w:rsidRPr="00C073FF">
        <w:rPr>
          <w:rFonts w:hint="eastAsia"/>
        </w:rPr>
        <w:t xml:space="preserve">One direct analog </w:t>
      </w:r>
      <w:r>
        <w:rPr>
          <w:rFonts w:hint="eastAsia"/>
        </w:rPr>
        <w:t>to the outcrops of</w:t>
      </w:r>
      <w:r w:rsidRPr="00C073FF">
        <w:rPr>
          <w:rFonts w:hint="eastAsia"/>
        </w:rPr>
        <w:t xml:space="preserve"> </w:t>
      </w:r>
      <w:r w:rsidR="00295B92">
        <w:t xml:space="preserve">the </w:t>
      </w:r>
      <w:r w:rsidRPr="00C073FF">
        <w:rPr>
          <w:rFonts w:hint="eastAsia"/>
        </w:rPr>
        <w:t xml:space="preserve">Jackfork Group </w:t>
      </w:r>
      <w:r w:rsidR="00295B92">
        <w:rPr>
          <w:rFonts w:hint="eastAsia"/>
        </w:rPr>
        <w:t>is the Potato Hills</w:t>
      </w:r>
      <w:r w:rsidR="00295B92">
        <w:t>-</w:t>
      </w:r>
      <w:r w:rsidRPr="00C073FF">
        <w:rPr>
          <w:rFonts w:hint="eastAsia"/>
        </w:rPr>
        <w:t xml:space="preserve">Jackfork </w:t>
      </w:r>
      <w:r>
        <w:rPr>
          <w:rFonts w:hint="eastAsia"/>
        </w:rPr>
        <w:t xml:space="preserve">Group </w:t>
      </w:r>
      <w:r w:rsidRPr="00C073FF">
        <w:rPr>
          <w:rFonts w:hint="eastAsia"/>
        </w:rPr>
        <w:t xml:space="preserve">gas field in southeastern Oklahoma (Pauli, 1994; Montgomery, 1996; </w:t>
      </w:r>
      <w:r w:rsidRPr="00C073FF">
        <w:t>Ti</w:t>
      </w:r>
      <w:r w:rsidRPr="00C073FF">
        <w:rPr>
          <w:rFonts w:hint="eastAsia"/>
        </w:rPr>
        <w:t>ll</w:t>
      </w:r>
      <w:r w:rsidRPr="00C073FF">
        <w:t>man</w:t>
      </w:r>
      <w:r w:rsidRPr="00C073FF">
        <w:rPr>
          <w:rFonts w:hint="eastAsia"/>
        </w:rPr>
        <w:t xml:space="preserve">, </w:t>
      </w:r>
      <w:r w:rsidRPr="00C073FF">
        <w:t>2000</w:t>
      </w:r>
      <w:r w:rsidRPr="00C073FF">
        <w:rPr>
          <w:rFonts w:hint="eastAsia"/>
        </w:rPr>
        <w:t xml:space="preserve"> and </w:t>
      </w:r>
      <w:r w:rsidRPr="00C073FF">
        <w:t>Omatsola and Slatt</w:t>
      </w:r>
      <w:r w:rsidRPr="00C073FF">
        <w:rPr>
          <w:rFonts w:hint="eastAsia"/>
        </w:rPr>
        <w:t xml:space="preserve">, 2003; Romero, 2004). </w:t>
      </w:r>
      <w:r w:rsidR="00B83452">
        <w:rPr>
          <w:rFonts w:hint="eastAsia"/>
        </w:rPr>
        <w:t>Figure 2.15</w:t>
      </w:r>
      <w:r w:rsidRPr="00C073FF">
        <w:rPr>
          <w:rFonts w:hint="eastAsia"/>
        </w:rPr>
        <w:t xml:space="preserve"> includes a correlation between the Potato Hills and Kirby sections. These two sections </w:t>
      </w:r>
      <w:r w:rsidRPr="00C073FF">
        <w:t xml:space="preserve">exhibit the following </w:t>
      </w:r>
      <w:r w:rsidR="002A4B39">
        <w:t>similarities and differences</w:t>
      </w:r>
      <w:r w:rsidRPr="00C073FF">
        <w:rPr>
          <w:rFonts w:hint="eastAsia"/>
        </w:rPr>
        <w:t xml:space="preserve">: (1) </w:t>
      </w:r>
      <w:r w:rsidR="00942B94">
        <w:rPr>
          <w:rFonts w:hint="eastAsia"/>
          <w:lang w:eastAsia="zh-CN"/>
        </w:rPr>
        <w:t>t</w:t>
      </w:r>
      <w:r w:rsidRPr="00C073FF">
        <w:rPr>
          <w:rFonts w:hint="eastAsia"/>
        </w:rPr>
        <w:t>he unconfined Lower Jackfork Group, where sheet sandstones and unconfined chann</w:t>
      </w:r>
      <w:r>
        <w:rPr>
          <w:rFonts w:hint="eastAsia"/>
        </w:rPr>
        <w:t xml:space="preserve">els dominate; (2) </w:t>
      </w:r>
      <w:r w:rsidR="00942B94">
        <w:rPr>
          <w:rFonts w:hint="eastAsia"/>
          <w:lang w:eastAsia="zh-CN"/>
        </w:rPr>
        <w:t>a</w:t>
      </w:r>
      <w:r>
        <w:rPr>
          <w:rFonts w:hint="eastAsia"/>
        </w:rPr>
        <w:t xml:space="preserve"> major eastern</w:t>
      </w:r>
      <w:r w:rsidRPr="00C073FF">
        <w:rPr>
          <w:rFonts w:hint="eastAsia"/>
        </w:rPr>
        <w:t xml:space="preserve"> source during </w:t>
      </w:r>
      <w:r w:rsidRPr="00C073FF">
        <w:rPr>
          <w:rFonts w:hint="eastAsia"/>
        </w:rPr>
        <w:lastRenderedPageBreak/>
        <w:t xml:space="preserve">Middle Jackfork Group time, where the updip Kirby section is mostly </w:t>
      </w:r>
      <w:r w:rsidRPr="00C073FF">
        <w:t>channel</w:t>
      </w:r>
      <w:r w:rsidRPr="00C073FF">
        <w:rPr>
          <w:rFonts w:hint="eastAsia"/>
        </w:rPr>
        <w:t xml:space="preserve"> sandstone and shifts into shaly intervals downdip at Potato Hills; (3) </w:t>
      </w:r>
      <w:r w:rsidR="00942B94">
        <w:rPr>
          <w:rFonts w:hint="eastAsia"/>
          <w:lang w:eastAsia="zh-CN"/>
        </w:rPr>
        <w:t>t</w:t>
      </w:r>
      <w:r w:rsidRPr="00C073FF">
        <w:rPr>
          <w:rFonts w:hint="eastAsia"/>
        </w:rPr>
        <w:t xml:space="preserve">he lithology, bed thickness, net to gross ratio of the sandstone packages, as well as the </w:t>
      </w:r>
      <w:r w:rsidRPr="00C073FF">
        <w:t>presence</w:t>
      </w:r>
      <w:r w:rsidR="002A4B39">
        <w:rPr>
          <w:rFonts w:hint="eastAsia"/>
        </w:rPr>
        <w:t xml:space="preserve"> of the shale layers</w:t>
      </w:r>
      <w:r w:rsidR="002A4B39">
        <w:t>;</w:t>
      </w:r>
      <w:r w:rsidRPr="00C073FF">
        <w:rPr>
          <w:rFonts w:hint="eastAsia"/>
        </w:rPr>
        <w:t xml:space="preserve"> (</w:t>
      </w:r>
      <w:r w:rsidR="002A4B39">
        <w:t>4</w:t>
      </w:r>
      <w:r w:rsidRPr="00C073FF">
        <w:rPr>
          <w:rFonts w:hint="eastAsia"/>
        </w:rPr>
        <w:t xml:space="preserve">) </w:t>
      </w:r>
      <w:r w:rsidR="00942B94">
        <w:rPr>
          <w:rFonts w:hint="eastAsia"/>
          <w:lang w:eastAsia="zh-CN"/>
        </w:rPr>
        <w:t>t</w:t>
      </w:r>
      <w:r w:rsidRPr="00C073FF">
        <w:rPr>
          <w:rFonts w:hint="eastAsia"/>
        </w:rPr>
        <w:t xml:space="preserve">he </w:t>
      </w:r>
      <w:r>
        <w:rPr>
          <w:rFonts w:hint="eastAsia"/>
        </w:rPr>
        <w:t>Jackfork Group in</w:t>
      </w:r>
      <w:r w:rsidRPr="00C073FF">
        <w:rPr>
          <w:rFonts w:hint="eastAsia"/>
        </w:rPr>
        <w:t xml:space="preserve"> Potato H</w:t>
      </w:r>
      <w:r w:rsidRPr="00323427">
        <w:rPr>
          <w:rFonts w:hint="eastAsia"/>
        </w:rPr>
        <w:t xml:space="preserve">ills is much thinner than at the </w:t>
      </w:r>
      <w:r w:rsidRPr="00323427">
        <w:t>Kirby section, which indicates</w:t>
      </w:r>
      <w:r w:rsidRPr="00323427">
        <w:rPr>
          <w:rFonts w:hint="eastAsia"/>
        </w:rPr>
        <w:t xml:space="preserve"> that the majority of sediments from the eastern source did not reach </w:t>
      </w:r>
      <w:r>
        <w:rPr>
          <w:rFonts w:hint="eastAsia"/>
        </w:rPr>
        <w:t xml:space="preserve">to </w:t>
      </w:r>
      <w:r w:rsidRPr="00323427">
        <w:rPr>
          <w:rFonts w:hint="eastAsia"/>
        </w:rPr>
        <w:t>the west; (</w:t>
      </w:r>
      <w:r w:rsidR="002A4B39">
        <w:t>5</w:t>
      </w:r>
      <w:r w:rsidRPr="00323427">
        <w:rPr>
          <w:rFonts w:hint="eastAsia"/>
        </w:rPr>
        <w:t xml:space="preserve">) </w:t>
      </w:r>
      <w:r w:rsidR="00942B94">
        <w:rPr>
          <w:rFonts w:hint="eastAsia"/>
          <w:lang w:eastAsia="zh-CN"/>
        </w:rPr>
        <w:t>t</w:t>
      </w:r>
      <w:r w:rsidRPr="00323427">
        <w:rPr>
          <w:rFonts w:hint="eastAsia"/>
        </w:rPr>
        <w:t xml:space="preserve">he dominant </w:t>
      </w:r>
      <w:r w:rsidRPr="00323427">
        <w:t>channelized</w:t>
      </w:r>
      <w:r w:rsidRPr="00323427">
        <w:rPr>
          <w:rFonts w:hint="eastAsia"/>
        </w:rPr>
        <w:t xml:space="preserve"> sandstones in the Upper Jackfork Group of Potato </w:t>
      </w:r>
      <w:r w:rsidR="00D058D2" w:rsidRPr="00323427">
        <w:t>Hills</w:t>
      </w:r>
      <w:r w:rsidR="008A34CB">
        <w:t xml:space="preserve"> correlate</w:t>
      </w:r>
      <w:r w:rsidRPr="00323427">
        <w:rPr>
          <w:rFonts w:hint="eastAsia"/>
        </w:rPr>
        <w:t xml:space="preserve"> to the dominant sheet sandstones in the Kirby section. This further </w:t>
      </w:r>
      <w:r w:rsidR="008A34CB">
        <w:t>supports</w:t>
      </w:r>
      <w:r w:rsidRPr="00323427">
        <w:rPr>
          <w:rFonts w:hint="eastAsia"/>
        </w:rPr>
        <w:t xml:space="preserve"> that the Jackfork Group in Oklahoma </w:t>
      </w:r>
      <w:r w:rsidRPr="00323427">
        <w:t>is</w:t>
      </w:r>
      <w:r w:rsidRPr="00323427">
        <w:rPr>
          <w:rFonts w:hint="eastAsia"/>
        </w:rPr>
        <w:t xml:space="preserve"> mainly sourced from the </w:t>
      </w:r>
      <w:r w:rsidRPr="00323427">
        <w:t>northern</w:t>
      </w:r>
      <w:r w:rsidRPr="00323427">
        <w:rPr>
          <w:rFonts w:hint="eastAsia"/>
        </w:rPr>
        <w:t xml:space="preserve"> paleo-shel</w:t>
      </w:r>
      <w:r w:rsidRPr="00C073FF">
        <w:rPr>
          <w:rFonts w:hint="eastAsia"/>
        </w:rPr>
        <w:t>f</w:t>
      </w:r>
      <w:r>
        <w:rPr>
          <w:rFonts w:hint="eastAsia"/>
        </w:rPr>
        <w:t xml:space="preserve"> as the depocenter shifted towards present Arkoma basin to the north</w:t>
      </w:r>
      <w:r w:rsidR="00127769">
        <w:rPr>
          <w:rFonts w:hint="eastAsia"/>
          <w:lang w:eastAsia="zh-CN"/>
        </w:rPr>
        <w:t xml:space="preserve"> (Figure 2.</w:t>
      </w:r>
      <w:r w:rsidR="00FE4625">
        <w:rPr>
          <w:lang w:eastAsia="zh-CN"/>
        </w:rPr>
        <w:t>32</w:t>
      </w:r>
      <w:r w:rsidR="00127769">
        <w:rPr>
          <w:rFonts w:hint="eastAsia"/>
          <w:lang w:eastAsia="zh-CN"/>
        </w:rPr>
        <w:t>)</w:t>
      </w:r>
      <w:r w:rsidRPr="00C073FF">
        <w:rPr>
          <w:rFonts w:hint="eastAsia"/>
        </w:rPr>
        <w:t>.</w:t>
      </w:r>
    </w:p>
    <w:p w:rsidR="00C65A26" w:rsidRPr="00C073FF" w:rsidRDefault="008A34CB" w:rsidP="00C65A26">
      <w:pPr>
        <w:ind w:firstLine="420"/>
      </w:pPr>
      <w:r>
        <w:t xml:space="preserve">The </w:t>
      </w:r>
      <w:r w:rsidR="00C65A26" w:rsidRPr="00C073FF">
        <w:rPr>
          <w:rFonts w:hint="eastAsia"/>
        </w:rPr>
        <w:t>Jackfork Group in Oklahoma has been developed as a tight sandstone gas reservoir for over a decade (Montgomery</w:t>
      </w:r>
      <w:r w:rsidR="00C65A26" w:rsidRPr="00C073FF">
        <w:t>, 1996</w:t>
      </w:r>
      <w:r w:rsidR="00C65A26" w:rsidRPr="00C073FF">
        <w:rPr>
          <w:rFonts w:hint="eastAsia"/>
        </w:rPr>
        <w:t xml:space="preserve">; Suneson and Slatt, 2004). As </w:t>
      </w:r>
      <w:r w:rsidR="00C65A26" w:rsidRPr="00C073FF">
        <w:t>horizontal</w:t>
      </w:r>
      <w:r w:rsidR="00C65A26" w:rsidRPr="00C073FF">
        <w:rPr>
          <w:rFonts w:hint="eastAsia"/>
        </w:rPr>
        <w:t xml:space="preserve"> drilling and </w:t>
      </w:r>
      <w:r w:rsidR="00C65A26" w:rsidRPr="00C073FF">
        <w:t>hydraulic fracture</w:t>
      </w:r>
      <w:r w:rsidR="00C65A26" w:rsidRPr="00C073FF">
        <w:rPr>
          <w:rFonts w:hint="eastAsia"/>
        </w:rPr>
        <w:t xml:space="preserve"> technology thrives in the unconventional boom, the Jackfork Group tight </w:t>
      </w:r>
      <w:r w:rsidR="00C65A26" w:rsidRPr="00C073FF">
        <w:t>gas</w:t>
      </w:r>
      <w:r w:rsidR="00C65A26" w:rsidRPr="00C073FF">
        <w:rPr>
          <w:rFonts w:hint="eastAsia"/>
        </w:rPr>
        <w:t xml:space="preserve"> reservoirs may get more petroleum industry attention. Previously the major </w:t>
      </w:r>
      <w:r w:rsidRPr="00C073FF">
        <w:t xml:space="preserve">productions </w:t>
      </w:r>
      <w:r>
        <w:t>have been</w:t>
      </w:r>
      <w:r w:rsidR="00C65A26" w:rsidRPr="00C073FF">
        <w:rPr>
          <w:rFonts w:hint="eastAsia"/>
        </w:rPr>
        <w:t xml:space="preserve"> from the friable </w:t>
      </w:r>
      <w:r w:rsidR="00C65A26" w:rsidRPr="00C073FF">
        <w:t>channelized</w:t>
      </w:r>
      <w:r w:rsidR="00C65A26" w:rsidRPr="00C073FF">
        <w:rPr>
          <w:rFonts w:hint="eastAsia"/>
        </w:rPr>
        <w:t xml:space="preserve"> sandstones facies. As the sequence stratigraphic model indicates,</w:t>
      </w:r>
      <w:r>
        <w:t xml:space="preserve"> the</w:t>
      </w:r>
      <w:r w:rsidR="00C65A26" w:rsidRPr="00C073FF">
        <w:rPr>
          <w:rFonts w:hint="eastAsia"/>
        </w:rPr>
        <w:t xml:space="preserve"> more sheet prone sandstone</w:t>
      </w:r>
      <w:r w:rsidR="00C65A26" w:rsidRPr="00C073FF">
        <w:t>s</w:t>
      </w:r>
      <w:r w:rsidR="00C65A26" w:rsidRPr="00C073FF">
        <w:rPr>
          <w:rFonts w:hint="eastAsia"/>
        </w:rPr>
        <w:t xml:space="preserve"> in the Lower and Middle Jackfork Group in Oklahoma may be applicable for unconventional development when economics become </w:t>
      </w:r>
      <w:r w:rsidR="00C65A26" w:rsidRPr="00C073FF">
        <w:t>more favorable</w:t>
      </w:r>
      <w:r w:rsidR="00C65A26" w:rsidRPr="00C073FF">
        <w:rPr>
          <w:rFonts w:hint="eastAsia"/>
        </w:rPr>
        <w:t>.</w:t>
      </w:r>
    </w:p>
    <w:p w:rsidR="007968AA" w:rsidRDefault="007968AA" w:rsidP="00DD2A16">
      <w:pPr>
        <w:jc w:val="center"/>
        <w:rPr>
          <w:b/>
          <w:sz w:val="28"/>
          <w:lang w:eastAsia="zh-CN"/>
        </w:rPr>
      </w:pPr>
    </w:p>
    <w:p w:rsidR="006F10BA" w:rsidRDefault="006F10BA" w:rsidP="00DD2A16">
      <w:pPr>
        <w:jc w:val="center"/>
        <w:rPr>
          <w:b/>
          <w:sz w:val="28"/>
          <w:lang w:eastAsia="zh-CN"/>
        </w:rPr>
      </w:pPr>
    </w:p>
    <w:p w:rsidR="006F10BA" w:rsidRDefault="006F10BA" w:rsidP="00DD2A16">
      <w:pPr>
        <w:jc w:val="center"/>
        <w:rPr>
          <w:b/>
          <w:sz w:val="28"/>
          <w:lang w:eastAsia="zh-CN"/>
        </w:rPr>
      </w:pPr>
    </w:p>
    <w:p w:rsidR="006F10BA" w:rsidRDefault="006F10BA" w:rsidP="00DD2A16">
      <w:pPr>
        <w:jc w:val="center"/>
        <w:rPr>
          <w:b/>
          <w:sz w:val="28"/>
          <w:lang w:eastAsia="zh-CN"/>
        </w:rPr>
      </w:pPr>
    </w:p>
    <w:p w:rsidR="006F10BA" w:rsidRDefault="006F10BA">
      <w:pPr>
        <w:spacing w:line="240" w:lineRule="auto"/>
        <w:rPr>
          <w:b/>
          <w:sz w:val="28"/>
          <w:lang w:eastAsia="zh-CN"/>
        </w:rPr>
      </w:pPr>
      <w:r>
        <w:rPr>
          <w:b/>
          <w:sz w:val="28"/>
          <w:lang w:eastAsia="zh-CN"/>
        </w:rPr>
        <w:br w:type="page"/>
      </w:r>
    </w:p>
    <w:p w:rsidR="00C65A26" w:rsidRPr="00DD2A16" w:rsidRDefault="00C65A26" w:rsidP="00DD2A16">
      <w:pPr>
        <w:jc w:val="center"/>
        <w:rPr>
          <w:b/>
          <w:sz w:val="28"/>
        </w:rPr>
      </w:pPr>
      <w:r w:rsidRPr="00DD2A16">
        <w:rPr>
          <w:b/>
          <w:sz w:val="28"/>
        </w:rPr>
        <w:lastRenderedPageBreak/>
        <w:t>DISCUSSION</w:t>
      </w:r>
    </w:p>
    <w:p w:rsidR="00C65A26" w:rsidRPr="00C073FF" w:rsidRDefault="00C65A26" w:rsidP="00C65A26">
      <w:pPr>
        <w:rPr>
          <w:b/>
        </w:rPr>
      </w:pPr>
      <w:r w:rsidRPr="00323427">
        <w:rPr>
          <w:rFonts w:hint="eastAsia"/>
          <w:b/>
        </w:rPr>
        <w:t>Tectonic Ac</w:t>
      </w:r>
      <w:r w:rsidRPr="00C073FF">
        <w:rPr>
          <w:rFonts w:hint="eastAsia"/>
          <w:b/>
        </w:rPr>
        <w:t>tivity versus Eustatic Sea-Level</w:t>
      </w:r>
    </w:p>
    <w:p w:rsidR="00C65A26" w:rsidRPr="00C073FF" w:rsidRDefault="00C65A26" w:rsidP="00C65A26">
      <w:r w:rsidRPr="00C073FF">
        <w:rPr>
          <w:rFonts w:hint="eastAsia"/>
          <w:b/>
          <w:color w:val="FF0000"/>
        </w:rPr>
        <w:tab/>
      </w:r>
      <w:r w:rsidRPr="00C073FF">
        <w:rPr>
          <w:rFonts w:hint="eastAsia"/>
        </w:rPr>
        <w:t xml:space="preserve">The Kirby sections illustrate the </w:t>
      </w:r>
      <w:r w:rsidRPr="00C073FF">
        <w:t>hierarchical</w:t>
      </w:r>
      <w:r w:rsidRPr="00C073FF">
        <w:rPr>
          <w:rFonts w:hint="eastAsia"/>
        </w:rPr>
        <w:t xml:space="preserve"> nature of </w:t>
      </w:r>
      <w:r w:rsidRPr="00C073FF">
        <w:t>sequence</w:t>
      </w:r>
      <w:r w:rsidRPr="00C073FF">
        <w:rPr>
          <w:rFonts w:hint="eastAsia"/>
        </w:rPr>
        <w:t xml:space="preserve"> stratigraphy in Early </w:t>
      </w:r>
      <w:r w:rsidRPr="00C073FF">
        <w:t>Pennsylvanian</w:t>
      </w:r>
      <w:r w:rsidRPr="00C073FF">
        <w:rPr>
          <w:rFonts w:hint="eastAsia"/>
        </w:rPr>
        <w:t xml:space="preserve"> time. Based on Coleman's analysis (Coleman, 2000), the Jackfork Group was deposited during a 2</w:t>
      </w:r>
      <w:r w:rsidRPr="00C073FF">
        <w:rPr>
          <w:rFonts w:hint="eastAsia"/>
          <w:vertAlign w:val="superscript"/>
        </w:rPr>
        <w:t>nd</w:t>
      </w:r>
      <w:r w:rsidRPr="00C073FF">
        <w:rPr>
          <w:rFonts w:hint="eastAsia"/>
        </w:rPr>
        <w:t xml:space="preserve"> order major eustatic lowstand during a time of maximum </w:t>
      </w:r>
      <w:r w:rsidRPr="00C073FF">
        <w:t>climatic precipitation</w:t>
      </w:r>
      <w:r w:rsidRPr="00C073FF">
        <w:rPr>
          <w:rFonts w:hint="eastAsia"/>
        </w:rPr>
        <w:t xml:space="preserve"> and </w:t>
      </w:r>
      <w:r w:rsidRPr="00C073FF">
        <w:t>weathering</w:t>
      </w:r>
      <w:r w:rsidRPr="00C073FF">
        <w:rPr>
          <w:rFonts w:hint="eastAsia"/>
        </w:rPr>
        <w:t xml:space="preserve">. Regional tectonic activity in the basin was probably minor, although it </w:t>
      </w:r>
      <w:r w:rsidRPr="00C073FF">
        <w:t>gradually</w:t>
      </w:r>
      <w:r w:rsidRPr="00C073FF">
        <w:rPr>
          <w:rFonts w:hint="eastAsia"/>
        </w:rPr>
        <w:t xml:space="preserve"> increased throughout Jackfork deposition (Coleman, 2000). </w:t>
      </w:r>
      <w:r w:rsidR="0006459E">
        <w:t>This</w:t>
      </w:r>
      <w:r w:rsidR="0006459E" w:rsidRPr="00C073FF">
        <w:t xml:space="preserve"> macro-scale tectonic background</w:t>
      </w:r>
      <w:r w:rsidRPr="00C073FF">
        <w:rPr>
          <w:rFonts w:hint="eastAsia"/>
        </w:rPr>
        <w:t xml:space="preserve"> provided some basis for our detailed sequence stratigraphic </w:t>
      </w:r>
      <w:r w:rsidRPr="00C073FF">
        <w:t>framework</w:t>
      </w:r>
      <w:r w:rsidRPr="00C073FF">
        <w:rPr>
          <w:rFonts w:hint="eastAsia"/>
        </w:rPr>
        <w:t xml:space="preserve">. We can assume the dominant control is eustatic sea-level with minor </w:t>
      </w:r>
      <w:r w:rsidRPr="00C073FF">
        <w:t>tectonic overprint</w:t>
      </w:r>
      <w:r w:rsidRPr="00C073FF">
        <w:rPr>
          <w:rFonts w:hint="eastAsia"/>
        </w:rPr>
        <w:t xml:space="preserve">. </w:t>
      </w:r>
    </w:p>
    <w:p w:rsidR="00C65A26" w:rsidRPr="00C073FF" w:rsidRDefault="00C65A26" w:rsidP="00C65A26">
      <w:r w:rsidRPr="00C073FF">
        <w:rPr>
          <w:rFonts w:hint="eastAsia"/>
        </w:rPr>
        <w:tab/>
        <w:t xml:space="preserve">However, the time of </w:t>
      </w:r>
      <w:r w:rsidRPr="00C073FF">
        <w:t>deposition of the Upper</w:t>
      </w:r>
      <w:r w:rsidRPr="00C073FF">
        <w:rPr>
          <w:rFonts w:hint="eastAsia"/>
        </w:rPr>
        <w:t xml:space="preserve"> Jackfork and Johns Valley Group, </w:t>
      </w:r>
      <w:r w:rsidRPr="00C073FF">
        <w:t>corresponds to a time of</w:t>
      </w:r>
      <w:r w:rsidRPr="00C073FF">
        <w:rPr>
          <w:rFonts w:hint="eastAsia"/>
        </w:rPr>
        <w:t xml:space="preserve"> rise in sea-level coupled with increased tectonic activity. At a certain t</w:t>
      </w:r>
      <w:r w:rsidRPr="00C073FF">
        <w:t>ime</w:t>
      </w:r>
      <w:r w:rsidRPr="00C073FF">
        <w:rPr>
          <w:rFonts w:hint="eastAsia"/>
        </w:rPr>
        <w:t xml:space="preserve"> when </w:t>
      </w:r>
      <w:r w:rsidR="00E90FEA" w:rsidRPr="00C073FF">
        <w:t>uplift (</w:t>
      </w:r>
      <w:r w:rsidRPr="00C073FF">
        <w:rPr>
          <w:rFonts w:hint="eastAsia"/>
        </w:rPr>
        <w:t xml:space="preserve">induced by foreland folding and thrusting) outpaced the rise in sea-level, the deepwater deposits were dumped into the basin during transgressive and highstand stages. Key evidence includes the conglomerate found </w:t>
      </w:r>
      <w:r w:rsidRPr="00C073FF">
        <w:t>at</w:t>
      </w:r>
      <w:r w:rsidRPr="00C073FF">
        <w:rPr>
          <w:rFonts w:hint="eastAsia"/>
        </w:rPr>
        <w:t xml:space="preserve"> the top of the DeGray Spillway section (Slatt </w:t>
      </w:r>
      <w:r w:rsidR="00880C6B" w:rsidRPr="00880C6B">
        <w:rPr>
          <w:rFonts w:hint="eastAsia"/>
          <w:i/>
        </w:rPr>
        <w:t>et al.</w:t>
      </w:r>
      <w:r w:rsidRPr="00C073FF">
        <w:rPr>
          <w:rFonts w:hint="eastAsia"/>
        </w:rPr>
        <w:t xml:space="preserve">, 2000a) and the massive </w:t>
      </w:r>
      <w:r w:rsidRPr="00C073FF">
        <w:t>channelized</w:t>
      </w:r>
      <w:r w:rsidRPr="00C073FF">
        <w:rPr>
          <w:rFonts w:hint="eastAsia"/>
        </w:rPr>
        <w:t xml:space="preserve"> sandstones in the Upper Kirby section. It also explains the presence of massive </w:t>
      </w:r>
      <w:r w:rsidRPr="00C073FF">
        <w:t>channelized</w:t>
      </w:r>
      <w:r w:rsidRPr="00C073FF">
        <w:rPr>
          <w:rFonts w:hint="eastAsia"/>
        </w:rPr>
        <w:t xml:space="preserve"> sandstones in the Johns Valley shale </w:t>
      </w:r>
      <w:r w:rsidRPr="00C073FF">
        <w:t>at</w:t>
      </w:r>
      <w:r w:rsidRPr="00C073FF">
        <w:rPr>
          <w:rFonts w:hint="eastAsia"/>
        </w:rPr>
        <w:t xml:space="preserve"> the Kirby section. </w:t>
      </w:r>
    </w:p>
    <w:p w:rsidR="00C65A26" w:rsidRPr="00C073FF" w:rsidRDefault="00C65A26" w:rsidP="00C65A26">
      <w:r w:rsidRPr="00C073FF">
        <w:rPr>
          <w:rFonts w:hint="eastAsia"/>
        </w:rPr>
        <w:tab/>
        <w:t>Most of the 4th order cycles found in the Kirby section can be interpreted</w:t>
      </w:r>
      <w:r w:rsidR="0006459E">
        <w:t xml:space="preserve"> to be</w:t>
      </w:r>
      <w:r w:rsidRPr="00C073FF">
        <w:rPr>
          <w:rFonts w:hint="eastAsia"/>
        </w:rPr>
        <w:t xml:space="preserve"> close to the end member of out-of-grade </w:t>
      </w:r>
      <w:r w:rsidR="00E90FEA" w:rsidRPr="00C073FF">
        <w:t>system (</w:t>
      </w:r>
      <w:r w:rsidRPr="00C073FF">
        <w:rPr>
          <w:rFonts w:hint="eastAsia"/>
        </w:rPr>
        <w:t>Pyle</w:t>
      </w:r>
      <w:r>
        <w:rPr>
          <w:rFonts w:hint="eastAsia"/>
        </w:rPr>
        <w:t xml:space="preserve">s </w:t>
      </w:r>
      <w:r w:rsidR="00880C6B" w:rsidRPr="00880C6B">
        <w:rPr>
          <w:rFonts w:hint="eastAsia"/>
          <w:i/>
        </w:rPr>
        <w:t>et al.</w:t>
      </w:r>
      <w:r>
        <w:rPr>
          <w:rFonts w:hint="eastAsia"/>
        </w:rPr>
        <w:t xml:space="preserve">, 2011). The Kirby </w:t>
      </w:r>
      <w:r>
        <w:t>sections are initialized</w:t>
      </w:r>
      <w:r>
        <w:rPr>
          <w:rFonts w:hint="eastAsia"/>
        </w:rPr>
        <w:t xml:space="preserve"> by </w:t>
      </w:r>
      <w:r w:rsidRPr="00C073FF">
        <w:t>aggradation</w:t>
      </w:r>
      <w:r w:rsidR="0006459E">
        <w:t>al</w:t>
      </w:r>
      <w:r w:rsidRPr="00C073FF">
        <w:rPr>
          <w:rFonts w:hint="eastAsia"/>
        </w:rPr>
        <w:t xml:space="preserve"> and retrogradation</w:t>
      </w:r>
      <w:r w:rsidR="0006459E">
        <w:t>al</w:t>
      </w:r>
      <w:r w:rsidRPr="00C073FF">
        <w:rPr>
          <w:rFonts w:hint="eastAsia"/>
        </w:rPr>
        <w:t xml:space="preserve"> </w:t>
      </w:r>
      <w:r w:rsidRPr="00C073FF">
        <w:t>stacking</w:t>
      </w:r>
      <w:r w:rsidRPr="00C073FF">
        <w:rPr>
          <w:rFonts w:hint="eastAsia"/>
        </w:rPr>
        <w:t xml:space="preserve"> patterns in the Lower Jackfork Group (out-of-grade).T</w:t>
      </w:r>
      <w:r w:rsidRPr="00C073FF">
        <w:t xml:space="preserve">he basin margin is </w:t>
      </w:r>
      <w:r w:rsidR="002E517F" w:rsidRPr="00C073FF">
        <w:t>o</w:t>
      </w:r>
      <w:r w:rsidR="002E517F">
        <w:t>ver steepened by sea-level drop and s</w:t>
      </w:r>
      <w:r w:rsidRPr="00C073FF">
        <w:t>ediments bypass large sections of the margin and</w:t>
      </w:r>
      <w:r w:rsidRPr="00C073FF">
        <w:rPr>
          <w:rFonts w:hint="eastAsia"/>
        </w:rPr>
        <w:t xml:space="preserve"> are</w:t>
      </w:r>
      <w:r w:rsidRPr="00C073FF">
        <w:t xml:space="preserve"> deposited in the basin</w:t>
      </w:r>
      <w:r w:rsidRPr="00C073FF">
        <w:rPr>
          <w:rFonts w:hint="eastAsia"/>
        </w:rPr>
        <w:t xml:space="preserve">, where </w:t>
      </w:r>
      <w:r w:rsidRPr="00C073FF">
        <w:rPr>
          <w:rFonts w:hint="eastAsia"/>
        </w:rPr>
        <w:lastRenderedPageBreak/>
        <w:t xml:space="preserve">most </w:t>
      </w:r>
      <w:r w:rsidR="00D058D2" w:rsidRPr="00C073FF">
        <w:t>sandstone was</w:t>
      </w:r>
      <w:r w:rsidRPr="00C073FF">
        <w:t xml:space="preserve"> deposited on</w:t>
      </w:r>
      <w:r w:rsidRPr="00C073FF">
        <w:rPr>
          <w:rFonts w:hint="eastAsia"/>
        </w:rPr>
        <w:t xml:space="preserve"> the basin floor. The system is also </w:t>
      </w:r>
      <w:r w:rsidRPr="00C073FF">
        <w:t>characterized by an elongate fan with little longitudinal changes in reservoir architecture</w:t>
      </w:r>
      <w:r w:rsidRPr="00C073FF">
        <w:rPr>
          <w:rFonts w:hint="eastAsia"/>
        </w:rPr>
        <w:t xml:space="preserve"> (Pyles </w:t>
      </w:r>
      <w:r w:rsidR="00880C6B" w:rsidRPr="00880C6B">
        <w:rPr>
          <w:rFonts w:hint="eastAsia"/>
          <w:i/>
        </w:rPr>
        <w:t>et al.</w:t>
      </w:r>
      <w:r w:rsidRPr="00C073FF">
        <w:rPr>
          <w:rFonts w:hint="eastAsia"/>
        </w:rPr>
        <w:t xml:space="preserve">, 2011). </w:t>
      </w:r>
    </w:p>
    <w:p w:rsidR="00415B8B" w:rsidRDefault="00415B8B"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7968AA" w:rsidRDefault="007968AA" w:rsidP="00C65A26">
      <w:pPr>
        <w:rPr>
          <w:b/>
          <w:lang w:eastAsia="zh-CN"/>
        </w:rPr>
      </w:pPr>
    </w:p>
    <w:p w:rsidR="00C65A26" w:rsidRPr="00C65A26" w:rsidRDefault="00C65A26" w:rsidP="00C65A26">
      <w:pPr>
        <w:jc w:val="center"/>
        <w:rPr>
          <w:b/>
          <w:sz w:val="28"/>
          <w:lang w:eastAsia="zh-CN"/>
        </w:rPr>
      </w:pPr>
      <w:r w:rsidRPr="00C65A26">
        <w:rPr>
          <w:b/>
          <w:sz w:val="28"/>
        </w:rPr>
        <w:lastRenderedPageBreak/>
        <w:t>CONCLUSION</w:t>
      </w:r>
      <w:r w:rsidRPr="00C65A26">
        <w:rPr>
          <w:rFonts w:hint="eastAsia"/>
          <w:b/>
          <w:sz w:val="28"/>
          <w:lang w:eastAsia="zh-CN"/>
        </w:rPr>
        <w:t>S</w:t>
      </w:r>
    </w:p>
    <w:p w:rsidR="00C65A26" w:rsidRPr="00323427" w:rsidRDefault="00C65A26" w:rsidP="00C65A26">
      <w:pPr>
        <w:rPr>
          <w:rFonts w:eastAsia="AdvEPSTIM"/>
        </w:rPr>
      </w:pPr>
      <w:r w:rsidRPr="00323427">
        <w:rPr>
          <w:rFonts w:eastAsia="AdvEPSTIM" w:hint="eastAsia"/>
        </w:rPr>
        <w:tab/>
        <w:t xml:space="preserve">The Kirby </w:t>
      </w:r>
      <w:r w:rsidRPr="00323427">
        <w:rPr>
          <w:rFonts w:eastAsia="AdvEPSTIM"/>
        </w:rPr>
        <w:t>sections</w:t>
      </w:r>
      <w:r w:rsidRPr="00323427">
        <w:rPr>
          <w:rFonts w:eastAsia="AdvEPSTIM" w:hint="eastAsia"/>
        </w:rPr>
        <w:t xml:space="preserve"> in western Arkansas, U.S.A</w:t>
      </w:r>
      <w:r w:rsidRPr="00323427">
        <w:rPr>
          <w:rFonts w:eastAsia="AdvEPSTIM"/>
        </w:rPr>
        <w:t xml:space="preserve"> provide</w:t>
      </w:r>
      <w:r w:rsidRPr="00323427">
        <w:rPr>
          <w:rFonts w:eastAsia="AdvEPSTIM" w:hint="eastAsia"/>
        </w:rPr>
        <w:t xml:space="preserve"> the opportunity to build </w:t>
      </w:r>
      <w:r w:rsidR="009C17A6">
        <w:rPr>
          <w:rFonts w:eastAsia="AdvEPSTIM"/>
        </w:rPr>
        <w:t>the</w:t>
      </w:r>
      <w:r w:rsidRPr="00323427">
        <w:rPr>
          <w:rFonts w:eastAsia="AdvEPSTIM" w:hint="eastAsia"/>
        </w:rPr>
        <w:t xml:space="preserve"> most complete and </w:t>
      </w:r>
      <w:r w:rsidRPr="00323427">
        <w:rPr>
          <w:rFonts w:eastAsia="AdvEPSTIM"/>
        </w:rPr>
        <w:t>continuous</w:t>
      </w:r>
      <w:r w:rsidRPr="00323427">
        <w:rPr>
          <w:rFonts w:eastAsia="AdvEPSTIM" w:hint="eastAsia"/>
        </w:rPr>
        <w:t xml:space="preserve"> sequence stratigraphic framework during Early </w:t>
      </w:r>
      <w:r w:rsidRPr="00323427">
        <w:rPr>
          <w:rFonts w:eastAsia="AdvEPSTIM"/>
        </w:rPr>
        <w:t>Pennsylvanian</w:t>
      </w:r>
      <w:r w:rsidRPr="00323427">
        <w:rPr>
          <w:rFonts w:eastAsia="AdvEPSTIM" w:hint="eastAsia"/>
        </w:rPr>
        <w:t xml:space="preserve"> time in the ancient </w:t>
      </w:r>
      <w:r>
        <w:rPr>
          <w:rFonts w:eastAsia="AdvEPSTIM" w:hint="eastAsia"/>
        </w:rPr>
        <w:t>Ouachita Basin</w:t>
      </w:r>
      <w:r w:rsidRPr="00323427">
        <w:rPr>
          <w:rFonts w:eastAsia="AdvEPSTIM" w:hint="eastAsia"/>
        </w:rPr>
        <w:t xml:space="preserve">. The Kirby </w:t>
      </w:r>
      <w:r w:rsidRPr="00323427">
        <w:rPr>
          <w:rFonts w:eastAsia="AdvEPSTIM"/>
        </w:rPr>
        <w:t>sections consist of 25 outcrops</w:t>
      </w:r>
      <w:r w:rsidRPr="00323427">
        <w:rPr>
          <w:rFonts w:eastAsia="AdvEPSTIM" w:hint="eastAsia"/>
        </w:rPr>
        <w:t xml:space="preserve">, </w:t>
      </w:r>
      <w:r w:rsidRPr="00323427">
        <w:rPr>
          <w:rFonts w:eastAsia="AdvEPSTIM"/>
        </w:rPr>
        <w:t xml:space="preserve">including 12 roadcuts in Highway 27 and 13 sections in the Baumgartner Quarry. All the measurements and interpretations on the outcrops were integrated with all previous </w:t>
      </w:r>
      <w:r w:rsidRPr="00323427">
        <w:rPr>
          <w:rFonts w:eastAsia="AdvEPSTIM" w:hint="eastAsia"/>
        </w:rPr>
        <w:t xml:space="preserve">Jackfork </w:t>
      </w:r>
      <w:r w:rsidRPr="00323427">
        <w:rPr>
          <w:rFonts w:eastAsia="AdvEPSTIM"/>
        </w:rPr>
        <w:t>work using modern concepts of deepwater turbidite geology</w:t>
      </w:r>
      <w:r w:rsidRPr="00323427">
        <w:rPr>
          <w:rFonts w:eastAsia="AdvEPSTIM" w:hint="eastAsia"/>
        </w:rPr>
        <w:t>,</w:t>
      </w:r>
      <w:r w:rsidRPr="00323427">
        <w:rPr>
          <w:rFonts w:eastAsia="AdvEPSTIM"/>
        </w:rPr>
        <w:t xml:space="preserve"> including (1) regional tectonic and sequence stratigraphic framework of the Stanley Group, Jackfork Group, </w:t>
      </w:r>
      <w:r w:rsidRPr="00323427">
        <w:rPr>
          <w:rFonts w:eastAsia="AdvEPSTIM" w:hint="eastAsia"/>
        </w:rPr>
        <w:t xml:space="preserve">and </w:t>
      </w:r>
      <w:r w:rsidRPr="00C073FF">
        <w:rPr>
          <w:rFonts w:eastAsia="AdvEPSTIM"/>
        </w:rPr>
        <w:t>Johns Valley Shale in the Ouachita Basin, (2) deepwater outcrop characterization</w:t>
      </w:r>
      <w:r w:rsidRPr="00C073FF">
        <w:rPr>
          <w:rFonts w:eastAsia="AdvEPSTIM" w:hint="eastAsia"/>
        </w:rPr>
        <w:t xml:space="preserve"> and correlation from </w:t>
      </w:r>
      <w:r w:rsidRPr="00C073FF">
        <w:rPr>
          <w:rFonts w:eastAsia="AdvEPSTIM"/>
        </w:rPr>
        <w:t>the</w:t>
      </w:r>
      <w:r w:rsidR="00D058D2">
        <w:rPr>
          <w:rFonts w:eastAsia="AdvEPSTIM"/>
        </w:rPr>
        <w:t xml:space="preserve"> </w:t>
      </w:r>
      <w:r w:rsidRPr="00C073FF">
        <w:rPr>
          <w:rFonts w:eastAsia="AdvEPSTIM"/>
        </w:rPr>
        <w:t xml:space="preserve">DeGray Lake </w:t>
      </w:r>
      <w:r w:rsidRPr="00C073FF">
        <w:rPr>
          <w:rFonts w:eastAsia="AdvEPSTIM" w:hint="eastAsia"/>
        </w:rPr>
        <w:t xml:space="preserve">Section, </w:t>
      </w:r>
      <w:r w:rsidRPr="00C073FF">
        <w:rPr>
          <w:rFonts w:eastAsia="AdvEPSTIM"/>
        </w:rPr>
        <w:t>Di</w:t>
      </w:r>
      <w:r w:rsidRPr="00C073FF">
        <w:rPr>
          <w:rFonts w:eastAsia="AdvEPSTIM" w:hint="eastAsia"/>
        </w:rPr>
        <w:t>e</w:t>
      </w:r>
      <w:r w:rsidRPr="00C073FF">
        <w:rPr>
          <w:rFonts w:eastAsia="AdvEPSTIM"/>
        </w:rPr>
        <w:t xml:space="preserve">rks </w:t>
      </w:r>
      <w:r w:rsidRPr="00C073FF">
        <w:rPr>
          <w:rFonts w:eastAsia="AdvEPSTIM" w:hint="eastAsia"/>
        </w:rPr>
        <w:t xml:space="preserve">Section and Big Rock Quarry which is </w:t>
      </w:r>
      <w:r w:rsidRPr="00C073FF">
        <w:rPr>
          <w:rFonts w:eastAsia="AdvEPSTIM"/>
        </w:rPr>
        <w:t>parallel to the</w:t>
      </w:r>
      <w:r w:rsidRPr="00C073FF">
        <w:rPr>
          <w:rFonts w:eastAsia="AdvEPSTIM" w:hint="eastAsia"/>
        </w:rPr>
        <w:t xml:space="preserve"> depositional fairway</w:t>
      </w:r>
      <w:r w:rsidRPr="00C073FF">
        <w:rPr>
          <w:rFonts w:eastAsia="AdvEPSTIM"/>
        </w:rPr>
        <w:t xml:space="preserve">, (3) </w:t>
      </w:r>
      <w:r w:rsidRPr="00C073FF">
        <w:rPr>
          <w:rFonts w:eastAsia="AdvEPSTIM" w:hint="eastAsia"/>
        </w:rPr>
        <w:t xml:space="preserve">chemostratigraphic data from key shale layers which are considered as </w:t>
      </w:r>
      <w:r w:rsidRPr="00C073FF">
        <w:rPr>
          <w:rFonts w:eastAsia="AdvEPSTIM"/>
        </w:rPr>
        <w:t>potential</w:t>
      </w:r>
      <w:r w:rsidRPr="00C073FF">
        <w:rPr>
          <w:rFonts w:eastAsia="AdvEPSTIM" w:hint="eastAsia"/>
        </w:rPr>
        <w:t xml:space="preserve"> condensed sections for </w:t>
      </w:r>
      <w:r w:rsidRPr="00C073FF">
        <w:rPr>
          <w:rFonts w:eastAsia="AdvEPSTIM"/>
        </w:rPr>
        <w:t>assisting</w:t>
      </w:r>
      <w:r w:rsidRPr="00C073FF">
        <w:rPr>
          <w:rFonts w:eastAsia="AdvEPSTIM" w:hint="eastAsia"/>
        </w:rPr>
        <w:t xml:space="preserve"> correlation.</w:t>
      </w:r>
    </w:p>
    <w:p w:rsidR="00C65A26" w:rsidRPr="00C073FF" w:rsidRDefault="00C65A26" w:rsidP="00C65A26">
      <w:pPr>
        <w:rPr>
          <w:rFonts w:eastAsia="AdvEPSTIM"/>
        </w:rPr>
      </w:pPr>
      <w:r w:rsidRPr="00323427">
        <w:rPr>
          <w:rFonts w:eastAsia="AdvEPSTIM"/>
        </w:rPr>
        <w:tab/>
      </w:r>
      <w:r w:rsidRPr="00C073FF">
        <w:rPr>
          <w:rFonts w:eastAsia="AdvEPSTIM" w:hint="eastAsia"/>
        </w:rPr>
        <w:t xml:space="preserve">Outcrop and </w:t>
      </w:r>
      <w:r w:rsidRPr="00C073FF">
        <w:rPr>
          <w:rFonts w:eastAsia="AdvEPSTIM"/>
        </w:rPr>
        <w:t>c</w:t>
      </w:r>
      <w:r w:rsidRPr="00C073FF">
        <w:rPr>
          <w:rFonts w:eastAsia="AdvEPSTIM" w:hint="eastAsia"/>
        </w:rPr>
        <w:t xml:space="preserve">hemostratigraphic data </w:t>
      </w:r>
      <w:r w:rsidRPr="00C073FF">
        <w:rPr>
          <w:rFonts w:eastAsia="AdvEPSTIM"/>
        </w:rPr>
        <w:t>indicate that the entire Kirby section</w:t>
      </w:r>
      <w:r w:rsidRPr="00C073FF">
        <w:rPr>
          <w:rFonts w:eastAsia="AdvEPSTIM" w:hint="eastAsia"/>
        </w:rPr>
        <w:t>s</w:t>
      </w:r>
      <w:r w:rsidRPr="00C073FF">
        <w:rPr>
          <w:rFonts w:eastAsia="AdvEPSTIM"/>
        </w:rPr>
        <w:t xml:space="preserve"> consist of at least three</w:t>
      </w:r>
      <w:r w:rsidRPr="00C073FF">
        <w:rPr>
          <w:rFonts w:eastAsia="AdvEPSTIM" w:hint="eastAsia"/>
        </w:rPr>
        <w:t xml:space="preserve"> confident</w:t>
      </w:r>
      <w:r w:rsidRPr="00C073FF">
        <w:rPr>
          <w:rFonts w:eastAsia="AdvEPSTIM"/>
        </w:rPr>
        <w:t xml:space="preserve"> 3</w:t>
      </w:r>
      <w:r w:rsidRPr="00C073FF">
        <w:rPr>
          <w:rFonts w:eastAsia="AdvEPSTIM"/>
          <w:vertAlign w:val="superscript"/>
        </w:rPr>
        <w:t>rd</w:t>
      </w:r>
      <w:r w:rsidRPr="00C073FF">
        <w:rPr>
          <w:rFonts w:eastAsia="AdvEPSTIM"/>
        </w:rPr>
        <w:t xml:space="preserve"> order sequence</w:t>
      </w:r>
      <w:r w:rsidRPr="00C073FF">
        <w:rPr>
          <w:rFonts w:eastAsia="AdvEPSTIM" w:hint="eastAsia"/>
        </w:rPr>
        <w:t>s</w:t>
      </w:r>
      <w:r w:rsidRPr="00C073FF">
        <w:rPr>
          <w:rFonts w:eastAsia="AdvEPSTIM"/>
        </w:rPr>
        <w:t xml:space="preserve"> from the bottom of</w:t>
      </w:r>
      <w:r w:rsidR="00D058D2">
        <w:rPr>
          <w:rFonts w:eastAsia="AdvEPSTIM"/>
        </w:rPr>
        <w:t xml:space="preserve"> </w:t>
      </w:r>
      <w:r w:rsidRPr="00C073FF">
        <w:rPr>
          <w:rFonts w:eastAsia="AdvEPSTIM"/>
        </w:rPr>
        <w:t>the Jackfork Group t</w:t>
      </w:r>
      <w:r w:rsidRPr="00323427">
        <w:rPr>
          <w:rFonts w:eastAsia="AdvEPSTIM"/>
        </w:rPr>
        <w:t>o the</w:t>
      </w:r>
      <w:r w:rsidRPr="00323427">
        <w:rPr>
          <w:rFonts w:eastAsia="AdvEPSTIM" w:hint="eastAsia"/>
        </w:rPr>
        <w:t xml:space="preserve"> middle </w:t>
      </w:r>
      <w:r w:rsidR="00D058D2" w:rsidRPr="00323427">
        <w:rPr>
          <w:rFonts w:eastAsia="AdvEPSTIM"/>
        </w:rPr>
        <w:t>of the</w:t>
      </w:r>
      <w:r w:rsidRPr="00323427">
        <w:rPr>
          <w:rFonts w:eastAsia="AdvEPSTIM" w:hint="eastAsia"/>
        </w:rPr>
        <w:t xml:space="preserve"> </w:t>
      </w:r>
      <w:r w:rsidRPr="00323427">
        <w:rPr>
          <w:rFonts w:eastAsia="AdvEPSTIM"/>
        </w:rPr>
        <w:t xml:space="preserve">Johns Valley </w:t>
      </w:r>
      <w:r w:rsidR="00D058D2" w:rsidRPr="00323427">
        <w:rPr>
          <w:rFonts w:eastAsia="AdvEPSTIM"/>
        </w:rPr>
        <w:t>Group caused</w:t>
      </w:r>
      <w:r w:rsidRPr="00323427">
        <w:rPr>
          <w:rFonts w:eastAsia="AdvEPSTIM"/>
        </w:rPr>
        <w:t xml:space="preserve"> by </w:t>
      </w:r>
      <w:r w:rsidRPr="00C073FF">
        <w:rPr>
          <w:rFonts w:eastAsia="AdvEPSTIM"/>
        </w:rPr>
        <w:t>a combined effect from tectonic uplift, eustatic sea-level change, mixed sediment provenance and shifting of depositional fairway</w:t>
      </w:r>
      <w:r w:rsidRPr="00C073FF">
        <w:rPr>
          <w:rFonts w:eastAsia="AdvEPSTIM" w:hint="eastAsia"/>
        </w:rPr>
        <w:t>s,</w:t>
      </w:r>
      <w:r w:rsidRPr="00C073FF">
        <w:rPr>
          <w:rFonts w:eastAsia="AdvEPSTIM"/>
        </w:rPr>
        <w:t xml:space="preserve"> when</w:t>
      </w:r>
      <w:r w:rsidRPr="00C073FF">
        <w:rPr>
          <w:rFonts w:eastAsia="AdvEPSTIM" w:hint="eastAsia"/>
        </w:rPr>
        <w:t xml:space="preserve"> the </w:t>
      </w:r>
      <w:r w:rsidRPr="00C073FF">
        <w:rPr>
          <w:rFonts w:eastAsia="AdvEPSTIM"/>
        </w:rPr>
        <w:t>Ouachita Basin was transitioning from</w:t>
      </w:r>
      <w:r w:rsidRPr="00C073FF">
        <w:rPr>
          <w:rFonts w:eastAsia="AdvEPSTIM" w:hint="eastAsia"/>
        </w:rPr>
        <w:t xml:space="preserve"> a</w:t>
      </w:r>
      <w:r w:rsidRPr="00C073FF">
        <w:rPr>
          <w:rFonts w:eastAsia="AdvEPSTIM"/>
        </w:rPr>
        <w:t xml:space="preserve"> passive margin to a remnant </w:t>
      </w:r>
      <w:r w:rsidR="008531B2">
        <w:rPr>
          <w:rFonts w:eastAsia="AdvEPSTIM"/>
        </w:rPr>
        <w:t>marine</w:t>
      </w:r>
      <w:r w:rsidRPr="00C073FF">
        <w:rPr>
          <w:rFonts w:eastAsia="AdvEPSTIM"/>
        </w:rPr>
        <w:t xml:space="preserve"> basin.</w:t>
      </w:r>
    </w:p>
    <w:p w:rsidR="00C65A26" w:rsidRPr="00323427" w:rsidRDefault="00C65A26" w:rsidP="00C65A26">
      <w:r w:rsidRPr="00C073FF">
        <w:rPr>
          <w:rFonts w:eastAsia="AdvEPSTIM" w:hint="eastAsia"/>
        </w:rPr>
        <w:tab/>
        <w:t>One direct re</w:t>
      </w:r>
      <w:r w:rsidRPr="00323427">
        <w:rPr>
          <w:rFonts w:eastAsia="AdvEPSTIM" w:hint="eastAsia"/>
        </w:rPr>
        <w:t xml:space="preserve">servoir analog of Jackfork outcrops in Arkansas is the subsurface Jackfork gas field in southeastern </w:t>
      </w:r>
      <w:r w:rsidRPr="00323427">
        <w:rPr>
          <w:rFonts w:eastAsia="AdvEPSTIM"/>
        </w:rPr>
        <w:t>Oklahoma. Previous</w:t>
      </w:r>
      <w:r w:rsidRPr="00323427">
        <w:rPr>
          <w:rFonts w:eastAsia="AdvEPSTIM" w:hint="eastAsia"/>
        </w:rPr>
        <w:t xml:space="preserve"> well-based stratigraphic interpretations have been tied to the established and complete sequence stratigraphic framework. </w:t>
      </w:r>
    </w:p>
    <w:p w:rsidR="00BB2AB0" w:rsidRPr="001461F0" w:rsidRDefault="00BB2AB0" w:rsidP="00BB2AB0">
      <w:pPr>
        <w:pStyle w:val="Heading1"/>
        <w:rPr>
          <w:rFonts w:ascii="Times New Roman" w:hAnsi="Times New Roman"/>
          <w:lang w:eastAsia="zh-CN"/>
        </w:rPr>
      </w:pPr>
      <w:r w:rsidRPr="001461F0">
        <w:rPr>
          <w:rFonts w:ascii="Times New Roman" w:hAnsi="Times New Roman"/>
        </w:rPr>
        <w:lastRenderedPageBreak/>
        <w:t>LIST OF FIGURES</w:t>
      </w:r>
      <w:r w:rsidRPr="001461F0">
        <w:rPr>
          <w:rFonts w:ascii="Times New Roman" w:hAnsi="Times New Roman"/>
          <w:lang w:eastAsia="zh-CN"/>
        </w:rPr>
        <w:t xml:space="preserve"> AND TABLES</w:t>
      </w:r>
    </w:p>
    <w:p w:rsidR="00BB2AB0" w:rsidRPr="001461F0" w:rsidRDefault="00BB2AB0" w:rsidP="00BB2AB0">
      <w:pPr>
        <w:jc w:val="center"/>
        <w:rPr>
          <w:rFonts w:ascii="Times New Roman" w:hAnsi="Times New Roman"/>
        </w:rPr>
      </w:pPr>
      <w:bookmarkStart w:id="16" w:name="_Toc397347925"/>
      <w:bookmarkStart w:id="17" w:name="_Toc397350193"/>
      <w:bookmarkStart w:id="18" w:name="_Toc397361660"/>
      <w:bookmarkStart w:id="19" w:name="_Toc399968260"/>
      <w:bookmarkStart w:id="20" w:name="_Toc400010202"/>
      <w:r>
        <w:rPr>
          <w:rFonts w:ascii="Times New Roman" w:hAnsi="Times New Roman"/>
          <w:noProof/>
          <w:lang w:bidi="ar-SA"/>
        </w:rPr>
        <w:drawing>
          <wp:inline distT="0" distB="0" distL="0" distR="0" wp14:anchorId="2144C6EB" wp14:editId="668FDEC4">
            <wp:extent cx="4949219" cy="6983681"/>
            <wp:effectExtent l="0" t="0" r="381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ase Map_Arkansas and Oklahoma.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952519" cy="6988338"/>
                    </a:xfrm>
                    <a:prstGeom prst="rect">
                      <a:avLst/>
                    </a:prstGeom>
                  </pic:spPr>
                </pic:pic>
              </a:graphicData>
            </a:graphic>
          </wp:inline>
        </w:drawing>
      </w:r>
    </w:p>
    <w:p w:rsidR="00BB2AB0" w:rsidRPr="001461F0" w:rsidRDefault="00BB2AB0" w:rsidP="00BB2AB0">
      <w:pPr>
        <w:pStyle w:val="Caption"/>
        <w:rPr>
          <w:rFonts w:ascii="Times New Roman" w:hAnsi="Times New Roman"/>
          <w:sz w:val="23"/>
          <w:szCs w:val="23"/>
          <w:lang w:eastAsia="zh-CN"/>
        </w:rPr>
      </w:pPr>
      <w:r w:rsidRPr="001461F0">
        <w:rPr>
          <w:rFonts w:ascii="Times New Roman" w:hAnsi="Times New Roman"/>
          <w:sz w:val="23"/>
          <w:szCs w:val="23"/>
        </w:rPr>
        <w:t>Figure 2.</w:t>
      </w:r>
      <w:r w:rsidRPr="001461F0">
        <w:rPr>
          <w:rFonts w:ascii="Times New Roman" w:hAnsi="Times New Roman"/>
          <w:sz w:val="23"/>
          <w:szCs w:val="23"/>
          <w:lang w:eastAsia="zh-CN"/>
        </w:rPr>
        <w:t>1</w:t>
      </w:r>
      <w:r w:rsidRPr="001461F0">
        <w:rPr>
          <w:rFonts w:ascii="Times New Roman" w:hAnsi="Times New Roman"/>
          <w:sz w:val="23"/>
          <w:szCs w:val="23"/>
        </w:rPr>
        <w:t>.</w:t>
      </w:r>
      <w:r w:rsidRPr="001461F0">
        <w:rPr>
          <w:rFonts w:ascii="Times New Roman" w:hAnsi="Times New Roman"/>
          <w:sz w:val="23"/>
          <w:szCs w:val="23"/>
          <w:lang w:eastAsia="zh-CN"/>
        </w:rPr>
        <w:t>Overview map of the Jackfork Group and the location of the key outcrops (to be introduced in Table 2.1)</w:t>
      </w:r>
    </w:p>
    <w:p w:rsidR="00BB2AB0" w:rsidRPr="001461F0" w:rsidRDefault="00BB2AB0" w:rsidP="00AA3504">
      <w:pPr>
        <w:jc w:val="center"/>
        <w:rPr>
          <w:rFonts w:ascii="Times New Roman" w:hAnsi="Times New Roman"/>
        </w:rPr>
      </w:pPr>
      <w:r w:rsidRPr="001461F0">
        <w:rPr>
          <w:rFonts w:ascii="Times New Roman" w:hAnsi="Times New Roman"/>
          <w:noProof/>
          <w:lang w:bidi="ar-SA"/>
        </w:rPr>
        <w:lastRenderedPageBreak/>
        <w:drawing>
          <wp:inline distT="0" distB="0" distL="0" distR="0" wp14:anchorId="3861E44A" wp14:editId="1E7FB19E">
            <wp:extent cx="5026270" cy="6495972"/>
            <wp:effectExtent l="19050" t="19050" r="22225" b="196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33243" cy="6504984"/>
                    </a:xfrm>
                    <a:prstGeom prst="rect">
                      <a:avLst/>
                    </a:prstGeom>
                    <a:noFill/>
                    <a:ln>
                      <a:solidFill>
                        <a:schemeClr val="tx1"/>
                      </a:solidFill>
                    </a:ln>
                  </pic:spPr>
                </pic:pic>
              </a:graphicData>
            </a:graphic>
          </wp:inline>
        </w:drawing>
      </w:r>
    </w:p>
    <w:p w:rsidR="00BB2AB0" w:rsidRPr="001461F0" w:rsidRDefault="00BB2AB0" w:rsidP="00BB2AB0">
      <w:pPr>
        <w:pStyle w:val="Caption"/>
        <w:rPr>
          <w:rFonts w:ascii="Times New Roman" w:hAnsi="Times New Roman"/>
          <w:sz w:val="23"/>
          <w:szCs w:val="23"/>
        </w:rPr>
      </w:pPr>
      <w:r w:rsidRPr="001461F0">
        <w:rPr>
          <w:rFonts w:ascii="Times New Roman" w:hAnsi="Times New Roman"/>
          <w:sz w:val="23"/>
          <w:szCs w:val="23"/>
          <w:lang w:eastAsia="zh-CN"/>
        </w:rPr>
        <w:t xml:space="preserve">Table </w:t>
      </w:r>
      <w:r w:rsidRPr="001461F0">
        <w:rPr>
          <w:rFonts w:ascii="Times New Roman" w:hAnsi="Times New Roman"/>
          <w:sz w:val="23"/>
          <w:szCs w:val="23"/>
        </w:rPr>
        <w:t>2.</w:t>
      </w:r>
      <w:r w:rsidRPr="001461F0">
        <w:rPr>
          <w:rFonts w:ascii="Times New Roman" w:hAnsi="Times New Roman"/>
          <w:sz w:val="23"/>
          <w:szCs w:val="23"/>
          <w:lang w:eastAsia="zh-CN"/>
        </w:rPr>
        <w:t>1-A</w:t>
      </w:r>
      <w:r w:rsidRPr="001461F0">
        <w:rPr>
          <w:rFonts w:ascii="Times New Roman" w:hAnsi="Times New Roman"/>
          <w:sz w:val="23"/>
          <w:szCs w:val="23"/>
        </w:rPr>
        <w:t>.List of the basic information of the key Jackfork Group outcrops.</w:t>
      </w:r>
    </w:p>
    <w:p w:rsidR="00BB2AB0" w:rsidRPr="001461F0" w:rsidRDefault="00BB2AB0" w:rsidP="00BB2AB0">
      <w:pPr>
        <w:rPr>
          <w:rFonts w:ascii="Times New Roman" w:hAnsi="Times New Roman"/>
        </w:rPr>
      </w:pPr>
    </w:p>
    <w:p w:rsidR="00BB2AB0" w:rsidRPr="001461F0" w:rsidRDefault="00BB2AB0" w:rsidP="00AA3504">
      <w:pPr>
        <w:jc w:val="center"/>
        <w:rPr>
          <w:rFonts w:ascii="Times New Roman" w:hAnsi="Times New Roman"/>
        </w:rPr>
      </w:pPr>
      <w:r w:rsidRPr="001461F0">
        <w:rPr>
          <w:rFonts w:ascii="Times New Roman" w:hAnsi="Times New Roman"/>
          <w:noProof/>
          <w:lang w:bidi="ar-SA"/>
        </w:rPr>
        <w:lastRenderedPageBreak/>
        <w:drawing>
          <wp:inline distT="0" distB="0" distL="0" distR="0" wp14:anchorId="23CDBFDC" wp14:editId="27461D03">
            <wp:extent cx="5057889" cy="4778486"/>
            <wp:effectExtent l="19050" t="19050" r="9525" b="222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59181" cy="4779707"/>
                    </a:xfrm>
                    <a:prstGeom prst="rect">
                      <a:avLst/>
                    </a:prstGeom>
                    <a:noFill/>
                    <a:ln>
                      <a:solidFill>
                        <a:schemeClr val="tx1"/>
                      </a:solidFill>
                    </a:ln>
                  </pic:spPr>
                </pic:pic>
              </a:graphicData>
            </a:graphic>
          </wp:inline>
        </w:drawing>
      </w:r>
    </w:p>
    <w:p w:rsidR="00BB2AB0" w:rsidRPr="001461F0" w:rsidRDefault="00BB2AB0" w:rsidP="00BB2AB0">
      <w:pPr>
        <w:pStyle w:val="Caption"/>
        <w:rPr>
          <w:rFonts w:ascii="Times New Roman" w:hAnsi="Times New Roman"/>
          <w:sz w:val="23"/>
          <w:szCs w:val="23"/>
        </w:rPr>
      </w:pPr>
      <w:r w:rsidRPr="001461F0">
        <w:rPr>
          <w:rFonts w:ascii="Times New Roman" w:hAnsi="Times New Roman"/>
          <w:sz w:val="23"/>
          <w:szCs w:val="23"/>
          <w:lang w:eastAsia="zh-CN"/>
        </w:rPr>
        <w:t xml:space="preserve">Table </w:t>
      </w:r>
      <w:r w:rsidRPr="001461F0">
        <w:rPr>
          <w:rFonts w:ascii="Times New Roman" w:hAnsi="Times New Roman"/>
          <w:sz w:val="23"/>
          <w:szCs w:val="23"/>
        </w:rPr>
        <w:t>2.</w:t>
      </w:r>
      <w:r w:rsidRPr="001461F0">
        <w:rPr>
          <w:rFonts w:ascii="Times New Roman" w:hAnsi="Times New Roman"/>
          <w:sz w:val="23"/>
          <w:szCs w:val="23"/>
          <w:lang w:eastAsia="zh-CN"/>
        </w:rPr>
        <w:t>1-B</w:t>
      </w:r>
      <w:r w:rsidRPr="001461F0">
        <w:rPr>
          <w:rFonts w:ascii="Times New Roman" w:hAnsi="Times New Roman"/>
          <w:sz w:val="23"/>
          <w:szCs w:val="23"/>
        </w:rPr>
        <w:t>.List of the basic information of the key Jackfork Group outcrops.</w:t>
      </w: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AA3504">
      <w:pPr>
        <w:jc w:val="center"/>
        <w:rPr>
          <w:rFonts w:ascii="Times New Roman" w:hAnsi="Times New Roman"/>
        </w:rPr>
      </w:pPr>
      <w:r w:rsidRPr="001461F0">
        <w:rPr>
          <w:rFonts w:ascii="Times New Roman" w:hAnsi="Times New Roman"/>
          <w:noProof/>
          <w:lang w:bidi="ar-SA"/>
        </w:rPr>
        <w:lastRenderedPageBreak/>
        <w:drawing>
          <wp:inline distT="0" distB="0" distL="0" distR="0" wp14:anchorId="47D3B782" wp14:editId="2033D1A4">
            <wp:extent cx="5006340" cy="4752929"/>
            <wp:effectExtent l="19050" t="19050" r="22860" b="10160"/>
            <wp:docPr id="15" name="Picture 1" descr="C:\Users\i9a\Desktop\Stratigraphic Column_New_Haq_Mar_2014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9a\Desktop\Stratigraphic Column_New_Haq_Mar_2014_03.jp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r="1111"/>
                    <a:stretch/>
                  </pic:blipFill>
                  <pic:spPr bwMode="auto">
                    <a:xfrm>
                      <a:off x="0" y="0"/>
                      <a:ext cx="5005024" cy="4751680"/>
                    </a:xfrm>
                    <a:prstGeom prst="rect">
                      <a:avLst/>
                    </a:prstGeom>
                    <a:noFill/>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B2AB0" w:rsidRPr="001461F0" w:rsidRDefault="00BB2AB0" w:rsidP="00BB2AB0">
      <w:pPr>
        <w:pStyle w:val="Caption"/>
        <w:rPr>
          <w:rFonts w:ascii="Times New Roman" w:hAnsi="Times New Roman"/>
          <w:sz w:val="23"/>
          <w:szCs w:val="23"/>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sidRPr="001461F0">
        <w:rPr>
          <w:rFonts w:ascii="Times New Roman" w:hAnsi="Times New Roman"/>
          <w:sz w:val="23"/>
          <w:szCs w:val="23"/>
          <w:lang w:eastAsia="zh-CN"/>
        </w:rPr>
        <w:t>2</w:t>
      </w:r>
      <w:r w:rsidRPr="001461F0">
        <w:rPr>
          <w:rFonts w:ascii="Times New Roman" w:hAnsi="Times New Roman"/>
          <w:sz w:val="23"/>
          <w:szCs w:val="23"/>
        </w:rPr>
        <w:t>.</w:t>
      </w:r>
      <w:r w:rsidRPr="001461F0">
        <w:rPr>
          <w:rFonts w:ascii="Times New Roman" w:eastAsia="AGaramond-Regular" w:hAnsi="Times New Roman"/>
        </w:rPr>
        <w:t>Regional stratigraphic column and tectonic events of the studied area in western Arkansas. Global sea-level curve is from Haq and Shutter, 2008. The Jackfork Group was deposited during the stage of Ouachita Basin subsidence.</w:t>
      </w: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AA3504">
      <w:pPr>
        <w:jc w:val="center"/>
        <w:rPr>
          <w:rFonts w:ascii="Times New Roman" w:hAnsi="Times New Roman"/>
        </w:rPr>
      </w:pPr>
      <w:r w:rsidRPr="001461F0">
        <w:rPr>
          <w:rFonts w:ascii="Times New Roman" w:hAnsi="Times New Roman"/>
          <w:noProof/>
          <w:lang w:bidi="ar-SA"/>
        </w:rPr>
        <w:lastRenderedPageBreak/>
        <w:drawing>
          <wp:inline distT="0" distB="0" distL="0" distR="0" wp14:anchorId="7EFE4B21" wp14:editId="7C9526EC">
            <wp:extent cx="6704477" cy="5147779"/>
            <wp:effectExtent l="0" t="2540" r="0" b="0"/>
            <wp:docPr id="16" name="Picture 3" descr="C:\Users\i9a\Downloads\Corrected Figure 3 on BLTN14-09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9a\Downloads\Corrected Figure 3 on BLTN14-092_1.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rot="16200000">
                      <a:off x="0" y="0"/>
                      <a:ext cx="6709388" cy="5151550"/>
                    </a:xfrm>
                    <a:prstGeom prst="rect">
                      <a:avLst/>
                    </a:prstGeom>
                    <a:noFill/>
                    <a:ln>
                      <a:noFill/>
                    </a:ln>
                  </pic:spPr>
                </pic:pic>
              </a:graphicData>
            </a:graphic>
          </wp:inline>
        </w:drawing>
      </w:r>
    </w:p>
    <w:p w:rsidR="00BB2AB0" w:rsidRDefault="00BB2AB0" w:rsidP="00BB2AB0">
      <w:pPr>
        <w:pStyle w:val="Caption"/>
        <w:rPr>
          <w:rFonts w:ascii="Times New Roman" w:eastAsia="AGaramond-Regular"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sidRPr="001461F0">
        <w:rPr>
          <w:rFonts w:ascii="Times New Roman" w:hAnsi="Times New Roman"/>
          <w:sz w:val="23"/>
          <w:szCs w:val="23"/>
          <w:lang w:eastAsia="zh-CN"/>
        </w:rPr>
        <w:t>3</w:t>
      </w:r>
      <w:r w:rsidRPr="001461F0">
        <w:rPr>
          <w:rFonts w:ascii="Times New Roman" w:hAnsi="Times New Roman"/>
          <w:sz w:val="23"/>
          <w:szCs w:val="23"/>
        </w:rPr>
        <w:t>.</w:t>
      </w:r>
      <w:r w:rsidRPr="001461F0">
        <w:rPr>
          <w:rFonts w:ascii="Times New Roman" w:eastAsia="AGaramond-Regular" w:hAnsi="Times New Roman"/>
        </w:rPr>
        <w:t>An overview of complete Kirby sections, including Baumgartner Quarry. All the strata are steeply dipping</w:t>
      </w:r>
      <w:r>
        <w:rPr>
          <w:rFonts w:ascii="Times New Roman" w:eastAsia="AGaramond-Regular" w:hAnsi="Times New Roman"/>
        </w:rPr>
        <w:t xml:space="preserve"> (60-70 degree)</w:t>
      </w:r>
      <w:r w:rsidRPr="001461F0">
        <w:rPr>
          <w:rFonts w:ascii="Times New Roman" w:eastAsia="AGaramond-Regular" w:hAnsi="Times New Roman"/>
        </w:rPr>
        <w:t xml:space="preserve"> towards the south. </w:t>
      </w:r>
      <w:r>
        <w:rPr>
          <w:rFonts w:ascii="Times New Roman" w:eastAsia="AGaramond-Regular" w:hAnsi="Times New Roman"/>
        </w:rPr>
        <w:t xml:space="preserve">General </w:t>
      </w:r>
      <w:r w:rsidRPr="001461F0">
        <w:rPr>
          <w:rFonts w:ascii="Times New Roman" w:eastAsia="AGaramond-Regular" w:hAnsi="Times New Roman"/>
        </w:rPr>
        <w:t>Lower, Middle and Upper Jackfork Group boundaries were provided by Charlie G. Stone, Arkansas Geological Commission (retired).</w:t>
      </w:r>
    </w:p>
    <w:p w:rsidR="00BB2AB0" w:rsidRDefault="00BB2AB0" w:rsidP="00BB2AB0"/>
    <w:p w:rsidR="00BB2AB0" w:rsidRDefault="00BB2AB0" w:rsidP="00AA3504">
      <w:pPr>
        <w:jc w:val="center"/>
        <w:rPr>
          <w:lang w:eastAsia="zh-CN"/>
        </w:rPr>
      </w:pPr>
      <w:r w:rsidRPr="00D72422">
        <w:rPr>
          <w:noProof/>
          <w:lang w:bidi="ar-SA"/>
        </w:rPr>
        <w:lastRenderedPageBreak/>
        <w:drawing>
          <wp:inline distT="0" distB="0" distL="0" distR="0" wp14:anchorId="01032832" wp14:editId="7129AE66">
            <wp:extent cx="6091103" cy="5045278"/>
            <wp:effectExtent l="65722" t="48578" r="108903" b="108902"/>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rot="16200000">
                      <a:off x="0" y="0"/>
                      <a:ext cx="6110704" cy="5061514"/>
                    </a:xfrm>
                    <a:prstGeom prst="rect">
                      <a:avLst/>
                    </a:prstGeom>
                    <a:noFill/>
                    <a:ln w="19050">
                      <a:solidFill>
                        <a:schemeClr val="tx1"/>
                      </a:solidFill>
                    </a:ln>
                    <a:effectLst>
                      <a:outerShdw blurRad="50800" dist="38100" dir="2700000" algn="tl" rotWithShape="0">
                        <a:prstClr val="black">
                          <a:alpha val="40000"/>
                        </a:prstClr>
                      </a:outerShdw>
                    </a:effectLst>
                  </pic:spPr>
                </pic:pic>
              </a:graphicData>
            </a:graphic>
          </wp:inline>
        </w:drawing>
      </w:r>
    </w:p>
    <w:p w:rsidR="00BB2AB0" w:rsidRPr="001461F0" w:rsidRDefault="00BB2AB0" w:rsidP="00BB2AB0">
      <w:pPr>
        <w:pStyle w:val="Caption"/>
        <w:rPr>
          <w:rFonts w:ascii="Times New Roman" w:hAnsi="Times New Roman"/>
          <w:sz w:val="23"/>
          <w:szCs w:val="23"/>
        </w:rPr>
      </w:pPr>
      <w:r w:rsidRPr="001461F0">
        <w:rPr>
          <w:rFonts w:ascii="Times New Roman" w:hAnsi="Times New Roman"/>
          <w:sz w:val="23"/>
          <w:szCs w:val="23"/>
          <w:lang w:eastAsia="zh-CN"/>
        </w:rPr>
        <w:t xml:space="preserve">Table </w:t>
      </w:r>
      <w:r w:rsidRPr="001461F0">
        <w:rPr>
          <w:rFonts w:ascii="Times New Roman" w:hAnsi="Times New Roman"/>
          <w:sz w:val="23"/>
          <w:szCs w:val="23"/>
        </w:rPr>
        <w:t>2.</w:t>
      </w:r>
      <w:r>
        <w:rPr>
          <w:rFonts w:ascii="Times New Roman" w:hAnsi="Times New Roman"/>
          <w:sz w:val="23"/>
          <w:szCs w:val="23"/>
        </w:rPr>
        <w:t>2</w:t>
      </w:r>
      <w:r w:rsidRPr="001461F0">
        <w:rPr>
          <w:rFonts w:ascii="Times New Roman" w:hAnsi="Times New Roman"/>
          <w:sz w:val="23"/>
          <w:szCs w:val="23"/>
        </w:rPr>
        <w:t>.</w:t>
      </w:r>
      <w:r>
        <w:rPr>
          <w:rFonts w:ascii="Times New Roman" w:hAnsi="Times New Roman"/>
          <w:sz w:val="23"/>
          <w:szCs w:val="23"/>
        </w:rPr>
        <w:t xml:space="preserve">General outcrop description and </w:t>
      </w:r>
      <w:r w:rsidR="00C44660">
        <w:rPr>
          <w:rFonts w:ascii="Times New Roman" w:hAnsi="Times New Roman"/>
          <w:sz w:val="23"/>
          <w:szCs w:val="23"/>
        </w:rPr>
        <w:t>interpretation of</w:t>
      </w:r>
      <w:r>
        <w:rPr>
          <w:rFonts w:ascii="Times New Roman" w:hAnsi="Times New Roman"/>
          <w:sz w:val="23"/>
          <w:szCs w:val="23"/>
        </w:rPr>
        <w:t xml:space="preserve"> the Lower Jackfork Group </w:t>
      </w:r>
      <w:proofErr w:type="gramStart"/>
      <w:r>
        <w:rPr>
          <w:rFonts w:ascii="Times New Roman" w:hAnsi="Times New Roman"/>
          <w:sz w:val="23"/>
          <w:szCs w:val="23"/>
        </w:rPr>
        <w:t>in  Kirby</w:t>
      </w:r>
      <w:proofErr w:type="gramEnd"/>
      <w:r>
        <w:rPr>
          <w:rFonts w:ascii="Times New Roman" w:hAnsi="Times New Roman"/>
          <w:sz w:val="23"/>
          <w:szCs w:val="23"/>
        </w:rPr>
        <w:t xml:space="preserve"> Sections.</w:t>
      </w:r>
    </w:p>
    <w:p w:rsidR="00BB2AB0" w:rsidRDefault="00BB2AB0" w:rsidP="00BB2AB0">
      <w:pPr>
        <w:rPr>
          <w:lang w:eastAsia="zh-CN"/>
        </w:rPr>
      </w:pPr>
    </w:p>
    <w:p w:rsidR="00BB2AB0" w:rsidRDefault="00BB2AB0" w:rsidP="00BB2AB0">
      <w:pPr>
        <w:jc w:val="center"/>
        <w:rPr>
          <w:lang w:eastAsia="zh-CN"/>
        </w:rPr>
      </w:pPr>
      <w:r>
        <w:rPr>
          <w:rFonts w:hint="eastAsia"/>
          <w:noProof/>
          <w:lang w:bidi="ar-SA"/>
        </w:rPr>
        <w:lastRenderedPageBreak/>
        <w:drawing>
          <wp:inline distT="0" distB="0" distL="0" distR="0" wp14:anchorId="67146DA6" wp14:editId="15BF6295">
            <wp:extent cx="7351339" cy="5119524"/>
            <wp:effectExtent l="10795" t="27305" r="13335" b="133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cut_1_Photo_Mosaic_With_GR_Overlay.png"/>
                    <pic:cNvPicPr/>
                  </pic:nvPicPr>
                  <pic:blipFill>
                    <a:blip r:embed="rId113" cstate="print">
                      <a:extLst>
                        <a:ext uri="{28A0092B-C50C-407E-A947-70E740481C1C}">
                          <a14:useLocalDpi xmlns:a14="http://schemas.microsoft.com/office/drawing/2010/main" val="0"/>
                        </a:ext>
                      </a:extLst>
                    </a:blip>
                    <a:stretch>
                      <a:fillRect/>
                    </a:stretch>
                  </pic:blipFill>
                  <pic:spPr>
                    <a:xfrm rot="16200000">
                      <a:off x="0" y="0"/>
                      <a:ext cx="7354248" cy="5121550"/>
                    </a:xfrm>
                    <a:prstGeom prst="rect">
                      <a:avLst/>
                    </a:prstGeom>
                    <a:ln>
                      <a:solidFill>
                        <a:schemeClr val="tx1"/>
                      </a:solidFill>
                    </a:ln>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4</w:t>
      </w:r>
      <w:r w:rsidRPr="00C95C28">
        <w:rPr>
          <w:rFonts w:ascii="Times New Roman" w:hAnsi="Times New Roman"/>
          <w:b/>
          <w:sz w:val="23"/>
          <w:szCs w:val="23"/>
        </w:rPr>
        <w:t>.</w:t>
      </w:r>
      <w:proofErr w:type="gramEnd"/>
      <w:r>
        <w:rPr>
          <w:rFonts w:ascii="Times New Roman" w:eastAsia="AGaramond-Regular" w:hAnsi="Times New Roman"/>
          <w:b/>
        </w:rPr>
        <w:t xml:space="preserve"> Outcrop photo, general description and outcrop gamma ray of the Kirby Roadcut 1</w:t>
      </w:r>
    </w:p>
    <w:p w:rsidR="00BB2AB0" w:rsidRDefault="00BB2AB0" w:rsidP="00BB2AB0">
      <w:pPr>
        <w:rPr>
          <w:lang w:eastAsia="zh-CN"/>
        </w:rPr>
      </w:pPr>
    </w:p>
    <w:p w:rsidR="00BB2AB0" w:rsidRDefault="00BB2AB0" w:rsidP="00BB2AB0">
      <w:pPr>
        <w:jc w:val="center"/>
        <w:rPr>
          <w:lang w:eastAsia="zh-CN"/>
        </w:rPr>
      </w:pPr>
      <w:r>
        <w:rPr>
          <w:rFonts w:hint="eastAsia"/>
          <w:noProof/>
          <w:lang w:bidi="ar-SA"/>
        </w:rPr>
        <w:lastRenderedPageBreak/>
        <w:drawing>
          <wp:inline distT="0" distB="0" distL="0" distR="0" wp14:anchorId="6A35A978" wp14:editId="27B35B67">
            <wp:extent cx="7216622" cy="5116495"/>
            <wp:effectExtent l="21272" t="16828" r="25083" b="25082"/>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cut_2_Photo_Mosaic_With_GR_Overlay.jpg"/>
                    <pic:cNvPicPr/>
                  </pic:nvPicPr>
                  <pic:blipFill rotWithShape="1">
                    <a:blip r:embed="rId114" cstate="print">
                      <a:extLst>
                        <a:ext uri="{28A0092B-C50C-407E-A947-70E740481C1C}">
                          <a14:useLocalDpi xmlns:a14="http://schemas.microsoft.com/office/drawing/2010/main" val="0"/>
                        </a:ext>
                      </a:extLst>
                    </a:blip>
                    <a:srcRect l="1575"/>
                    <a:stretch/>
                  </pic:blipFill>
                  <pic:spPr bwMode="auto">
                    <a:xfrm rot="16200000">
                      <a:off x="0" y="0"/>
                      <a:ext cx="7228636" cy="512501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5</w:t>
      </w:r>
      <w:r w:rsidRPr="00C95C28">
        <w:rPr>
          <w:rFonts w:ascii="Times New Roman" w:hAnsi="Times New Roman"/>
          <w:b/>
          <w:sz w:val="23"/>
          <w:szCs w:val="23"/>
        </w:rPr>
        <w:t>.</w:t>
      </w:r>
      <w:proofErr w:type="gramEnd"/>
      <w:r>
        <w:rPr>
          <w:rFonts w:ascii="Times New Roman" w:eastAsia="AGaramond-Regular" w:hAnsi="Times New Roman"/>
          <w:b/>
        </w:rPr>
        <w:t xml:space="preserve"> Outcrop photo, general description and outcrop gamma ray of the Kirby Roadcut 2</w:t>
      </w:r>
    </w:p>
    <w:p w:rsidR="00BB2AB0" w:rsidRDefault="00BB2AB0" w:rsidP="00BB2AB0">
      <w:pPr>
        <w:jc w:val="center"/>
        <w:rPr>
          <w:lang w:eastAsia="zh-CN"/>
        </w:rPr>
      </w:pPr>
    </w:p>
    <w:p w:rsidR="00BB2AB0" w:rsidRDefault="00BB2AB0" w:rsidP="00BB2AB0">
      <w:pPr>
        <w:jc w:val="center"/>
        <w:rPr>
          <w:lang w:eastAsia="zh-CN"/>
        </w:rPr>
      </w:pPr>
      <w:r>
        <w:rPr>
          <w:rFonts w:hint="eastAsia"/>
          <w:noProof/>
          <w:lang w:bidi="ar-SA"/>
        </w:rPr>
        <w:lastRenderedPageBreak/>
        <w:drawing>
          <wp:inline distT="0" distB="0" distL="0" distR="0" wp14:anchorId="26C64D18" wp14:editId="208860EC">
            <wp:extent cx="7301712" cy="5144345"/>
            <wp:effectExtent l="11747" t="26353" r="25718" b="25717"/>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cut_3 and 4_Photo_Mosaic_With_GR_Overlay.jpg"/>
                    <pic:cNvPicPr/>
                  </pic:nvPicPr>
                  <pic:blipFill rotWithShape="1">
                    <a:blip r:embed="rId115" cstate="print">
                      <a:extLst>
                        <a:ext uri="{28A0092B-C50C-407E-A947-70E740481C1C}">
                          <a14:useLocalDpi xmlns:a14="http://schemas.microsoft.com/office/drawing/2010/main" val="0"/>
                        </a:ext>
                      </a:extLst>
                    </a:blip>
                    <a:srcRect l="1689" r="978"/>
                    <a:stretch/>
                  </pic:blipFill>
                  <pic:spPr bwMode="auto">
                    <a:xfrm rot="16200000">
                      <a:off x="0" y="0"/>
                      <a:ext cx="7301756" cy="514437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6</w:t>
      </w:r>
      <w:r w:rsidRPr="00C95C28">
        <w:rPr>
          <w:rFonts w:ascii="Times New Roman" w:hAnsi="Times New Roman"/>
          <w:b/>
          <w:sz w:val="23"/>
          <w:szCs w:val="23"/>
        </w:rPr>
        <w:t>.</w:t>
      </w:r>
      <w:proofErr w:type="gramEnd"/>
      <w:r>
        <w:rPr>
          <w:rFonts w:ascii="Times New Roman" w:eastAsia="AGaramond-Regular" w:hAnsi="Times New Roman"/>
          <w:b/>
        </w:rPr>
        <w:t xml:space="preserve"> Outcrop photo, general description and outcrop gamma ray of the Kirby Roadcut 3 and 4</w:t>
      </w:r>
    </w:p>
    <w:p w:rsidR="00BB2AB0" w:rsidRPr="001461F0" w:rsidRDefault="00BB2AB0" w:rsidP="00AA3504">
      <w:pPr>
        <w:jc w:val="center"/>
        <w:rPr>
          <w:rFonts w:ascii="Times New Roman" w:hAnsi="Times New Roman"/>
        </w:rPr>
      </w:pPr>
      <w:r>
        <w:rPr>
          <w:rFonts w:ascii="Times New Roman" w:hAnsi="Times New Roman"/>
          <w:noProof/>
          <w:lang w:bidi="ar-SA"/>
        </w:rPr>
        <w:lastRenderedPageBreak/>
        <w:drawing>
          <wp:inline distT="0" distB="0" distL="0" distR="0" wp14:anchorId="2AFAF0FD" wp14:editId="77FBD6AD">
            <wp:extent cx="5058644" cy="6562725"/>
            <wp:effectExtent l="0" t="0" r="889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by Section Only_Lower_Jackfork_New.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058644" cy="6562725"/>
                    </a:xfrm>
                    <a:prstGeom prst="rect">
                      <a:avLst/>
                    </a:prstGeom>
                  </pic:spPr>
                </pic:pic>
              </a:graphicData>
            </a:graphic>
          </wp:inline>
        </w:drawing>
      </w:r>
    </w:p>
    <w:p w:rsidR="00BB2AB0" w:rsidRPr="001461F0" w:rsidRDefault="00BB2AB0" w:rsidP="00BB2AB0">
      <w:pPr>
        <w:pStyle w:val="Caption"/>
        <w:rPr>
          <w:rFonts w:ascii="Times New Roman" w:hAnsi="Times New Roman"/>
          <w:sz w:val="23"/>
          <w:szCs w:val="23"/>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7</w:t>
      </w:r>
      <w:r w:rsidRPr="001461F0">
        <w:rPr>
          <w:rFonts w:ascii="Times New Roman" w:hAnsi="Times New Roman"/>
          <w:sz w:val="23"/>
          <w:szCs w:val="23"/>
        </w:rPr>
        <w:t>.</w:t>
      </w:r>
      <w:r w:rsidRPr="001461F0">
        <w:rPr>
          <w:rFonts w:ascii="Times New Roman" w:eastAsia="AGaramond-Regular" w:hAnsi="Times New Roman"/>
        </w:rPr>
        <w:t>Measured sections and interpretation (depositional model, environments, and relative sea-level)</w:t>
      </w:r>
      <w:r>
        <w:rPr>
          <w:rFonts w:ascii="Times New Roman" w:eastAsia="AGaramond-Regular" w:hAnsi="Times New Roman"/>
        </w:rPr>
        <w:t xml:space="preserve"> </w:t>
      </w:r>
      <w:r w:rsidRPr="001461F0">
        <w:rPr>
          <w:rFonts w:ascii="Times New Roman" w:eastAsia="AGaramond-Regular" w:hAnsi="Times New Roman"/>
        </w:rPr>
        <w:t>of the Lower Jackfork Group in the Kirby sections. See Figure 2</w:t>
      </w:r>
      <w:r w:rsidRPr="001461F0">
        <w:rPr>
          <w:rFonts w:ascii="Times New Roman" w:eastAsia="AGaramond-Regular" w:hAnsi="Times New Roman"/>
          <w:lang w:eastAsia="zh-CN"/>
        </w:rPr>
        <w:t>.3</w:t>
      </w:r>
      <w:r w:rsidRPr="001461F0">
        <w:rPr>
          <w:rFonts w:ascii="Times New Roman" w:eastAsia="AGaramond-Regular" w:hAnsi="Times New Roman"/>
        </w:rPr>
        <w:t xml:space="preserve"> for locations. Locations of shale</w:t>
      </w:r>
      <w:r>
        <w:rPr>
          <w:rFonts w:ascii="Times New Roman" w:eastAsia="AGaramond-Regular" w:hAnsi="Times New Roman"/>
        </w:rPr>
        <w:t xml:space="preserve"> ICPMS</w:t>
      </w:r>
      <w:r w:rsidRPr="001461F0">
        <w:rPr>
          <w:rFonts w:ascii="Times New Roman" w:eastAsia="AGaramond-Regular" w:hAnsi="Times New Roman"/>
        </w:rPr>
        <w:t xml:space="preserve"> samples are marked as arrows.</w:t>
      </w:r>
    </w:p>
    <w:p w:rsidR="00BB2AB0" w:rsidRDefault="00BB2AB0" w:rsidP="00AA3504">
      <w:pPr>
        <w:jc w:val="center"/>
        <w:rPr>
          <w:lang w:eastAsia="zh-CN"/>
        </w:rPr>
      </w:pPr>
      <w:r w:rsidRPr="00EE247C">
        <w:rPr>
          <w:rFonts w:hint="eastAsia"/>
          <w:noProof/>
          <w:lang w:bidi="ar-SA"/>
        </w:rPr>
        <w:lastRenderedPageBreak/>
        <w:drawing>
          <wp:inline distT="0" distB="0" distL="0" distR="0" wp14:anchorId="1367909A" wp14:editId="0723310D">
            <wp:extent cx="6673241" cy="5048664"/>
            <wp:effectExtent l="50483" t="63817" r="120967" b="120968"/>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rot="16200000">
                      <a:off x="0" y="0"/>
                      <a:ext cx="6676076" cy="5050809"/>
                    </a:xfrm>
                    <a:prstGeom prst="rect">
                      <a:avLst/>
                    </a:prstGeom>
                    <a:noFill/>
                    <a:ln w="19050">
                      <a:solidFill>
                        <a:schemeClr val="tx1"/>
                      </a:solidFill>
                    </a:ln>
                    <a:effectLst>
                      <a:outerShdw blurRad="50800" dist="38100" dir="2700000" algn="tl" rotWithShape="0">
                        <a:prstClr val="black">
                          <a:alpha val="40000"/>
                        </a:prstClr>
                      </a:outerShdw>
                    </a:effectLst>
                  </pic:spPr>
                </pic:pic>
              </a:graphicData>
            </a:graphic>
          </wp:inline>
        </w:drawing>
      </w:r>
    </w:p>
    <w:p w:rsidR="00BB2AB0" w:rsidRPr="001461F0" w:rsidRDefault="00BB2AB0" w:rsidP="00BB2AB0">
      <w:pPr>
        <w:pStyle w:val="Caption"/>
        <w:rPr>
          <w:rFonts w:ascii="Times New Roman" w:hAnsi="Times New Roman"/>
          <w:sz w:val="23"/>
          <w:szCs w:val="23"/>
        </w:rPr>
      </w:pPr>
      <w:r w:rsidRPr="001461F0">
        <w:rPr>
          <w:rFonts w:ascii="Times New Roman" w:hAnsi="Times New Roman"/>
          <w:sz w:val="23"/>
          <w:szCs w:val="23"/>
          <w:lang w:eastAsia="zh-CN"/>
        </w:rPr>
        <w:t xml:space="preserve">Table </w:t>
      </w:r>
      <w:r w:rsidRPr="001461F0">
        <w:rPr>
          <w:rFonts w:ascii="Times New Roman" w:hAnsi="Times New Roman"/>
          <w:sz w:val="23"/>
          <w:szCs w:val="23"/>
        </w:rPr>
        <w:t>2.</w:t>
      </w:r>
      <w:r>
        <w:rPr>
          <w:rFonts w:ascii="Times New Roman" w:hAnsi="Times New Roman"/>
          <w:sz w:val="23"/>
          <w:szCs w:val="23"/>
        </w:rPr>
        <w:t>3</w:t>
      </w:r>
      <w:r w:rsidRPr="001461F0">
        <w:rPr>
          <w:rFonts w:ascii="Times New Roman" w:hAnsi="Times New Roman"/>
          <w:sz w:val="23"/>
          <w:szCs w:val="23"/>
        </w:rPr>
        <w:t>.</w:t>
      </w:r>
      <w:r>
        <w:rPr>
          <w:rFonts w:ascii="Times New Roman" w:hAnsi="Times New Roman"/>
          <w:sz w:val="23"/>
          <w:szCs w:val="23"/>
        </w:rPr>
        <w:t xml:space="preserve">General outcrop description and interpretation of the Middle Jackfork Group </w:t>
      </w:r>
      <w:proofErr w:type="gramStart"/>
      <w:r>
        <w:rPr>
          <w:rFonts w:ascii="Times New Roman" w:hAnsi="Times New Roman"/>
          <w:sz w:val="23"/>
          <w:szCs w:val="23"/>
        </w:rPr>
        <w:t>in  Kirby</w:t>
      </w:r>
      <w:proofErr w:type="gramEnd"/>
      <w:r>
        <w:rPr>
          <w:rFonts w:ascii="Times New Roman" w:hAnsi="Times New Roman"/>
          <w:sz w:val="23"/>
          <w:szCs w:val="23"/>
        </w:rPr>
        <w:t xml:space="preserve"> Sections.</w:t>
      </w:r>
    </w:p>
    <w:p w:rsidR="00BB2AB0" w:rsidRDefault="00BB2AB0" w:rsidP="00BB2AB0">
      <w:pPr>
        <w:jc w:val="center"/>
        <w:rPr>
          <w:lang w:eastAsia="zh-CN"/>
        </w:rPr>
      </w:pPr>
    </w:p>
    <w:p w:rsidR="00BB2AB0" w:rsidRDefault="00BB2AB0" w:rsidP="00BB2AB0">
      <w:pPr>
        <w:rPr>
          <w:lang w:eastAsia="zh-CN"/>
        </w:rPr>
      </w:pPr>
    </w:p>
    <w:p w:rsidR="00BB2AB0" w:rsidRDefault="00BB2AB0" w:rsidP="00AA3504">
      <w:pPr>
        <w:jc w:val="center"/>
        <w:rPr>
          <w:lang w:eastAsia="zh-CN"/>
        </w:rPr>
      </w:pPr>
      <w:r>
        <w:rPr>
          <w:rFonts w:hint="eastAsia"/>
          <w:noProof/>
          <w:lang w:bidi="ar-SA"/>
        </w:rPr>
        <w:lastRenderedPageBreak/>
        <w:drawing>
          <wp:inline distT="0" distB="0" distL="0" distR="0" wp14:anchorId="6C1D6FAD" wp14:editId="40522347">
            <wp:extent cx="4924655" cy="4591050"/>
            <wp:effectExtent l="19050" t="19050" r="28575" b="1905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cut_5_Photo_Mosaic_With_GR_Overlay.jpg"/>
                    <pic:cNvPicPr/>
                  </pic:nvPicPr>
                  <pic:blipFill rotWithShape="1">
                    <a:blip r:embed="rId118" cstate="print">
                      <a:extLst>
                        <a:ext uri="{28A0092B-C50C-407E-A947-70E740481C1C}">
                          <a14:useLocalDpi xmlns:a14="http://schemas.microsoft.com/office/drawing/2010/main" val="0"/>
                        </a:ext>
                      </a:extLst>
                    </a:blip>
                    <a:srcRect l="2867" r="3596"/>
                    <a:stretch/>
                  </pic:blipFill>
                  <pic:spPr bwMode="auto">
                    <a:xfrm>
                      <a:off x="0" y="0"/>
                      <a:ext cx="4925862" cy="459217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8</w:t>
      </w:r>
      <w:r w:rsidRPr="00C95C28">
        <w:rPr>
          <w:rFonts w:ascii="Times New Roman" w:hAnsi="Times New Roman"/>
          <w:b/>
          <w:sz w:val="23"/>
          <w:szCs w:val="23"/>
        </w:rPr>
        <w:t>.</w:t>
      </w:r>
      <w:proofErr w:type="gramEnd"/>
      <w:r>
        <w:rPr>
          <w:rFonts w:ascii="Times New Roman" w:eastAsia="AGaramond-Regular" w:hAnsi="Times New Roman"/>
          <w:b/>
        </w:rPr>
        <w:t xml:space="preserve"> Outcrop photo, general description and outcrop gamma ray of the Kirby Roadcut 3 and 4</w:t>
      </w:r>
    </w:p>
    <w:p w:rsidR="00BB2AB0" w:rsidRDefault="00BB2AB0" w:rsidP="00BB2AB0">
      <w:pPr>
        <w:rPr>
          <w:lang w:eastAsia="zh-CN"/>
        </w:rPr>
      </w:pPr>
    </w:p>
    <w:p w:rsidR="00BB2AB0" w:rsidRDefault="00BB2AB0" w:rsidP="00BB2AB0">
      <w:pPr>
        <w:rPr>
          <w:lang w:eastAsia="zh-CN"/>
        </w:rPr>
      </w:pPr>
    </w:p>
    <w:p w:rsidR="00BB2AB0" w:rsidRDefault="00BB2AB0" w:rsidP="00BB2AB0">
      <w:pPr>
        <w:rPr>
          <w:lang w:eastAsia="zh-CN"/>
        </w:rPr>
      </w:pPr>
    </w:p>
    <w:p w:rsidR="00BB2AB0" w:rsidRDefault="00BB2AB0" w:rsidP="00AA3504">
      <w:pPr>
        <w:spacing w:after="200" w:line="276" w:lineRule="auto"/>
        <w:jc w:val="center"/>
        <w:rPr>
          <w:lang w:eastAsia="zh-CN"/>
        </w:rPr>
      </w:pPr>
      <w:r>
        <w:rPr>
          <w:lang w:eastAsia="zh-CN"/>
        </w:rPr>
        <w:br w:type="page"/>
      </w:r>
      <w:r>
        <w:rPr>
          <w:noProof/>
          <w:lang w:bidi="ar-SA"/>
        </w:rPr>
        <w:lastRenderedPageBreak/>
        <w:drawing>
          <wp:inline distT="0" distB="0" distL="0" distR="0" wp14:anchorId="2A203622" wp14:editId="30C979F0">
            <wp:extent cx="6493443" cy="5123455"/>
            <wp:effectExtent l="0" t="952" r="2222" b="2223"/>
            <wp:docPr id="37" name="图片 37" descr="E:\课题\Past Projects\Correlation beterrn quarry and roadcu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课题\Past Projects\Correlation beterrn quarry and roadcuts.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rot="16200000">
                      <a:off x="0" y="0"/>
                      <a:ext cx="6495275" cy="5124901"/>
                    </a:xfrm>
                    <a:prstGeom prst="rect">
                      <a:avLst/>
                    </a:prstGeom>
                    <a:noFill/>
                    <a:ln>
                      <a:noFill/>
                    </a:ln>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9</w:t>
      </w:r>
      <w:r w:rsidRPr="00C95C28">
        <w:rPr>
          <w:rFonts w:ascii="Times New Roman" w:hAnsi="Times New Roman"/>
          <w:b/>
          <w:sz w:val="23"/>
          <w:szCs w:val="23"/>
        </w:rPr>
        <w:t>.</w:t>
      </w:r>
      <w:proofErr w:type="gramEnd"/>
      <w:r>
        <w:rPr>
          <w:rFonts w:ascii="Times New Roman" w:eastAsia="AGaramond-Regular" w:hAnsi="Times New Roman"/>
          <w:b/>
        </w:rPr>
        <w:t xml:space="preserve"> Satellite image (Google Earth) showing the relationship between the Baumgartner Quarry and the Kirby Roadcuts, for locations see Figure 2.3</w:t>
      </w:r>
    </w:p>
    <w:p w:rsidR="00BB2AB0" w:rsidRDefault="00BB2AB0" w:rsidP="00BB2AB0">
      <w:pPr>
        <w:spacing w:after="200" w:line="276" w:lineRule="auto"/>
        <w:rPr>
          <w:lang w:eastAsia="zh-CN"/>
        </w:rPr>
      </w:pPr>
    </w:p>
    <w:p w:rsidR="00BB2AB0" w:rsidRDefault="00BB2AB0" w:rsidP="00BB2AB0">
      <w:pPr>
        <w:spacing w:after="200" w:line="276" w:lineRule="auto"/>
        <w:rPr>
          <w:lang w:eastAsia="zh-CN"/>
        </w:rPr>
      </w:pPr>
    </w:p>
    <w:p w:rsidR="00BB2AB0" w:rsidRDefault="00BB2AB0" w:rsidP="00AA3504">
      <w:pPr>
        <w:jc w:val="center"/>
        <w:rPr>
          <w:lang w:eastAsia="zh-CN"/>
        </w:rPr>
      </w:pPr>
      <w:r>
        <w:rPr>
          <w:noProof/>
          <w:lang w:bidi="ar-SA"/>
        </w:rPr>
        <w:lastRenderedPageBreak/>
        <w:drawing>
          <wp:inline distT="0" distB="0" distL="0" distR="0" wp14:anchorId="3C57BFE2" wp14:editId="0D6916D3">
            <wp:extent cx="6691921" cy="5114824"/>
            <wp:effectExtent l="7620" t="0" r="2540" b="254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rot="16200000">
                      <a:off x="0" y="0"/>
                      <a:ext cx="6713942" cy="5131655"/>
                    </a:xfrm>
                    <a:prstGeom prst="rect">
                      <a:avLst/>
                    </a:prstGeom>
                    <a:noFill/>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10</w:t>
      </w:r>
      <w:r w:rsidRPr="00C95C28">
        <w:rPr>
          <w:rFonts w:ascii="Times New Roman" w:hAnsi="Times New Roman"/>
          <w:b/>
          <w:sz w:val="23"/>
          <w:szCs w:val="23"/>
        </w:rPr>
        <w:t>.</w:t>
      </w:r>
      <w:proofErr w:type="gramEnd"/>
      <w:r>
        <w:rPr>
          <w:rFonts w:ascii="Times New Roman" w:eastAsia="AGaramond-Regular" w:hAnsi="Times New Roman"/>
          <w:b/>
        </w:rPr>
        <w:t xml:space="preserve"> Outcrop photo of the BQ_Section_2 on the hill of Baumgartner Quarry and Kirby Roadcut 7, the sandstones in these two sections are mostly with scoured surfaces.</w:t>
      </w:r>
    </w:p>
    <w:p w:rsidR="00BB2AB0" w:rsidRDefault="00BB2AB0" w:rsidP="00BB2AB0">
      <w:pPr>
        <w:jc w:val="center"/>
        <w:rPr>
          <w:lang w:eastAsia="zh-CN"/>
        </w:rPr>
      </w:pPr>
    </w:p>
    <w:p w:rsidR="00BB2AB0" w:rsidRPr="001461F0" w:rsidRDefault="00BB2AB0" w:rsidP="00BB2AB0">
      <w:pPr>
        <w:jc w:val="center"/>
        <w:rPr>
          <w:rFonts w:ascii="Times New Roman" w:hAnsi="Times New Roman"/>
        </w:rPr>
      </w:pPr>
      <w:r>
        <w:rPr>
          <w:rFonts w:ascii="Times New Roman" w:hAnsi="Times New Roman"/>
          <w:noProof/>
          <w:lang w:bidi="ar-SA"/>
        </w:rPr>
        <w:lastRenderedPageBreak/>
        <w:drawing>
          <wp:inline distT="0" distB="0" distL="0" distR="0" wp14:anchorId="139D4857" wp14:editId="13ECE11D">
            <wp:extent cx="5083977" cy="6083935"/>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by Section Only_Middle_Jackfork_New_v2.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083977" cy="6083935"/>
                    </a:xfrm>
                    <a:prstGeom prst="rect">
                      <a:avLst/>
                    </a:prstGeom>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11</w:t>
      </w:r>
      <w:r w:rsidRPr="001461F0">
        <w:rPr>
          <w:rFonts w:ascii="Times New Roman" w:hAnsi="Times New Roman"/>
          <w:sz w:val="23"/>
          <w:szCs w:val="23"/>
        </w:rPr>
        <w:t>.</w:t>
      </w:r>
      <w:r w:rsidRPr="001461F0">
        <w:rPr>
          <w:rFonts w:ascii="Times New Roman" w:eastAsia="AGaramond-Regular" w:hAnsi="Times New Roman"/>
        </w:rPr>
        <w:t>Measured sections and interpretation (depositional model, environments, and relative sea-level) of the Middle Jackfork Group in the Kirby sections. See Figure 2</w:t>
      </w:r>
      <w:r w:rsidRPr="001461F0">
        <w:rPr>
          <w:rFonts w:ascii="Times New Roman" w:eastAsia="AGaramond-Regular" w:hAnsi="Times New Roman"/>
          <w:lang w:eastAsia="zh-CN"/>
        </w:rPr>
        <w:t>.</w:t>
      </w:r>
      <w:r w:rsidRPr="001461F0">
        <w:rPr>
          <w:rFonts w:ascii="Times New Roman" w:eastAsia="AGaramond-Regular" w:hAnsi="Times New Roman"/>
        </w:rPr>
        <w:t>3 for locations. Locations of shale samples are marked as arrows.</w:t>
      </w:r>
    </w:p>
    <w:p w:rsidR="00BB2AB0" w:rsidRDefault="00BB2AB0" w:rsidP="00BB2AB0">
      <w:pPr>
        <w:jc w:val="center"/>
        <w:rPr>
          <w:lang w:eastAsia="zh-CN"/>
        </w:rPr>
      </w:pPr>
    </w:p>
    <w:p w:rsidR="00BB2AB0" w:rsidRDefault="00BB2AB0" w:rsidP="00AA3504">
      <w:pPr>
        <w:spacing w:after="200" w:line="276" w:lineRule="auto"/>
        <w:jc w:val="center"/>
        <w:rPr>
          <w:lang w:eastAsia="zh-CN"/>
        </w:rPr>
      </w:pPr>
      <w:r w:rsidRPr="006D3B3B">
        <w:rPr>
          <w:noProof/>
          <w:lang w:bidi="ar-SA"/>
        </w:rPr>
        <w:lastRenderedPageBreak/>
        <w:drawing>
          <wp:inline distT="0" distB="0" distL="0" distR="0" wp14:anchorId="0184CF29" wp14:editId="5F0BFF28">
            <wp:extent cx="6477571" cy="5091982"/>
            <wp:effectExtent l="64135" t="50165" r="121285" b="12128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rot="16200000">
                      <a:off x="0" y="0"/>
                      <a:ext cx="6482591" cy="5095928"/>
                    </a:xfrm>
                    <a:prstGeom prst="rect">
                      <a:avLst/>
                    </a:prstGeom>
                    <a:noFill/>
                    <a:ln w="19050">
                      <a:solidFill>
                        <a:schemeClr val="tx1"/>
                      </a:solidFill>
                    </a:ln>
                    <a:effectLst>
                      <a:outerShdw blurRad="50800" dist="38100" dir="2700000" algn="tl" rotWithShape="0">
                        <a:prstClr val="black">
                          <a:alpha val="40000"/>
                        </a:prstClr>
                      </a:outerShdw>
                    </a:effectLst>
                  </pic:spPr>
                </pic:pic>
              </a:graphicData>
            </a:graphic>
          </wp:inline>
        </w:drawing>
      </w:r>
    </w:p>
    <w:p w:rsidR="00BB2AB0" w:rsidRPr="001461F0" w:rsidRDefault="00BB2AB0" w:rsidP="00BB2AB0">
      <w:pPr>
        <w:pStyle w:val="Caption"/>
        <w:rPr>
          <w:rFonts w:ascii="Times New Roman" w:hAnsi="Times New Roman"/>
          <w:sz w:val="23"/>
          <w:szCs w:val="23"/>
        </w:rPr>
      </w:pPr>
      <w:proofErr w:type="gramStart"/>
      <w:r w:rsidRPr="001461F0">
        <w:rPr>
          <w:rFonts w:ascii="Times New Roman" w:hAnsi="Times New Roman"/>
          <w:sz w:val="23"/>
          <w:szCs w:val="23"/>
          <w:lang w:eastAsia="zh-CN"/>
        </w:rPr>
        <w:t xml:space="preserve">Table </w:t>
      </w:r>
      <w:r w:rsidRPr="001461F0">
        <w:rPr>
          <w:rFonts w:ascii="Times New Roman" w:hAnsi="Times New Roman"/>
          <w:sz w:val="23"/>
          <w:szCs w:val="23"/>
        </w:rPr>
        <w:t>2.</w:t>
      </w:r>
      <w:r>
        <w:rPr>
          <w:rFonts w:ascii="Times New Roman" w:hAnsi="Times New Roman"/>
          <w:sz w:val="23"/>
          <w:szCs w:val="23"/>
        </w:rPr>
        <w:t>4</w:t>
      </w:r>
      <w:r w:rsidRPr="001461F0">
        <w:rPr>
          <w:rFonts w:ascii="Times New Roman" w:hAnsi="Times New Roman"/>
          <w:sz w:val="23"/>
          <w:szCs w:val="23"/>
        </w:rPr>
        <w:t>.</w:t>
      </w:r>
      <w:r>
        <w:rPr>
          <w:rFonts w:ascii="Times New Roman" w:hAnsi="Times New Roman"/>
          <w:sz w:val="23"/>
          <w:szCs w:val="23"/>
        </w:rPr>
        <w:t>General outcrop description and interpretation of the Middle Jackfork Group in Kirby Sections.</w:t>
      </w:r>
      <w:proofErr w:type="gramEnd"/>
    </w:p>
    <w:p w:rsidR="00BB2AB0" w:rsidRDefault="00BB2AB0" w:rsidP="00BB2AB0">
      <w:pPr>
        <w:spacing w:after="200" w:line="276" w:lineRule="auto"/>
        <w:rPr>
          <w:lang w:eastAsia="zh-CN"/>
        </w:rPr>
      </w:pPr>
    </w:p>
    <w:p w:rsidR="00BB2AB0" w:rsidRDefault="00BB2AB0" w:rsidP="00AA3504">
      <w:pPr>
        <w:spacing w:after="200" w:line="276" w:lineRule="auto"/>
        <w:jc w:val="center"/>
        <w:rPr>
          <w:lang w:eastAsia="zh-CN"/>
        </w:rPr>
      </w:pPr>
      <w:r>
        <w:rPr>
          <w:noProof/>
          <w:lang w:bidi="ar-SA"/>
        </w:rPr>
        <w:lastRenderedPageBreak/>
        <w:drawing>
          <wp:inline distT="0" distB="0" distL="0" distR="0" wp14:anchorId="6A488243" wp14:editId="7ABA3CBF">
            <wp:extent cx="6677019" cy="5111967"/>
            <wp:effectExtent l="127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rot="16200000">
                      <a:off x="0" y="0"/>
                      <a:ext cx="6674449" cy="5110000"/>
                    </a:xfrm>
                    <a:prstGeom prst="rect">
                      <a:avLst/>
                    </a:prstGeom>
                    <a:noFill/>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12</w:t>
      </w:r>
      <w:r w:rsidRPr="00C95C28">
        <w:rPr>
          <w:rFonts w:ascii="Times New Roman" w:hAnsi="Times New Roman"/>
          <w:b/>
          <w:sz w:val="23"/>
          <w:szCs w:val="23"/>
        </w:rPr>
        <w:t>.</w:t>
      </w:r>
      <w:proofErr w:type="gramEnd"/>
      <w:r>
        <w:rPr>
          <w:rFonts w:ascii="Times New Roman" w:eastAsia="AGaramond-Regular" w:hAnsi="Times New Roman"/>
          <w:b/>
        </w:rPr>
        <w:t xml:space="preserve"> Outcrop photo of the Kirby Roadcut 8.</w:t>
      </w:r>
    </w:p>
    <w:p w:rsidR="00BB2AB0" w:rsidRDefault="00BB2AB0" w:rsidP="00AA3504">
      <w:pPr>
        <w:spacing w:after="200" w:line="276" w:lineRule="auto"/>
        <w:jc w:val="center"/>
        <w:rPr>
          <w:lang w:eastAsia="zh-CN"/>
        </w:rPr>
      </w:pPr>
      <w:r>
        <w:rPr>
          <w:noProof/>
          <w:lang w:bidi="ar-SA"/>
        </w:rPr>
        <w:lastRenderedPageBreak/>
        <w:drawing>
          <wp:inline distT="0" distB="0" distL="0" distR="0" wp14:anchorId="55B9679E" wp14:editId="44C8F862">
            <wp:extent cx="6507608" cy="4894502"/>
            <wp:effectExtent l="25717" t="12383" r="14288" b="14287"/>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4">
                      <a:extLst>
                        <a:ext uri="{28A0092B-C50C-407E-A947-70E740481C1C}">
                          <a14:useLocalDpi xmlns:a14="http://schemas.microsoft.com/office/drawing/2010/main" val="0"/>
                        </a:ext>
                      </a:extLst>
                    </a:blip>
                    <a:srcRect l="2786" r="1302"/>
                    <a:stretch/>
                  </pic:blipFill>
                  <pic:spPr bwMode="auto">
                    <a:xfrm rot="16200000">
                      <a:off x="0" y="0"/>
                      <a:ext cx="6517916" cy="490225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13</w:t>
      </w:r>
      <w:r w:rsidRPr="00C95C28">
        <w:rPr>
          <w:rFonts w:ascii="Times New Roman" w:hAnsi="Times New Roman"/>
          <w:b/>
          <w:sz w:val="23"/>
          <w:szCs w:val="23"/>
        </w:rPr>
        <w:t>.</w:t>
      </w:r>
      <w:proofErr w:type="gramEnd"/>
      <w:r>
        <w:rPr>
          <w:rFonts w:ascii="Times New Roman" w:eastAsia="AGaramond-Regular" w:hAnsi="Times New Roman"/>
          <w:b/>
        </w:rPr>
        <w:t xml:space="preserve"> Outcrop photo, general description and outcrop gamma ray of the Kirby Roadcut 9</w:t>
      </w:r>
    </w:p>
    <w:p w:rsidR="00BB2AB0" w:rsidRDefault="00BB2AB0" w:rsidP="00BB2AB0">
      <w:pPr>
        <w:spacing w:after="200" w:line="276" w:lineRule="auto"/>
        <w:rPr>
          <w:lang w:eastAsia="zh-CN"/>
        </w:rPr>
      </w:pPr>
    </w:p>
    <w:p w:rsidR="00BB2AB0" w:rsidRDefault="00BB2AB0" w:rsidP="00AA3504">
      <w:pPr>
        <w:spacing w:after="200" w:line="276" w:lineRule="auto"/>
        <w:jc w:val="center"/>
        <w:rPr>
          <w:lang w:eastAsia="zh-CN"/>
        </w:rPr>
      </w:pPr>
      <w:r>
        <w:rPr>
          <w:rFonts w:hint="eastAsia"/>
          <w:noProof/>
          <w:lang w:bidi="ar-SA"/>
        </w:rPr>
        <w:lastRenderedPageBreak/>
        <w:drawing>
          <wp:inline distT="0" distB="0" distL="0" distR="0" wp14:anchorId="6CED953A" wp14:editId="7182B2CD">
            <wp:extent cx="6248005" cy="4973358"/>
            <wp:effectExtent l="27623" t="10477" r="28257" b="28258"/>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by Section Only_07_Upper_Jackfork_New.jpg"/>
                    <pic:cNvPicPr/>
                  </pic:nvPicPr>
                  <pic:blipFill>
                    <a:blip r:embed="rId125" cstate="print">
                      <a:extLst>
                        <a:ext uri="{28A0092B-C50C-407E-A947-70E740481C1C}">
                          <a14:useLocalDpi xmlns:a14="http://schemas.microsoft.com/office/drawing/2010/main" val="0"/>
                        </a:ext>
                      </a:extLst>
                    </a:blip>
                    <a:stretch>
                      <a:fillRect/>
                    </a:stretch>
                  </pic:blipFill>
                  <pic:spPr>
                    <a:xfrm rot="16200000">
                      <a:off x="0" y="0"/>
                      <a:ext cx="6272344" cy="4992732"/>
                    </a:xfrm>
                    <a:prstGeom prst="rect">
                      <a:avLst/>
                    </a:prstGeom>
                    <a:ln w="12700">
                      <a:solidFill>
                        <a:schemeClr val="tx1"/>
                      </a:solidFill>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14</w:t>
      </w:r>
      <w:r w:rsidRPr="001461F0">
        <w:rPr>
          <w:rFonts w:ascii="Times New Roman" w:hAnsi="Times New Roman"/>
          <w:sz w:val="23"/>
          <w:szCs w:val="23"/>
        </w:rPr>
        <w:t>.</w:t>
      </w:r>
      <w:r w:rsidRPr="001461F0">
        <w:rPr>
          <w:rFonts w:ascii="Times New Roman" w:eastAsia="AGaramond-Regular" w:hAnsi="Times New Roman"/>
        </w:rPr>
        <w:t>Measured sections and interpretation (depositional model, environments, and relative sea-level) of the Middle Jackfork Group in the Kirby sections. See Figure 2</w:t>
      </w:r>
      <w:r w:rsidRPr="001461F0">
        <w:rPr>
          <w:rFonts w:ascii="Times New Roman" w:eastAsia="AGaramond-Regular" w:hAnsi="Times New Roman"/>
          <w:lang w:eastAsia="zh-CN"/>
        </w:rPr>
        <w:t>.</w:t>
      </w:r>
      <w:r w:rsidRPr="001461F0">
        <w:rPr>
          <w:rFonts w:ascii="Times New Roman" w:eastAsia="AGaramond-Regular" w:hAnsi="Times New Roman"/>
        </w:rPr>
        <w:t>3 for locations. Locations of shale samples are marked as arrows.</w:t>
      </w:r>
    </w:p>
    <w:p w:rsidR="00BB2AB0" w:rsidRDefault="00BB2AB0" w:rsidP="00BB2AB0">
      <w:pPr>
        <w:spacing w:after="200" w:line="276" w:lineRule="auto"/>
        <w:rPr>
          <w:lang w:eastAsia="zh-CN"/>
        </w:rPr>
      </w:pPr>
    </w:p>
    <w:p w:rsidR="00BB2AB0" w:rsidRDefault="00BB2AB0" w:rsidP="00BB2AB0">
      <w:pPr>
        <w:spacing w:after="200" w:line="276" w:lineRule="auto"/>
        <w:jc w:val="center"/>
      </w:pPr>
      <w:r w:rsidRPr="003825FB">
        <w:rPr>
          <w:noProof/>
          <w:lang w:bidi="ar-SA"/>
        </w:rPr>
        <w:lastRenderedPageBreak/>
        <w:drawing>
          <wp:inline distT="0" distB="0" distL="0" distR="0" wp14:anchorId="3E124F7E" wp14:editId="5F8079B3">
            <wp:extent cx="7369733" cy="5105583"/>
            <wp:effectExtent l="26988" t="11112" r="11112" b="11113"/>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rot="16200000">
                      <a:off x="0" y="0"/>
                      <a:ext cx="7381615" cy="5113815"/>
                    </a:xfrm>
                    <a:prstGeom prst="rect">
                      <a:avLst/>
                    </a:prstGeom>
                    <a:noFill/>
                    <a:ln>
                      <a:solidFill>
                        <a:schemeClr val="tx1"/>
                      </a:solidFill>
                    </a:ln>
                  </pic:spPr>
                </pic:pic>
              </a:graphicData>
            </a:graphic>
          </wp:inline>
        </w:drawing>
      </w:r>
    </w:p>
    <w:p w:rsidR="00BB2AB0" w:rsidRPr="001461F0" w:rsidRDefault="00BB2AB0" w:rsidP="00BB2AB0">
      <w:pPr>
        <w:pStyle w:val="Caption"/>
        <w:rPr>
          <w:rFonts w:ascii="Times New Roman" w:hAnsi="Times New Roman"/>
          <w:sz w:val="23"/>
          <w:szCs w:val="23"/>
        </w:rPr>
      </w:pPr>
      <w:proofErr w:type="gramStart"/>
      <w:r w:rsidRPr="001461F0">
        <w:rPr>
          <w:rFonts w:ascii="Times New Roman" w:hAnsi="Times New Roman"/>
          <w:sz w:val="23"/>
          <w:szCs w:val="23"/>
          <w:lang w:eastAsia="zh-CN"/>
        </w:rPr>
        <w:t xml:space="preserve">Table </w:t>
      </w:r>
      <w:r w:rsidRPr="001461F0">
        <w:rPr>
          <w:rFonts w:ascii="Times New Roman" w:hAnsi="Times New Roman"/>
          <w:sz w:val="23"/>
          <w:szCs w:val="23"/>
        </w:rPr>
        <w:t>2.</w:t>
      </w:r>
      <w:r>
        <w:rPr>
          <w:rFonts w:ascii="Times New Roman" w:hAnsi="Times New Roman"/>
          <w:sz w:val="23"/>
          <w:szCs w:val="23"/>
        </w:rPr>
        <w:t>5</w:t>
      </w:r>
      <w:r w:rsidRPr="001461F0">
        <w:rPr>
          <w:rFonts w:ascii="Times New Roman" w:hAnsi="Times New Roman"/>
          <w:sz w:val="23"/>
          <w:szCs w:val="23"/>
        </w:rPr>
        <w:t>.</w:t>
      </w:r>
      <w:r>
        <w:rPr>
          <w:rFonts w:ascii="Times New Roman" w:hAnsi="Times New Roman"/>
          <w:sz w:val="23"/>
          <w:szCs w:val="23"/>
        </w:rPr>
        <w:t>General outcrop description and interpretation of the Johns Valley Shale in Kirby Sections.</w:t>
      </w:r>
      <w:proofErr w:type="gramEnd"/>
    </w:p>
    <w:p w:rsidR="00BB2AB0" w:rsidRDefault="00BB2AB0" w:rsidP="00BB2AB0">
      <w:pPr>
        <w:jc w:val="center"/>
        <w:rPr>
          <w:rFonts w:ascii="Times New Roman" w:hAnsi="Times New Roman"/>
          <w:lang w:eastAsia="zh-CN"/>
        </w:rPr>
      </w:pPr>
      <w:r>
        <w:rPr>
          <w:rFonts w:ascii="Times New Roman" w:hAnsi="Times New Roman"/>
          <w:noProof/>
          <w:lang w:bidi="ar-SA"/>
        </w:rPr>
        <w:lastRenderedPageBreak/>
        <w:drawing>
          <wp:inline distT="0" distB="0" distL="0" distR="0" wp14:anchorId="5EC9BB91" wp14:editId="7C2D86F5">
            <wp:extent cx="6949475" cy="5034398"/>
            <wp:effectExtent l="24130" t="13970" r="27940" b="279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1931" t="3117" r="1149" b="946"/>
                    <a:stretch/>
                  </pic:blipFill>
                  <pic:spPr bwMode="auto">
                    <a:xfrm rot="16200000">
                      <a:off x="0" y="0"/>
                      <a:ext cx="6970346" cy="504951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B2AB0" w:rsidRPr="00C95C28" w:rsidRDefault="00BB2AB0" w:rsidP="00BB2AB0">
      <w:pPr>
        <w:spacing w:line="240" w:lineRule="auto"/>
        <w:rPr>
          <w:b/>
          <w:lang w:eastAsia="zh-CN"/>
        </w:rPr>
      </w:pPr>
      <w:proofErr w:type="gramStart"/>
      <w:r w:rsidRPr="00C95C28">
        <w:rPr>
          <w:rFonts w:ascii="Times New Roman" w:hAnsi="Times New Roman"/>
          <w:b/>
          <w:sz w:val="23"/>
          <w:szCs w:val="23"/>
        </w:rPr>
        <w:t xml:space="preserve">Figure </w:t>
      </w:r>
      <w:r w:rsidRPr="00C95C28">
        <w:rPr>
          <w:rFonts w:ascii="Times New Roman" w:hAnsi="Times New Roman"/>
          <w:b/>
          <w:sz w:val="23"/>
          <w:szCs w:val="23"/>
          <w:lang w:eastAsia="zh-CN"/>
        </w:rPr>
        <w:t>2</w:t>
      </w:r>
      <w:r w:rsidRPr="00C95C28">
        <w:rPr>
          <w:rFonts w:ascii="Times New Roman" w:hAnsi="Times New Roman"/>
          <w:b/>
          <w:sz w:val="23"/>
          <w:szCs w:val="23"/>
        </w:rPr>
        <w:t>.</w:t>
      </w:r>
      <w:r>
        <w:rPr>
          <w:rFonts w:ascii="Times New Roman" w:hAnsi="Times New Roman"/>
          <w:b/>
          <w:sz w:val="23"/>
          <w:szCs w:val="23"/>
        </w:rPr>
        <w:t>15</w:t>
      </w:r>
      <w:r w:rsidRPr="00C95C28">
        <w:rPr>
          <w:rFonts w:ascii="Times New Roman" w:hAnsi="Times New Roman"/>
          <w:b/>
          <w:sz w:val="23"/>
          <w:szCs w:val="23"/>
        </w:rPr>
        <w:t>.</w:t>
      </w:r>
      <w:proofErr w:type="gramEnd"/>
      <w:r>
        <w:rPr>
          <w:rFonts w:ascii="Times New Roman" w:eastAsia="AGaramond-Regular" w:hAnsi="Times New Roman"/>
          <w:b/>
        </w:rPr>
        <w:t xml:space="preserve"> Outcrop photo of the Johns Valley Shale</w:t>
      </w:r>
    </w:p>
    <w:p w:rsidR="00BB2AB0" w:rsidRDefault="00BB2AB0" w:rsidP="00BB2AB0">
      <w:pPr>
        <w:jc w:val="center"/>
        <w:rPr>
          <w:rFonts w:ascii="Times New Roman" w:hAnsi="Times New Roman"/>
          <w:lang w:eastAsia="zh-CN"/>
        </w:rPr>
      </w:pPr>
    </w:p>
    <w:p w:rsidR="00BB2AB0" w:rsidRDefault="00BB2AB0" w:rsidP="00EA0A21">
      <w:pPr>
        <w:jc w:val="center"/>
        <w:rPr>
          <w:rFonts w:ascii="Times New Roman" w:hAnsi="Times New Roman"/>
          <w:noProof/>
          <w:lang w:eastAsia="zh-CN" w:bidi="ar-SA"/>
        </w:rPr>
      </w:pPr>
      <w:r>
        <w:rPr>
          <w:rFonts w:ascii="Times New Roman" w:hAnsi="Times New Roman" w:hint="eastAsia"/>
          <w:noProof/>
          <w:lang w:bidi="ar-SA"/>
        </w:rPr>
        <w:lastRenderedPageBreak/>
        <w:drawing>
          <wp:inline distT="0" distB="0" distL="0" distR="0" wp14:anchorId="799F6AAC" wp14:editId="73CC4A7B">
            <wp:extent cx="6064524" cy="4992220"/>
            <wp:effectExtent l="21907" t="16193" r="15558" b="15557"/>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by Section Only_06_Johns Valley_New.jpg"/>
                    <pic:cNvPicPr/>
                  </pic:nvPicPr>
                  <pic:blipFill>
                    <a:blip r:embed="rId128" cstate="print">
                      <a:extLst>
                        <a:ext uri="{28A0092B-C50C-407E-A947-70E740481C1C}">
                          <a14:useLocalDpi xmlns:a14="http://schemas.microsoft.com/office/drawing/2010/main" val="0"/>
                        </a:ext>
                      </a:extLst>
                    </a:blip>
                    <a:stretch>
                      <a:fillRect/>
                    </a:stretch>
                  </pic:blipFill>
                  <pic:spPr>
                    <a:xfrm rot="16200000">
                      <a:off x="0" y="0"/>
                      <a:ext cx="6081603" cy="5006279"/>
                    </a:xfrm>
                    <a:prstGeom prst="rect">
                      <a:avLst/>
                    </a:prstGeom>
                    <a:ln>
                      <a:solidFill>
                        <a:schemeClr val="tx1"/>
                      </a:solidFill>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1</w:t>
      </w:r>
      <w:r w:rsidRPr="001461F0">
        <w:rPr>
          <w:rFonts w:ascii="Times New Roman" w:hAnsi="Times New Roman"/>
          <w:sz w:val="23"/>
          <w:szCs w:val="23"/>
          <w:lang w:eastAsia="zh-CN"/>
        </w:rPr>
        <w:t>6</w:t>
      </w:r>
      <w:r w:rsidRPr="001461F0">
        <w:rPr>
          <w:rFonts w:ascii="Times New Roman" w:hAnsi="Times New Roman"/>
          <w:sz w:val="23"/>
          <w:szCs w:val="23"/>
        </w:rPr>
        <w:t>.</w:t>
      </w:r>
      <w:r w:rsidRPr="001461F0">
        <w:rPr>
          <w:rFonts w:ascii="Times New Roman" w:eastAsia="AGaramond-Regular" w:hAnsi="Times New Roman"/>
        </w:rPr>
        <w:t xml:space="preserve">Measured sections and interpretation (depositional model, environments, and relative sea-level) of the </w:t>
      </w:r>
      <w:r>
        <w:rPr>
          <w:rFonts w:ascii="Times New Roman" w:eastAsia="AGaramond-Regular" w:hAnsi="Times New Roman"/>
        </w:rPr>
        <w:t>Johns Valley Shale</w:t>
      </w:r>
      <w:r w:rsidRPr="001461F0">
        <w:rPr>
          <w:rFonts w:ascii="Times New Roman" w:eastAsia="AGaramond-Regular" w:hAnsi="Times New Roman"/>
        </w:rPr>
        <w:t xml:space="preserve"> in the Kirby sections. See Figure 2</w:t>
      </w:r>
      <w:r w:rsidRPr="001461F0">
        <w:rPr>
          <w:rFonts w:ascii="Times New Roman" w:eastAsia="AGaramond-Regular" w:hAnsi="Times New Roman"/>
          <w:lang w:eastAsia="zh-CN"/>
        </w:rPr>
        <w:t>.</w:t>
      </w:r>
      <w:r w:rsidRPr="001461F0">
        <w:rPr>
          <w:rFonts w:ascii="Times New Roman" w:eastAsia="AGaramond-Regular" w:hAnsi="Times New Roman"/>
        </w:rPr>
        <w:t>3 for locations. Locations of shale samples are marked as arrows.</w:t>
      </w:r>
    </w:p>
    <w:p w:rsidR="00BB2AB0" w:rsidRDefault="00BB2AB0" w:rsidP="00BB2AB0">
      <w:pPr>
        <w:rPr>
          <w:rFonts w:ascii="Times New Roman" w:hAnsi="Times New Roman"/>
          <w:noProof/>
          <w:lang w:eastAsia="zh-CN" w:bidi="ar-SA"/>
        </w:rPr>
      </w:pPr>
    </w:p>
    <w:p w:rsidR="00BB2AB0" w:rsidRPr="001461F0" w:rsidRDefault="00BB2AB0" w:rsidP="00BB2AB0">
      <w:pPr>
        <w:rPr>
          <w:rFonts w:ascii="Times New Roman" w:hAnsi="Times New Roman"/>
        </w:rPr>
      </w:pPr>
    </w:p>
    <w:p w:rsidR="00BB2AB0" w:rsidRPr="001461F0" w:rsidRDefault="00BB2AB0" w:rsidP="00EA0A21">
      <w:pPr>
        <w:jc w:val="center"/>
        <w:rPr>
          <w:rFonts w:ascii="Times New Roman" w:hAnsi="Times New Roman"/>
        </w:rPr>
      </w:pPr>
      <w:r w:rsidRPr="001461F0">
        <w:rPr>
          <w:rFonts w:ascii="Times New Roman" w:hAnsi="Times New Roman"/>
          <w:noProof/>
          <w:lang w:bidi="ar-SA"/>
        </w:rPr>
        <w:lastRenderedPageBreak/>
        <w:drawing>
          <wp:inline distT="0" distB="0" distL="0" distR="0" wp14:anchorId="7F525694" wp14:editId="14D05C63">
            <wp:extent cx="5006340" cy="2648430"/>
            <wp:effectExtent l="19050" t="19050" r="22860" b="19050"/>
            <wp:docPr id="63" name="图片 3" descr="Paleo Stratigraphy Maps_After Sune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o Stratigraphy Maps_After Suneson.png"/>
                    <pic:cNvPicPr/>
                  </pic:nvPicPr>
                  <pic:blipFill>
                    <a:blip r:embed="rId129" cstate="print"/>
                    <a:stretch>
                      <a:fillRect/>
                    </a:stretch>
                  </pic:blipFill>
                  <pic:spPr>
                    <a:xfrm>
                      <a:off x="0" y="0"/>
                      <a:ext cx="5005201" cy="2647827"/>
                    </a:xfrm>
                    <a:prstGeom prst="rect">
                      <a:avLst/>
                    </a:prstGeom>
                    <a:ln>
                      <a:solidFill>
                        <a:schemeClr val="tx1"/>
                      </a:solidFill>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1</w:t>
      </w:r>
      <w:r w:rsidRPr="001461F0">
        <w:rPr>
          <w:rFonts w:ascii="Times New Roman" w:hAnsi="Times New Roman"/>
          <w:sz w:val="23"/>
          <w:szCs w:val="23"/>
          <w:lang w:eastAsia="zh-CN"/>
        </w:rPr>
        <w:t>7</w:t>
      </w:r>
      <w:r w:rsidRPr="001461F0">
        <w:rPr>
          <w:rFonts w:ascii="Times New Roman" w:hAnsi="Times New Roman"/>
          <w:sz w:val="23"/>
          <w:szCs w:val="23"/>
        </w:rPr>
        <w:t>.</w:t>
      </w:r>
      <w:r w:rsidRPr="001461F0">
        <w:rPr>
          <w:rFonts w:ascii="Times New Roman" w:eastAsia="AGaramond-Regular" w:hAnsi="Times New Roman"/>
        </w:rPr>
        <w:t>Paleogeography map of the Jackfork Group with key outcrop correlations, (Modified from Morris, 1971 and Pauli, 1994).</w:t>
      </w:r>
    </w:p>
    <w:p w:rsidR="00BB2AB0" w:rsidRPr="001461F0" w:rsidRDefault="00BB2AB0" w:rsidP="00BB2AB0">
      <w:pPr>
        <w:rPr>
          <w:rFonts w:ascii="Times New Roman" w:hAnsi="Times New Roman"/>
        </w:rPr>
      </w:pPr>
    </w:p>
    <w:p w:rsidR="00BB2AB0" w:rsidRPr="001461F0" w:rsidRDefault="00BB2AB0" w:rsidP="00BB2AB0">
      <w:pPr>
        <w:spacing w:line="240" w:lineRule="auto"/>
        <w:rPr>
          <w:rFonts w:ascii="Times New Roman" w:hAnsi="Times New Roman"/>
        </w:rPr>
      </w:pPr>
      <w:r w:rsidRPr="001461F0">
        <w:rPr>
          <w:rFonts w:ascii="Times New Roman" w:hAnsi="Times New Roman"/>
        </w:rPr>
        <w:br w:type="page"/>
      </w:r>
    </w:p>
    <w:p w:rsidR="00BB2AB0" w:rsidRPr="001461F0" w:rsidRDefault="00BB2AB0" w:rsidP="00EA0A21">
      <w:pPr>
        <w:jc w:val="center"/>
        <w:rPr>
          <w:rFonts w:ascii="Times New Roman" w:hAnsi="Times New Roman"/>
        </w:rPr>
      </w:pPr>
      <w:r w:rsidRPr="001461F0">
        <w:rPr>
          <w:rFonts w:ascii="Times New Roman" w:hAnsi="Times New Roman"/>
          <w:noProof/>
          <w:lang w:bidi="ar-SA"/>
        </w:rPr>
        <w:lastRenderedPageBreak/>
        <w:drawing>
          <wp:inline distT="0" distB="0" distL="0" distR="0" wp14:anchorId="1874F5BE" wp14:editId="5A044134">
            <wp:extent cx="5017758" cy="7083218"/>
            <wp:effectExtent l="19050" t="0" r="0" b="0"/>
            <wp:docPr id="1030" name="图片 7" descr="Rex Timber Well Correlation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x Timber Well Correlation_06.png"/>
                    <pic:cNvPicPr/>
                  </pic:nvPicPr>
                  <pic:blipFill>
                    <a:blip r:embed="rId130" cstate="print"/>
                    <a:stretch>
                      <a:fillRect/>
                    </a:stretch>
                  </pic:blipFill>
                  <pic:spPr>
                    <a:xfrm>
                      <a:off x="0" y="0"/>
                      <a:ext cx="5020522" cy="7087119"/>
                    </a:xfrm>
                    <a:prstGeom prst="rect">
                      <a:avLst/>
                    </a:prstGeom>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1</w:t>
      </w:r>
      <w:r w:rsidRPr="001461F0">
        <w:rPr>
          <w:rFonts w:ascii="Times New Roman" w:hAnsi="Times New Roman"/>
          <w:sz w:val="23"/>
          <w:szCs w:val="23"/>
          <w:lang w:eastAsia="zh-CN"/>
        </w:rPr>
        <w:t>8-A</w:t>
      </w:r>
      <w:r w:rsidRPr="001461F0">
        <w:rPr>
          <w:rFonts w:ascii="Times New Roman" w:hAnsi="Times New Roman"/>
          <w:sz w:val="23"/>
          <w:szCs w:val="23"/>
        </w:rPr>
        <w:t>.</w:t>
      </w:r>
      <w:r w:rsidRPr="001461F0">
        <w:rPr>
          <w:rFonts w:ascii="Times New Roman" w:eastAsia="AGaramond-Regular" w:hAnsi="Times New Roman"/>
        </w:rPr>
        <w:t>An overview of Jackfork Group outcrops in the DeGray Lake area,</w:t>
      </w:r>
    </w:p>
    <w:p w:rsidR="00BB2AB0" w:rsidRPr="001461F0" w:rsidRDefault="00BB2AB0" w:rsidP="00BB2AB0">
      <w:pPr>
        <w:spacing w:line="240" w:lineRule="auto"/>
        <w:rPr>
          <w:rFonts w:ascii="Times New Roman" w:hAnsi="Times New Roman"/>
        </w:rPr>
      </w:pPr>
      <w:r w:rsidRPr="001461F0">
        <w:rPr>
          <w:rFonts w:ascii="Times New Roman" w:hAnsi="Times New Roman"/>
        </w:rPr>
        <w:br w:type="page"/>
      </w:r>
    </w:p>
    <w:p w:rsidR="00BB2AB0" w:rsidRPr="001461F0" w:rsidRDefault="00BB2AB0" w:rsidP="00EA0A21">
      <w:pPr>
        <w:jc w:val="center"/>
        <w:rPr>
          <w:rFonts w:ascii="Times New Roman" w:hAnsi="Times New Roman"/>
        </w:rPr>
      </w:pPr>
      <w:r w:rsidRPr="001461F0">
        <w:rPr>
          <w:rFonts w:ascii="Times New Roman" w:hAnsi="Times New Roman"/>
          <w:noProof/>
          <w:lang w:bidi="ar-SA"/>
        </w:rPr>
        <w:lastRenderedPageBreak/>
        <w:drawing>
          <wp:inline distT="0" distB="0" distL="0" distR="0" wp14:anchorId="70465728" wp14:editId="558A8F9E">
            <wp:extent cx="5107937" cy="7071360"/>
            <wp:effectExtent l="19050" t="0" r="0" b="0"/>
            <wp:docPr id="1031" name="图片 2" descr="C:\Users\Fuge Zou\Desktop\Rex Timber Well Correlation_06_Par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uge Zou\Desktop\Rex Timber Well Correlation_06_Part_2.jpg"/>
                    <pic:cNvPicPr>
                      <a:picLocks noChangeAspect="1" noChangeArrowheads="1"/>
                    </pic:cNvPicPr>
                  </pic:nvPicPr>
                  <pic:blipFill>
                    <a:blip r:embed="rId131" cstate="print"/>
                    <a:srcRect/>
                    <a:stretch>
                      <a:fillRect/>
                    </a:stretch>
                  </pic:blipFill>
                  <pic:spPr bwMode="auto">
                    <a:xfrm>
                      <a:off x="0" y="0"/>
                      <a:ext cx="5105400" cy="7067848"/>
                    </a:xfrm>
                    <a:prstGeom prst="rect">
                      <a:avLst/>
                    </a:prstGeom>
                    <a:noFill/>
                    <a:ln w="9525">
                      <a:noFill/>
                      <a:miter lim="800000"/>
                      <a:headEnd/>
                      <a:tailEnd/>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1</w:t>
      </w:r>
      <w:r w:rsidRPr="001461F0">
        <w:rPr>
          <w:rFonts w:ascii="Times New Roman" w:hAnsi="Times New Roman"/>
          <w:sz w:val="23"/>
          <w:szCs w:val="23"/>
          <w:lang w:eastAsia="zh-CN"/>
        </w:rPr>
        <w:t>8-B</w:t>
      </w:r>
      <w:r w:rsidRPr="001461F0">
        <w:rPr>
          <w:rFonts w:ascii="Times New Roman" w:hAnsi="Times New Roman"/>
          <w:sz w:val="23"/>
          <w:szCs w:val="23"/>
        </w:rPr>
        <w:t>.</w:t>
      </w:r>
      <w:r w:rsidRPr="001461F0">
        <w:rPr>
          <w:rFonts w:ascii="Times New Roman" w:eastAsia="AGaramond-Regular" w:hAnsi="Times New Roman"/>
        </w:rPr>
        <w:t xml:space="preserve">The measured sections in the DeGray Lake area, including Highway 7, DeGray Lake Spillway, Intake, Power Dam sections and Friendship roadcut (from Slatt </w:t>
      </w:r>
      <w:r w:rsidR="00880C6B" w:rsidRPr="00880C6B">
        <w:rPr>
          <w:rFonts w:ascii="Times New Roman" w:eastAsia="AGaramond-Regular" w:hAnsi="Times New Roman"/>
          <w:i/>
        </w:rPr>
        <w:t>et al.</w:t>
      </w:r>
      <w:r w:rsidRPr="001461F0">
        <w:rPr>
          <w:rFonts w:ascii="Times New Roman" w:eastAsia="AGaramond-Regular" w:hAnsi="Times New Roman"/>
        </w:rPr>
        <w:t>, 2000a). Locations of shale samples are marked as arrows.</w:t>
      </w:r>
    </w:p>
    <w:p w:rsidR="00BB2AB0" w:rsidRPr="001461F0" w:rsidRDefault="00BB2AB0" w:rsidP="00BB2AB0">
      <w:pPr>
        <w:spacing w:line="240" w:lineRule="auto"/>
        <w:rPr>
          <w:rFonts w:ascii="Times New Roman" w:hAnsi="Times New Roman"/>
        </w:rPr>
      </w:pPr>
      <w:r w:rsidRPr="001461F0">
        <w:rPr>
          <w:rFonts w:ascii="Times New Roman" w:hAnsi="Times New Roman"/>
        </w:rPr>
        <w:br w:type="page"/>
      </w: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F05246" w:rsidP="00EA0A21">
      <w:pPr>
        <w:jc w:val="center"/>
        <w:rPr>
          <w:rFonts w:ascii="Times New Roman" w:hAnsi="Times New Roman"/>
        </w:rPr>
      </w:pPr>
      <w:r>
        <w:rPr>
          <w:rFonts w:ascii="Times New Roman" w:hAnsi="Times New Roman"/>
          <w:noProof/>
          <w:lang w:bidi="ar-SA"/>
        </w:rPr>
        <w:drawing>
          <wp:inline distT="0" distB="0" distL="0" distR="0" wp14:anchorId="2EA04DC0">
            <wp:extent cx="5113020" cy="4000500"/>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113020" cy="4000500"/>
                    </a:xfrm>
                    <a:prstGeom prst="rect">
                      <a:avLst/>
                    </a:prstGeom>
                    <a:noFill/>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1</w:t>
      </w:r>
      <w:r w:rsidRPr="001461F0">
        <w:rPr>
          <w:rFonts w:ascii="Times New Roman" w:hAnsi="Times New Roman"/>
          <w:sz w:val="23"/>
          <w:szCs w:val="23"/>
          <w:lang w:eastAsia="zh-CN"/>
        </w:rPr>
        <w:t>9</w:t>
      </w:r>
      <w:r w:rsidRPr="001461F0">
        <w:rPr>
          <w:rFonts w:ascii="Times New Roman" w:hAnsi="Times New Roman"/>
          <w:sz w:val="23"/>
          <w:szCs w:val="23"/>
        </w:rPr>
        <w:t>.</w:t>
      </w:r>
      <w:r w:rsidRPr="001461F0">
        <w:rPr>
          <w:rFonts w:ascii="Times New Roman" w:eastAsia="AGaramond-Regular" w:hAnsi="Times New Roman"/>
        </w:rPr>
        <w:t>An overview of Jackfork Group outcrops in the Dierks Spillway area, including west and east walls. Most of the sandstone packages are flat-based, indicating a middle-distal basin-floor fan environment (lower right photo).</w:t>
      </w: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jc w:val="center"/>
        <w:rPr>
          <w:rFonts w:ascii="Times New Roman" w:hAnsi="Times New Roman"/>
        </w:rPr>
      </w:pPr>
      <w:r w:rsidRPr="001461F0">
        <w:rPr>
          <w:rFonts w:ascii="Times New Roman" w:hAnsi="Times New Roman"/>
          <w:noProof/>
          <w:lang w:bidi="ar-SA"/>
        </w:rPr>
        <w:lastRenderedPageBreak/>
        <w:drawing>
          <wp:inline distT="0" distB="0" distL="0" distR="0" wp14:anchorId="12B2D0E7" wp14:editId="7104E25D">
            <wp:extent cx="5073015" cy="5646546"/>
            <wp:effectExtent l="0" t="0" r="0" b="0"/>
            <wp:docPr id="103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3"/>
                    <a:srcRect/>
                    <a:stretch>
                      <a:fillRect/>
                    </a:stretch>
                  </pic:blipFill>
                  <pic:spPr bwMode="auto">
                    <a:xfrm>
                      <a:off x="0" y="0"/>
                      <a:ext cx="5075781" cy="5649625"/>
                    </a:xfrm>
                    <a:prstGeom prst="rect">
                      <a:avLst/>
                    </a:prstGeom>
                    <a:noFill/>
                    <a:ln w="9525">
                      <a:noFill/>
                      <a:miter lim="800000"/>
                      <a:headEnd/>
                      <a:tailEnd/>
                    </a:ln>
                  </pic:spPr>
                </pic:pic>
              </a:graphicData>
            </a:graphic>
          </wp:inline>
        </w:drawing>
      </w:r>
    </w:p>
    <w:p w:rsidR="00BB2AB0" w:rsidRPr="001461F0" w:rsidRDefault="00BB2AB0" w:rsidP="00BB2AB0">
      <w:pPr>
        <w:pStyle w:val="Caption"/>
        <w:rPr>
          <w:rFonts w:ascii="Times New Roman" w:hAnsi="Times New Roman"/>
        </w:rPr>
      </w:pPr>
      <w:proofErr w:type="gramStart"/>
      <w:r w:rsidRPr="001461F0">
        <w:rPr>
          <w:rFonts w:ascii="Times New Roman" w:hAnsi="Times New Roman"/>
          <w:sz w:val="23"/>
          <w:szCs w:val="23"/>
          <w:lang w:eastAsia="zh-CN"/>
        </w:rPr>
        <w:t>Table</w:t>
      </w:r>
      <w:r>
        <w:rPr>
          <w:rFonts w:ascii="Times New Roman" w:hAnsi="Times New Roman"/>
          <w:sz w:val="23"/>
          <w:szCs w:val="23"/>
          <w:lang w:eastAsia="zh-CN"/>
        </w:rPr>
        <w:t xml:space="preserv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rPr>
        <w:t>6</w:t>
      </w:r>
      <w:r w:rsidRPr="001461F0">
        <w:rPr>
          <w:rFonts w:ascii="Times New Roman" w:hAnsi="Times New Roman"/>
          <w:sz w:val="23"/>
          <w:szCs w:val="23"/>
        </w:rPr>
        <w:t>.</w:t>
      </w:r>
      <w:proofErr w:type="gramEnd"/>
      <w:r>
        <w:rPr>
          <w:rFonts w:ascii="Times New Roman" w:hAnsi="Times New Roman"/>
          <w:sz w:val="23"/>
          <w:szCs w:val="23"/>
        </w:rPr>
        <w:t xml:space="preserve"> </w:t>
      </w:r>
      <w:proofErr w:type="gramStart"/>
      <w:r w:rsidRPr="001461F0">
        <w:rPr>
          <w:rFonts w:ascii="Times New Roman" w:eastAsia="AGaramond-Regular" w:hAnsi="Times New Roman"/>
        </w:rPr>
        <w:t>Summary of key chemostrata elements and proxies.</w:t>
      </w:r>
      <w:proofErr w:type="gramEnd"/>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Default="00BB2AB0" w:rsidP="00BB2AB0">
      <w:pPr>
        <w:rPr>
          <w:rFonts w:ascii="Times New Roman" w:hAnsi="Times New Roman"/>
        </w:rPr>
      </w:pPr>
    </w:p>
    <w:p w:rsidR="00BB2AB0" w:rsidRDefault="00BB2AB0" w:rsidP="00BB2AB0">
      <w:pPr>
        <w:rPr>
          <w:rFonts w:ascii="Times New Roman" w:hAnsi="Times New Roman"/>
        </w:rPr>
      </w:pPr>
    </w:p>
    <w:p w:rsidR="00BB2AB0" w:rsidRDefault="00BB2AB0" w:rsidP="00BB2AB0">
      <w:pPr>
        <w:rPr>
          <w:rFonts w:ascii="Times New Roman" w:hAnsi="Times New Roman"/>
        </w:rPr>
      </w:pPr>
    </w:p>
    <w:p w:rsidR="00BB2AB0" w:rsidRDefault="00BB2AB0" w:rsidP="00BB2AB0">
      <w:pPr>
        <w:rPr>
          <w:rFonts w:ascii="Times New Roman" w:hAnsi="Times New Roman"/>
        </w:rPr>
      </w:pPr>
    </w:p>
    <w:p w:rsidR="00BB2AB0" w:rsidRDefault="000920DD" w:rsidP="00BB2AB0">
      <w:pPr>
        <w:jc w:val="center"/>
        <w:rPr>
          <w:rFonts w:ascii="Times New Roman" w:hAnsi="Times New Roman"/>
        </w:rPr>
      </w:pPr>
      <w:r>
        <w:rPr>
          <w:rFonts w:ascii="Times New Roman" w:hAnsi="Times New Roman"/>
          <w:noProof/>
          <w:lang w:bidi="ar-SA"/>
        </w:rPr>
        <w:lastRenderedPageBreak/>
        <w:drawing>
          <wp:inline distT="0" distB="0" distL="0" distR="0" wp14:anchorId="636D0FAE" wp14:editId="69FF76D3">
            <wp:extent cx="5019178" cy="7479969"/>
            <wp:effectExtent l="0" t="0" r="0" b="698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by Section Roadcut_1_Chemostrata_v3.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022931" cy="7485562"/>
                    </a:xfrm>
                    <a:prstGeom prst="rect">
                      <a:avLst/>
                    </a:prstGeom>
                  </pic:spPr>
                </pic:pic>
              </a:graphicData>
            </a:graphic>
          </wp:inline>
        </w:drawing>
      </w:r>
    </w:p>
    <w:p w:rsidR="00BB2AB0" w:rsidRPr="00B040F9" w:rsidRDefault="00BB2AB0" w:rsidP="00BB2AB0">
      <w:pPr>
        <w:spacing w:line="240" w:lineRule="auto"/>
        <w:rPr>
          <w:rFonts w:ascii="Times New Roman" w:hAnsi="Times New Roman"/>
          <w:b/>
          <w:sz w:val="22"/>
        </w:rPr>
      </w:pPr>
      <w:proofErr w:type="gramStart"/>
      <w:r w:rsidRPr="00B040F9">
        <w:rPr>
          <w:rFonts w:ascii="Times New Roman" w:hAnsi="Times New Roman"/>
          <w:b/>
          <w:sz w:val="22"/>
        </w:rPr>
        <w:t>Figure 2.20.</w:t>
      </w:r>
      <w:proofErr w:type="gramEnd"/>
      <w:r w:rsidRPr="00B040F9">
        <w:rPr>
          <w:rFonts w:ascii="Times New Roman" w:hAnsi="Times New Roman"/>
          <w:b/>
          <w:sz w:val="22"/>
        </w:rPr>
        <w:t xml:space="preserve"> Preliminary test results of HHXRF on Roadcut 1, Kirby Section, including trace elements of Ni, Mo, Zr and Ti shown in ppm (parts per million).</w:t>
      </w:r>
    </w:p>
    <w:p w:rsidR="00BB2AB0" w:rsidRDefault="00BB2AB0" w:rsidP="00BB2AB0">
      <w:pPr>
        <w:jc w:val="center"/>
        <w:rPr>
          <w:rFonts w:ascii="Times New Roman" w:hAnsi="Times New Roman"/>
        </w:rPr>
      </w:pPr>
    </w:p>
    <w:p w:rsidR="00BB2AB0" w:rsidRDefault="00BB2AB0" w:rsidP="00BB2AB0">
      <w:pPr>
        <w:jc w:val="center"/>
        <w:rPr>
          <w:rFonts w:ascii="Times New Roman" w:hAnsi="Times New Roman"/>
        </w:rPr>
      </w:pPr>
    </w:p>
    <w:p w:rsidR="00BB2AB0" w:rsidRDefault="000920DD" w:rsidP="00BB2AB0">
      <w:pPr>
        <w:spacing w:after="200" w:line="276" w:lineRule="auto"/>
        <w:jc w:val="center"/>
        <w:rPr>
          <w:rFonts w:ascii="Times New Roman" w:hAnsi="Times New Roman"/>
        </w:rPr>
      </w:pPr>
      <w:r>
        <w:rPr>
          <w:rFonts w:ascii="Times New Roman" w:hAnsi="Times New Roman"/>
          <w:noProof/>
          <w:lang w:bidi="ar-SA"/>
        </w:rPr>
        <w:drawing>
          <wp:inline distT="0" distB="0" distL="0" distR="0" wp14:anchorId="087E7D15" wp14:editId="77914ED7">
            <wp:extent cx="5205046" cy="6998677"/>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by Section Roadcut_2_Chemostrata.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205095" cy="6998743"/>
                    </a:xfrm>
                    <a:prstGeom prst="rect">
                      <a:avLst/>
                    </a:prstGeom>
                  </pic:spPr>
                </pic:pic>
              </a:graphicData>
            </a:graphic>
          </wp:inline>
        </w:drawing>
      </w:r>
    </w:p>
    <w:p w:rsidR="00BB2AB0" w:rsidRPr="00257C14" w:rsidRDefault="00BB2AB0" w:rsidP="00BB2AB0">
      <w:pPr>
        <w:spacing w:line="240" w:lineRule="auto"/>
        <w:rPr>
          <w:rFonts w:ascii="Times New Roman" w:hAnsi="Times New Roman"/>
          <w:b/>
        </w:rPr>
      </w:pPr>
      <w:proofErr w:type="gramStart"/>
      <w:r w:rsidRPr="00257C14">
        <w:rPr>
          <w:rFonts w:ascii="Times New Roman" w:hAnsi="Times New Roman"/>
          <w:b/>
        </w:rPr>
        <w:t>Figure 2.</w:t>
      </w:r>
      <w:r>
        <w:rPr>
          <w:rFonts w:ascii="Times New Roman" w:hAnsi="Times New Roman"/>
          <w:b/>
        </w:rPr>
        <w:t>21</w:t>
      </w:r>
      <w:r w:rsidRPr="00257C14">
        <w:rPr>
          <w:rFonts w:ascii="Times New Roman" w:hAnsi="Times New Roman"/>
          <w:b/>
        </w:rPr>
        <w:t>.</w:t>
      </w:r>
      <w:proofErr w:type="gramEnd"/>
      <w:r>
        <w:rPr>
          <w:rFonts w:ascii="Times New Roman" w:hAnsi="Times New Roman"/>
          <w:b/>
        </w:rPr>
        <w:t xml:space="preserve"> Preliminary test results of HHXRF on Roadcut 2, Kirby Section, including trace elements of Ni, Mo, Zr and Ti shown in ppm (parts per million).</w:t>
      </w:r>
    </w:p>
    <w:p w:rsidR="00BB2AB0" w:rsidRDefault="000920DD" w:rsidP="00BB2AB0">
      <w:pPr>
        <w:spacing w:after="200" w:line="276" w:lineRule="auto"/>
        <w:jc w:val="center"/>
        <w:rPr>
          <w:rFonts w:ascii="Times New Roman" w:hAnsi="Times New Roman"/>
        </w:rPr>
      </w:pPr>
      <w:r>
        <w:rPr>
          <w:rFonts w:ascii="Times New Roman" w:hAnsi="Times New Roman"/>
          <w:noProof/>
          <w:lang w:bidi="ar-SA"/>
        </w:rPr>
        <w:lastRenderedPageBreak/>
        <w:drawing>
          <wp:inline distT="0" distB="0" distL="0" distR="0" wp14:anchorId="1C8A817F" wp14:editId="0896B47D">
            <wp:extent cx="5222631" cy="7578969"/>
            <wp:effectExtent l="0" t="0" r="0" b="317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by Section Roadcut_9_Chemostrata.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223510" cy="7580245"/>
                    </a:xfrm>
                    <a:prstGeom prst="rect">
                      <a:avLst/>
                    </a:prstGeom>
                  </pic:spPr>
                </pic:pic>
              </a:graphicData>
            </a:graphic>
          </wp:inline>
        </w:drawing>
      </w:r>
    </w:p>
    <w:p w:rsidR="00BB2AB0" w:rsidRPr="00257C14" w:rsidRDefault="00BB2AB0" w:rsidP="00BB2AB0">
      <w:pPr>
        <w:spacing w:line="240" w:lineRule="auto"/>
        <w:rPr>
          <w:rFonts w:ascii="Times New Roman" w:hAnsi="Times New Roman"/>
          <w:b/>
        </w:rPr>
      </w:pPr>
      <w:proofErr w:type="gramStart"/>
      <w:r w:rsidRPr="00257C14">
        <w:rPr>
          <w:rFonts w:ascii="Times New Roman" w:hAnsi="Times New Roman"/>
          <w:b/>
        </w:rPr>
        <w:t>Figure 2.</w:t>
      </w:r>
      <w:r>
        <w:rPr>
          <w:rFonts w:ascii="Times New Roman" w:hAnsi="Times New Roman"/>
          <w:b/>
        </w:rPr>
        <w:t>22</w:t>
      </w:r>
      <w:r w:rsidRPr="00257C14">
        <w:rPr>
          <w:rFonts w:ascii="Times New Roman" w:hAnsi="Times New Roman"/>
          <w:b/>
        </w:rPr>
        <w:t>.</w:t>
      </w:r>
      <w:proofErr w:type="gramEnd"/>
      <w:r>
        <w:rPr>
          <w:rFonts w:ascii="Times New Roman" w:hAnsi="Times New Roman"/>
          <w:b/>
        </w:rPr>
        <w:t xml:space="preserve"> Preliminary test results of HHXRF on Roadcut 9, Kirby Section, including trace elements of Ni, Mo, Zr and Ti shown in ppm (parts per million).</w:t>
      </w:r>
    </w:p>
    <w:p w:rsidR="00BB2AB0" w:rsidRDefault="00BB2AB0" w:rsidP="00BB2AB0">
      <w:pPr>
        <w:spacing w:after="200" w:line="276" w:lineRule="auto"/>
        <w:jc w:val="center"/>
        <w:rPr>
          <w:rFonts w:ascii="Times New Roman" w:hAnsi="Times New Roman"/>
        </w:rPr>
      </w:pPr>
    </w:p>
    <w:p w:rsidR="00BB2AB0" w:rsidRDefault="000920DD" w:rsidP="00BB2AB0">
      <w:pPr>
        <w:spacing w:after="200" w:line="276" w:lineRule="auto"/>
        <w:jc w:val="center"/>
        <w:rPr>
          <w:rFonts w:ascii="Times New Roman" w:hAnsi="Times New Roman"/>
        </w:rPr>
      </w:pPr>
      <w:r>
        <w:rPr>
          <w:rFonts w:ascii="Times New Roman" w:hAnsi="Times New Roman"/>
          <w:noProof/>
          <w:lang w:bidi="ar-SA"/>
        </w:rPr>
        <w:drawing>
          <wp:inline distT="0" distB="0" distL="0" distR="0" wp14:anchorId="1896E09A" wp14:editId="6F332878">
            <wp:extent cx="5116403" cy="6740305"/>
            <wp:effectExtent l="0" t="0" r="8255" b="381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Gray_H7_Chemostrata.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120019" cy="6745068"/>
                    </a:xfrm>
                    <a:prstGeom prst="rect">
                      <a:avLst/>
                    </a:prstGeom>
                  </pic:spPr>
                </pic:pic>
              </a:graphicData>
            </a:graphic>
          </wp:inline>
        </w:drawing>
      </w:r>
    </w:p>
    <w:p w:rsidR="00BB2AB0" w:rsidRPr="00257C14" w:rsidRDefault="00BB2AB0" w:rsidP="00BB2AB0">
      <w:pPr>
        <w:spacing w:line="240" w:lineRule="auto"/>
        <w:rPr>
          <w:rFonts w:ascii="Times New Roman" w:hAnsi="Times New Roman"/>
          <w:b/>
        </w:rPr>
      </w:pPr>
      <w:proofErr w:type="gramStart"/>
      <w:r w:rsidRPr="00257C14">
        <w:rPr>
          <w:rFonts w:ascii="Times New Roman" w:hAnsi="Times New Roman"/>
          <w:b/>
        </w:rPr>
        <w:t>Figure 2.</w:t>
      </w:r>
      <w:r>
        <w:rPr>
          <w:rFonts w:ascii="Times New Roman" w:hAnsi="Times New Roman"/>
          <w:b/>
        </w:rPr>
        <w:t>23</w:t>
      </w:r>
      <w:r w:rsidRPr="00257C14">
        <w:rPr>
          <w:rFonts w:ascii="Times New Roman" w:hAnsi="Times New Roman"/>
          <w:b/>
        </w:rPr>
        <w:t>.</w:t>
      </w:r>
      <w:proofErr w:type="gramEnd"/>
      <w:r>
        <w:rPr>
          <w:rFonts w:ascii="Times New Roman" w:hAnsi="Times New Roman"/>
          <w:b/>
        </w:rPr>
        <w:t xml:space="preserve"> Preliminary test results of HHXRF on Highway 7, DeGray Lake Area Section, including trace elements of Ni, Mo, Zr and Ti shown in ppm (parts per million).</w:t>
      </w:r>
    </w:p>
    <w:p w:rsidR="00BB2AB0" w:rsidRDefault="000920DD" w:rsidP="00BB2AB0">
      <w:pPr>
        <w:jc w:val="center"/>
        <w:rPr>
          <w:rFonts w:ascii="Times New Roman" w:hAnsi="Times New Roman"/>
        </w:rPr>
      </w:pPr>
      <w:r>
        <w:rPr>
          <w:rFonts w:ascii="Times New Roman" w:hAnsi="Times New Roman"/>
          <w:noProof/>
          <w:lang w:bidi="ar-SA"/>
        </w:rPr>
        <w:lastRenderedPageBreak/>
        <w:drawing>
          <wp:inline distT="0" distB="0" distL="0" distR="0" wp14:anchorId="18A46A19" wp14:editId="76870723">
            <wp:extent cx="5034848" cy="6496050"/>
            <wp:effectExtent l="0" t="0" r="0" b="0"/>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Gray_SP_Chemostrata.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040223" cy="6502985"/>
                    </a:xfrm>
                    <a:prstGeom prst="rect">
                      <a:avLst/>
                    </a:prstGeom>
                  </pic:spPr>
                </pic:pic>
              </a:graphicData>
            </a:graphic>
          </wp:inline>
        </w:drawing>
      </w:r>
    </w:p>
    <w:p w:rsidR="00BB2AB0" w:rsidRPr="00257C14" w:rsidRDefault="00BB2AB0" w:rsidP="00BB2AB0">
      <w:pPr>
        <w:spacing w:line="240" w:lineRule="auto"/>
        <w:rPr>
          <w:rFonts w:ascii="Times New Roman" w:hAnsi="Times New Roman"/>
          <w:b/>
        </w:rPr>
      </w:pPr>
      <w:proofErr w:type="gramStart"/>
      <w:r w:rsidRPr="00257C14">
        <w:rPr>
          <w:rFonts w:ascii="Times New Roman" w:hAnsi="Times New Roman"/>
          <w:b/>
        </w:rPr>
        <w:t>Figure 2.</w:t>
      </w:r>
      <w:r>
        <w:rPr>
          <w:rFonts w:ascii="Times New Roman" w:hAnsi="Times New Roman"/>
          <w:b/>
        </w:rPr>
        <w:t>24</w:t>
      </w:r>
      <w:r w:rsidRPr="00257C14">
        <w:rPr>
          <w:rFonts w:ascii="Times New Roman" w:hAnsi="Times New Roman"/>
          <w:b/>
        </w:rPr>
        <w:t>.</w:t>
      </w:r>
      <w:proofErr w:type="gramEnd"/>
      <w:r>
        <w:rPr>
          <w:rFonts w:ascii="Times New Roman" w:hAnsi="Times New Roman"/>
          <w:b/>
        </w:rPr>
        <w:t xml:space="preserve"> Preliminary test results of HHXRF DeGray Lake  Spillway Section, including trace elements of Ni, Mo, Zr and Ti shown in ppm (parts per million).</w:t>
      </w:r>
    </w:p>
    <w:p w:rsidR="00BB2AB0" w:rsidRDefault="00BB2AB0" w:rsidP="00EA0A21">
      <w:pPr>
        <w:spacing w:after="200" w:line="276" w:lineRule="auto"/>
        <w:jc w:val="center"/>
        <w:rPr>
          <w:rFonts w:ascii="Times New Roman" w:hAnsi="Times New Roman"/>
        </w:rPr>
      </w:pPr>
      <w:r>
        <w:rPr>
          <w:rFonts w:ascii="Times New Roman" w:hAnsi="Times New Roman"/>
        </w:rPr>
        <w:br w:type="page"/>
      </w:r>
      <w:r w:rsidR="000920DD">
        <w:rPr>
          <w:rFonts w:ascii="Times New Roman" w:hAnsi="Times New Roman"/>
          <w:noProof/>
          <w:lang w:bidi="ar-SA"/>
        </w:rPr>
        <w:lastRenderedPageBreak/>
        <w:drawing>
          <wp:inline distT="0" distB="0" distL="0" distR="0" wp14:anchorId="3529C38D" wp14:editId="1E3FB90A">
            <wp:extent cx="5028312" cy="7543800"/>
            <wp:effectExtent l="0" t="0" r="1270" b="0"/>
            <wp:docPr id="1057" name="图片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rks_Chemostrata.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031062" cy="7547926"/>
                    </a:xfrm>
                    <a:prstGeom prst="rect">
                      <a:avLst/>
                    </a:prstGeom>
                  </pic:spPr>
                </pic:pic>
              </a:graphicData>
            </a:graphic>
          </wp:inline>
        </w:drawing>
      </w:r>
    </w:p>
    <w:p w:rsidR="00BB2AB0" w:rsidRPr="00257C14" w:rsidRDefault="00BB2AB0" w:rsidP="00BB2AB0">
      <w:pPr>
        <w:spacing w:line="240" w:lineRule="auto"/>
        <w:rPr>
          <w:rFonts w:ascii="Times New Roman" w:hAnsi="Times New Roman"/>
          <w:b/>
        </w:rPr>
      </w:pPr>
      <w:proofErr w:type="gramStart"/>
      <w:r w:rsidRPr="00257C14">
        <w:rPr>
          <w:rFonts w:ascii="Times New Roman" w:hAnsi="Times New Roman"/>
          <w:b/>
        </w:rPr>
        <w:t>Figure 2.</w:t>
      </w:r>
      <w:r>
        <w:rPr>
          <w:rFonts w:ascii="Times New Roman" w:hAnsi="Times New Roman"/>
          <w:b/>
        </w:rPr>
        <w:t>25</w:t>
      </w:r>
      <w:r w:rsidRPr="00257C14">
        <w:rPr>
          <w:rFonts w:ascii="Times New Roman" w:hAnsi="Times New Roman"/>
          <w:b/>
        </w:rPr>
        <w:t>.</w:t>
      </w:r>
      <w:proofErr w:type="gramEnd"/>
      <w:r>
        <w:rPr>
          <w:rFonts w:ascii="Times New Roman" w:hAnsi="Times New Roman"/>
          <w:b/>
        </w:rPr>
        <w:t xml:space="preserve"> Preliminary test results of HHXRF Dierks Lake  Spillway East Wall Section, including trace elements of Ni, Mo, Zr and Ti shown in ppm (parts per million).</w:t>
      </w:r>
    </w:p>
    <w:p w:rsidR="00BB2AB0" w:rsidRPr="001461F0" w:rsidRDefault="00BB2AB0" w:rsidP="00BB2AB0">
      <w:pPr>
        <w:jc w:val="center"/>
        <w:rPr>
          <w:rFonts w:ascii="Times New Roman" w:hAnsi="Times New Roman"/>
        </w:rPr>
      </w:pPr>
      <w:r>
        <w:rPr>
          <w:rFonts w:ascii="Times New Roman" w:hAnsi="Times New Roman"/>
          <w:noProof/>
          <w:lang w:bidi="ar-SA"/>
        </w:rPr>
        <w:lastRenderedPageBreak/>
        <w:drawing>
          <wp:inline distT="0" distB="0" distL="0" distR="0" wp14:anchorId="0DAA6CAF" wp14:editId="5E1823F4">
            <wp:extent cx="5061309" cy="6512650"/>
            <wp:effectExtent l="0" t="0" r="6350" b="254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ostrata Plot_06_Correlation_All_v2.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063059" cy="6514902"/>
                    </a:xfrm>
                    <a:prstGeom prst="rect">
                      <a:avLst/>
                    </a:prstGeom>
                  </pic:spPr>
                </pic:pic>
              </a:graphicData>
            </a:graphic>
          </wp:inline>
        </w:drawing>
      </w:r>
    </w:p>
    <w:p w:rsidR="00BB2AB0" w:rsidRPr="001461F0" w:rsidRDefault="00BB2AB0" w:rsidP="00BB2AB0">
      <w:pPr>
        <w:pStyle w:val="Caption"/>
        <w:rPr>
          <w:rFonts w:ascii="Times New Roman" w:hAnsi="Times New Roman"/>
        </w:rPr>
      </w:pPr>
      <w:proofErr w:type="gramStart"/>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lang w:eastAsia="zh-CN"/>
        </w:rPr>
        <w:t>26</w:t>
      </w:r>
      <w:r w:rsidRPr="001461F0">
        <w:rPr>
          <w:rFonts w:ascii="Times New Roman" w:hAnsi="Times New Roman"/>
          <w:sz w:val="23"/>
          <w:szCs w:val="23"/>
        </w:rPr>
        <w:t>.</w:t>
      </w:r>
      <w:proofErr w:type="gramEnd"/>
      <w:r>
        <w:rPr>
          <w:rFonts w:ascii="Times New Roman" w:hAnsi="Times New Roman"/>
          <w:sz w:val="23"/>
          <w:szCs w:val="23"/>
        </w:rPr>
        <w:t xml:space="preserve"> </w:t>
      </w:r>
      <w:proofErr w:type="gramStart"/>
      <w:r w:rsidRPr="001461F0">
        <w:rPr>
          <w:rFonts w:ascii="Times New Roman" w:eastAsia="AGaramond-Regular" w:hAnsi="Times New Roman"/>
        </w:rPr>
        <w:t>Plot of chemostrat data in the Lower, Middle and Upper Jackfork and Johns Valley Shale in the Kirby, DeGray and Dierks Sections</w:t>
      </w:r>
      <w:r>
        <w:rPr>
          <w:rFonts w:ascii="Times New Roman" w:eastAsia="AGaramond-Regular" w:hAnsi="Times New Roman"/>
        </w:rPr>
        <w:t xml:space="preserve"> with ICP-MS data</w:t>
      </w:r>
      <w:r w:rsidRPr="001461F0">
        <w:rPr>
          <w:rFonts w:ascii="Times New Roman" w:eastAsia="AGaramond-Regular" w:hAnsi="Times New Roman"/>
        </w:rPr>
        <w:t>.</w:t>
      </w:r>
      <w:proofErr w:type="gramEnd"/>
    </w:p>
    <w:p w:rsidR="00BB2AB0" w:rsidRPr="001461F0" w:rsidRDefault="00BB2AB0" w:rsidP="00EA0A21">
      <w:pPr>
        <w:jc w:val="center"/>
        <w:rPr>
          <w:rFonts w:ascii="Times New Roman" w:hAnsi="Times New Roman"/>
        </w:rPr>
      </w:pPr>
      <w:r w:rsidRPr="001461F0">
        <w:rPr>
          <w:rFonts w:ascii="Times New Roman" w:hAnsi="Times New Roman"/>
          <w:noProof/>
          <w:lang w:bidi="ar-SA"/>
        </w:rPr>
        <w:lastRenderedPageBreak/>
        <w:drawing>
          <wp:inline distT="0" distB="0" distL="0" distR="0" wp14:anchorId="5F283230" wp14:editId="241A4085">
            <wp:extent cx="5132452" cy="4229100"/>
            <wp:effectExtent l="0" t="0" r="0" b="0"/>
            <wp:docPr id="14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1"/>
                    <a:srcRect/>
                    <a:stretch>
                      <a:fillRect/>
                    </a:stretch>
                  </pic:blipFill>
                  <pic:spPr bwMode="auto">
                    <a:xfrm>
                      <a:off x="0" y="0"/>
                      <a:ext cx="5135513" cy="4231622"/>
                    </a:xfrm>
                    <a:prstGeom prst="rect">
                      <a:avLst/>
                    </a:prstGeom>
                    <a:noFill/>
                    <a:ln w="9525">
                      <a:noFill/>
                      <a:miter lim="800000"/>
                      <a:headEnd/>
                      <a:tailEnd/>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lang w:eastAsia="zh-CN"/>
        </w:rPr>
        <w:t>27</w:t>
      </w:r>
      <w:r w:rsidRPr="001461F0">
        <w:rPr>
          <w:rFonts w:ascii="Times New Roman" w:hAnsi="Times New Roman"/>
          <w:sz w:val="23"/>
          <w:szCs w:val="23"/>
        </w:rPr>
        <w:t>.</w:t>
      </w:r>
      <w:r w:rsidRPr="001461F0">
        <w:rPr>
          <w:rFonts w:ascii="Times New Roman" w:eastAsia="AGaramond-Regular" w:hAnsi="Times New Roman"/>
        </w:rPr>
        <w:t>Key trace element ratios that show a distinct data cloud for the Middle Jackfork Group</w:t>
      </w:r>
      <w:r>
        <w:rPr>
          <w:rFonts w:ascii="Times New Roman" w:eastAsia="AGaramond-Regular" w:hAnsi="Times New Roman"/>
        </w:rPr>
        <w:t xml:space="preserve"> using ICP-MS data</w:t>
      </w:r>
      <w:r w:rsidRPr="001461F0">
        <w:rPr>
          <w:rFonts w:ascii="Times New Roman" w:eastAsia="AGaramond-Regular" w:hAnsi="Times New Roman"/>
        </w:rPr>
        <w:t>.</w:t>
      </w: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spacing w:line="240" w:lineRule="auto"/>
        <w:rPr>
          <w:rFonts w:ascii="Times New Roman" w:hAnsi="Times New Roman"/>
        </w:rPr>
      </w:pPr>
      <w:r w:rsidRPr="001461F0">
        <w:rPr>
          <w:rFonts w:ascii="Times New Roman" w:hAnsi="Times New Roman"/>
        </w:rPr>
        <w:br w:type="page"/>
      </w:r>
    </w:p>
    <w:p w:rsidR="00BB2AB0" w:rsidRPr="001461F0" w:rsidRDefault="00BB2AB0" w:rsidP="00EA0A21">
      <w:pPr>
        <w:jc w:val="center"/>
        <w:rPr>
          <w:rFonts w:ascii="Times New Roman" w:hAnsi="Times New Roman"/>
        </w:rPr>
      </w:pPr>
      <w:r w:rsidRPr="001461F0">
        <w:rPr>
          <w:rFonts w:ascii="Times New Roman" w:hAnsi="Times New Roman"/>
          <w:noProof/>
          <w:lang w:bidi="ar-SA"/>
        </w:rPr>
        <w:lastRenderedPageBreak/>
        <w:drawing>
          <wp:inline distT="0" distB="0" distL="0" distR="0" wp14:anchorId="1E29E311" wp14:editId="47F8D838">
            <wp:extent cx="5117193" cy="3649786"/>
            <wp:effectExtent l="19050" t="19050" r="26307" b="26864"/>
            <wp:docPr id="1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print"/>
                    <a:srcRect/>
                    <a:stretch>
                      <a:fillRect/>
                    </a:stretch>
                  </pic:blipFill>
                  <pic:spPr bwMode="auto">
                    <a:xfrm>
                      <a:off x="0" y="0"/>
                      <a:ext cx="5120181" cy="3651917"/>
                    </a:xfrm>
                    <a:prstGeom prst="rect">
                      <a:avLst/>
                    </a:prstGeom>
                    <a:noFill/>
                    <a:ln w="9525">
                      <a:solidFill>
                        <a:schemeClr val="tx1"/>
                      </a:solidFill>
                      <a:miter lim="800000"/>
                      <a:headEnd/>
                      <a:tailEnd/>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lang w:eastAsia="zh-CN"/>
        </w:rPr>
        <w:t>28</w:t>
      </w:r>
      <w:r w:rsidRPr="001461F0">
        <w:rPr>
          <w:rFonts w:ascii="Times New Roman" w:hAnsi="Times New Roman"/>
          <w:sz w:val="23"/>
          <w:szCs w:val="23"/>
        </w:rPr>
        <w:t>.</w:t>
      </w:r>
      <w:r w:rsidRPr="001461F0">
        <w:rPr>
          <w:rFonts w:ascii="Times New Roman" w:eastAsia="AGaramond-Regular" w:hAnsi="Times New Roman"/>
        </w:rPr>
        <w:t xml:space="preserve">Trace Elements plot of the Stanley Shale (Totten </w:t>
      </w:r>
      <w:r w:rsidR="00880C6B" w:rsidRPr="00880C6B">
        <w:rPr>
          <w:rFonts w:ascii="Times New Roman" w:eastAsia="AGaramond-Regular" w:hAnsi="Times New Roman"/>
          <w:i/>
        </w:rPr>
        <w:t>et al.</w:t>
      </w:r>
      <w:proofErr w:type="gramStart"/>
      <w:r w:rsidRPr="001461F0">
        <w:rPr>
          <w:rFonts w:ascii="Times New Roman" w:eastAsia="AGaramond-Regular" w:hAnsi="Times New Roman"/>
        </w:rPr>
        <w:t>,2000</w:t>
      </w:r>
      <w:proofErr w:type="gramEnd"/>
      <w:r w:rsidRPr="001461F0">
        <w:rPr>
          <w:rFonts w:ascii="Times New Roman" w:eastAsia="AGaramond-Regular" w:hAnsi="Times New Roman"/>
        </w:rPr>
        <w:t>), Lower, Middle and Upper Jackfork Group, Johns Valley Shale (from this study) and averaged passive margin and active margins (Floyd, 1991).</w:t>
      </w: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spacing w:line="240" w:lineRule="auto"/>
        <w:rPr>
          <w:rFonts w:ascii="Times New Roman" w:hAnsi="Times New Roman"/>
        </w:rPr>
      </w:pPr>
      <w:r w:rsidRPr="001461F0">
        <w:rPr>
          <w:rFonts w:ascii="Times New Roman" w:hAnsi="Times New Roman"/>
        </w:rPr>
        <w:br w:type="page"/>
      </w:r>
    </w:p>
    <w:p w:rsidR="00BB2AB0" w:rsidRPr="001461F0" w:rsidRDefault="00BB2AB0" w:rsidP="00BB2AB0">
      <w:pPr>
        <w:jc w:val="center"/>
        <w:rPr>
          <w:rFonts w:ascii="Times New Roman" w:hAnsi="Times New Roman"/>
        </w:rPr>
      </w:pPr>
      <w:r w:rsidRPr="001461F0">
        <w:rPr>
          <w:rFonts w:ascii="Times New Roman" w:hAnsi="Times New Roman"/>
          <w:noProof/>
          <w:lang w:bidi="ar-SA"/>
        </w:rPr>
        <w:lastRenderedPageBreak/>
        <w:drawing>
          <wp:inline distT="0" distB="0" distL="0" distR="0" wp14:anchorId="308BBC67" wp14:editId="7BC79002">
            <wp:extent cx="5106457" cy="6438900"/>
            <wp:effectExtent l="19050" t="19050" r="18415" b="19050"/>
            <wp:docPr id="1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3"/>
                    <a:srcRect/>
                    <a:stretch>
                      <a:fillRect/>
                    </a:stretch>
                  </pic:blipFill>
                  <pic:spPr bwMode="auto">
                    <a:xfrm>
                      <a:off x="0" y="0"/>
                      <a:ext cx="5108071" cy="6440936"/>
                    </a:xfrm>
                    <a:prstGeom prst="rect">
                      <a:avLst/>
                    </a:prstGeom>
                    <a:noFill/>
                    <a:ln w="19050">
                      <a:solidFill>
                        <a:schemeClr val="tx1"/>
                      </a:solidFill>
                      <a:miter lim="800000"/>
                      <a:headEnd/>
                      <a:tailEnd/>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lang w:eastAsia="zh-CN"/>
        </w:rPr>
        <w:t>Table</w:t>
      </w:r>
      <w:r>
        <w:rPr>
          <w:rFonts w:ascii="Times New Roman" w:hAnsi="Times New Roman"/>
          <w:sz w:val="23"/>
          <w:szCs w:val="23"/>
          <w:lang w:eastAsia="zh-CN"/>
        </w:rPr>
        <w:t xml:space="preserv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lang w:eastAsia="zh-CN"/>
        </w:rPr>
        <w:t>7</w:t>
      </w:r>
      <w:r w:rsidRPr="001461F0">
        <w:rPr>
          <w:rFonts w:ascii="Times New Roman" w:hAnsi="Times New Roman"/>
          <w:sz w:val="23"/>
          <w:szCs w:val="23"/>
        </w:rPr>
        <w:t>.</w:t>
      </w:r>
      <w:r w:rsidRPr="001461F0">
        <w:rPr>
          <w:rFonts w:ascii="Times New Roman" w:eastAsia="AGaramond-Regular" w:hAnsi="Times New Roman"/>
        </w:rPr>
        <w:t>Categorization of the shale layers tested by ICP-MS, including 3</w:t>
      </w:r>
      <w:r w:rsidRPr="001461F0">
        <w:rPr>
          <w:rFonts w:ascii="Times New Roman" w:eastAsia="AGaramond-Regular" w:hAnsi="Times New Roman"/>
          <w:vertAlign w:val="superscript"/>
        </w:rPr>
        <w:t>rd</w:t>
      </w:r>
      <w:r w:rsidRPr="001461F0">
        <w:rPr>
          <w:rFonts w:ascii="Times New Roman" w:eastAsia="AGaramond-Regular" w:hAnsi="Times New Roman"/>
        </w:rPr>
        <w:t xml:space="preserve"> and 4</w:t>
      </w:r>
      <w:r w:rsidRPr="001461F0">
        <w:rPr>
          <w:rFonts w:ascii="Times New Roman" w:eastAsia="AGaramond-Regular" w:hAnsi="Times New Roman"/>
          <w:vertAlign w:val="superscript"/>
        </w:rPr>
        <w:t>th</w:t>
      </w:r>
      <w:r w:rsidRPr="001461F0">
        <w:rPr>
          <w:rFonts w:ascii="Times New Roman" w:eastAsia="AGaramond-Regular" w:hAnsi="Times New Roman"/>
        </w:rPr>
        <w:t xml:space="preserve"> order sequence boundary, local shale and their correlations.</w:t>
      </w:r>
    </w:p>
    <w:p w:rsidR="00BB2AB0" w:rsidRPr="001461F0" w:rsidRDefault="00BB2AB0" w:rsidP="00BB2AB0">
      <w:pPr>
        <w:rPr>
          <w:rFonts w:ascii="Times New Roman" w:hAnsi="Times New Roman"/>
        </w:rPr>
      </w:pPr>
    </w:p>
    <w:p w:rsidR="00BB2AB0" w:rsidRPr="001461F0" w:rsidRDefault="00BB2AB0" w:rsidP="00BB2AB0">
      <w:pPr>
        <w:spacing w:line="240" w:lineRule="auto"/>
        <w:rPr>
          <w:rFonts w:ascii="Times New Roman" w:hAnsi="Times New Roman"/>
        </w:rPr>
      </w:pPr>
      <w:r w:rsidRPr="001461F0">
        <w:rPr>
          <w:rFonts w:ascii="Times New Roman" w:hAnsi="Times New Roman"/>
        </w:rPr>
        <w:br w:type="page"/>
      </w:r>
    </w:p>
    <w:p w:rsidR="00BB2AB0" w:rsidRPr="001461F0" w:rsidRDefault="00BB2AB0" w:rsidP="00BB2AB0">
      <w:pPr>
        <w:jc w:val="center"/>
        <w:rPr>
          <w:rFonts w:ascii="Times New Roman" w:hAnsi="Times New Roman"/>
        </w:rPr>
      </w:pPr>
      <w:r>
        <w:rPr>
          <w:rFonts w:ascii="Times New Roman" w:hAnsi="Times New Roman"/>
          <w:noProof/>
          <w:lang w:bidi="ar-SA"/>
        </w:rPr>
        <w:lastRenderedPageBreak/>
        <w:drawing>
          <wp:inline distT="0" distB="0" distL="0" distR="0" wp14:anchorId="31EC9FB4" wp14:editId="5DB78359">
            <wp:extent cx="6963896" cy="5027992"/>
            <wp:effectExtent l="15240" t="22860" r="24130" b="2413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 from DeGray to Kirby_02_v2.jpg"/>
                    <pic:cNvPicPr/>
                  </pic:nvPicPr>
                  <pic:blipFill>
                    <a:blip r:embed="rId144" cstate="print">
                      <a:extLst>
                        <a:ext uri="{28A0092B-C50C-407E-A947-70E740481C1C}">
                          <a14:useLocalDpi xmlns:a14="http://schemas.microsoft.com/office/drawing/2010/main" val="0"/>
                        </a:ext>
                      </a:extLst>
                    </a:blip>
                    <a:stretch>
                      <a:fillRect/>
                    </a:stretch>
                  </pic:blipFill>
                  <pic:spPr>
                    <a:xfrm rot="16200000">
                      <a:off x="0" y="0"/>
                      <a:ext cx="6964342" cy="5028314"/>
                    </a:xfrm>
                    <a:prstGeom prst="rect">
                      <a:avLst/>
                    </a:prstGeom>
                    <a:ln>
                      <a:solidFill>
                        <a:schemeClr val="tx1"/>
                      </a:solidFill>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lang w:eastAsia="zh-CN"/>
        </w:rPr>
        <w:t>29</w:t>
      </w:r>
      <w:r w:rsidRPr="001461F0">
        <w:rPr>
          <w:rFonts w:ascii="Times New Roman" w:hAnsi="Times New Roman"/>
          <w:sz w:val="23"/>
          <w:szCs w:val="23"/>
        </w:rPr>
        <w:t>.</w:t>
      </w:r>
      <w:r w:rsidRPr="001461F0">
        <w:rPr>
          <w:rFonts w:ascii="Times New Roman" w:eastAsia="AGaramond-Regular" w:hAnsi="Times New Roman"/>
        </w:rPr>
        <w:t>Chemostrata correlation between the Kirby and DeGray sections associated with Haq's (Haq and Shutter, 2008) global sea level curve.</w:t>
      </w: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1A70C8" w:rsidP="00BB2AB0">
      <w:pPr>
        <w:rPr>
          <w:rFonts w:ascii="Times New Roman" w:hAnsi="Times New Roman"/>
        </w:rPr>
      </w:pPr>
      <w:r>
        <w:rPr>
          <w:rFonts w:ascii="Times New Roman" w:hAnsi="Times New Roman"/>
          <w:noProof/>
          <w:lang w:bidi="ar-SA"/>
        </w:rPr>
        <w:drawing>
          <wp:inline distT="0" distB="0" distL="0" distR="0" wp14:anchorId="0327855C">
            <wp:extent cx="5288280" cy="2872740"/>
            <wp:effectExtent l="0" t="0" r="7620" b="381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88280" cy="2872740"/>
                    </a:xfrm>
                    <a:prstGeom prst="rect">
                      <a:avLst/>
                    </a:prstGeom>
                    <a:noFill/>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lang w:eastAsia="zh-CN"/>
        </w:rPr>
        <w:t>30</w:t>
      </w:r>
      <w:r w:rsidRPr="001461F0">
        <w:rPr>
          <w:rFonts w:ascii="Times New Roman" w:hAnsi="Times New Roman"/>
          <w:sz w:val="23"/>
          <w:szCs w:val="23"/>
        </w:rPr>
        <w:t>.</w:t>
      </w:r>
      <w:r w:rsidRPr="001461F0">
        <w:rPr>
          <w:rFonts w:ascii="Times New Roman" w:eastAsia="AGaramond-Regular" w:hAnsi="Times New Roman"/>
        </w:rPr>
        <w:t>Locations of sequence stratigraphic framework of the Jackfork Group, integrating all available data.</w:t>
      </w: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rPr>
          <w:rFonts w:ascii="Times New Roman" w:hAnsi="Times New Roman"/>
        </w:rPr>
      </w:pPr>
    </w:p>
    <w:p w:rsidR="00BB2AB0" w:rsidRPr="001461F0" w:rsidRDefault="00BB2AB0" w:rsidP="00BB2AB0">
      <w:pPr>
        <w:jc w:val="center"/>
        <w:rPr>
          <w:rFonts w:ascii="Times New Roman" w:hAnsi="Times New Roman"/>
          <w:lang w:eastAsia="zh-CN"/>
        </w:rPr>
      </w:pPr>
      <w:r w:rsidRPr="001461F0">
        <w:rPr>
          <w:rFonts w:ascii="Times New Roman" w:hAnsi="Times New Roman"/>
          <w:noProof/>
          <w:lang w:bidi="ar-SA"/>
        </w:rPr>
        <w:lastRenderedPageBreak/>
        <w:drawing>
          <wp:inline distT="0" distB="0" distL="0" distR="0" wp14:anchorId="6FA34FA7" wp14:editId="6733B0E0">
            <wp:extent cx="4627926" cy="7315200"/>
            <wp:effectExtent l="19050" t="19050" r="20274" b="19050"/>
            <wp:docPr id="149" name="图片 45" descr="Chemo_Strata_Correlation_2014_April_Update_v2_V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o_Strata_Correlation_2014_April_Update_v2_Verical.png"/>
                    <pic:cNvPicPr/>
                  </pic:nvPicPr>
                  <pic:blipFill>
                    <a:blip r:embed="rId146" cstate="print"/>
                    <a:stretch>
                      <a:fillRect/>
                    </a:stretch>
                  </pic:blipFill>
                  <pic:spPr>
                    <a:xfrm>
                      <a:off x="0" y="0"/>
                      <a:ext cx="4627860" cy="7315096"/>
                    </a:xfrm>
                    <a:prstGeom prst="rect">
                      <a:avLst/>
                    </a:prstGeom>
                    <a:ln>
                      <a:solidFill>
                        <a:schemeClr val="tx1"/>
                      </a:solidFill>
                    </a:ln>
                  </pic:spPr>
                </pic:pic>
              </a:graphicData>
            </a:graphic>
          </wp:inline>
        </w:drawing>
      </w:r>
    </w:p>
    <w:p w:rsidR="00BB2AB0" w:rsidRPr="001461F0" w:rsidRDefault="00BB2AB0" w:rsidP="00BB2AB0">
      <w:pPr>
        <w:pStyle w:val="Caption"/>
        <w:rPr>
          <w:rFonts w:ascii="Times New Roman" w:hAnsi="Times New Roma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lang w:eastAsia="zh-CN"/>
        </w:rPr>
        <w:t>31</w:t>
      </w:r>
      <w:r w:rsidRPr="001461F0">
        <w:rPr>
          <w:rFonts w:ascii="Times New Roman" w:hAnsi="Times New Roman"/>
          <w:sz w:val="23"/>
          <w:szCs w:val="23"/>
        </w:rPr>
        <w:t>.</w:t>
      </w:r>
      <w:r w:rsidRPr="001461F0">
        <w:rPr>
          <w:rFonts w:ascii="Times New Roman" w:eastAsia="AGaramond-Regular" w:hAnsi="Times New Roman"/>
        </w:rPr>
        <w:t xml:space="preserve">Sequence stratigraphic framework of the Jackfork Group, </w:t>
      </w:r>
      <w:r w:rsidR="00B437C9">
        <w:rPr>
          <w:rFonts w:ascii="Times New Roman" w:eastAsia="AGaramond-Regular" w:hAnsi="Times New Roman"/>
        </w:rPr>
        <w:t>integrating all available data</w:t>
      </w:r>
      <w:r w:rsidRPr="001461F0">
        <w:rPr>
          <w:rFonts w:ascii="Times New Roman" w:eastAsia="AGaramond-Regular" w:hAnsi="Times New Roman"/>
        </w:rPr>
        <w:t>.</w:t>
      </w:r>
    </w:p>
    <w:p w:rsidR="00BB2AB0" w:rsidRPr="001461F0" w:rsidRDefault="00BB2AB0" w:rsidP="00BB2AB0">
      <w:pPr>
        <w:spacing w:line="240" w:lineRule="auto"/>
        <w:jc w:val="center"/>
        <w:rPr>
          <w:rFonts w:ascii="Times New Roman" w:hAnsi="Times New Roman"/>
          <w:lang w:eastAsia="zh-CN"/>
        </w:rPr>
      </w:pPr>
      <w:r w:rsidRPr="001461F0">
        <w:rPr>
          <w:rFonts w:ascii="Times New Roman" w:hAnsi="Times New Roman"/>
          <w:noProof/>
          <w:lang w:bidi="ar-SA"/>
        </w:rPr>
        <w:lastRenderedPageBreak/>
        <w:drawing>
          <wp:inline distT="0" distB="0" distL="0" distR="0" wp14:anchorId="45158147" wp14:editId="650D5CF4">
            <wp:extent cx="5177776" cy="7534275"/>
            <wp:effectExtent l="0" t="0" r="4445" b="0"/>
            <wp:docPr id="150" name="图片 1" descr="Last Basin Evolution Figure_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 Basin Evolution Figure_v4.jpg"/>
                    <pic:cNvPicPr/>
                  </pic:nvPicPr>
                  <pic:blipFill>
                    <a:blip r:embed="rId147" cstate="print"/>
                    <a:stretch>
                      <a:fillRect/>
                    </a:stretch>
                  </pic:blipFill>
                  <pic:spPr>
                    <a:xfrm>
                      <a:off x="0" y="0"/>
                      <a:ext cx="5185844" cy="7546015"/>
                    </a:xfrm>
                    <a:prstGeom prst="rect">
                      <a:avLst/>
                    </a:prstGeom>
                  </pic:spPr>
                </pic:pic>
              </a:graphicData>
            </a:graphic>
          </wp:inline>
        </w:drawing>
      </w:r>
    </w:p>
    <w:p w:rsidR="00BB2AB0" w:rsidRPr="001461F0" w:rsidRDefault="00BB2AB0" w:rsidP="00BB2AB0">
      <w:pPr>
        <w:pStyle w:val="Caption"/>
        <w:rPr>
          <w:rFonts w:ascii="Times New Roman" w:hAnsi="Times New Roman"/>
          <w:lang w:eastAsia="zh-CN"/>
        </w:rPr>
      </w:pPr>
      <w:r w:rsidRPr="001461F0">
        <w:rPr>
          <w:rFonts w:ascii="Times New Roman" w:hAnsi="Times New Roman"/>
          <w:sz w:val="23"/>
          <w:szCs w:val="23"/>
        </w:rPr>
        <w:t xml:space="preserve">Figure </w:t>
      </w:r>
      <w:r w:rsidRPr="001461F0">
        <w:rPr>
          <w:rFonts w:ascii="Times New Roman" w:hAnsi="Times New Roman"/>
          <w:sz w:val="23"/>
          <w:szCs w:val="23"/>
          <w:lang w:eastAsia="zh-CN"/>
        </w:rPr>
        <w:t>2</w:t>
      </w:r>
      <w:r w:rsidRPr="001461F0">
        <w:rPr>
          <w:rFonts w:ascii="Times New Roman" w:hAnsi="Times New Roman"/>
          <w:sz w:val="23"/>
          <w:szCs w:val="23"/>
        </w:rPr>
        <w:t>.</w:t>
      </w:r>
      <w:r>
        <w:rPr>
          <w:rFonts w:ascii="Times New Roman" w:hAnsi="Times New Roman"/>
          <w:sz w:val="23"/>
          <w:szCs w:val="23"/>
          <w:lang w:eastAsia="zh-CN"/>
        </w:rPr>
        <w:t>32</w:t>
      </w:r>
      <w:r w:rsidRPr="001461F0">
        <w:rPr>
          <w:rFonts w:ascii="Times New Roman" w:hAnsi="Times New Roman"/>
          <w:sz w:val="23"/>
          <w:szCs w:val="23"/>
        </w:rPr>
        <w:t>.</w:t>
      </w:r>
      <w:r w:rsidRPr="001461F0">
        <w:rPr>
          <w:rFonts w:ascii="Times New Roman" w:eastAsia="AGaramond-Regular" w:hAnsi="Times New Roman"/>
          <w:lang w:eastAsia="zh-CN"/>
        </w:rPr>
        <w:t>Evolution of Ouachita Basin from Jackfork Group to Johns Valley Shale integrating all available data</w:t>
      </w:r>
    </w:p>
    <w:p w:rsidR="00BB2AB0" w:rsidRPr="001461F0" w:rsidRDefault="00BB2AB0" w:rsidP="00BB2AB0">
      <w:pPr>
        <w:spacing w:line="240" w:lineRule="auto"/>
        <w:rPr>
          <w:rFonts w:ascii="Times New Roman" w:hAnsi="Times New Roman"/>
        </w:rPr>
      </w:pPr>
      <w:r w:rsidRPr="001461F0">
        <w:rPr>
          <w:rFonts w:ascii="Times New Roman" w:hAnsi="Times New Roman"/>
        </w:rPr>
        <w:br w:type="page"/>
      </w:r>
    </w:p>
    <w:bookmarkEnd w:id="16"/>
    <w:bookmarkEnd w:id="17"/>
    <w:bookmarkEnd w:id="18"/>
    <w:bookmarkEnd w:id="19"/>
    <w:bookmarkEnd w:id="20"/>
    <w:p w:rsidR="002C3CA3" w:rsidRPr="007946F5" w:rsidRDefault="002C3CA3" w:rsidP="002C3CA3">
      <w:pPr>
        <w:jc w:val="center"/>
        <w:rPr>
          <w:rFonts w:ascii="Times New Roman" w:hAnsi="Times New Roman"/>
          <w:b/>
          <w:sz w:val="28"/>
        </w:rPr>
      </w:pPr>
      <w:r w:rsidRPr="007946F5">
        <w:rPr>
          <w:rFonts w:ascii="Times New Roman" w:hAnsi="Times New Roman"/>
          <w:b/>
          <w:sz w:val="28"/>
        </w:rPr>
        <w:lastRenderedPageBreak/>
        <w:t>REFERENCES</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Al-Siyabi, H. A., 2000, Anatomy of a type II turbidite depositional system: Upper Jackfork Group, Degray Lake area, Arkansas, in A. H. Bouma and C. G. Stone, eds., Fine-grained turbidite systems, AAPG Memoir 72/SEPM Special Publication 68, p. 245–262.</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t xml:space="preserve">Berman, A.E and J.H. Rosenfeld, 2007, </w:t>
      </w:r>
      <w:proofErr w:type="gramStart"/>
      <w:r w:rsidRPr="00C30054">
        <w:rPr>
          <w:rFonts w:eastAsia="AGaramond-Regular" w:hint="eastAsia"/>
          <w:sz w:val="22"/>
        </w:rPr>
        <w:t>A</w:t>
      </w:r>
      <w:proofErr w:type="gramEnd"/>
      <w:r w:rsidRPr="00C30054">
        <w:rPr>
          <w:rFonts w:eastAsia="AGaramond-Regular" w:hint="eastAsia"/>
          <w:sz w:val="22"/>
        </w:rPr>
        <w:t xml:space="preserve"> new depositional model for the deepwater Wiilcox-equivalent Whopper sand - changing the paradigm, World Oil, Vol. 228, No.6.</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t xml:space="preserve">Bhatia, M.R., 1983, Plate tectonics and </w:t>
      </w:r>
      <w:r w:rsidRPr="00C30054">
        <w:rPr>
          <w:rFonts w:eastAsia="AGaramond-Regular"/>
          <w:sz w:val="22"/>
        </w:rPr>
        <w:t>geochemical</w:t>
      </w:r>
      <w:r w:rsidRPr="00C30054">
        <w:rPr>
          <w:rFonts w:eastAsia="AGaramond-Regular" w:hint="eastAsia"/>
          <w:sz w:val="22"/>
        </w:rPr>
        <w:t xml:space="preserve"> composition of sandstones, the </w:t>
      </w:r>
      <w:r w:rsidRPr="00C30054">
        <w:rPr>
          <w:rFonts w:eastAsia="AGaramond-Regular"/>
          <w:sz w:val="22"/>
        </w:rPr>
        <w:t>Journal</w:t>
      </w:r>
      <w:r w:rsidRPr="00C30054">
        <w:rPr>
          <w:rFonts w:eastAsia="AGaramond-Regular" w:hint="eastAsia"/>
          <w:sz w:val="22"/>
        </w:rPr>
        <w:t xml:space="preserve"> of Geology, vol.91, no.6, pp. 611-627</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t>Bhatia, M.R., 1985, Rare earth element geochemistry of Australian Paleozoic graywackes and mudocks: provenance and tectonic control, Sedimentary Geology, vol.45, pp.97-113.</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Coleman, J.L.,</w:t>
      </w:r>
      <w:r w:rsidRPr="00C30054">
        <w:rPr>
          <w:rFonts w:eastAsia="AGaramond-Regular" w:hint="eastAsia"/>
          <w:sz w:val="22"/>
        </w:rPr>
        <w:t xml:space="preserve"> G.V. Swearomgem. and C.E. Breckon, 1994, The Jackfork formation of Arkansas, a test of the Walker- Mutti -Vail models for deep-sea fan </w:t>
      </w:r>
      <w:r w:rsidRPr="00C30054">
        <w:rPr>
          <w:rFonts w:eastAsia="AGaramond-Regular"/>
          <w:sz w:val="22"/>
        </w:rPr>
        <w:t>deposition</w:t>
      </w:r>
      <w:r w:rsidRPr="00C30054">
        <w:rPr>
          <w:rFonts w:eastAsia="AGaramond-Regular" w:hint="eastAsia"/>
          <w:sz w:val="22"/>
        </w:rPr>
        <w:t>, Arkansas Geological Commission, pp.1-65.</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Coleman, J.L., 2000, Carboniferous submarine basin development of the Ouachita Mountains of Arkansas and Oklahoma (in Fine-grained turbidite systems) AAPG Memoir 72, pp.21-32</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Danielson, S.E., P.K. Hankinson, K.D. Kitchings, and A. Thompson, 1988, Provenance of the Jackfork Sandstone, Ouachita Mountains, Arkansas and eastern Oklahoma, in J. D. McFarland, ed. Arkansas Geol. Comm., Contributions to the Geology of Arkansas Misc. Publs. V. 3, No. 18-C, p. 95-112.</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DeVries, M.B., 1992, Correlation trends in thinner-bedded turbidites, Chatsworth Formation, Simi Hills, California and Jackfork Group, DeGray Lake, Arkansas Louisiana State University, Baton Rouge, LA, Master's thesis</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Duran W. J., 2007, Outcrop-based Geologic Model of the Jackfork Group at Baumgartner Quarry, Kirby, Arkansas, USA, Master Thesis, the University of Oklahoma.</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lastRenderedPageBreak/>
        <w:t>Floyd, P.A., 1991, Rhenohercynian sandstone chemistry, in Morton, A.C., Todd, S.P., and Haughton, P.D.W., eds., Developments in sedimentary provenance studies: Geological Society Special Publication 57, pp. 173-188.</w:t>
      </w:r>
    </w:p>
    <w:p w:rsidR="0098536F" w:rsidRPr="00C30054" w:rsidRDefault="0098536F" w:rsidP="0098536F">
      <w:pPr>
        <w:ind w:left="630" w:hanging="630"/>
        <w:rPr>
          <w:sz w:val="22"/>
        </w:rPr>
      </w:pPr>
      <w:r w:rsidRPr="00C30054">
        <w:rPr>
          <w:sz w:val="22"/>
        </w:rPr>
        <w:t>Funk, J.E., R.M. Slatt, and D.R. Pyles, 2012, Quantification of static connectivity between deep-water channels and stratigraphically adjacent architectural elements using outcrop analogs, AAPG Bulletin, v. 96, p. 277-300, oi:10.1306/07121110186</w:t>
      </w:r>
    </w:p>
    <w:p w:rsidR="0098536F" w:rsidRPr="00C30054" w:rsidRDefault="0098536F" w:rsidP="00C30054">
      <w:pPr>
        <w:autoSpaceDE w:val="0"/>
        <w:autoSpaceDN w:val="0"/>
        <w:adjustRightInd w:val="0"/>
        <w:ind w:left="660" w:hangingChars="300" w:hanging="660"/>
        <w:rPr>
          <w:rFonts w:eastAsia="Palatino-Roman"/>
          <w:sz w:val="22"/>
        </w:rPr>
      </w:pPr>
      <w:r w:rsidRPr="00C30054">
        <w:rPr>
          <w:rFonts w:eastAsia="Palatino-Roman"/>
          <w:sz w:val="22"/>
        </w:rPr>
        <w:t>Godo</w:t>
      </w:r>
      <w:r w:rsidRPr="00C30054">
        <w:rPr>
          <w:rFonts w:eastAsia="Palatino-Roman" w:hint="eastAsia"/>
          <w:sz w:val="22"/>
        </w:rPr>
        <w:t xml:space="preserve">, T., P. Li and M. Ed Ratchford, 2008, </w:t>
      </w:r>
      <w:r w:rsidRPr="00C30054">
        <w:rPr>
          <w:rFonts w:eastAsia="Palatino-Roman"/>
          <w:sz w:val="22"/>
        </w:rPr>
        <w:t>Structural and Stratigraphic Analysis of the Shell Rex Timber No. 1-9 Well, Southern Ouachita Fold and Thrust Belt, Clark County, Arkansas</w:t>
      </w:r>
      <w:r w:rsidRPr="00C30054">
        <w:rPr>
          <w:rFonts w:eastAsia="Palatino-Roman" w:hint="eastAsia"/>
          <w:sz w:val="22"/>
        </w:rPr>
        <w:t xml:space="preserve">, Information Circular 39A, Arkansas Geological </w:t>
      </w:r>
      <w:r w:rsidRPr="00C30054">
        <w:rPr>
          <w:rFonts w:eastAsia="Palatino-Roman"/>
          <w:sz w:val="22"/>
        </w:rPr>
        <w:t>Survey</w:t>
      </w:r>
      <w:r w:rsidRPr="00C30054">
        <w:rPr>
          <w:rFonts w:eastAsia="Palatino-Roman" w:hint="eastAsia"/>
          <w:sz w:val="22"/>
        </w:rPr>
        <w:t>, December 2008</w:t>
      </w:r>
    </w:p>
    <w:p w:rsidR="0098536F" w:rsidRPr="00C30054" w:rsidRDefault="0098536F" w:rsidP="00C30054">
      <w:pPr>
        <w:autoSpaceDE w:val="0"/>
        <w:autoSpaceDN w:val="0"/>
        <w:adjustRightInd w:val="0"/>
        <w:ind w:left="660" w:hangingChars="300" w:hanging="660"/>
        <w:rPr>
          <w:rFonts w:eastAsia="Palatino-Roman"/>
          <w:sz w:val="22"/>
        </w:rPr>
      </w:pPr>
      <w:r w:rsidRPr="00C30054">
        <w:rPr>
          <w:rFonts w:eastAsia="Palatino-Roman"/>
          <w:sz w:val="22"/>
        </w:rPr>
        <w:t>Goyeneche, J. C., R.M. Slatt, A.C. Rothfolk, and R.J. Davis, 2006, Systematic geological and geophysical characterization of a deepwater outcrop for “Reservoir” Simulation: Hollywood Quarry, Arkansas, in Slatt, R.M., N.C. Rosen, M. Bowman, J. Castagna, T. Good, R. Loucks, R. Latimer, M. Scheihing, and R. Smith (eds.), Reservoir Characterization: Integrating Technology and business practices: 26th Annual GCSSEPM Foundation Bob F. Perkins Research Conf., Dec. 3-6, Houston, p. 685-728.</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Graham, S.A., W. R. Dickinson and R. V. Ingersoll, 1975, Himalayan-Bengal Model for Flysch Dispersal in the Appalachian-Ouachita System, GSA Bulletin, March; v. 86; no. 3; p. 273-286</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Graham, S. A., R. V. Ingersoll, and W. R. Dickinson, 1976, Common provenance for lithic grains in Carboniferous sandstones from Ouachita Mountains and Black Warrior Basin: Journal of Sedimentary Research, v. 46, p. 620-632.</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bCs/>
          <w:sz w:val="22"/>
        </w:rPr>
        <w:t>Haq, B. U. and Shutter, S. R., 2008.A chronology of Paleozoic sea-level changes</w:t>
      </w:r>
      <w:r w:rsidRPr="00C30054">
        <w:rPr>
          <w:rFonts w:eastAsia="AGaramond-Regular" w:hint="eastAsia"/>
          <w:bCs/>
          <w:sz w:val="22"/>
        </w:rPr>
        <w:t xml:space="preserve">, </w:t>
      </w:r>
      <w:r w:rsidRPr="00C30054">
        <w:rPr>
          <w:rFonts w:eastAsia="AGaramond-Regular"/>
          <w:bCs/>
          <w:i/>
          <w:iCs/>
          <w:sz w:val="22"/>
        </w:rPr>
        <w:t>Science</w:t>
      </w:r>
      <w:r w:rsidRPr="00C30054">
        <w:rPr>
          <w:rFonts w:eastAsia="AGaramond-Regular"/>
          <w:bCs/>
          <w:sz w:val="22"/>
        </w:rPr>
        <w:t>, Vol. 322, October 2008, p. 64-68.</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Hatcher, R.D., W. A. Thomas and G. W. Viele, 1989, The Appalachian-Ouachita Orogen in the United States, Geol. Soc. Am., Boulder, CO, United States, pp. 700-800.</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lastRenderedPageBreak/>
        <w:t>Jordan, D. W., D. R. Lowe, R. M. Slatt, C. G. Stone, A. D’Agostino, M. H. Scheihing, and R. H. Gillespie, 1991, Scales of geological heterogeneity of Pennsylvanian Jackfork Group, Ouachita Mountains, Arkansas: applications to field development and exploration for deep-water sandstones: Dallas Geological Society Field Trip</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Lowe, D.R., 1989, Stratigraphy, sedimentology, and depositional setting of pre-orogenic rocks of the Ouachita Mountains, Arkansas and Oklahoma (in The Appalachian-Ouachita Orogen in the United States Hatcher, Thomas, Viele, Robert D., William A., v. F-2, George W., Geol. Soc. Am., Boulder, CO, United States, pp. 575-590</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Lowe, D. R., M. Guy, A. Palfrey, 2003, Facies of slurry-flow deposits, Britannia Formation (Lower Cretaceous), North Sea: implications for flow evolution and deposit geometry, Sedimentology, Volume 50, Issue 1, pages 45–80.</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Mattis, A.F., 2008, Geological challenges in reservoir modeling, Tahiti Field, Green Canyon 596/640, Gulf of Mexico, 28th Annual GCSSEPM Bob Perkins Research Conference Publication.</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t>Meng, W., J. Li, and S. Liu, 2007, Minor element geochemistry of Triassic mudstone in the Zoige massif and its tectonic setting, Acta Geologica Sichuan, Vol. 27, No.1, pp. 2-6.</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 xml:space="preserve">Miller, M.E., 1985, </w:t>
      </w:r>
      <w:proofErr w:type="gramStart"/>
      <w:r w:rsidRPr="00C30054">
        <w:rPr>
          <w:rFonts w:eastAsia="AGaramond-Regular"/>
          <w:sz w:val="22"/>
        </w:rPr>
        <w:t>The</w:t>
      </w:r>
      <w:proofErr w:type="gramEnd"/>
      <w:r w:rsidRPr="00C30054">
        <w:rPr>
          <w:rFonts w:eastAsia="AGaramond-Regular"/>
          <w:sz w:val="22"/>
        </w:rPr>
        <w:t xml:space="preserve"> use of cathodoluminescence colors for interpreting the provenance of the Jackfork Sandstones, Arkansas, Univ. Cincinnati, unpubl. </w:t>
      </w:r>
      <w:proofErr w:type="gramStart"/>
      <w:r w:rsidRPr="00C30054">
        <w:rPr>
          <w:rFonts w:eastAsia="AGaramond-Regular"/>
          <w:sz w:val="22"/>
        </w:rPr>
        <w:t>M.S. thesis, 145p.</w:t>
      </w:r>
      <w:proofErr w:type="gramEnd"/>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 xml:space="preserve">Montgomery, </w:t>
      </w:r>
      <w:r w:rsidRPr="00C30054">
        <w:rPr>
          <w:rFonts w:eastAsia="AGaramond-Regular" w:hint="eastAsia"/>
          <w:sz w:val="22"/>
        </w:rPr>
        <w:t>S.L.</w:t>
      </w:r>
      <w:r w:rsidRPr="00C30054">
        <w:rPr>
          <w:rFonts w:eastAsia="AGaramond-Regular"/>
          <w:sz w:val="22"/>
        </w:rPr>
        <w:t>, 1996</w:t>
      </w:r>
      <w:r w:rsidRPr="00C30054">
        <w:rPr>
          <w:rFonts w:eastAsia="AGaramond-Regular" w:hint="eastAsia"/>
          <w:sz w:val="22"/>
        </w:rPr>
        <w:t>,</w:t>
      </w:r>
      <w:r w:rsidRPr="00C30054">
        <w:rPr>
          <w:rFonts w:eastAsia="AGaramond-Regular"/>
          <w:sz w:val="22"/>
        </w:rPr>
        <w:t xml:space="preserve"> Jackfork Group,</w:t>
      </w:r>
      <w:r w:rsidRPr="00C30054">
        <w:rPr>
          <w:rFonts w:eastAsia="AGaramond-Regular" w:hint="eastAsia"/>
          <w:sz w:val="22"/>
        </w:rPr>
        <w:t xml:space="preserve"> s</w:t>
      </w:r>
      <w:r w:rsidRPr="00C30054">
        <w:rPr>
          <w:rFonts w:eastAsia="AGaramond-Regular"/>
          <w:sz w:val="22"/>
        </w:rPr>
        <w:t xml:space="preserve">outhern Oklahoma: New </w:t>
      </w:r>
      <w:r w:rsidRPr="00C30054">
        <w:rPr>
          <w:rFonts w:eastAsia="AGaramond-Regular" w:hint="eastAsia"/>
          <w:sz w:val="22"/>
        </w:rPr>
        <w:t>g</w:t>
      </w:r>
      <w:r w:rsidRPr="00C30054">
        <w:rPr>
          <w:rFonts w:eastAsia="AGaramond-Regular"/>
          <w:sz w:val="22"/>
        </w:rPr>
        <w:t xml:space="preserve">as </w:t>
      </w:r>
      <w:r w:rsidRPr="00C30054">
        <w:rPr>
          <w:rFonts w:eastAsia="AGaramond-Regular" w:hint="eastAsia"/>
          <w:sz w:val="22"/>
        </w:rPr>
        <w:t>p</w:t>
      </w:r>
      <w:r w:rsidRPr="00C30054">
        <w:rPr>
          <w:rFonts w:eastAsia="AGaramond-Regular"/>
          <w:sz w:val="22"/>
        </w:rPr>
        <w:t xml:space="preserve">lay in the Ouachita </w:t>
      </w:r>
      <w:r w:rsidRPr="00C30054">
        <w:rPr>
          <w:rFonts w:eastAsia="AGaramond-Regular" w:hint="eastAsia"/>
          <w:sz w:val="22"/>
        </w:rPr>
        <w:t>o</w:t>
      </w:r>
      <w:r w:rsidRPr="00C30054">
        <w:rPr>
          <w:rFonts w:eastAsia="AGaramond-Regular"/>
          <w:sz w:val="22"/>
        </w:rPr>
        <w:t>verthrust</w:t>
      </w:r>
      <w:r w:rsidR="00E90FEA" w:rsidRPr="00C30054">
        <w:rPr>
          <w:rFonts w:eastAsia="AGaramond-Regular"/>
          <w:sz w:val="22"/>
        </w:rPr>
        <w:t>, AAPG</w:t>
      </w:r>
      <w:r w:rsidRPr="00C30054">
        <w:rPr>
          <w:rFonts w:eastAsia="AGaramond-Regular"/>
          <w:sz w:val="22"/>
        </w:rPr>
        <w:t xml:space="preserve"> Bulletin, Vol. 80, </w:t>
      </w:r>
      <w:proofErr w:type="gramStart"/>
      <w:r w:rsidRPr="00C30054">
        <w:rPr>
          <w:rFonts w:eastAsia="AGaramond-Regular"/>
          <w:sz w:val="22"/>
        </w:rPr>
        <w:t>No</w:t>
      </w:r>
      <w:proofErr w:type="gramEnd"/>
      <w:r w:rsidRPr="00C30054">
        <w:rPr>
          <w:rFonts w:eastAsia="AGaramond-Regular"/>
          <w:sz w:val="22"/>
        </w:rPr>
        <w:t>. 11.</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Morris, R.C., 1971, Stratigraphy and sedimentology of Jackfork group, Arkansas, The American Association of Petroleum Geologists Bulletin, vol.55, no.3, pp.387-402.</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Morris, R. C., 1977, Petrography of Stanley-Jackfork sandstones, Ouachita Mountains, Arkansas, in C. G. Stone, ed., Symposium on the geology of the Ouachita Mountains: Little Rock, Arkansas Geological Commission, p. 146-157.</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lastRenderedPageBreak/>
        <w:t>Morris, R.C., 1989, Stratigraphy and sedimentary history of post-Arkansas Novaculite Carboniferous rocks of the Ouachita Mountains (in The Appalachian-Ouachita Orogen in the United States Hatcher, Thomas, Viele, Robert D., William A., George W., F-2, Geol. Soc. Am., Boulder, CO, United States, pp. 591-602</w:t>
      </w:r>
    </w:p>
    <w:p w:rsidR="0098536F" w:rsidRPr="00C30054" w:rsidRDefault="00E90FEA" w:rsidP="00C30054">
      <w:pPr>
        <w:autoSpaceDE w:val="0"/>
        <w:autoSpaceDN w:val="0"/>
        <w:adjustRightInd w:val="0"/>
        <w:ind w:left="660" w:hangingChars="300" w:hanging="660"/>
        <w:rPr>
          <w:rFonts w:eastAsia="AGaramond-Regular"/>
          <w:sz w:val="22"/>
        </w:rPr>
      </w:pPr>
      <w:r w:rsidRPr="00C30054">
        <w:rPr>
          <w:rFonts w:eastAsia="AGaramond-Regular" w:hint="eastAsia"/>
          <w:sz w:val="22"/>
        </w:rPr>
        <w:t>Mutti</w:t>
      </w:r>
      <w:r w:rsidRPr="00C30054">
        <w:rPr>
          <w:rFonts w:eastAsia="AGaramond-Regular"/>
          <w:sz w:val="22"/>
        </w:rPr>
        <w:t>, E.</w:t>
      </w:r>
      <w:r w:rsidRPr="00C30054">
        <w:rPr>
          <w:rFonts w:eastAsia="AGaramond-Regular" w:hint="eastAsia"/>
          <w:sz w:val="22"/>
        </w:rPr>
        <w:t xml:space="preserve"> and </w:t>
      </w:r>
      <w:r w:rsidRPr="00C30054">
        <w:rPr>
          <w:rFonts w:eastAsia="AGaramond-Regular"/>
          <w:sz w:val="22"/>
        </w:rPr>
        <w:t xml:space="preserve">W.R. </w:t>
      </w:r>
      <w:r w:rsidRPr="00C30054">
        <w:rPr>
          <w:rFonts w:eastAsia="AGaramond-Regular" w:hint="eastAsia"/>
          <w:sz w:val="22"/>
        </w:rPr>
        <w:t>Normark, 1991</w:t>
      </w:r>
      <w:r w:rsidRPr="00C30054">
        <w:rPr>
          <w:rFonts w:eastAsia="AGaramond-Regular"/>
          <w:sz w:val="22"/>
        </w:rPr>
        <w:t>, An integrated approach to the study of turbidite systems (in Weimer, P., H. Martin and A.H. Bouma eds</w:t>
      </w:r>
      <w:r>
        <w:rPr>
          <w:rFonts w:eastAsia="AGaramond-Regular" w:hint="eastAsia"/>
          <w:sz w:val="22"/>
          <w:lang w:eastAsia="zh-CN"/>
        </w:rPr>
        <w:t>.</w:t>
      </w:r>
      <w:r w:rsidRPr="00C30054">
        <w:rPr>
          <w:rFonts w:eastAsia="AGaramond-Regular"/>
          <w:sz w:val="22"/>
        </w:rPr>
        <w:t xml:space="preserve"> , Seismic facies and sedimentary processes of submarine fans and turbidite systems, New York, NY, United States, pp. 75-106</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Olariu M. I., J. F. Ferguson, C. L.V. Aiken, and X. Xu, 2008, Outcrop fracture characterization using terrestrial laser scanners: Deep-water Jackfork sandstone at Big Rock Quarry, Arkansas, Geosphere, vol. 4, no. 1, pp.247-259</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Olariu M. I., C. L. V. Aiken, J. P. Bhattacharya, and X. Xu, 2011, Interpretation of channelized architecture using three-dimensional photo real models, Pennsylvanian deep-water deposits at Big Rock Quarry, Arkansas, Marine and Petroleum Geology, v. 28, p. 1157-1170.</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Omatsola, B., 2003, Origin and distribution of friable and cemented sandstones in outcrops of the Pennsylvanian Jackfork Group, southeast Oklahoma: Master's thesis, University of Oklahoma, Norman, 227p.</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Owen, M. R., and A. V. Carozzi, 1986, Southern provenance of upper Jackfork Sandstone, southern Ouachita Mountains: cathodoluminescence petrology: Geological Society of America Bulletin, v. 97, p. 110-115.</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 xml:space="preserve">Pack, L.B., 2010, Facies control on production in the Jackfork Group, Latimer and Pushmataha Counties, Oklahoma, unpubl. </w:t>
      </w:r>
      <w:proofErr w:type="gramStart"/>
      <w:r w:rsidRPr="00C30054">
        <w:rPr>
          <w:rFonts w:eastAsia="AGaramond-Regular"/>
          <w:sz w:val="22"/>
        </w:rPr>
        <w:t>M.S. thesis, Univ. Oklahoma, 126p.</w:t>
      </w:r>
      <w:proofErr w:type="gramEnd"/>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Pauli, D., 1994, Friable submarine channel sandstones in the Jackfork Group, Lynn Mountain Syncline, Pushmataha and Le Flore Counties, Oklahoma (in Geology and resources of the eastern Ouachita Mountains frontal belt and southeastern Arkoma Basin, Oklahoma; Part II, Contributed papers) Guidebook - Oklahoma Geological Survey, pp. 179-202</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lastRenderedPageBreak/>
        <w:t xml:space="preserve">Proctor, K. E., 1974, </w:t>
      </w:r>
      <w:proofErr w:type="gramStart"/>
      <w:r w:rsidRPr="00C30054">
        <w:rPr>
          <w:rFonts w:eastAsia="AGaramond-Regular"/>
          <w:sz w:val="22"/>
        </w:rPr>
        <w:t>The</w:t>
      </w:r>
      <w:proofErr w:type="gramEnd"/>
      <w:r w:rsidRPr="00C30054">
        <w:rPr>
          <w:rFonts w:eastAsia="AGaramond-Regular"/>
          <w:sz w:val="22"/>
        </w:rPr>
        <w:t xml:space="preserve"> petrography and gas-reservoir potential of Stanley-Jackfork sandstones, Ouachita Mountains, Arkansas and Oklahoma: Master's thesis, Northern Illinois University, De Kalb, 302 p.</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Pyles D. R., 2008, Multiscale stratigraphic analysis of a structurally confined submarine fan: Carboniferous Ross Sandstone, Ireland, AAPG Bulletin, vol. 92, no. 5, pp.557-587.</w:t>
      </w:r>
    </w:p>
    <w:p w:rsidR="0098536F" w:rsidRPr="00C30054" w:rsidRDefault="0098536F" w:rsidP="00C30054">
      <w:pPr>
        <w:autoSpaceDE w:val="0"/>
        <w:autoSpaceDN w:val="0"/>
        <w:adjustRightInd w:val="0"/>
        <w:ind w:left="660" w:hangingChars="300" w:hanging="660"/>
        <w:rPr>
          <w:rFonts w:eastAsia="AGaramond-Regular"/>
          <w:b/>
          <w:bCs/>
          <w:sz w:val="22"/>
        </w:rPr>
      </w:pPr>
      <w:r w:rsidRPr="00C30054">
        <w:rPr>
          <w:rFonts w:eastAsia="AGaramond-Regular"/>
          <w:sz w:val="22"/>
        </w:rPr>
        <w:t xml:space="preserve">Pyles, D.R., J.P.M. Syvitski and R. M. Slatt, 2011, </w:t>
      </w:r>
      <w:r w:rsidRPr="00C30054">
        <w:rPr>
          <w:rFonts w:eastAsia="AGaramond-Regular"/>
          <w:bCs/>
          <w:sz w:val="22"/>
        </w:rPr>
        <w:t>Defining the concept of stratigraphic grade and applying it to stratal (reservoir) architecture and evolution of the slope-to-basin profile: An outcrop perspective, Marine and Petroleum Geology, Vol. 28, No.3, pp. 675–697</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Ratcliffe, K. T., A.M. Wright and K. Schmidt, 2012, Application of inorganic whole-rock geochemistry, to shale resource plays: an example from the, Eagle Ford Shale Formation, Texas, the Sedimentary Record, Vol. 10, No.2, pp. 4-10.</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Roberts, M. T., 1994, Geologic relations along a regional cross section from Spavinaw to Broken Bow, eastern Oklahoma, in N. H. Suneson and L. A. Hemish, eds., Geology and resources of the eastern Ouachita Mountains frontal belt and southeastern Arkoma basin, Oklahoma: Oklahoma Geological Survey Guidebook 29, p. 137–159</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t>Romero, G.A., 2004,</w:t>
      </w:r>
      <w:r w:rsidRPr="00C30054">
        <w:rPr>
          <w:rFonts w:eastAsia="AGaramond-Regular"/>
          <w:sz w:val="22"/>
        </w:rPr>
        <w:t xml:space="preserve"> Identification of architectural elements of turbidite deposits, Jackfork Group, Potato Hills eastern Oklahoma</w:t>
      </w:r>
      <w:r w:rsidRPr="00C30054">
        <w:rPr>
          <w:rFonts w:eastAsia="AGaramond-Regular" w:hint="eastAsia"/>
          <w:sz w:val="22"/>
        </w:rPr>
        <w:t>, Master Thesis of the University of Oklahoma, pp.</w:t>
      </w:r>
      <w:r w:rsidRPr="00C30054">
        <w:rPr>
          <w:rFonts w:eastAsia="AGaramond-Regular"/>
          <w:sz w:val="22"/>
        </w:rPr>
        <w:t>238p</w:t>
      </w:r>
      <w:r w:rsidRPr="00C30054">
        <w:rPr>
          <w:rFonts w:eastAsia="AGaramond-Regular" w:hint="eastAsia"/>
          <w:sz w:val="22"/>
        </w:rPr>
        <w:t>.</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 xml:space="preserve">Ross, C.A. and J.R.P. Ross, 1988, Late Paleozoic sea levels and depositional sequences: Cushman Found. </w:t>
      </w:r>
      <w:proofErr w:type="gramStart"/>
      <w:r w:rsidRPr="00C30054">
        <w:rPr>
          <w:rFonts w:eastAsia="AGaramond-Regular"/>
          <w:sz w:val="22"/>
        </w:rPr>
        <w:t>for</w:t>
      </w:r>
      <w:proofErr w:type="gramEnd"/>
      <w:r w:rsidRPr="00C30054">
        <w:rPr>
          <w:rFonts w:eastAsia="AGaramond-Regular"/>
          <w:sz w:val="22"/>
        </w:rPr>
        <w:t xml:space="preserve"> Foram. Res. Special Publication 24, p. 137-149.</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Schlichtemeier, B.D., 2011, Lidar Characterization of a Jackfork Group Basin Floor Fan Deposit and Implications to Analog Reservoir Modeling and Production, Master Thesis, the University of Oklahoma.</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lastRenderedPageBreak/>
        <w:t xml:space="preserve">Shanmugam, G. and R. J. Moiola, 1995, </w:t>
      </w:r>
      <w:r w:rsidRPr="00C30054">
        <w:rPr>
          <w:rFonts w:eastAsia="AGaramond-Regular"/>
          <w:bCs/>
          <w:sz w:val="22"/>
        </w:rPr>
        <w:t>Reinterpretation of depositional processes in a classic flysch sequence (Pennsylvanian Jackfork Group), Ouachita Mountains, Arkansas and Oklahoma</w:t>
      </w:r>
      <w:r w:rsidRPr="00C30054">
        <w:rPr>
          <w:rFonts w:eastAsia="AGaramond-Regular"/>
          <w:b/>
          <w:bCs/>
          <w:sz w:val="22"/>
        </w:rPr>
        <w:t xml:space="preserve">, </w:t>
      </w:r>
      <w:r w:rsidRPr="00C30054">
        <w:rPr>
          <w:rFonts w:eastAsia="AGaramond-Regular"/>
          <w:sz w:val="22"/>
        </w:rPr>
        <w:t>AAPG Bulletin, May 1995; 79: 672 – 69</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Shaulis, B.J., T. J. Lapen, J. F. Casey, and D. R. Reid, 2012, Timing and Rates of Flysch Sedimentation In the Stanley Group, Ouachita Mountains, Oklahoma and Arkansas, U.S.A.: Constraints from U-Pb Zircon Ages of Subaqueous Ash-Flow Tuffs, Journal of Sedimentary Research, v. 82, p. 833-840, doi:10.2110/jsr.2012.68</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Shear, A.C., 2006, Stratigraphy and petrology of the Cretaceous-Pennsylvanian unconformity at DeGray Lake, Master Thesis, the University of Oklahoma, pp.1-100.</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 xml:space="preserve">Slatt, R. M., P. Weimer; C.G. Stone, 1997, Reinterpretation of depositional processes in a classic flysch sequence (Pennsylvanian Jackfork Group), Ouachita Mountains, Arkansas and Oklahoma; discussions and reply AAPG Bulletin, vol.81, no.3, pp.449-491, </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Slatt, R.M., C.G. Stone, and P. Weimer, 2000a, Characterization of slope and basin facies tracts, Jackfork Group, Arkansas, with applications to deepwater (turbidite) reservoir management, in Weimer, P., Slatt, R.M., Coleman, J. L. Jr. and., Bouma, A.H (eds.) Deep-water reservoirs of the world, Gulf Coast Sect. Soc. Econ. Paleon</w:t>
      </w:r>
      <w:proofErr w:type="gramStart"/>
      <w:r w:rsidRPr="00C30054">
        <w:rPr>
          <w:rFonts w:eastAsia="AGaramond-Regular"/>
          <w:sz w:val="22"/>
        </w:rPr>
        <w:t>.&amp;</w:t>
      </w:r>
      <w:proofErr w:type="gramEnd"/>
      <w:r w:rsidRPr="00C30054">
        <w:rPr>
          <w:rFonts w:eastAsia="AGaramond-Regular"/>
          <w:sz w:val="22"/>
        </w:rPr>
        <w:t xml:space="preserve"> Mineral. Found. 20th Ann. B.F. Perkins Research Conference, p. 940-980.</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Slatt, R. M, H. A. Al-Siyabi, C. W. VanKirk, and R. W. Williams, 2000b, From geologic characterization to "reservoir simulation" of a turbidite outcrop, Arkansas, U.S.A. (in Fine-grained turbidite systems) AAPG Memoir, 72 187-194</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Slatt, R. M., 2000c, Why outcrop characterization of turbidite systems, in A. H. Bouma and C. G. Stone, eds., Fine-grained turbidite systems, AAPG Memoir 72 /SEPM Special Publication 68, p. 181–186.</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 xml:space="preserve">Sprague,A. R., P. E. Patterson, R.E. Hill, C.R. Jones, K. M. Campion, J.C. Van Wagoner, M. D. Sullivan, D.K. Larue, H.R. Feldman, T.M. Demko, R.W. Wellner, </w:t>
      </w:r>
      <w:r w:rsidRPr="00C30054">
        <w:rPr>
          <w:rFonts w:eastAsia="AGaramond-Regular" w:hint="eastAsia"/>
          <w:sz w:val="22"/>
        </w:rPr>
        <w:t xml:space="preserve">and </w:t>
      </w:r>
      <w:r w:rsidRPr="00C30054">
        <w:rPr>
          <w:rFonts w:eastAsia="AGaramond-Regular"/>
          <w:sz w:val="22"/>
        </w:rPr>
        <w:t>J.K. Geslin</w:t>
      </w:r>
      <w:r w:rsidRPr="00C30054">
        <w:rPr>
          <w:rFonts w:eastAsia="AGaramond-Regular" w:hint="eastAsia"/>
          <w:sz w:val="22"/>
        </w:rPr>
        <w:t>,</w:t>
      </w:r>
      <w:r w:rsidRPr="00C30054">
        <w:rPr>
          <w:rFonts w:eastAsia="AGaramond-Regular"/>
          <w:sz w:val="22"/>
        </w:rPr>
        <w:t>2002, </w:t>
      </w:r>
      <w:r w:rsidRPr="00C30054">
        <w:rPr>
          <w:rFonts w:eastAsia="AGaramond-Regular"/>
          <w:bCs/>
          <w:sz w:val="22"/>
        </w:rPr>
        <w:t xml:space="preserve">The Physical stratigraphy of Fluvial strata: A Hierarchical Approach to the </w:t>
      </w:r>
      <w:r w:rsidRPr="00C30054">
        <w:rPr>
          <w:rFonts w:eastAsia="AGaramond-Regular"/>
          <w:bCs/>
          <w:sz w:val="22"/>
        </w:rPr>
        <w:lastRenderedPageBreak/>
        <w:t>Analysis of Genetically Related Stratigraphic Elements for Improved Reservoir Prediction</w:t>
      </w:r>
      <w:r w:rsidRPr="00C30054">
        <w:rPr>
          <w:rFonts w:eastAsia="AGaramond-Regular"/>
          <w:sz w:val="22"/>
        </w:rPr>
        <w:t>, Abstract</w:t>
      </w:r>
      <w:r w:rsidRPr="00C30054">
        <w:rPr>
          <w:rFonts w:eastAsia="AGaramond-Regular" w:hint="eastAsia"/>
          <w:sz w:val="22"/>
        </w:rPr>
        <w:t xml:space="preserve"> of</w:t>
      </w:r>
      <w:r w:rsidRPr="00C30054">
        <w:rPr>
          <w:rFonts w:eastAsia="AGaramond-Regular"/>
          <w:sz w:val="22"/>
        </w:rPr>
        <w:t xml:space="preserve"> AAPG Annual Meeting</w:t>
      </w:r>
      <w:r w:rsidRPr="00C30054">
        <w:rPr>
          <w:rFonts w:eastAsia="AGaramond-Regular" w:hint="eastAsia"/>
          <w:sz w:val="22"/>
        </w:rPr>
        <w:t>, Houston, Texas.</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Steel, R.J., C. Olariu, and M. Olariu, 2012, Basin-floor fan architecture: signals of sea level behavior, Abstract in 2012 GSA Annual Meeting in Charlotte.</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Stone, C., 2012, Ireland Outcrops Still Yield Deep Secrets, AAPG Explorer, March, 2012.</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Suneson, N., I. Cemen, D.R. Kerr, M.T. Roberts, R.M. Slatt, and C.G. Stone, 2008, Stratigraphic and structural evolution of the Ouachita Mountains and Arkoma Basin, southeastern Oklahoma and west-central Arkansas: applications to petroleum exploration: Oklahoma Geological Survey Guidebook 34, p.50-72</w:t>
      </w:r>
    </w:p>
    <w:p w:rsidR="0098536F" w:rsidRPr="00C30054" w:rsidRDefault="0098536F" w:rsidP="00C30054">
      <w:pPr>
        <w:autoSpaceDE w:val="0"/>
        <w:autoSpaceDN w:val="0"/>
        <w:adjustRightInd w:val="0"/>
        <w:ind w:left="660" w:hangingChars="300" w:hanging="660"/>
        <w:rPr>
          <w:rFonts w:eastAsia="AGaramond-Regular"/>
          <w:bCs/>
          <w:sz w:val="22"/>
        </w:rPr>
      </w:pPr>
      <w:r w:rsidRPr="00C30054">
        <w:rPr>
          <w:rFonts w:eastAsia="AGaramond-Regular"/>
          <w:sz w:val="22"/>
        </w:rPr>
        <w:t>Suneson, N.</w:t>
      </w:r>
      <w:r w:rsidRPr="00C30054">
        <w:rPr>
          <w:rFonts w:eastAsia="AGaramond-Regular" w:hint="eastAsia"/>
          <w:sz w:val="22"/>
        </w:rPr>
        <w:t xml:space="preserve"> and R.M. Slatt, 2004, </w:t>
      </w:r>
      <w:r w:rsidRPr="00C30054">
        <w:rPr>
          <w:rFonts w:eastAsia="AGaramond-Regular" w:hint="eastAsia"/>
          <w:bCs/>
          <w:sz w:val="22"/>
        </w:rPr>
        <w:t>t</w:t>
      </w:r>
      <w:r w:rsidRPr="00C30054">
        <w:rPr>
          <w:rFonts w:eastAsia="AGaramond-Regular"/>
          <w:bCs/>
          <w:sz w:val="22"/>
        </w:rPr>
        <w:t>he Jackfork Sandstone: The Next Big Oklahoma Exploration Play</w:t>
      </w:r>
      <w:r w:rsidRPr="00C30054">
        <w:rPr>
          <w:rFonts w:eastAsia="AGaramond-Regular" w:hint="eastAsia"/>
          <w:bCs/>
          <w:sz w:val="22"/>
        </w:rPr>
        <w:t xml:space="preserve">, Shale Shaker, </w:t>
      </w:r>
      <w:r w:rsidRPr="00C30054">
        <w:rPr>
          <w:rFonts w:eastAsia="AGaramond-Regular"/>
          <w:bCs/>
          <w:sz w:val="22"/>
        </w:rPr>
        <w:t xml:space="preserve">Vol. 55, No. </w:t>
      </w:r>
      <w:proofErr w:type="gramStart"/>
      <w:r w:rsidRPr="00C30054">
        <w:rPr>
          <w:rFonts w:eastAsia="AGaramond-Regular"/>
          <w:bCs/>
          <w:sz w:val="22"/>
        </w:rPr>
        <w:t>3.</w:t>
      </w:r>
      <w:r w:rsidR="00E90FEA" w:rsidRPr="00C30054">
        <w:rPr>
          <w:rFonts w:eastAsia="AGaramond-Regular"/>
          <w:bCs/>
          <w:sz w:val="22"/>
        </w:rPr>
        <w:t>,</w:t>
      </w:r>
      <w:proofErr w:type="gramEnd"/>
      <w:r w:rsidR="00E90FEA" w:rsidRPr="00C30054">
        <w:rPr>
          <w:rFonts w:eastAsia="AGaramond-Regular"/>
          <w:bCs/>
          <w:sz w:val="22"/>
        </w:rPr>
        <w:t xml:space="preserve"> (</w:t>
      </w:r>
      <w:r w:rsidRPr="00C30054">
        <w:rPr>
          <w:rFonts w:eastAsia="AGaramond-Regular"/>
          <w:bCs/>
          <w:sz w:val="22"/>
        </w:rPr>
        <w:t>November</w:t>
      </w:r>
      <w:r w:rsidRPr="00C30054">
        <w:rPr>
          <w:rFonts w:eastAsia="AGaramond-Regular" w:hint="eastAsia"/>
          <w:bCs/>
          <w:sz w:val="22"/>
        </w:rPr>
        <w:t xml:space="preserve"> and </w:t>
      </w:r>
      <w:r w:rsidRPr="00C30054">
        <w:rPr>
          <w:rFonts w:eastAsia="AGaramond-Regular"/>
          <w:bCs/>
          <w:sz w:val="22"/>
        </w:rPr>
        <w:t>December), Pages 71-79</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Sullivan, M. D., J. L. Foreman, D. C. Jennette, D. Stern, G. N. Jensen, and F. J. Goulding, 2004, An integrated approach to characterization and modeling of deep-water reservoirs, Diana field, western Gulf of Mexico, in Integration of outcrop and modern analogs in reservoir modeling: AAPG Memoir 80, p. 215– 234.</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Tillman, R.W., 2000, Sedimentology and sequence stratigraphy of Jackfork Group, U.S. Highway 259, Le Flore County, Oklahoma (in Marine clastics in the southern Midcontinent, 1997 symposium) Circular - Oklahoma Geological Survey (2000), pp.65-85</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t>Totten and Blatt, 1993, Alterations in the nonclay-mineral fraction of pelitic rocks across the diagenetic to low-grade metamorphic transition, Ouachita Mountains, Oklahoma and Arkansas, Journal of Sedimentary Petrology, v.63, pp. 899-908.</w:t>
      </w:r>
    </w:p>
    <w:p w:rsidR="0098536F" w:rsidRPr="00C30054" w:rsidRDefault="0098536F" w:rsidP="00C30054">
      <w:pPr>
        <w:autoSpaceDE w:val="0"/>
        <w:autoSpaceDN w:val="0"/>
        <w:adjustRightInd w:val="0"/>
        <w:ind w:left="660" w:hangingChars="300" w:hanging="660"/>
        <w:rPr>
          <w:rFonts w:eastAsia="AGaramond-Regular"/>
          <w:sz w:val="22"/>
        </w:rPr>
      </w:pPr>
      <w:proofErr w:type="gramStart"/>
      <w:r w:rsidRPr="00C30054">
        <w:rPr>
          <w:rFonts w:eastAsia="AGaramond-Regular"/>
          <w:sz w:val="22"/>
        </w:rPr>
        <w:t xml:space="preserve">Totten, M.W., M.A.Hanan, </w:t>
      </w:r>
      <w:r w:rsidRPr="00C30054">
        <w:rPr>
          <w:rFonts w:eastAsia="AGaramond-Regular" w:hint="eastAsia"/>
          <w:sz w:val="22"/>
        </w:rPr>
        <w:t xml:space="preserve">and </w:t>
      </w:r>
      <w:r w:rsidRPr="00C30054">
        <w:rPr>
          <w:rFonts w:eastAsia="AGaramond-Regular"/>
          <w:sz w:val="22"/>
        </w:rPr>
        <w:t>B.L.Weaver, 2000.</w:t>
      </w:r>
      <w:proofErr w:type="gramEnd"/>
      <w:r w:rsidRPr="00C30054">
        <w:rPr>
          <w:rFonts w:eastAsia="AGaramond-Regular"/>
          <w:sz w:val="22"/>
        </w:rPr>
        <w:t xml:space="preserve"> Beyond whole-rock geochemistry of shales:</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tab/>
      </w:r>
      <w:r w:rsidR="00E90FEA" w:rsidRPr="00C30054">
        <w:rPr>
          <w:rFonts w:eastAsia="AGaramond-Regular"/>
          <w:sz w:val="22"/>
        </w:rPr>
        <w:t>The</w:t>
      </w:r>
      <w:r w:rsidRPr="00C30054">
        <w:rPr>
          <w:rFonts w:eastAsia="AGaramond-Regular"/>
          <w:sz w:val="22"/>
        </w:rPr>
        <w:t xml:space="preserve"> importance of assessing </w:t>
      </w:r>
      <w:r w:rsidR="00E90FEA" w:rsidRPr="00C30054">
        <w:rPr>
          <w:rFonts w:eastAsia="AGaramond-Regular"/>
          <w:sz w:val="22"/>
        </w:rPr>
        <w:t>mineralogical</w:t>
      </w:r>
      <w:r w:rsidRPr="00C30054">
        <w:rPr>
          <w:rFonts w:eastAsia="AGaramond-Regular"/>
          <w:sz w:val="22"/>
        </w:rPr>
        <w:t xml:space="preserve"> controls for revealing tectonic discriminants of</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lastRenderedPageBreak/>
        <w:tab/>
      </w:r>
      <w:r w:rsidR="00E90FEA" w:rsidRPr="00C30054">
        <w:rPr>
          <w:rFonts w:eastAsia="AGaramond-Regular"/>
          <w:sz w:val="22"/>
        </w:rPr>
        <w:t>Multiple</w:t>
      </w:r>
      <w:r w:rsidRPr="00C30054">
        <w:rPr>
          <w:rFonts w:eastAsia="AGaramond-Regular"/>
          <w:sz w:val="22"/>
        </w:rPr>
        <w:t xml:space="preserve"> sediment sources for the Ouachita Mountain flysch deposits. Geological Society </w:t>
      </w:r>
      <w:r w:rsidR="00E90FEA" w:rsidRPr="00C30054">
        <w:rPr>
          <w:rFonts w:eastAsia="AGaramond-Regular"/>
          <w:sz w:val="22"/>
        </w:rPr>
        <w:t>of America</w:t>
      </w:r>
      <w:r w:rsidRPr="00C30054">
        <w:rPr>
          <w:rFonts w:eastAsia="AGaramond-Regular"/>
          <w:sz w:val="22"/>
        </w:rPr>
        <w:t xml:space="preserve"> Bulletin 112, 1012–1022.</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hint="eastAsia"/>
          <w:sz w:val="22"/>
        </w:rPr>
        <w:t xml:space="preserve">Taylor, S.R. and S.M. McLennan, 1985, </w:t>
      </w:r>
      <w:proofErr w:type="gramStart"/>
      <w:r w:rsidRPr="00C30054">
        <w:rPr>
          <w:rFonts w:eastAsia="AGaramond-Regular" w:hint="eastAsia"/>
          <w:sz w:val="22"/>
        </w:rPr>
        <w:t>The</w:t>
      </w:r>
      <w:proofErr w:type="gramEnd"/>
      <w:r w:rsidRPr="00C30054">
        <w:rPr>
          <w:rFonts w:eastAsia="AGaramond-Regular" w:hint="eastAsia"/>
          <w:sz w:val="22"/>
        </w:rPr>
        <w:t xml:space="preserve"> continental crust: its composition and evolution, Blackwell Scientific Publications, </w:t>
      </w:r>
      <w:r w:rsidR="00E90FEA" w:rsidRPr="00C30054">
        <w:rPr>
          <w:rFonts w:eastAsia="AGaramond-Regular"/>
          <w:sz w:val="22"/>
        </w:rPr>
        <w:t>Oxford</w:t>
      </w:r>
      <w:r w:rsidRPr="00C30054">
        <w:rPr>
          <w:rFonts w:eastAsia="AGaramond-Regular" w:hint="eastAsia"/>
          <w:sz w:val="22"/>
        </w:rPr>
        <w:t>, pp.1-300.</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 xml:space="preserve">Vail, P.R., </w:t>
      </w:r>
      <w:r w:rsidRPr="00C30054">
        <w:rPr>
          <w:rFonts w:eastAsia="AGaramond-Regular" w:hint="eastAsia"/>
          <w:sz w:val="22"/>
        </w:rPr>
        <w:t xml:space="preserve">R.M. </w:t>
      </w:r>
      <w:r w:rsidRPr="00C30054">
        <w:rPr>
          <w:rFonts w:eastAsia="AGaramond-Regular"/>
          <w:sz w:val="22"/>
        </w:rPr>
        <w:t xml:space="preserve">Mitchum, </w:t>
      </w:r>
      <w:r w:rsidRPr="00C30054">
        <w:rPr>
          <w:rFonts w:eastAsia="AGaramond-Regular" w:hint="eastAsia"/>
          <w:sz w:val="22"/>
        </w:rPr>
        <w:t xml:space="preserve">and S. </w:t>
      </w:r>
      <w:r w:rsidRPr="00C30054">
        <w:rPr>
          <w:rFonts w:eastAsia="AGaramond-Regular"/>
          <w:sz w:val="22"/>
        </w:rPr>
        <w:t>Thompson, 1977. Seismic stratigraphy and global changes of sea level, part 4: global cycles of relative changes of sea level</w:t>
      </w:r>
      <w:r w:rsidRPr="00C30054">
        <w:rPr>
          <w:rFonts w:eastAsia="AGaramond-Regular" w:hint="eastAsia"/>
          <w:sz w:val="22"/>
        </w:rPr>
        <w:t xml:space="preserve">, AAPG Bulletin, v. </w:t>
      </w:r>
      <w:r w:rsidRPr="00C30054">
        <w:rPr>
          <w:rFonts w:eastAsia="AGaramond-Regular"/>
          <w:sz w:val="22"/>
        </w:rPr>
        <w:t>26,</w:t>
      </w:r>
      <w:r w:rsidRPr="00C30054">
        <w:rPr>
          <w:rFonts w:eastAsia="AGaramond-Regular" w:hint="eastAsia"/>
          <w:sz w:val="22"/>
        </w:rPr>
        <w:t xml:space="preserve"> p.</w:t>
      </w:r>
      <w:r w:rsidRPr="00C30054">
        <w:rPr>
          <w:rFonts w:eastAsia="AGaramond-Regular"/>
          <w:sz w:val="22"/>
        </w:rPr>
        <w:t>83–97.</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Viele, G.W.</w:t>
      </w:r>
      <w:r w:rsidR="00E90FEA" w:rsidRPr="00C30054">
        <w:rPr>
          <w:rFonts w:eastAsia="AGaramond-Regular"/>
          <w:sz w:val="22"/>
        </w:rPr>
        <w:t>, 1973</w:t>
      </w:r>
      <w:r w:rsidRPr="00C30054">
        <w:rPr>
          <w:rFonts w:eastAsia="AGaramond-Regular"/>
          <w:sz w:val="22"/>
        </w:rPr>
        <w:t xml:space="preserve">, Structure and tectonic history </w:t>
      </w:r>
      <w:r w:rsidR="00E90FEA" w:rsidRPr="00C30054">
        <w:rPr>
          <w:rFonts w:eastAsia="AGaramond-Regular"/>
          <w:sz w:val="22"/>
        </w:rPr>
        <w:t>of</w:t>
      </w:r>
      <w:r w:rsidR="00E90FEA">
        <w:rPr>
          <w:rFonts w:eastAsia="AGaramond-Regular" w:hint="eastAsia"/>
          <w:sz w:val="22"/>
          <w:lang w:eastAsia="zh-CN"/>
        </w:rPr>
        <w:t xml:space="preserve"> </w:t>
      </w:r>
      <w:r w:rsidR="00E90FEA" w:rsidRPr="00C30054">
        <w:rPr>
          <w:rFonts w:eastAsia="AGaramond-Regular"/>
          <w:sz w:val="22"/>
        </w:rPr>
        <w:t>the</w:t>
      </w:r>
      <w:r w:rsidR="00E90FEA">
        <w:rPr>
          <w:rFonts w:eastAsia="AGaramond-Regular" w:hint="eastAsia"/>
          <w:sz w:val="22"/>
          <w:lang w:eastAsia="zh-CN"/>
        </w:rPr>
        <w:t xml:space="preserve"> </w:t>
      </w:r>
      <w:r w:rsidR="00E90FEA" w:rsidRPr="00C30054">
        <w:rPr>
          <w:rFonts w:eastAsia="AGaramond-Regular"/>
          <w:sz w:val="22"/>
        </w:rPr>
        <w:t>Ouachita</w:t>
      </w:r>
      <w:r w:rsidRPr="00C30054">
        <w:rPr>
          <w:rFonts w:eastAsia="AGaramond-Regular"/>
          <w:sz w:val="22"/>
        </w:rPr>
        <w:t xml:space="preserve"> Mountains, Arkansas, in Delong, K., </w:t>
      </w:r>
      <w:r w:rsidR="00E90FEA" w:rsidRPr="00C30054">
        <w:rPr>
          <w:rFonts w:eastAsia="AGaramond-Regular"/>
          <w:sz w:val="22"/>
        </w:rPr>
        <w:t>and</w:t>
      </w:r>
      <w:r w:rsidR="00E90FEA">
        <w:rPr>
          <w:rFonts w:eastAsia="AGaramond-Regular" w:hint="eastAsia"/>
          <w:sz w:val="22"/>
          <w:lang w:eastAsia="zh-CN"/>
        </w:rPr>
        <w:t xml:space="preserve"> </w:t>
      </w:r>
      <w:r w:rsidR="00E90FEA" w:rsidRPr="00C30054">
        <w:rPr>
          <w:rFonts w:eastAsia="AGaramond-Regular"/>
          <w:sz w:val="22"/>
        </w:rPr>
        <w:t>Scholten</w:t>
      </w:r>
      <w:r w:rsidRPr="00C30054">
        <w:rPr>
          <w:rFonts w:eastAsia="AGaramond-Regular"/>
          <w:sz w:val="22"/>
        </w:rPr>
        <w:t xml:space="preserve">, R., eds., Gravity and tectonics: John </w:t>
      </w:r>
      <w:r w:rsidR="00E90FEA" w:rsidRPr="00C30054">
        <w:rPr>
          <w:rFonts w:eastAsia="AGaramond-Regular"/>
          <w:sz w:val="22"/>
        </w:rPr>
        <w:t>Wiley</w:t>
      </w:r>
      <w:r w:rsidR="00E90FEA">
        <w:rPr>
          <w:rFonts w:eastAsia="AGaramond-Regular" w:hint="eastAsia"/>
          <w:sz w:val="22"/>
          <w:lang w:eastAsia="zh-CN"/>
        </w:rPr>
        <w:t xml:space="preserve"> </w:t>
      </w:r>
      <w:r w:rsidR="00E90FEA" w:rsidRPr="00C30054">
        <w:rPr>
          <w:rFonts w:eastAsia="AGaramond-Regular"/>
          <w:sz w:val="22"/>
        </w:rPr>
        <w:t>and</w:t>
      </w:r>
      <w:r w:rsidRPr="00C30054">
        <w:rPr>
          <w:rFonts w:eastAsia="AGaramond-Regular"/>
          <w:sz w:val="22"/>
        </w:rPr>
        <w:t xml:space="preserve"> Sons, New York, p. 361-377, </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Walthall, B. H., 1967, Stratigraphy and structure, part of Athens Plateau, southern Ouachitas, Arkansas, AAPG Bulletin, v. 51, p. 504-528</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Weislogel, A. L., S. A. Graham, and E. Z. Chang, 2007, Accumulation of the Middle to Upper Triassic Songpan-Ganzi turbidite Complex, China, in T. H. Nilsen, R. D. Shew, G. S. Steffens, and J. R. J. Studlick, eds., Atlas of deep-water outcrops: AAPG Studies in Geology 56, CD-ROM, 20 p.</w:t>
      </w:r>
    </w:p>
    <w:p w:rsidR="0098536F" w:rsidRPr="00C30054" w:rsidRDefault="0098536F" w:rsidP="00C30054">
      <w:pPr>
        <w:autoSpaceDE w:val="0"/>
        <w:autoSpaceDN w:val="0"/>
        <w:adjustRightInd w:val="0"/>
        <w:ind w:left="660" w:hangingChars="300" w:hanging="660"/>
        <w:rPr>
          <w:rFonts w:eastAsia="AGaramond-Regular"/>
          <w:sz w:val="22"/>
        </w:rPr>
      </w:pPr>
      <w:r w:rsidRPr="00C30054">
        <w:rPr>
          <w:rFonts w:eastAsia="AGaramond-Regular"/>
          <w:sz w:val="22"/>
        </w:rPr>
        <w:t xml:space="preserve">Zou F., 2010, </w:t>
      </w:r>
      <w:proofErr w:type="gramStart"/>
      <w:r w:rsidRPr="00C30054">
        <w:rPr>
          <w:rFonts w:eastAsia="AGaramond-Regular"/>
          <w:sz w:val="22"/>
        </w:rPr>
        <w:t>An</w:t>
      </w:r>
      <w:proofErr w:type="gramEnd"/>
      <w:r w:rsidRPr="00C30054">
        <w:rPr>
          <w:rFonts w:eastAsia="AGaramond-Regular"/>
          <w:sz w:val="22"/>
        </w:rPr>
        <w:t xml:space="preserve"> integrated approach to characterization and modeling of the Jackfork Group at the Baumgartner quarry area, western Arkansas and its implications to deepwater exploration and production, Master Thesis of University of Oklahoma.</w:t>
      </w:r>
    </w:p>
    <w:p w:rsidR="0098536F" w:rsidRDefault="0098536F" w:rsidP="00C30054">
      <w:pPr>
        <w:autoSpaceDE w:val="0"/>
        <w:autoSpaceDN w:val="0"/>
        <w:adjustRightInd w:val="0"/>
        <w:ind w:left="660" w:hangingChars="300" w:hanging="660"/>
        <w:rPr>
          <w:rFonts w:eastAsia="AGaramond-Regular"/>
        </w:rPr>
      </w:pPr>
      <w:r w:rsidRPr="00C30054">
        <w:rPr>
          <w:rFonts w:eastAsia="AGaramond-Regular"/>
          <w:sz w:val="22"/>
        </w:rPr>
        <w:t xml:space="preserve">Zou F., </w:t>
      </w:r>
      <w:r w:rsidRPr="00C30054">
        <w:rPr>
          <w:rFonts w:eastAsia="AGaramond-Regular" w:hint="eastAsia"/>
          <w:sz w:val="22"/>
        </w:rPr>
        <w:t>R.M. Slatt, R. Bastidas and B. Ramirez, 2012</w:t>
      </w:r>
      <w:r w:rsidRPr="00C30054">
        <w:rPr>
          <w:rFonts w:eastAsia="AGaramond-Regular"/>
          <w:sz w:val="22"/>
        </w:rPr>
        <w:t>, Integrated outcrop reservoir characterization, modeling, and simulation of the Jackfork Group at the Baumgartner Quarry area, western Arkansas: Implications to Gulf of Mexico deep-water exploration and production</w:t>
      </w:r>
      <w:r w:rsidRPr="00C30054">
        <w:rPr>
          <w:rFonts w:eastAsia="AGaramond-Regular" w:hint="eastAsia"/>
          <w:sz w:val="22"/>
        </w:rPr>
        <w:t xml:space="preserve">, </w:t>
      </w:r>
      <w:r w:rsidRPr="00C30054">
        <w:rPr>
          <w:rFonts w:eastAsia="AGaramond-Regular"/>
          <w:sz w:val="22"/>
        </w:rPr>
        <w:t>AAPG Bulletin</w:t>
      </w:r>
      <w:r w:rsidRPr="00C30054">
        <w:rPr>
          <w:rFonts w:eastAsia="AGaramond-Regular" w:hint="eastAsia"/>
          <w:sz w:val="22"/>
        </w:rPr>
        <w:t xml:space="preserve">, </w:t>
      </w:r>
      <w:r w:rsidRPr="00C30054">
        <w:rPr>
          <w:rFonts w:eastAsia="AGaramond-Regular"/>
          <w:sz w:val="22"/>
        </w:rPr>
        <w:t>v. 96, p. 1429-1448</w:t>
      </w:r>
      <w:r w:rsidRPr="00323427">
        <w:rPr>
          <w:rFonts w:eastAsia="AGaramond-Regular" w:hint="eastAsia"/>
        </w:rPr>
        <w:t>.</w:t>
      </w:r>
    </w:p>
    <w:p w:rsidR="00C30054" w:rsidRDefault="00C30054">
      <w:pPr>
        <w:spacing w:line="240" w:lineRule="auto"/>
        <w:rPr>
          <w:rFonts w:eastAsia="AGaramond-Regular"/>
        </w:rPr>
      </w:pPr>
      <w:r>
        <w:rPr>
          <w:rFonts w:eastAsia="AGaramond-Regular"/>
        </w:rPr>
        <w:br w:type="page"/>
      </w:r>
    </w:p>
    <w:p w:rsidR="00653F74" w:rsidRDefault="00226774" w:rsidP="00E316A5">
      <w:pPr>
        <w:jc w:val="center"/>
        <w:rPr>
          <w:rFonts w:ascii="Times New Roman" w:hAnsi="Times New Roman"/>
          <w:b/>
          <w:sz w:val="28"/>
          <w:szCs w:val="28"/>
        </w:rPr>
      </w:pPr>
      <w:r>
        <w:rPr>
          <w:b/>
          <w:sz w:val="28"/>
          <w:szCs w:val="28"/>
        </w:rPr>
        <w:lastRenderedPageBreak/>
        <w:t>Chapter 3</w:t>
      </w:r>
      <w:r w:rsidR="00E90FEA" w:rsidRPr="00653F74">
        <w:rPr>
          <w:b/>
          <w:sz w:val="28"/>
          <w:szCs w:val="28"/>
        </w:rPr>
        <w:t>:</w:t>
      </w:r>
      <w:r w:rsidR="00E90FEA" w:rsidRPr="000137AB">
        <w:rPr>
          <w:rFonts w:ascii="Times New Roman" w:hAnsi="Times New Roman"/>
          <w:b/>
          <w:sz w:val="28"/>
          <w:szCs w:val="28"/>
        </w:rPr>
        <w:t xml:space="preserve"> Turbidite</w:t>
      </w:r>
      <w:r w:rsidR="000137AB" w:rsidRPr="000137AB">
        <w:rPr>
          <w:rFonts w:ascii="Times New Roman" w:hAnsi="Times New Roman"/>
          <w:b/>
          <w:sz w:val="28"/>
          <w:szCs w:val="28"/>
        </w:rPr>
        <w:t xml:space="preserve"> Petroleum Geology Updates in the Deepwater and Subsalt Gulf of Mexico</w:t>
      </w:r>
      <w:r w:rsidR="00E50754">
        <w:rPr>
          <w:rFonts w:ascii="Times New Roman" w:hAnsi="Times New Roman"/>
          <w:b/>
          <w:sz w:val="28"/>
          <w:szCs w:val="28"/>
        </w:rPr>
        <w:t>*</w:t>
      </w:r>
    </w:p>
    <w:p w:rsidR="00112BA8" w:rsidRDefault="00112BA8" w:rsidP="00E316A5">
      <w:pPr>
        <w:jc w:val="center"/>
        <w:rPr>
          <w:rFonts w:ascii="Times New Roman" w:hAnsi="Times New Roman"/>
          <w:b/>
          <w:sz w:val="28"/>
          <w:szCs w:val="28"/>
        </w:rPr>
      </w:pPr>
    </w:p>
    <w:p w:rsidR="000137AB" w:rsidRPr="000137AB" w:rsidRDefault="000137AB" w:rsidP="000137AB">
      <w:pPr>
        <w:autoSpaceDE w:val="0"/>
        <w:autoSpaceDN w:val="0"/>
        <w:adjustRightInd w:val="0"/>
        <w:snapToGrid w:val="0"/>
        <w:rPr>
          <w:rFonts w:ascii="Times New Roman" w:hAnsi="Times New Roman"/>
        </w:rPr>
      </w:pPr>
      <w:r w:rsidRPr="000137AB">
        <w:rPr>
          <w:rFonts w:ascii="Times New Roman" w:hAnsi="Times New Roman"/>
        </w:rPr>
        <w:t>Fuge Zou</w:t>
      </w:r>
      <w:r w:rsidRPr="000137AB">
        <w:rPr>
          <w:rFonts w:ascii="Times New Roman" w:hAnsi="Times New Roman"/>
          <w:vertAlign w:val="superscript"/>
        </w:rPr>
        <w:t>1, 2</w:t>
      </w:r>
      <w:r w:rsidRPr="000137AB">
        <w:rPr>
          <w:rFonts w:ascii="Times New Roman" w:hAnsi="Times New Roman"/>
        </w:rPr>
        <w:t xml:space="preserve"> and Roger</w:t>
      </w:r>
      <w:r w:rsidR="00112BA8">
        <w:rPr>
          <w:rFonts w:ascii="Times New Roman" w:hAnsi="Times New Roman"/>
        </w:rPr>
        <w:t xml:space="preserve"> M.</w:t>
      </w:r>
      <w:r w:rsidRPr="000137AB">
        <w:rPr>
          <w:rFonts w:ascii="Times New Roman" w:hAnsi="Times New Roman"/>
        </w:rPr>
        <w:t xml:space="preserve"> Slatt</w:t>
      </w:r>
      <w:r w:rsidRPr="000137AB">
        <w:rPr>
          <w:rFonts w:ascii="Times New Roman" w:hAnsi="Times New Roman"/>
          <w:vertAlign w:val="superscript"/>
        </w:rPr>
        <w:t>2</w:t>
      </w:r>
    </w:p>
    <w:p w:rsidR="000137AB" w:rsidRPr="000137AB" w:rsidRDefault="000137AB" w:rsidP="000137AB">
      <w:pPr>
        <w:autoSpaceDE w:val="0"/>
        <w:autoSpaceDN w:val="0"/>
        <w:adjustRightInd w:val="0"/>
        <w:snapToGrid w:val="0"/>
        <w:rPr>
          <w:rFonts w:ascii="Times New Roman" w:hAnsi="Times New Roman"/>
        </w:rPr>
      </w:pPr>
      <w:r w:rsidRPr="00112BA8">
        <w:rPr>
          <w:rFonts w:ascii="Times New Roman" w:hAnsi="Times New Roman"/>
          <w:vertAlign w:val="superscript"/>
        </w:rPr>
        <w:t>1</w:t>
      </w:r>
      <w:r w:rsidRPr="000137AB">
        <w:rPr>
          <w:rFonts w:ascii="Times New Roman" w:hAnsi="Times New Roman"/>
        </w:rPr>
        <w:t>Marathon Oil Corporation, Oklahoma City 73132, USA</w:t>
      </w:r>
    </w:p>
    <w:p w:rsidR="000137AB" w:rsidRDefault="00112BA8" w:rsidP="000137AB">
      <w:pPr>
        <w:autoSpaceDE w:val="0"/>
        <w:autoSpaceDN w:val="0"/>
        <w:adjustRightInd w:val="0"/>
        <w:snapToGrid w:val="0"/>
        <w:rPr>
          <w:rFonts w:ascii="Times New Roman" w:hAnsi="Times New Roman"/>
          <w:lang w:eastAsia="zh-CN"/>
        </w:rPr>
      </w:pPr>
      <w:r w:rsidRPr="00112BA8">
        <w:rPr>
          <w:rFonts w:ascii="Times New Roman" w:hAnsi="Times New Roman"/>
          <w:vertAlign w:val="superscript"/>
        </w:rPr>
        <w:t>2</w:t>
      </w:r>
      <w:r w:rsidR="000137AB" w:rsidRPr="000137AB">
        <w:rPr>
          <w:rFonts w:ascii="Times New Roman" w:hAnsi="Times New Roman"/>
        </w:rPr>
        <w:t>ConocoPhillips School of Geology and Geophysics, University of Oklahoma, Norman 73019, USA</w:t>
      </w:r>
    </w:p>
    <w:p w:rsidR="00E50754" w:rsidRDefault="00E50754" w:rsidP="000137AB">
      <w:pPr>
        <w:autoSpaceDE w:val="0"/>
        <w:autoSpaceDN w:val="0"/>
        <w:adjustRightInd w:val="0"/>
        <w:snapToGrid w:val="0"/>
        <w:rPr>
          <w:rFonts w:ascii="Times New Roman" w:hAnsi="Times New Roman"/>
        </w:rPr>
      </w:pPr>
    </w:p>
    <w:p w:rsidR="00D76744" w:rsidRDefault="00E50754" w:rsidP="000E243A">
      <w:pPr>
        <w:autoSpaceDE w:val="0"/>
        <w:autoSpaceDN w:val="0"/>
        <w:adjustRightInd w:val="0"/>
        <w:snapToGrid w:val="0"/>
        <w:rPr>
          <w:rFonts w:ascii="Times New Roman" w:hAnsi="Times New Roman"/>
          <w:i/>
          <w:sz w:val="22"/>
          <w:lang w:eastAsia="zh-CN"/>
        </w:rPr>
      </w:pPr>
      <w:r w:rsidRPr="00A63FBF">
        <w:rPr>
          <w:rFonts w:ascii="Times New Roman" w:hAnsi="Times New Roman"/>
          <w:i/>
          <w:sz w:val="22"/>
        </w:rPr>
        <w:t>*</w:t>
      </w:r>
      <w:r w:rsidR="00DE3583">
        <w:rPr>
          <w:rFonts w:ascii="Times New Roman" w:hAnsi="Times New Roman"/>
          <w:i/>
          <w:sz w:val="22"/>
        </w:rPr>
        <w:t>Part of this chapter</w:t>
      </w:r>
      <w:r w:rsidRPr="00A63FBF">
        <w:rPr>
          <w:rFonts w:ascii="Times New Roman" w:hAnsi="Times New Roman"/>
          <w:i/>
          <w:sz w:val="22"/>
        </w:rPr>
        <w:t xml:space="preserve"> has been </w:t>
      </w:r>
      <w:r w:rsidRPr="00A63FBF">
        <w:rPr>
          <w:rFonts w:ascii="Times New Roman" w:hAnsi="Times New Roman"/>
          <w:i/>
          <w:sz w:val="22"/>
          <w:lang w:eastAsia="zh-CN"/>
        </w:rPr>
        <w:t xml:space="preserve">published in </w:t>
      </w:r>
    </w:p>
    <w:p w:rsidR="00E50754" w:rsidRDefault="00D76744" w:rsidP="000E243A">
      <w:pPr>
        <w:autoSpaceDE w:val="0"/>
        <w:autoSpaceDN w:val="0"/>
        <w:adjustRightInd w:val="0"/>
        <w:snapToGrid w:val="0"/>
        <w:rPr>
          <w:rFonts w:ascii="Times New Roman" w:hAnsi="Times New Roman"/>
          <w:b/>
          <w:i/>
          <w:sz w:val="22"/>
        </w:rPr>
      </w:pPr>
      <w:r w:rsidRPr="00D76744">
        <w:rPr>
          <w:rFonts w:ascii="Times New Roman" w:hAnsi="Times New Roman"/>
          <w:b/>
          <w:i/>
          <w:sz w:val="22"/>
          <w:lang w:eastAsia="zh-CN"/>
        </w:rPr>
        <w:t xml:space="preserve">1) </w:t>
      </w:r>
      <w:r w:rsidR="00E50754" w:rsidRPr="00D76744">
        <w:rPr>
          <w:rFonts w:ascii="Times New Roman" w:hAnsi="Times New Roman"/>
          <w:b/>
          <w:i/>
          <w:sz w:val="22"/>
        </w:rPr>
        <w:t xml:space="preserve">Journal of Earth Science and Engineering, </w:t>
      </w:r>
      <w:r w:rsidR="001956B2" w:rsidRPr="00D76744">
        <w:rPr>
          <w:rFonts w:ascii="Times New Roman" w:hAnsi="Times New Roman"/>
          <w:b/>
          <w:i/>
          <w:sz w:val="22"/>
        </w:rPr>
        <w:t>Issue 9, 2014</w:t>
      </w:r>
      <w:r w:rsidR="00A63FBF" w:rsidRPr="00D76744">
        <w:rPr>
          <w:rFonts w:ascii="Times New Roman" w:hAnsi="Times New Roman"/>
          <w:b/>
          <w:i/>
          <w:sz w:val="22"/>
        </w:rPr>
        <w:t>, ISSN 2159-581X</w:t>
      </w:r>
      <w:r>
        <w:rPr>
          <w:rFonts w:ascii="Times New Roman" w:hAnsi="Times New Roman"/>
          <w:b/>
          <w:i/>
          <w:sz w:val="22"/>
        </w:rPr>
        <w:t>;</w:t>
      </w:r>
    </w:p>
    <w:p w:rsidR="00D76744" w:rsidRPr="00D76744" w:rsidRDefault="00D76744" w:rsidP="000E243A">
      <w:pPr>
        <w:autoSpaceDE w:val="0"/>
        <w:autoSpaceDN w:val="0"/>
        <w:adjustRightInd w:val="0"/>
        <w:snapToGrid w:val="0"/>
        <w:rPr>
          <w:rFonts w:ascii="Times New Roman" w:hAnsi="Times New Roman"/>
          <w:b/>
          <w:sz w:val="22"/>
        </w:rPr>
      </w:pPr>
      <w:r>
        <w:rPr>
          <w:rFonts w:ascii="Times New Roman" w:hAnsi="Times New Roman"/>
          <w:b/>
          <w:i/>
          <w:sz w:val="22"/>
        </w:rPr>
        <w:t xml:space="preserve">2) </w:t>
      </w:r>
      <w:r w:rsidRPr="00D76744">
        <w:rPr>
          <w:rFonts w:ascii="Times New Roman" w:hAnsi="Times New Roman"/>
          <w:b/>
          <w:i/>
          <w:sz w:val="22"/>
        </w:rPr>
        <w:t>Textbook: "Stratigraphic Reservoir Characterization for Petroleum Geologists, Geophysicists, and Engineers, 2nd Edition" by Dr. Roger M. Slatt published in 2013 by Elsevier</w:t>
      </w:r>
      <w:r w:rsidR="00E76E34">
        <w:rPr>
          <w:rFonts w:ascii="Times New Roman" w:hAnsi="Times New Roman"/>
          <w:b/>
          <w:i/>
          <w:sz w:val="22"/>
        </w:rPr>
        <w:t xml:space="preserve">, </w:t>
      </w:r>
      <w:r w:rsidR="00E76E34" w:rsidRPr="00E76E34">
        <w:rPr>
          <w:rFonts w:ascii="Times New Roman" w:hAnsi="Times New Roman"/>
          <w:b/>
          <w:i/>
          <w:sz w:val="22"/>
        </w:rPr>
        <w:t>ISBN: 978-0-444-56365-1</w:t>
      </w:r>
    </w:p>
    <w:p w:rsidR="00E50754" w:rsidRDefault="00E50754" w:rsidP="000E243A">
      <w:pPr>
        <w:autoSpaceDE w:val="0"/>
        <w:autoSpaceDN w:val="0"/>
        <w:adjustRightInd w:val="0"/>
        <w:snapToGrid w:val="0"/>
        <w:rPr>
          <w:rFonts w:ascii="Times New Roman" w:hAnsi="Times New Roman"/>
        </w:rPr>
      </w:pPr>
    </w:p>
    <w:p w:rsidR="00653F74" w:rsidRPr="00E50754" w:rsidRDefault="00E027FE" w:rsidP="00E027FE">
      <w:pPr>
        <w:jc w:val="center"/>
        <w:rPr>
          <w:rFonts w:ascii="Times New Roman" w:hAnsi="Times New Roman"/>
          <w:b/>
          <w:sz w:val="28"/>
        </w:rPr>
      </w:pPr>
      <w:r w:rsidRPr="00E50754">
        <w:rPr>
          <w:rFonts w:ascii="Times New Roman" w:hAnsi="Times New Roman"/>
          <w:b/>
          <w:sz w:val="28"/>
        </w:rPr>
        <w:t>ABSTRACT</w:t>
      </w:r>
    </w:p>
    <w:p w:rsidR="00E50754" w:rsidRPr="00E50754" w:rsidRDefault="001267C7" w:rsidP="00E50754">
      <w:pPr>
        <w:rPr>
          <w:rFonts w:ascii="Times New Roman" w:hAnsi="Times New Roman"/>
        </w:rPr>
      </w:pPr>
      <w:r>
        <w:rPr>
          <w:rFonts w:ascii="Times New Roman" w:hAnsi="Times New Roman"/>
        </w:rPr>
        <w:tab/>
      </w:r>
      <w:r w:rsidR="00E50754" w:rsidRPr="00E50754">
        <w:rPr>
          <w:rFonts w:ascii="Times New Roman" w:hAnsi="Times New Roman"/>
        </w:rPr>
        <w:t xml:space="preserve">The past six years (2008-2014) was a prosperous time for exploration and production in the dGOM (deepwater Gulf of Mexico). Recent exploration and production activities can be divided into three major categories: drilling new wildcat wells, appraising and developing newly discovered fields and enhanced oil recovery of mature fields. Seismic imaging, complex geology, high pressure drilling, greater depth, and higher temperature are key challenges for the exploration and production of dGOM reservoirs. Complex geology includes salt-related structures and traps, reservoir compartmentalization, and the sequence stratigraphy of turbidite reservoirs. Turbidite </w:t>
      </w:r>
      <w:r w:rsidR="00E50754" w:rsidRPr="00E50754">
        <w:rPr>
          <w:rFonts w:ascii="Times New Roman" w:hAnsi="Times New Roman"/>
        </w:rPr>
        <w:lastRenderedPageBreak/>
        <w:t>sequence stratigraphy helps the asset team to find the best target intervals. Sheet and channelized sandstones with good downdip aquifer support are preferred reservoir conditions. All the drilling, development and production challenges are related to high pressure, greater depth, higher temperature and lack of existing field analogs. Various IOR (improved oil recovery) methods are studied and applied in the development stage of the Wilcox fields, which have an average primary recovery factor of 10%~15%. With ideal tabular reservoir geometry and IOR methods, recovery factor of the Wilcox reservoirs can reach up to 42% of OOIP (</w:t>
      </w:r>
      <w:r w:rsidR="00A63FBF" w:rsidRPr="00E50754">
        <w:rPr>
          <w:rFonts w:ascii="Times New Roman" w:hAnsi="Times New Roman"/>
        </w:rPr>
        <w:t>Original</w:t>
      </w:r>
      <w:r w:rsidR="00E50754" w:rsidRPr="00E50754">
        <w:rPr>
          <w:rFonts w:ascii="Times New Roman" w:hAnsi="Times New Roman"/>
        </w:rPr>
        <w:t xml:space="preserve"> Oil in Place) through the field life cycle.</w:t>
      </w:r>
    </w:p>
    <w:p w:rsidR="00E50754" w:rsidRDefault="00E50754" w:rsidP="00E027FE">
      <w:pPr>
        <w:jc w:val="center"/>
        <w:rPr>
          <w:rFonts w:ascii="Times New Roman" w:hAnsi="Times New Roman"/>
          <w:b/>
        </w:rPr>
      </w:pPr>
    </w:p>
    <w:p w:rsidR="00F004AB" w:rsidRPr="00F004AB" w:rsidRDefault="00F004AB" w:rsidP="00E027FE">
      <w:pPr>
        <w:jc w:val="center"/>
        <w:rPr>
          <w:rFonts w:ascii="Times New Roman" w:hAnsi="Times New Roman"/>
          <w:b/>
          <w:sz w:val="28"/>
        </w:rPr>
      </w:pPr>
      <w:r w:rsidRPr="00F004AB">
        <w:rPr>
          <w:rFonts w:ascii="Times New Roman" w:hAnsi="Times New Roman"/>
          <w:b/>
          <w:sz w:val="28"/>
        </w:rPr>
        <w:t>INTRODUCTION</w:t>
      </w:r>
    </w:p>
    <w:p w:rsidR="00F004AB" w:rsidRPr="00F004AB" w:rsidRDefault="001267C7" w:rsidP="00F004AB">
      <w:pPr>
        <w:rPr>
          <w:rFonts w:ascii="Times New Roman" w:hAnsi="Times New Roman"/>
        </w:rPr>
      </w:pPr>
      <w:r>
        <w:rPr>
          <w:rFonts w:ascii="Times New Roman" w:hAnsi="Times New Roman"/>
        </w:rPr>
        <w:tab/>
      </w:r>
      <w:r w:rsidR="00F004AB" w:rsidRPr="00F004AB">
        <w:rPr>
          <w:rFonts w:ascii="Times New Roman" w:hAnsi="Times New Roman"/>
        </w:rPr>
        <w:t>The dGOM (deepwater Gulf of Mexico) basin is a large Cenozoic deepwater basin formed on a passive margin tectonic setting. The petroleum reservoirs cover a wide range of geologic ages including the Norphlet (Jurassic), Tuscaloosa (Cretaceous), Wilcox (Paleogene), Miocene, Pliocene and Pleistocene (</w:t>
      </w:r>
      <w:r w:rsidR="003516CE">
        <w:rPr>
          <w:rFonts w:ascii="Times New Roman" w:hAnsi="Times New Roman"/>
        </w:rPr>
        <w:t>Figure 3.1</w:t>
      </w:r>
      <w:r w:rsidR="00F004AB" w:rsidRPr="00F004AB">
        <w:rPr>
          <w:rFonts w:ascii="Times New Roman" w:hAnsi="Times New Roman"/>
        </w:rPr>
        <w:t xml:space="preserve">). The Jurassic Louann salt serves as a buoyant and ductile layer that can rise up to form various salt structures. These salt structures would then result in </w:t>
      </w:r>
      <w:r w:rsidR="00A66362">
        <w:rPr>
          <w:rFonts w:ascii="Times New Roman" w:hAnsi="Times New Roman"/>
        </w:rPr>
        <w:t xml:space="preserve">complicated </w:t>
      </w:r>
      <w:r w:rsidR="00F004AB" w:rsidRPr="00F004AB">
        <w:rPr>
          <w:rFonts w:ascii="Times New Roman" w:hAnsi="Times New Roman"/>
        </w:rPr>
        <w:t>features</w:t>
      </w:r>
      <w:r w:rsidR="00A66362">
        <w:rPr>
          <w:rFonts w:ascii="Times New Roman" w:hAnsi="Times New Roman"/>
        </w:rPr>
        <w:t xml:space="preserve"> with relief</w:t>
      </w:r>
      <w:r w:rsidR="00F004AB" w:rsidRPr="00F004AB">
        <w:rPr>
          <w:rFonts w:ascii="Times New Roman" w:hAnsi="Times New Roman"/>
        </w:rPr>
        <w:t xml:space="preserve"> which drive the generation, migration and seal of hydrocarbons. </w:t>
      </w:r>
    </w:p>
    <w:p w:rsidR="00F004AB" w:rsidRPr="00F004AB" w:rsidRDefault="001267C7" w:rsidP="00F004AB">
      <w:pPr>
        <w:rPr>
          <w:rFonts w:ascii="Times New Roman" w:hAnsi="Times New Roman"/>
        </w:rPr>
      </w:pPr>
      <w:r>
        <w:rPr>
          <w:rFonts w:ascii="Times New Roman" w:hAnsi="Times New Roman"/>
        </w:rPr>
        <w:tab/>
      </w:r>
      <w:r w:rsidR="00F004AB" w:rsidRPr="00F004AB">
        <w:rPr>
          <w:rFonts w:ascii="Times New Roman" w:hAnsi="Times New Roman"/>
        </w:rPr>
        <w:t xml:space="preserve">It has been more than 10 years since the largest fields in dGOM, including Mars-Ursa, Thunder Horse, Tahiti, Mad Dog, and Cascade, </w:t>
      </w:r>
      <w:r w:rsidR="00A66362">
        <w:rPr>
          <w:rFonts w:ascii="Times New Roman" w:hAnsi="Times New Roman"/>
        </w:rPr>
        <w:t>were</w:t>
      </w:r>
      <w:r w:rsidR="00F004AB" w:rsidRPr="00F004AB">
        <w:rPr>
          <w:rFonts w:ascii="Times New Roman" w:hAnsi="Times New Roman"/>
        </w:rPr>
        <w:t xml:space="preserve"> found. Currently, dGOM is thriving with increased drilling activities and production. The rig count has not only returned to where it was before the Macondo Tragedy in 2010, but also continues to grow with newly built rigs entering the region. The giant Middle-Lower </w:t>
      </w:r>
      <w:r w:rsidR="00F004AB" w:rsidRPr="00F004AB">
        <w:rPr>
          <w:rFonts w:ascii="Times New Roman" w:hAnsi="Times New Roman"/>
        </w:rPr>
        <w:lastRenderedPageBreak/>
        <w:t>Miocene fields such as Tahiti, Mad Dog and Thunder Horse are entering or are about to enter their peak production. Younger Upper Miocene and Pliocene fields such as Auger, Conger and Mars-Ursa are being rejuvenated by secondary and enhanced oil recovery. Appraisal of deeper targets in existing fields is also common, adding tremendous upside potential, such as Cardamom Deep, Mad Dog Deep, and Mars-Ursa. Paleogene fields, such as Jack, Cascade and Chinook, are still in their early stages of development with recent start-up production (</w:t>
      </w:r>
      <w:r w:rsidR="00E90FEA" w:rsidRPr="00F004AB">
        <w:rPr>
          <w:rFonts w:ascii="Times New Roman" w:hAnsi="Times New Roman"/>
        </w:rPr>
        <w:t>Fig</w:t>
      </w:r>
      <w:r w:rsidR="00E66A85">
        <w:rPr>
          <w:rFonts w:ascii="Times New Roman" w:hAnsi="Times New Roman"/>
        </w:rPr>
        <w:t xml:space="preserve">ure </w:t>
      </w:r>
      <w:r w:rsidR="00E66A85">
        <w:rPr>
          <w:rFonts w:ascii="Times New Roman" w:hAnsi="Times New Roman" w:hint="eastAsia"/>
          <w:lang w:eastAsia="zh-CN"/>
        </w:rPr>
        <w:t>3</w:t>
      </w:r>
      <w:r w:rsidR="00E90FEA">
        <w:rPr>
          <w:rFonts w:ascii="Times New Roman" w:hAnsi="Times New Roman"/>
        </w:rPr>
        <w:t>.2</w:t>
      </w:r>
      <w:r w:rsidR="00F004AB" w:rsidRPr="00F004AB">
        <w:rPr>
          <w:rFonts w:ascii="Times New Roman" w:hAnsi="Times New Roman"/>
        </w:rPr>
        <w:t xml:space="preserve">). </w:t>
      </w:r>
    </w:p>
    <w:p w:rsidR="00F004AB" w:rsidRPr="00F004AB" w:rsidRDefault="001267C7" w:rsidP="00F004AB">
      <w:pPr>
        <w:rPr>
          <w:rFonts w:ascii="Times New Roman" w:hAnsi="Times New Roman"/>
        </w:rPr>
      </w:pPr>
      <w:r>
        <w:rPr>
          <w:rFonts w:ascii="Times New Roman" w:hAnsi="Times New Roman"/>
        </w:rPr>
        <w:tab/>
      </w:r>
      <w:r w:rsidR="00F004AB" w:rsidRPr="00F004AB">
        <w:rPr>
          <w:rFonts w:ascii="Times New Roman" w:hAnsi="Times New Roman"/>
        </w:rPr>
        <w:t>This paper will first discuss the updates on the turbidite petroleum geology in dGOM, followed by the recent exploration, development and production activities.</w:t>
      </w:r>
    </w:p>
    <w:p w:rsidR="00F004AB" w:rsidRDefault="00F004AB" w:rsidP="00E027FE">
      <w:pPr>
        <w:jc w:val="center"/>
        <w:rPr>
          <w:rFonts w:ascii="Times New Roman" w:hAnsi="Times New Roman"/>
          <w:b/>
        </w:rPr>
      </w:pPr>
    </w:p>
    <w:p w:rsidR="00A63FBF" w:rsidRDefault="00A63FBF" w:rsidP="00A63FBF">
      <w:pPr>
        <w:jc w:val="center"/>
        <w:rPr>
          <w:rFonts w:ascii="Times New Roman" w:hAnsi="Times New Roman"/>
          <w:b/>
          <w:sz w:val="28"/>
        </w:rPr>
      </w:pPr>
      <w:r w:rsidRPr="00A63FBF">
        <w:rPr>
          <w:rFonts w:ascii="Times New Roman" w:hAnsi="Times New Roman"/>
          <w:b/>
          <w:sz w:val="28"/>
        </w:rPr>
        <w:t>SEDIMENT GRAVITY FLOWS (TURBIDITES)</w:t>
      </w:r>
    </w:p>
    <w:p w:rsidR="00911E51" w:rsidRPr="00A63FBF" w:rsidRDefault="001267C7" w:rsidP="00A63FBF">
      <w:pPr>
        <w:jc w:val="both"/>
        <w:rPr>
          <w:rFonts w:ascii="Times New Roman" w:hAnsi="Times New Roman"/>
        </w:rPr>
      </w:pPr>
      <w:r>
        <w:rPr>
          <w:rFonts w:ascii="Times New Roman" w:hAnsi="Times New Roman"/>
        </w:rPr>
        <w:tab/>
      </w:r>
      <w:r w:rsidR="00A63FBF" w:rsidRPr="00A63FBF">
        <w:rPr>
          <w:rFonts w:ascii="Times New Roman" w:hAnsi="Times New Roman"/>
        </w:rPr>
        <w:t xml:space="preserve">Deepwater sediment gravity flows, often referred to as </w:t>
      </w:r>
      <w:r w:rsidR="00662076">
        <w:rPr>
          <w:rFonts w:ascii="Times New Roman" w:hAnsi="Times New Roman" w:hint="eastAsia"/>
          <w:lang w:eastAsia="zh-CN"/>
        </w:rPr>
        <w:t>turbidity current deposits</w:t>
      </w:r>
      <w:r w:rsidR="00A63FBF" w:rsidRPr="00A63FBF">
        <w:rPr>
          <w:rFonts w:ascii="Times New Roman" w:hAnsi="Times New Roman"/>
        </w:rPr>
        <w:t>, are the dominant reservoir type over the entire dGOM. Characterizing the deepwater</w:t>
      </w:r>
      <w:r w:rsidR="00D058D2">
        <w:rPr>
          <w:rFonts w:ascii="Times New Roman" w:hAnsi="Times New Roman"/>
        </w:rPr>
        <w:t xml:space="preserve"> </w:t>
      </w:r>
      <w:r w:rsidR="00A63FBF" w:rsidRPr="00A63FBF">
        <w:rPr>
          <w:rFonts w:ascii="Times New Roman" w:hAnsi="Times New Roman"/>
        </w:rPr>
        <w:t xml:space="preserve">turbidites, including their origin, composition, 3-D geometry and depositional environments, is critical in the exploration and production of these reservoirs. </w:t>
      </w:r>
      <w:r w:rsidR="003516CE">
        <w:rPr>
          <w:rFonts w:ascii="Times New Roman" w:hAnsi="Times New Roman"/>
        </w:rPr>
        <w:t>Figure 3.3</w:t>
      </w:r>
      <w:r w:rsidR="00A63FBF" w:rsidRPr="00A63FBF">
        <w:rPr>
          <w:rFonts w:ascii="Times New Roman" w:hAnsi="Times New Roman"/>
        </w:rPr>
        <w:t xml:space="preserve"> illustrates a complete deepwater system from updip shelf, to slope then down to the basin floor</w:t>
      </w:r>
      <w:r w:rsidR="00374ADA">
        <w:rPr>
          <w:rFonts w:ascii="Times New Roman" w:hAnsi="Times New Roman"/>
        </w:rPr>
        <w:t xml:space="preserve"> </w:t>
      </w:r>
      <w:r w:rsidR="00374ADA">
        <w:rPr>
          <w:rFonts w:ascii="Times New Roman" w:hAnsi="Times New Roman"/>
          <w:sz w:val="23"/>
          <w:szCs w:val="23"/>
        </w:rPr>
        <w:t xml:space="preserve">(DeVay </w:t>
      </w:r>
      <w:r w:rsidR="00374ADA" w:rsidRPr="00880C6B">
        <w:rPr>
          <w:rFonts w:ascii="Times New Roman" w:hAnsi="Times New Roman"/>
          <w:i/>
          <w:sz w:val="23"/>
          <w:szCs w:val="23"/>
        </w:rPr>
        <w:t>et al.</w:t>
      </w:r>
      <w:r w:rsidR="00374ADA">
        <w:rPr>
          <w:rFonts w:ascii="Times New Roman" w:hAnsi="Times New Roman"/>
          <w:sz w:val="23"/>
          <w:szCs w:val="23"/>
        </w:rPr>
        <w:t>, 2000)</w:t>
      </w:r>
      <w:r w:rsidR="00A63FBF" w:rsidRPr="00A63FBF">
        <w:rPr>
          <w:rFonts w:ascii="Times New Roman" w:hAnsi="Times New Roman"/>
        </w:rPr>
        <w:t xml:space="preserve">. To date, almost all “shelf edge”, “upper slope” and “mid to upper slope” turbidite reservoirs have been discovered and produced within ~150 miles (240 km) of </w:t>
      </w:r>
      <w:r w:rsidR="00D058D2" w:rsidRPr="00A63FBF">
        <w:rPr>
          <w:rFonts w:ascii="Times New Roman" w:hAnsi="Times New Roman"/>
        </w:rPr>
        <w:t>the shoreline</w:t>
      </w:r>
      <w:r w:rsidR="00A63FBF" w:rsidRPr="00A63FBF">
        <w:rPr>
          <w:rFonts w:ascii="Times New Roman" w:hAnsi="Times New Roman"/>
        </w:rPr>
        <w:t xml:space="preserve">. Our </w:t>
      </w:r>
      <w:r w:rsidR="00E90FEA" w:rsidRPr="00A63FBF">
        <w:rPr>
          <w:rFonts w:ascii="Times New Roman" w:hAnsi="Times New Roman"/>
        </w:rPr>
        <w:t>focus here on the dGOM is</w:t>
      </w:r>
      <w:r w:rsidR="00A63FBF" w:rsidRPr="00A63FBF">
        <w:rPr>
          <w:rFonts w:ascii="Times New Roman" w:hAnsi="Times New Roman"/>
        </w:rPr>
        <w:t xml:space="preserve"> the “mid to lower slope” and “lower slope to basin floor” environments. Major architectural elements of the reservoirs are summarized below: </w:t>
      </w:r>
    </w:p>
    <w:p w:rsidR="00A63FBF" w:rsidRPr="00A63FBF" w:rsidRDefault="001267C7" w:rsidP="00A63FBF">
      <w:pPr>
        <w:jc w:val="both"/>
        <w:rPr>
          <w:rFonts w:ascii="Times New Roman" w:hAnsi="Times New Roman"/>
        </w:rPr>
      </w:pPr>
      <w:r>
        <w:rPr>
          <w:rFonts w:ascii="Times New Roman" w:hAnsi="Times New Roman"/>
        </w:rPr>
        <w:tab/>
      </w:r>
      <w:r w:rsidR="00A63FBF" w:rsidRPr="00A63FBF">
        <w:rPr>
          <w:rFonts w:ascii="Times New Roman" w:hAnsi="Times New Roman"/>
        </w:rPr>
        <w:t xml:space="preserve">(1) Confined and depositional </w:t>
      </w:r>
      <w:r w:rsidR="00F02DB6" w:rsidRPr="00A63FBF">
        <w:rPr>
          <w:rFonts w:ascii="Times New Roman" w:hAnsi="Times New Roman"/>
        </w:rPr>
        <w:t>channels on</w:t>
      </w:r>
      <w:r w:rsidR="00A63FBF" w:rsidRPr="00A63FBF">
        <w:rPr>
          <w:rFonts w:ascii="Times New Roman" w:hAnsi="Times New Roman"/>
        </w:rPr>
        <w:t xml:space="preserve"> the mid slope and in minibasins: These reservoirs are often amalgamated channel sands with low aspect ratio (width </w:t>
      </w:r>
      <w:r w:rsidR="00A63FBF" w:rsidRPr="00A63FBF">
        <w:rPr>
          <w:rFonts w:ascii="Times New Roman" w:hAnsi="Times New Roman"/>
        </w:rPr>
        <w:lastRenderedPageBreak/>
        <w:t>divided by thickness). Debris flow and slump deposits are also common due to very steep slope topography. Large mass transport complexes can be clearly defined on 3-D seismic as toe-thrusted chaotic zones. These reservoirs are also discontinuous with very high heterogeneity. Levees, scours and injection dikes can either improve reservoir connectivity or result in reservoir compartmentalization depending upon their geometries. Fields in eastern Mississippi Canyon, northern Green Canyon and Garden Banks are such cases. The best reservoir of this kind consists of several stacked channel sandstones up to several-hundred-</w:t>
      </w:r>
      <w:r w:rsidR="00E90FEA" w:rsidRPr="00A63FBF">
        <w:rPr>
          <w:rFonts w:ascii="Times New Roman" w:hAnsi="Times New Roman"/>
        </w:rPr>
        <w:t>ft.</w:t>
      </w:r>
      <w:r w:rsidR="00A63FBF" w:rsidRPr="00A63FBF">
        <w:rPr>
          <w:rFonts w:ascii="Times New Roman" w:hAnsi="Times New Roman"/>
        </w:rPr>
        <w:t xml:space="preserve"> (meters) thick with a high percentage of sand-on-sand contacts, resulting in a large hydrocarbon-filled reservoir volume (e.g., Mars-Ursa, </w:t>
      </w:r>
      <w:r w:rsidR="003516CE">
        <w:rPr>
          <w:rFonts w:ascii="Times New Roman" w:hAnsi="Times New Roman"/>
        </w:rPr>
        <w:t>Figure 3.4</w:t>
      </w:r>
      <w:r w:rsidR="00A63FBF" w:rsidRPr="00A63FBF">
        <w:rPr>
          <w:rFonts w:ascii="Times New Roman" w:hAnsi="Times New Roman"/>
        </w:rPr>
        <w:t>)</w:t>
      </w:r>
      <w:r w:rsidR="003B2F0E">
        <w:rPr>
          <w:rFonts w:ascii="Times New Roman" w:hAnsi="Times New Roman" w:hint="eastAsia"/>
          <w:lang w:eastAsia="zh-CN"/>
        </w:rPr>
        <w:t xml:space="preserve"> </w:t>
      </w:r>
      <w:r w:rsidR="005814BD">
        <w:rPr>
          <w:rFonts w:ascii="Times New Roman" w:hAnsi="Times New Roman"/>
        </w:rPr>
        <w:t>(Sawyer, 2006)</w:t>
      </w:r>
      <w:r w:rsidR="00A63FBF" w:rsidRPr="00A63FBF">
        <w:rPr>
          <w:rFonts w:ascii="Times New Roman" w:hAnsi="Times New Roman"/>
        </w:rPr>
        <w:t xml:space="preserve">. </w:t>
      </w:r>
    </w:p>
    <w:p w:rsidR="00A63FBF" w:rsidRPr="00A63FBF" w:rsidRDefault="001267C7" w:rsidP="00A63FBF">
      <w:pPr>
        <w:jc w:val="both"/>
        <w:rPr>
          <w:rFonts w:ascii="Times New Roman" w:hAnsi="Times New Roman"/>
        </w:rPr>
      </w:pPr>
      <w:r>
        <w:rPr>
          <w:rFonts w:ascii="Times New Roman" w:hAnsi="Times New Roman"/>
        </w:rPr>
        <w:tab/>
      </w:r>
      <w:r w:rsidR="00A63FBF" w:rsidRPr="00A63FBF">
        <w:rPr>
          <w:rFonts w:ascii="Times New Roman" w:hAnsi="Times New Roman"/>
        </w:rPr>
        <w:t xml:space="preserve">(2) Weekly confined and </w:t>
      </w:r>
      <w:r w:rsidR="00FB3290" w:rsidRPr="00FB3290">
        <w:rPr>
          <w:rFonts w:ascii="Times New Roman" w:hAnsi="Times New Roman"/>
        </w:rPr>
        <w:t xml:space="preserve">distributary channel </w:t>
      </w:r>
      <w:r w:rsidR="00A63FBF" w:rsidRPr="00A63FBF">
        <w:rPr>
          <w:rFonts w:ascii="Times New Roman" w:hAnsi="Times New Roman"/>
        </w:rPr>
        <w:t xml:space="preserve">fills in down slope, primary and secondary basins. These reservoirs, compared to the confined ones, have more continuous geometries and better lateral continuity, but poorer vertical connectivity. These channel fills are wider with aspect ratio &gt; 100. The ideal reservoir consists of several separate channelized and tabular sandstones within a formation up to 1,000ft (300m) thick. Fields in central Green Canyon and Mississippi Canyon are such examples, including Thunder Horse and Tahiti. </w:t>
      </w:r>
    </w:p>
    <w:p w:rsidR="004B6BD2" w:rsidRPr="004B6BD2" w:rsidRDefault="001267C7" w:rsidP="004B6BD2">
      <w:pPr>
        <w:jc w:val="both"/>
        <w:rPr>
          <w:rFonts w:ascii="Times New Roman" w:hAnsi="Times New Roman"/>
        </w:rPr>
      </w:pPr>
      <w:r>
        <w:rPr>
          <w:rFonts w:ascii="Times New Roman" w:hAnsi="Times New Roman"/>
        </w:rPr>
        <w:tab/>
      </w:r>
      <w:r w:rsidR="00A63FBF" w:rsidRPr="00A63FBF">
        <w:rPr>
          <w:rFonts w:ascii="Times New Roman" w:hAnsi="Times New Roman"/>
        </w:rPr>
        <w:t>(3) Distributary lobes in basin floor and primary basins: These reservoirs reach far</w:t>
      </w:r>
      <w:r w:rsidR="00D058D2">
        <w:rPr>
          <w:rFonts w:ascii="Times New Roman" w:hAnsi="Times New Roman"/>
        </w:rPr>
        <w:t xml:space="preserve"> </w:t>
      </w:r>
      <w:r w:rsidR="00A63FBF" w:rsidRPr="00A63FBF">
        <w:rPr>
          <w:rFonts w:ascii="Times New Roman" w:hAnsi="Times New Roman"/>
        </w:rPr>
        <w:t>into</w:t>
      </w:r>
      <w:r w:rsidR="00D058D2">
        <w:rPr>
          <w:rFonts w:ascii="Times New Roman" w:hAnsi="Times New Roman"/>
        </w:rPr>
        <w:t xml:space="preserve"> </w:t>
      </w:r>
      <w:r w:rsidR="00A63FBF" w:rsidRPr="00A63FBF">
        <w:rPr>
          <w:rFonts w:ascii="Times New Roman" w:hAnsi="Times New Roman"/>
        </w:rPr>
        <w:t xml:space="preserve">the basin floor; some of them extend to near the Sigsbee Escarpment. These are very large basin-floor fan systems covering hundreds of square kilometers/miles. They are sheet dominated sandstones with very good lateral </w:t>
      </w:r>
      <w:r w:rsidR="00D058D2" w:rsidRPr="00A63FBF">
        <w:rPr>
          <w:rFonts w:ascii="Times New Roman" w:hAnsi="Times New Roman"/>
        </w:rPr>
        <w:t>continuity,</w:t>
      </w:r>
      <w:r w:rsidR="00D058D2" w:rsidRPr="004B6BD2">
        <w:rPr>
          <w:rFonts w:ascii="Times New Roman" w:hAnsi="Times New Roman"/>
        </w:rPr>
        <w:t xml:space="preserve"> but</w:t>
      </w:r>
      <w:r w:rsidR="004B6BD2" w:rsidRPr="004B6BD2">
        <w:rPr>
          <w:rFonts w:ascii="Times New Roman" w:hAnsi="Times New Roman"/>
        </w:rPr>
        <w:t xml:space="preserve"> very poor vertical connectivity due to interbedded thick shales. A 4-way turtle structure or a 3-way structure against a salt feeder trap could result in billions of barrels of oil in place. </w:t>
      </w:r>
    </w:p>
    <w:p w:rsidR="004B6BD2" w:rsidRPr="004B6BD2" w:rsidRDefault="004B6BD2" w:rsidP="004B6BD2">
      <w:pPr>
        <w:jc w:val="both"/>
        <w:rPr>
          <w:rFonts w:ascii="Times New Roman" w:hAnsi="Times New Roman"/>
        </w:rPr>
      </w:pPr>
      <w:r w:rsidRPr="004B6BD2">
        <w:rPr>
          <w:rFonts w:ascii="Times New Roman" w:hAnsi="Times New Roman"/>
        </w:rPr>
        <w:lastRenderedPageBreak/>
        <w:t>Another critical issue of turbidite reservoirs is how they trap hydrocarbons when close to a basin margin or the edge of a diapir. The margin or edge can be as follows: (a) A natural pinch-out of the sandstone</w:t>
      </w:r>
      <w:r w:rsidR="00D058D2">
        <w:rPr>
          <w:rFonts w:ascii="Times New Roman" w:hAnsi="Times New Roman"/>
        </w:rPr>
        <w:t xml:space="preserve"> </w:t>
      </w:r>
      <w:r w:rsidRPr="004B6BD2">
        <w:rPr>
          <w:rFonts w:ascii="Times New Roman" w:hAnsi="Times New Roman"/>
        </w:rPr>
        <w:t xml:space="preserve">lense due to decreasing depositional energy. In this case the sandstones may not be in contact with the salt. The success of the trap depends on the seal capacity of the associated shale; (b) </w:t>
      </w:r>
      <w:proofErr w:type="gramStart"/>
      <w:r w:rsidRPr="004B6BD2">
        <w:rPr>
          <w:rFonts w:ascii="Times New Roman" w:hAnsi="Times New Roman"/>
        </w:rPr>
        <w:t>A</w:t>
      </w:r>
      <w:proofErr w:type="gramEnd"/>
      <w:r w:rsidRPr="004B6BD2">
        <w:rPr>
          <w:rFonts w:ascii="Times New Roman" w:hAnsi="Times New Roman"/>
        </w:rPr>
        <w:t xml:space="preserve"> sandstone package t</w:t>
      </w:r>
      <w:r w:rsidR="001342F1">
        <w:rPr>
          <w:rFonts w:ascii="Times New Roman" w:hAnsi="Times New Roman"/>
        </w:rPr>
        <w:t>hat is truncated by a salt diapi</w:t>
      </w:r>
      <w:r w:rsidRPr="004B6BD2">
        <w:rPr>
          <w:rFonts w:ascii="Times New Roman" w:hAnsi="Times New Roman"/>
        </w:rPr>
        <w:t>r or canopy. In this case, sandstones may be in contact with the salt body. The successful trap depends on the pore pressure and seal capacity. There is a likelihood that the hydrocarbons may leak along the sediment-salt interface. However, in most cases, the interaction between the salt and turbidites is a dynamic process: they are the cause and result of each other (</w:t>
      </w:r>
      <w:r w:rsidR="003516CE">
        <w:rPr>
          <w:rFonts w:ascii="Times New Roman" w:hAnsi="Times New Roman"/>
        </w:rPr>
        <w:t>Figure 3.5</w:t>
      </w:r>
      <w:r w:rsidRPr="004B6BD2">
        <w:rPr>
          <w:rFonts w:ascii="Times New Roman" w:hAnsi="Times New Roman"/>
        </w:rPr>
        <w:t>).</w:t>
      </w:r>
    </w:p>
    <w:p w:rsidR="004B6BD2" w:rsidRPr="004B6BD2" w:rsidRDefault="001267C7" w:rsidP="004B6BD2">
      <w:pPr>
        <w:jc w:val="both"/>
        <w:rPr>
          <w:rFonts w:ascii="Times New Roman" w:hAnsi="Times New Roman"/>
        </w:rPr>
      </w:pPr>
      <w:r>
        <w:rPr>
          <w:rFonts w:ascii="Times New Roman" w:hAnsi="Times New Roman"/>
        </w:rPr>
        <w:tab/>
      </w:r>
      <w:r w:rsidR="004B6BD2" w:rsidRPr="004B6BD2">
        <w:rPr>
          <w:rFonts w:ascii="Times New Roman" w:hAnsi="Times New Roman"/>
        </w:rPr>
        <w:t xml:space="preserve">Data collection during exploration and development activities improve the understanding of structure and stratigraphy in dGOM. Comparison of such </w:t>
      </w:r>
      <w:r w:rsidRPr="004B6BD2">
        <w:rPr>
          <w:rFonts w:ascii="Times New Roman" w:hAnsi="Times New Roman"/>
        </w:rPr>
        <w:t>data with</w:t>
      </w:r>
      <w:r w:rsidR="004B6BD2" w:rsidRPr="004B6BD2">
        <w:rPr>
          <w:rFonts w:ascii="Times New Roman" w:hAnsi="Times New Roman"/>
        </w:rPr>
        <w:t xml:space="preserve"> deepwater outcrop analogs also aids in </w:t>
      </w:r>
      <w:r w:rsidRPr="004B6BD2">
        <w:rPr>
          <w:rFonts w:ascii="Times New Roman" w:hAnsi="Times New Roman"/>
        </w:rPr>
        <w:t>reservoir characterization</w:t>
      </w:r>
      <w:r w:rsidR="004B6BD2" w:rsidRPr="004B6BD2">
        <w:rPr>
          <w:rFonts w:ascii="Times New Roman" w:hAnsi="Times New Roman"/>
        </w:rPr>
        <w:t xml:space="preserve">, modeling and simulation </w:t>
      </w:r>
      <w:r w:rsidR="005814BD">
        <w:rPr>
          <w:rFonts w:ascii="Times New Roman" w:hAnsi="Times New Roman"/>
        </w:rPr>
        <w:t xml:space="preserve">(Slatt </w:t>
      </w:r>
      <w:r w:rsidR="00880C6B" w:rsidRPr="00880C6B">
        <w:rPr>
          <w:rFonts w:ascii="Times New Roman" w:hAnsi="Times New Roman"/>
          <w:i/>
        </w:rPr>
        <w:t>et al.</w:t>
      </w:r>
      <w:proofErr w:type="gramStart"/>
      <w:r w:rsidR="005814BD">
        <w:rPr>
          <w:rFonts w:ascii="Times New Roman" w:hAnsi="Times New Roman"/>
        </w:rPr>
        <w:t>,2000</w:t>
      </w:r>
      <w:proofErr w:type="gramEnd"/>
      <w:r w:rsidR="005814BD">
        <w:rPr>
          <w:rFonts w:ascii="Times New Roman" w:hAnsi="Times New Roman"/>
        </w:rPr>
        <w:t>)</w:t>
      </w:r>
      <w:r w:rsidR="004B6BD2" w:rsidRPr="004B6BD2">
        <w:rPr>
          <w:rFonts w:ascii="Times New Roman" w:hAnsi="Times New Roman"/>
        </w:rPr>
        <w:t xml:space="preserve">. A good outcrop analog of the deepwater Wilcox reservoirs is the Pennsylvanian aged Jackfork Group in Arkansas, USA </w:t>
      </w:r>
      <w:r w:rsidR="005814BD">
        <w:rPr>
          <w:rFonts w:ascii="Times New Roman" w:hAnsi="Times New Roman"/>
        </w:rPr>
        <w:t xml:space="preserve">(Zou </w:t>
      </w:r>
      <w:r w:rsidR="00880C6B" w:rsidRPr="00880C6B">
        <w:rPr>
          <w:rFonts w:ascii="Times New Roman" w:hAnsi="Times New Roman"/>
          <w:i/>
        </w:rPr>
        <w:t>et al.</w:t>
      </w:r>
      <w:r w:rsidR="005814BD">
        <w:rPr>
          <w:rFonts w:ascii="Times New Roman" w:hAnsi="Times New Roman"/>
        </w:rPr>
        <w:t>,2012)</w:t>
      </w:r>
      <w:r w:rsidR="004B6BD2" w:rsidRPr="004B6BD2">
        <w:rPr>
          <w:rFonts w:ascii="Times New Roman" w:hAnsi="Times New Roman"/>
        </w:rPr>
        <w:t xml:space="preserve"> (</w:t>
      </w:r>
      <w:r w:rsidR="003516CE">
        <w:rPr>
          <w:rFonts w:ascii="Times New Roman" w:hAnsi="Times New Roman"/>
        </w:rPr>
        <w:t>Figure 3.6</w:t>
      </w:r>
      <w:r w:rsidR="004B6BD2" w:rsidRPr="004B6BD2">
        <w:rPr>
          <w:rFonts w:ascii="Times New Roman" w:hAnsi="Times New Roman"/>
        </w:rPr>
        <w:t xml:space="preserve">) and the Karoo Basin Strata in South Africa </w:t>
      </w:r>
      <w:r w:rsidR="005814BD">
        <w:rPr>
          <w:rFonts w:ascii="Times New Roman" w:hAnsi="Times New Roman"/>
        </w:rPr>
        <w:t xml:space="preserve">(Sullivan </w:t>
      </w:r>
      <w:r w:rsidR="00880C6B" w:rsidRPr="00880C6B">
        <w:rPr>
          <w:rFonts w:ascii="Times New Roman" w:hAnsi="Times New Roman"/>
          <w:i/>
        </w:rPr>
        <w:t>et al.</w:t>
      </w:r>
      <w:r w:rsidR="005814BD">
        <w:rPr>
          <w:rFonts w:ascii="Times New Roman" w:hAnsi="Times New Roman"/>
        </w:rPr>
        <w:t>,2004)</w:t>
      </w:r>
      <w:r w:rsidR="004B6BD2" w:rsidRPr="004B6BD2">
        <w:rPr>
          <w:rFonts w:ascii="Times New Roman" w:hAnsi="Times New Roman"/>
        </w:rPr>
        <w:t xml:space="preserve">. The Pennsylvanian Ross Formation in Ireland has been suggested as an analog for the more traditional minibasin in northern Gulf of Mexico and Mississippi Canyon areas </w:t>
      </w:r>
      <w:r w:rsidR="005814BD">
        <w:rPr>
          <w:rFonts w:ascii="Times New Roman" w:hAnsi="Times New Roman"/>
        </w:rPr>
        <w:t xml:space="preserve">(Pyles </w:t>
      </w:r>
      <w:r w:rsidR="00880C6B" w:rsidRPr="00880C6B">
        <w:rPr>
          <w:rFonts w:ascii="Times New Roman" w:hAnsi="Times New Roman"/>
          <w:i/>
        </w:rPr>
        <w:t>et al.</w:t>
      </w:r>
      <w:proofErr w:type="gramStart"/>
      <w:r w:rsidR="005814BD">
        <w:rPr>
          <w:rFonts w:ascii="Times New Roman" w:hAnsi="Times New Roman"/>
        </w:rPr>
        <w:t>,2011</w:t>
      </w:r>
      <w:proofErr w:type="gramEnd"/>
      <w:r w:rsidR="005814BD">
        <w:rPr>
          <w:rFonts w:ascii="Times New Roman" w:hAnsi="Times New Roman"/>
        </w:rPr>
        <w:t>)</w:t>
      </w:r>
      <w:r w:rsidR="004B6BD2" w:rsidRPr="004B6BD2">
        <w:rPr>
          <w:rFonts w:ascii="Times New Roman" w:hAnsi="Times New Roman"/>
        </w:rPr>
        <w:t xml:space="preserve">. </w:t>
      </w:r>
    </w:p>
    <w:p w:rsidR="004B6BD2" w:rsidRPr="004B6BD2" w:rsidRDefault="001267C7" w:rsidP="004B6BD2">
      <w:pPr>
        <w:jc w:val="both"/>
        <w:rPr>
          <w:rFonts w:ascii="Times New Roman" w:hAnsi="Times New Roman"/>
        </w:rPr>
      </w:pPr>
      <w:r>
        <w:rPr>
          <w:rFonts w:ascii="Times New Roman" w:hAnsi="Times New Roman"/>
        </w:rPr>
        <w:tab/>
      </w:r>
      <w:r w:rsidR="004B6BD2" w:rsidRPr="004B6BD2">
        <w:rPr>
          <w:rFonts w:ascii="Times New Roman" w:hAnsi="Times New Roman"/>
        </w:rPr>
        <w:t xml:space="preserve">A robust Paleogene (Wilcox) reservoir database with well logs and cores has been established by the petroleum industry, with major inter-well correlations using seismic, paleontology, well logs and chemostrat data. However, the whole core of the pay zone (generally &lt;300 ft, 100m) consists of only a small portion of the Wilcox </w:t>
      </w:r>
      <w:r w:rsidR="004B6BD2" w:rsidRPr="004B6BD2">
        <w:rPr>
          <w:rFonts w:ascii="Times New Roman" w:hAnsi="Times New Roman"/>
        </w:rPr>
        <w:lastRenderedPageBreak/>
        <w:t>(&gt;4,800 ft, 1,440m).This greatly increases the uncertainties of the lateral and vertical interpretation of reservoir architectures. One example is the Baha #2 well drilled on the crest of an anticline. A sequence stratigraphic framework has been established based on several well logs and limited cores, with large uncertainties on the extension and connectivity of the reservoir sands (</w:t>
      </w:r>
      <w:r w:rsidR="003516CE">
        <w:rPr>
          <w:rFonts w:ascii="Times New Roman" w:hAnsi="Times New Roman"/>
        </w:rPr>
        <w:t>Figure 3.7</w:t>
      </w:r>
      <w:r w:rsidR="004B6BD2" w:rsidRPr="004B6BD2">
        <w:rPr>
          <w:rFonts w:ascii="Times New Roman" w:hAnsi="Times New Roman"/>
        </w:rPr>
        <w:t>).</w:t>
      </w:r>
    </w:p>
    <w:p w:rsidR="005429D4" w:rsidRDefault="005429D4" w:rsidP="004B6BD2">
      <w:pPr>
        <w:jc w:val="both"/>
        <w:rPr>
          <w:rFonts w:ascii="Times New Roman" w:hAnsi="Times New Roman"/>
        </w:rPr>
      </w:pPr>
    </w:p>
    <w:p w:rsidR="00A63FBF" w:rsidRPr="004A3C1E" w:rsidRDefault="004B6BD2" w:rsidP="004B6BD2">
      <w:pPr>
        <w:jc w:val="center"/>
        <w:rPr>
          <w:rFonts w:ascii="Times New Roman" w:hAnsi="Times New Roman"/>
          <w:b/>
          <w:sz w:val="28"/>
        </w:rPr>
      </w:pPr>
      <w:r w:rsidRPr="004A3C1E">
        <w:rPr>
          <w:b/>
          <w:sz w:val="28"/>
          <w:lang w:eastAsia="zh-CN"/>
        </w:rPr>
        <w:t>SALT STRUCTURES AND TRAPS</w:t>
      </w:r>
    </w:p>
    <w:p w:rsidR="004B6BD2" w:rsidRPr="004B6BD2" w:rsidRDefault="001267C7" w:rsidP="004B6BD2">
      <w:pPr>
        <w:jc w:val="both"/>
        <w:rPr>
          <w:rFonts w:ascii="Times New Roman" w:hAnsi="Times New Roman"/>
        </w:rPr>
      </w:pPr>
      <w:r>
        <w:rPr>
          <w:rFonts w:ascii="Times New Roman" w:hAnsi="Times New Roman"/>
        </w:rPr>
        <w:tab/>
      </w:r>
      <w:r w:rsidR="004B6BD2" w:rsidRPr="004B6BD2">
        <w:rPr>
          <w:rFonts w:ascii="Times New Roman" w:hAnsi="Times New Roman"/>
        </w:rPr>
        <w:t xml:space="preserve">The concept of petroleum systems in the dGOM has changed dramatically in past decades. Classical trap concepts such as 4-way turtle and 3-way against salt have become more sophisticated. Ref. </w:t>
      </w:r>
      <w:r w:rsidR="005814BD">
        <w:rPr>
          <w:rFonts w:ascii="Times New Roman" w:hAnsi="Times New Roman"/>
        </w:rPr>
        <w:t xml:space="preserve">(Pilcher </w:t>
      </w:r>
      <w:r w:rsidR="00880C6B" w:rsidRPr="00880C6B">
        <w:rPr>
          <w:rFonts w:ascii="Times New Roman" w:hAnsi="Times New Roman"/>
          <w:i/>
        </w:rPr>
        <w:t>et al.</w:t>
      </w:r>
      <w:proofErr w:type="gramStart"/>
      <w:r w:rsidR="005814BD">
        <w:rPr>
          <w:rFonts w:ascii="Times New Roman" w:hAnsi="Times New Roman"/>
        </w:rPr>
        <w:t>,2011</w:t>
      </w:r>
      <w:proofErr w:type="gramEnd"/>
      <w:r w:rsidR="005814BD">
        <w:rPr>
          <w:rFonts w:ascii="Times New Roman" w:hAnsi="Times New Roman"/>
        </w:rPr>
        <w:t>)</w:t>
      </w:r>
      <w:r w:rsidR="004B6BD2" w:rsidRPr="004B6BD2">
        <w:rPr>
          <w:rFonts w:ascii="Times New Roman" w:hAnsi="Times New Roman"/>
        </w:rPr>
        <w:t xml:space="preserve"> defined new trap types based on the concept of “top primary basin”, which ended up being a better solution to characterize the petroleum system and trap configuration in dGOM (</w:t>
      </w:r>
      <w:r w:rsidR="003516CE">
        <w:rPr>
          <w:rFonts w:ascii="Times New Roman" w:hAnsi="Times New Roman"/>
        </w:rPr>
        <w:t>Figure 3.8</w:t>
      </w:r>
      <w:r w:rsidR="004B6BD2" w:rsidRPr="004B6BD2">
        <w:rPr>
          <w:rFonts w:ascii="Times New Roman" w:hAnsi="Times New Roman"/>
        </w:rPr>
        <w:t>). Salt weld and carapace geometries have been investigated to evaluate the risk with traps. The successes of the</w:t>
      </w:r>
      <w:r w:rsidR="00D058D2">
        <w:rPr>
          <w:rFonts w:ascii="Times New Roman" w:hAnsi="Times New Roman"/>
        </w:rPr>
        <w:t xml:space="preserve"> </w:t>
      </w:r>
      <w:r w:rsidR="004B6BD2" w:rsidRPr="004B6BD2">
        <w:rPr>
          <w:rFonts w:ascii="Times New Roman" w:hAnsi="Times New Roman"/>
        </w:rPr>
        <w:t>Kaskida</w:t>
      </w:r>
      <w:r w:rsidR="00D058D2">
        <w:rPr>
          <w:rFonts w:ascii="Times New Roman" w:hAnsi="Times New Roman"/>
        </w:rPr>
        <w:t xml:space="preserve"> </w:t>
      </w:r>
      <w:r w:rsidR="004B6BD2" w:rsidRPr="004B6BD2">
        <w:rPr>
          <w:rFonts w:ascii="Times New Roman" w:hAnsi="Times New Roman"/>
        </w:rPr>
        <w:t>discovery in Keathley</w:t>
      </w:r>
      <w:r w:rsidR="00D058D2">
        <w:rPr>
          <w:rFonts w:ascii="Times New Roman" w:hAnsi="Times New Roman"/>
        </w:rPr>
        <w:t xml:space="preserve"> </w:t>
      </w:r>
      <w:r w:rsidR="004B6BD2" w:rsidRPr="004B6BD2">
        <w:rPr>
          <w:rFonts w:ascii="Times New Roman" w:hAnsi="Times New Roman"/>
        </w:rPr>
        <w:t xml:space="preserve">Canyon and the Tonga discovery in Green Canyon changed the traditional view that a“3-way trap against salt weld will not work”. In these two cases, the carapace above salt weld can be a good seal, leading up to 3,000 ft (900m) hydrocarbon columns. In addition, there is also a </w:t>
      </w:r>
      <w:r w:rsidR="00757BDD">
        <w:rPr>
          <w:rFonts w:ascii="Times New Roman" w:hAnsi="Times New Roman"/>
        </w:rPr>
        <w:t>good</w:t>
      </w:r>
      <w:r w:rsidR="004B6BD2" w:rsidRPr="004B6BD2">
        <w:rPr>
          <w:rFonts w:ascii="Times New Roman" w:hAnsi="Times New Roman"/>
        </w:rPr>
        <w:t xml:space="preserve"> geological chance of success on 3-way linear traps, but the economics of this type of trap is questionable.</w:t>
      </w:r>
    </w:p>
    <w:p w:rsidR="004B6BD2" w:rsidRPr="004B6BD2" w:rsidRDefault="001267C7" w:rsidP="004B6BD2">
      <w:pPr>
        <w:jc w:val="both"/>
        <w:rPr>
          <w:rFonts w:ascii="Times New Roman" w:hAnsi="Times New Roman"/>
        </w:rPr>
      </w:pPr>
      <w:r>
        <w:rPr>
          <w:rFonts w:ascii="Times New Roman" w:hAnsi="Times New Roman"/>
        </w:rPr>
        <w:tab/>
      </w:r>
      <w:r w:rsidR="003516CE">
        <w:rPr>
          <w:rFonts w:ascii="Times New Roman" w:hAnsi="Times New Roman"/>
        </w:rPr>
        <w:t>Figure 3.9</w:t>
      </w:r>
      <w:r w:rsidR="004B6BD2" w:rsidRPr="004B6BD2">
        <w:rPr>
          <w:rFonts w:ascii="Times New Roman" w:hAnsi="Times New Roman"/>
        </w:rPr>
        <w:t xml:space="preserve"> illustrates the development of the outboard and inboard systems of Wilcox reservoirs </w:t>
      </w:r>
      <w:r w:rsidR="005814BD">
        <w:rPr>
          <w:rFonts w:ascii="Times New Roman" w:hAnsi="Times New Roman"/>
        </w:rPr>
        <w:t xml:space="preserve">(Mount </w:t>
      </w:r>
      <w:r w:rsidR="00880C6B" w:rsidRPr="00880C6B">
        <w:rPr>
          <w:rFonts w:ascii="Times New Roman" w:hAnsi="Times New Roman"/>
          <w:i/>
        </w:rPr>
        <w:t>et al.</w:t>
      </w:r>
      <w:proofErr w:type="gramStart"/>
      <w:r w:rsidR="005814BD">
        <w:rPr>
          <w:rFonts w:ascii="Times New Roman" w:hAnsi="Times New Roman"/>
        </w:rPr>
        <w:t>,2007</w:t>
      </w:r>
      <w:proofErr w:type="gramEnd"/>
      <w:r w:rsidR="005814BD">
        <w:rPr>
          <w:rFonts w:ascii="Times New Roman" w:hAnsi="Times New Roman"/>
        </w:rPr>
        <w:t>)</w:t>
      </w:r>
      <w:r w:rsidR="004B6BD2" w:rsidRPr="004B6BD2">
        <w:rPr>
          <w:rFonts w:ascii="Times New Roman" w:hAnsi="Times New Roman"/>
        </w:rPr>
        <w:t xml:space="preserve">. The configuration of the primary basin usually formed before the deposition of the Wilcox, with Louann salt as the underlying pillows. Later formed Wilcox and Miocene turbidites drove the allochthonous salt both upward </w:t>
      </w:r>
      <w:r w:rsidR="004B6BD2" w:rsidRPr="004B6BD2">
        <w:rPr>
          <w:rFonts w:ascii="Times New Roman" w:hAnsi="Times New Roman"/>
        </w:rPr>
        <w:lastRenderedPageBreak/>
        <w:t>and basinward. Hydrocarbon generally started to generate and migrate around 10 million years. One assumption geoscientists always have is that the 3-way updip against salt stock is a good place for a hydrocarbon trap. However, according to the recent dry hole results, the salt-sediment boundary can also serve as a conduit for hydrocarbons to leak towards the sea floor, especially when the near-salt reservoir beds are steep and overturned.</w:t>
      </w:r>
    </w:p>
    <w:p w:rsidR="004B6BD2" w:rsidRPr="004B6BD2" w:rsidRDefault="004B6BD2" w:rsidP="004B6BD2">
      <w:pPr>
        <w:jc w:val="both"/>
        <w:rPr>
          <w:rFonts w:ascii="Times New Roman" w:hAnsi="Times New Roman"/>
        </w:rPr>
      </w:pPr>
      <w:r w:rsidRPr="004B6BD2">
        <w:rPr>
          <w:rFonts w:ascii="Times New Roman" w:hAnsi="Times New Roman"/>
        </w:rPr>
        <w:t>The success of the deepwater Wilcox trend began in the outboard trend (where there are no salt canopies above the traps), and moved towards inboard (where there are salt canopies above the traps). This is partly due to seismic imaging, but is also due to an improved understanding of the trap mechanism with salt related structures. The 4-way salt-cored anticlines were first recognized with discoveries such as Cascade-Chinook, Great White and Baha. Then the 3-way trap with a 4-way component was recognized (Tucker and Kaskida). The trapping mechanism also works for salt feeder, salt canopy and carapace types.</w:t>
      </w:r>
    </w:p>
    <w:p w:rsidR="00A63FBF" w:rsidRDefault="001267C7" w:rsidP="004B6BD2">
      <w:pPr>
        <w:jc w:val="both"/>
        <w:rPr>
          <w:rFonts w:ascii="Times New Roman" w:hAnsi="Times New Roman"/>
        </w:rPr>
      </w:pPr>
      <w:r>
        <w:rPr>
          <w:rFonts w:ascii="Times New Roman" w:hAnsi="Times New Roman"/>
        </w:rPr>
        <w:tab/>
      </w:r>
      <w:r w:rsidR="004B6BD2" w:rsidRPr="004B6BD2">
        <w:rPr>
          <w:rFonts w:ascii="Times New Roman" w:hAnsi="Times New Roman"/>
        </w:rPr>
        <w:t xml:space="preserve">The salt sutures are important evidence of how </w:t>
      </w:r>
      <w:r w:rsidRPr="004B6BD2">
        <w:rPr>
          <w:rFonts w:ascii="Times New Roman" w:hAnsi="Times New Roman"/>
        </w:rPr>
        <w:t>salt interact</w:t>
      </w:r>
      <w:r w:rsidR="004B6BD2" w:rsidRPr="004B6BD2">
        <w:rPr>
          <w:rFonts w:ascii="Times New Roman" w:hAnsi="Times New Roman"/>
        </w:rPr>
        <w:t xml:space="preserve"> with each other; (2) they are potential drilling hazards that need to be identified before drilling. Using 3-D seismic data, geoscientists can map the sutures in both section and map views (</w:t>
      </w:r>
      <w:r w:rsidR="003516CE">
        <w:rPr>
          <w:rFonts w:ascii="Times New Roman" w:hAnsi="Times New Roman"/>
        </w:rPr>
        <w:t>Figure 3.1</w:t>
      </w:r>
      <w:r w:rsidR="004B6BD2" w:rsidRPr="004B6BD2">
        <w:rPr>
          <w:rFonts w:ascii="Times New Roman" w:hAnsi="Times New Roman"/>
        </w:rPr>
        <w:t xml:space="preserve">0), </w:t>
      </w:r>
      <w:r w:rsidR="00D058D2" w:rsidRPr="004B6BD2">
        <w:rPr>
          <w:rFonts w:ascii="Times New Roman" w:hAnsi="Times New Roman"/>
        </w:rPr>
        <w:t>and restore</w:t>
      </w:r>
      <w:r w:rsidR="004B6BD2" w:rsidRPr="004B6BD2">
        <w:rPr>
          <w:rFonts w:ascii="Times New Roman" w:hAnsi="Times New Roman"/>
        </w:rPr>
        <w:t xml:space="preserve"> the salt back to its origin. If a salt body has not moved far away from its feeder, one can clearly associate the salt body to its original feeder. However, the reality is that there are multiple salt feeders feeding multiple canopies, and they are mixed at the present time. Thus it remains uncertain when conducting a quantitative restoration.</w:t>
      </w:r>
    </w:p>
    <w:p w:rsidR="00A63FBF" w:rsidRDefault="00A63FBF" w:rsidP="001962E9">
      <w:pPr>
        <w:jc w:val="both"/>
        <w:rPr>
          <w:rFonts w:ascii="Times New Roman" w:hAnsi="Times New Roman"/>
        </w:rPr>
      </w:pPr>
    </w:p>
    <w:p w:rsidR="00722CBD" w:rsidRPr="004A3C1E" w:rsidRDefault="00722CBD" w:rsidP="00722CBD">
      <w:pPr>
        <w:jc w:val="center"/>
        <w:rPr>
          <w:rFonts w:ascii="Times New Roman" w:hAnsi="Times New Roman"/>
          <w:b/>
          <w:sz w:val="28"/>
        </w:rPr>
      </w:pPr>
      <w:r>
        <w:rPr>
          <w:b/>
          <w:sz w:val="28"/>
          <w:lang w:eastAsia="zh-CN"/>
        </w:rPr>
        <w:lastRenderedPageBreak/>
        <w:t>CASE STUDY</w:t>
      </w:r>
    </w:p>
    <w:p w:rsidR="00722CBD" w:rsidRPr="00722CBD" w:rsidRDefault="00870ECD" w:rsidP="001962E9">
      <w:pPr>
        <w:jc w:val="both"/>
        <w:rPr>
          <w:b/>
        </w:rPr>
      </w:pPr>
      <w:r w:rsidRPr="00722CBD">
        <w:rPr>
          <w:b/>
        </w:rPr>
        <w:t>Case A</w:t>
      </w:r>
      <w:r w:rsidR="00722CBD">
        <w:rPr>
          <w:b/>
        </w:rPr>
        <w:t>: Eastern Mississippi Canyon, Deepwater GOM</w:t>
      </w:r>
    </w:p>
    <w:p w:rsidR="00722CBD" w:rsidRDefault="001267C7" w:rsidP="00722CBD">
      <w:pPr>
        <w:jc w:val="both"/>
      </w:pPr>
      <w:r>
        <w:tab/>
      </w:r>
      <w:r w:rsidR="00722CBD">
        <w:t>Field A and Field B are two medium-sized deepwater fields in the eastern Mississippi Canyon area</w:t>
      </w:r>
      <w:r w:rsidR="00146559">
        <w:t>, deepwater Gulf of Mexico</w:t>
      </w:r>
      <w:r w:rsidR="00722CBD">
        <w:t xml:space="preserve">. </w:t>
      </w:r>
      <w:r w:rsidR="00870ECD">
        <w:t>Field A is a smaller gas field which was discovered in 1999 with 75 BCF gas produced, Field B is a larger oil and gas field which was discovered in 1996 with 63MMBBL oil and 81 BCF</w:t>
      </w:r>
      <w:r w:rsidR="0048098F">
        <w:t xml:space="preserve"> gas produced (Figure 3.11). These two fields are 6 miles apart along a channel complex system. The reservoirs of the two fields both belong to one major channel complex system deposited along NW-SE direction. A whole core description from Field A #1 well indicates that the reservoir is a coarsening upwards channel complex. The lower100ft part of the </w:t>
      </w:r>
      <w:r w:rsidR="009E569E">
        <w:t>pay zone</w:t>
      </w:r>
      <w:r w:rsidR="0048098F">
        <w:t xml:space="preserve"> is characterized by mostly fine grained laminated sandstones with ripples and cross bedding with shales. They are interpreted as medium and slumped levee deposits. The main re</w:t>
      </w:r>
      <w:r w:rsidR="009E569E">
        <w:t xml:space="preserve">servoir is 60ft clean channel </w:t>
      </w:r>
      <w:r w:rsidR="00D058D2">
        <w:t>sandstone in</w:t>
      </w:r>
      <w:r w:rsidR="009E569E">
        <w:t xml:space="preserve"> </w:t>
      </w:r>
      <w:r w:rsidR="0048098F">
        <w:t>upper part of the core, with coarse</w:t>
      </w:r>
      <w:r w:rsidR="00B22557">
        <w:t>-</w:t>
      </w:r>
      <w:r w:rsidR="0048098F">
        <w:t xml:space="preserve">medium sized sandstone. Mud clasts, scour surfaces are common sedimentary features. Each bed </w:t>
      </w:r>
      <w:r w:rsidR="009E569E">
        <w:t>is</w:t>
      </w:r>
      <w:r w:rsidR="00B22557">
        <w:t xml:space="preserve"> fining upward with Bouma A-C sequences stacked </w:t>
      </w:r>
      <w:r w:rsidR="00D058D2">
        <w:t>together. The</w:t>
      </w:r>
      <w:r w:rsidR="005D4E86">
        <w:t xml:space="preserve"> key channel axis reservoir was overlain by slope mudstone and distal levees, forming a complete hydrocarbon </w:t>
      </w:r>
      <w:r w:rsidR="00D058D2">
        <w:t>trap. In</w:t>
      </w:r>
      <w:r w:rsidR="005D4E86">
        <w:t xml:space="preserve"> addition, t</w:t>
      </w:r>
      <w:r w:rsidR="00524737">
        <w:t xml:space="preserve">here </w:t>
      </w:r>
      <w:r w:rsidR="00D058D2">
        <w:t xml:space="preserve">is </w:t>
      </w:r>
      <w:proofErr w:type="gramStart"/>
      <w:r w:rsidR="00D058D2">
        <w:t>another</w:t>
      </w:r>
      <w:r w:rsidR="005D4E86">
        <w:t xml:space="preserve"> major</w:t>
      </w:r>
      <w:proofErr w:type="gramEnd"/>
      <w:r w:rsidR="005D4E86">
        <w:t xml:space="preserve"> channel sandstone</w:t>
      </w:r>
      <w:r w:rsidR="00524737">
        <w:t xml:space="preserve"> 100ft below the core</w:t>
      </w:r>
      <w:r w:rsidR="009E569E">
        <w:t xml:space="preserve"> bottom</w:t>
      </w:r>
      <w:r w:rsidR="00524737">
        <w:t xml:space="preserve">, which was filled by mostly water. </w:t>
      </w:r>
    </w:p>
    <w:p w:rsidR="005D4E86" w:rsidRDefault="001267C7" w:rsidP="00722CBD">
      <w:pPr>
        <w:jc w:val="both"/>
      </w:pPr>
      <w:r>
        <w:tab/>
      </w:r>
      <w:r w:rsidR="005D4E86">
        <w:t xml:space="preserve">Field </w:t>
      </w:r>
      <w:r w:rsidR="00E90FEA">
        <w:t>B (</w:t>
      </w:r>
      <w:r w:rsidR="007E2A0B">
        <w:t>located 6 miles downdip from Field A</w:t>
      </w:r>
      <w:r w:rsidR="00A921C6">
        <w:t>)</w:t>
      </w:r>
      <w:r w:rsidR="00531CD1">
        <w:t xml:space="preserve"> is a combined stratigraphic and structural trap</w:t>
      </w:r>
      <w:r w:rsidR="007E2A0B">
        <w:t xml:space="preserve">. </w:t>
      </w:r>
      <w:r w:rsidR="00592F9E">
        <w:t>Structurally, there is one major W-E normal fault (5 miles long) cut through</w:t>
      </w:r>
      <w:r w:rsidR="00B365BB">
        <w:t xml:space="preserve"> the </w:t>
      </w:r>
      <w:r w:rsidR="00535A47">
        <w:t>northern</w:t>
      </w:r>
      <w:r w:rsidR="00B365BB">
        <w:t xml:space="preserve"> part of Block 429</w:t>
      </w:r>
      <w:r w:rsidR="00592F9E">
        <w:t>. A large 3-way closure is likely to be sealed</w:t>
      </w:r>
      <w:r w:rsidR="00656DB0">
        <w:t xml:space="preserve"> against the major fault</w:t>
      </w:r>
      <w:r w:rsidR="00592F9E">
        <w:t>. More importantly, from the 3-D seismic analysis (both section view and RMS amplitude extraction</w:t>
      </w:r>
      <w:r w:rsidR="00535A47">
        <w:t xml:space="preserve"> map</w:t>
      </w:r>
      <w:r w:rsidR="00592F9E">
        <w:t xml:space="preserve">), the channel system (same as Field A) cut </w:t>
      </w:r>
      <w:r w:rsidR="00592F9E">
        <w:lastRenderedPageBreak/>
        <w:t>through the center of the f</w:t>
      </w:r>
      <w:r w:rsidR="00710965">
        <w:t>ault-</w:t>
      </w:r>
      <w:r w:rsidR="00592F9E">
        <w:t>bound</w:t>
      </w:r>
      <w:r w:rsidR="00990915">
        <w:t>ed</w:t>
      </w:r>
      <w:r w:rsidR="00592F9E">
        <w:t xml:space="preserve"> closure. </w:t>
      </w:r>
      <w:r w:rsidR="008A1E64">
        <w:t xml:space="preserve">Thus the sealed closure is likely to have the best reservoir in the channel system. </w:t>
      </w:r>
      <w:r w:rsidR="009C57D1">
        <w:t>The gross thickness of the channel complex is &gt;300ft</w:t>
      </w:r>
      <w:r w:rsidR="00FD23E4">
        <w:t>, with more gamma-</w:t>
      </w:r>
      <w:r w:rsidR="009C57D1">
        <w:t xml:space="preserve">ray spikes than Field A. The </w:t>
      </w:r>
      <w:r w:rsidR="00D058D2">
        <w:t>reservoirs are</w:t>
      </w:r>
      <w:r w:rsidR="009C57D1">
        <w:t xml:space="preserve"> likely to be naturally fractured with 6-7 compartments separated by inter-channel </w:t>
      </w:r>
      <w:r w:rsidR="00D058D2">
        <w:t>deposits. From</w:t>
      </w:r>
      <w:r w:rsidR="0072665B">
        <w:t xml:space="preserve"> RMS amplitude map of Figure 3.11, the topmost channel has very low amplitude, indicating a possible mud-filled bypass channels at the beginning of the transgression above. </w:t>
      </w:r>
    </w:p>
    <w:p w:rsidR="00FF2052" w:rsidRDefault="00FF2052" w:rsidP="00722CBD">
      <w:pPr>
        <w:jc w:val="both"/>
      </w:pPr>
    </w:p>
    <w:p w:rsidR="00E63A55" w:rsidRPr="00722CBD" w:rsidRDefault="00E63A55" w:rsidP="00E63A55">
      <w:pPr>
        <w:jc w:val="both"/>
        <w:rPr>
          <w:b/>
        </w:rPr>
      </w:pPr>
      <w:r>
        <w:rPr>
          <w:b/>
        </w:rPr>
        <w:t>Case B: Green Canyon, Deepwater GOM</w:t>
      </w:r>
    </w:p>
    <w:p w:rsidR="00E63A55" w:rsidRDefault="001267C7" w:rsidP="00E63A55">
      <w:r>
        <w:tab/>
      </w:r>
      <w:r w:rsidR="0015753D">
        <w:t xml:space="preserve">Basin A is a secondary basin (minibasin) located at the northern Green Canyon, deepwater Gulf of </w:t>
      </w:r>
      <w:r w:rsidR="006A6F08">
        <w:t xml:space="preserve">Mexico. The basin is bounded by salt </w:t>
      </w:r>
      <w:r w:rsidR="005D4B5F">
        <w:t>feeders</w:t>
      </w:r>
      <w:r w:rsidR="006A6F08">
        <w:t xml:space="preserve"> in all directions</w:t>
      </w:r>
      <w:r w:rsidR="00EB1599">
        <w:t xml:space="preserve"> (Figure 3.12)</w:t>
      </w:r>
      <w:r w:rsidR="006A6F08">
        <w:t xml:space="preserve">. The deposition of turbidite reservoirs </w:t>
      </w:r>
      <w:r w:rsidR="00F60EEF">
        <w:t xml:space="preserve">are strongly controlled by the development of salt structures. </w:t>
      </w:r>
      <w:r w:rsidR="005B5006">
        <w:t xml:space="preserve">Basin A is also a petroleum-rich basin with producing oil and gas fields in the northwest and to the east (red and green dots on the map). </w:t>
      </w:r>
      <w:r w:rsidR="007D57D7">
        <w:t xml:space="preserve">Structures A, B and C are all salt-related features. Structure A is interpreted as a salt ridge caused by compression (analogous to the model from Pilcher </w:t>
      </w:r>
      <w:r w:rsidR="00880C6B" w:rsidRPr="00880C6B">
        <w:rPr>
          <w:i/>
        </w:rPr>
        <w:t>et al.</w:t>
      </w:r>
      <w:r w:rsidR="007D57D7">
        <w:t>, 2012). Structure B is a huge salt stock (canopy) which is the southern and western boundary of Basin A. Structure C is a large salt feeder system which fed the salt canopies through the weld as</w:t>
      </w:r>
      <w:r w:rsidR="0011760D">
        <w:t xml:space="preserve"> salt</w:t>
      </w:r>
      <w:r w:rsidR="007D57D7">
        <w:t xml:space="preserve"> conduits (black dots and pink lines on the cartoon section</w:t>
      </w:r>
      <w:r w:rsidR="00EB1599">
        <w:t>, Figure 3.12</w:t>
      </w:r>
      <w:r w:rsidR="007D57D7">
        <w:t xml:space="preserve">). </w:t>
      </w:r>
    </w:p>
    <w:p w:rsidR="00EB1599" w:rsidRDefault="00EB1599" w:rsidP="00E63A55">
      <w:pPr>
        <w:rPr>
          <w:rFonts w:ascii="Times New Roman" w:hAnsi="Times New Roman"/>
          <w:b/>
          <w:sz w:val="28"/>
        </w:rPr>
      </w:pPr>
      <w:r>
        <w:t xml:space="preserve">The turbidite deposits in Basin A generally come from the north (shelf). RMS amplitude extractions were run in both shallow and deep reservoirs to highlight the channelization features within Basin </w:t>
      </w:r>
      <w:proofErr w:type="gramStart"/>
      <w:r>
        <w:t>A</w:t>
      </w:r>
      <w:proofErr w:type="gramEnd"/>
      <w:r>
        <w:t xml:space="preserve"> using 3-D seismic data.</w:t>
      </w:r>
      <w:r w:rsidR="003E239B">
        <w:t xml:space="preserve"> In the Shallow Reservoir (Figure 3.13, Upper), the channelized features are clearly seen with higher amplitude on both the </w:t>
      </w:r>
      <w:r w:rsidR="003E239B">
        <w:lastRenderedPageBreak/>
        <w:t>gray-scale and color scaled map</w:t>
      </w:r>
      <w:r w:rsidR="007A2D32">
        <w:t>s</w:t>
      </w:r>
      <w:r w:rsidR="003E239B">
        <w:t xml:space="preserve">. </w:t>
      </w:r>
      <w:r w:rsidR="006D78F2">
        <w:t xml:space="preserve">Depositional model was proposed as a distributary turbidite channel-lobe system inside a minibasin. The entire system consists of at least 4-5 major stacked lobes that are highly channelized. In the Deep Reservoir (Figure 3.13, Lower), the depositional patterns are similar, with major channelized input from the north. </w:t>
      </w:r>
      <w:r w:rsidR="00764E3F">
        <w:t xml:space="preserve">A </w:t>
      </w:r>
      <w:r w:rsidR="006B7581">
        <w:t xml:space="preserve">well-reprocessed 3-D seismic </w:t>
      </w:r>
      <w:r w:rsidR="00764E3F">
        <w:t>cross section (AB)</w:t>
      </w:r>
      <w:r w:rsidR="006B7581">
        <w:t xml:space="preserve"> also reveals the stacked channel system in the reservoir interval.</w:t>
      </w:r>
      <w:r w:rsidR="007A2D32">
        <w:t xml:space="preserve"> It is likely that these vertically and laterally stacked reservoirs are internally connected due to high energy </w:t>
      </w:r>
      <w:r w:rsidR="00D058D2">
        <w:t>flow. In</w:t>
      </w:r>
      <w:r w:rsidR="007A2D32">
        <w:t xml:space="preserve"> addition, t</w:t>
      </w:r>
      <w:r w:rsidR="006B7581">
        <w:t>he TST isopach map indicates the basin center is in the south of Basin A.</w:t>
      </w:r>
    </w:p>
    <w:p w:rsidR="00E63A55" w:rsidRDefault="00E63A55" w:rsidP="004B6BD2">
      <w:pPr>
        <w:jc w:val="center"/>
        <w:rPr>
          <w:rFonts w:ascii="Times New Roman" w:hAnsi="Times New Roman"/>
          <w:b/>
          <w:sz w:val="28"/>
        </w:rPr>
      </w:pPr>
    </w:p>
    <w:p w:rsidR="00A63FBF" w:rsidRPr="004B6BD2" w:rsidRDefault="004B6BD2" w:rsidP="004B6BD2">
      <w:pPr>
        <w:jc w:val="center"/>
        <w:rPr>
          <w:rFonts w:ascii="Times New Roman" w:hAnsi="Times New Roman"/>
          <w:b/>
          <w:sz w:val="28"/>
        </w:rPr>
      </w:pPr>
      <w:r w:rsidRPr="004B6BD2">
        <w:rPr>
          <w:rFonts w:ascii="Times New Roman" w:hAnsi="Times New Roman"/>
          <w:b/>
          <w:sz w:val="28"/>
        </w:rPr>
        <w:t>EXPLORATION UPDATES</w:t>
      </w:r>
    </w:p>
    <w:p w:rsidR="004B6BD2" w:rsidRDefault="001267C7" w:rsidP="001962E9">
      <w:pPr>
        <w:jc w:val="both"/>
      </w:pPr>
      <w:r>
        <w:tab/>
      </w:r>
      <w:r w:rsidR="004B6BD2" w:rsidRPr="004B6BD2">
        <w:t xml:space="preserve">On the exploration side, the emerging play concepts keep the deepwater Gulf of Mexico evergreen for wildcat drilling. The depth of exploration has been extended from shallow to ultra deepwater (&gt; 3,000 m), with several stacked reservoirs being targeted simultaneously. For the past decade, more than ten Paleogene fields have been discovered in the ultra deepwater area, mainly in Walker Ridge, Keathley Canyon and Alaminos Canyon. From west to east, successful exploration programs recently include the Perdido fold belt region (e.g., Great White, Tobago, Silvertip, </w:t>
      </w:r>
      <w:r w:rsidR="00E90FEA" w:rsidRPr="004B6BD2">
        <w:t>and Baha</w:t>
      </w:r>
      <w:r w:rsidR="004B6BD2" w:rsidRPr="004B6BD2">
        <w:t>) and the central region (Tiber, Kaskida, Stones, St. Malo-Das Bump, Jack and North Platte). Subsalt and ultra deepwater Pliocene and Upper Miocene fields were also found during the process of exploring deeper Paleogene targets, which unlocked another successful play (</w:t>
      </w:r>
      <w:r w:rsidR="003516CE">
        <w:t>Figure 3.2</w:t>
      </w:r>
      <w:r w:rsidR="004B6BD2" w:rsidRPr="004B6BD2">
        <w:t>). Further to the east, the Norphlet</w:t>
      </w:r>
      <w:r w:rsidR="00D058D2">
        <w:t xml:space="preserve"> </w:t>
      </w:r>
      <w:r w:rsidR="004B6BD2" w:rsidRPr="004B6BD2">
        <w:t>play began after the giant discovery (Probable</w:t>
      </w:r>
      <w:r w:rsidR="00D058D2">
        <w:t xml:space="preserve"> </w:t>
      </w:r>
      <w:r w:rsidR="004B6BD2" w:rsidRPr="004B6BD2">
        <w:t xml:space="preserve">reserve&gt; 300 MMBBL, Million Barrels of Oil) at the Appomattox No.1 well near the Mississippi Canyon and De Soto Canyon boundary. </w:t>
      </w:r>
    </w:p>
    <w:p w:rsidR="00A63FBF" w:rsidRDefault="001267C7" w:rsidP="001962E9">
      <w:pPr>
        <w:jc w:val="both"/>
      </w:pPr>
      <w:r>
        <w:lastRenderedPageBreak/>
        <w:tab/>
      </w:r>
      <w:r w:rsidR="004B6BD2" w:rsidRPr="004B6BD2">
        <w:t xml:space="preserve">In addition, after the Cretaceous Tiber discovery in Keathley Canyon and the Davy Jones discovery in the northern Gulf of Mexico, the Cretaceous Tuscaloosa play began to receive much attention. Bids in the </w:t>
      </w:r>
      <w:r w:rsidR="00D058D2" w:rsidRPr="004B6BD2">
        <w:t>lease sale</w:t>
      </w:r>
      <w:r w:rsidR="004B6BD2" w:rsidRPr="004B6BD2">
        <w:t xml:space="preserve"> for Cretaceous blocks increased. The deepwater Cretaceous may become another new play in the near future.</w:t>
      </w:r>
    </w:p>
    <w:p w:rsidR="004B6BD2" w:rsidRDefault="001267C7" w:rsidP="004B6BD2">
      <w:pPr>
        <w:jc w:val="both"/>
      </w:pPr>
      <w:r>
        <w:tab/>
      </w:r>
      <w:r w:rsidR="004B6BD2">
        <w:t xml:space="preserve">As AVO (amplitude versus offset) technology becomes a routine and mature methodology in shallow supra-salt sections in the dGOM, and new shallow discoveries have been found with good rates of return (e.g., Galapagos development in the eastern Mississippi Canyon). Small discoveries have become commercial thanks to subsea tie-backs to facilities </w:t>
      </w:r>
      <w:r w:rsidR="00D058D2">
        <w:t>in existing</w:t>
      </w:r>
      <w:r w:rsidR="004B6BD2">
        <w:t xml:space="preserve"> from the larger fields (e.g., Aspen-Lorien-Droshky prospects in Green Canyon tie back to the Bullwinkle Platform).</w:t>
      </w:r>
    </w:p>
    <w:p w:rsidR="004B6BD2" w:rsidRDefault="001267C7" w:rsidP="004B6BD2">
      <w:pPr>
        <w:jc w:val="both"/>
      </w:pPr>
      <w:r>
        <w:tab/>
      </w:r>
      <w:r w:rsidR="004B6BD2">
        <w:t xml:space="preserve">Safety and environmental regulations </w:t>
      </w:r>
      <w:r w:rsidR="00D058D2">
        <w:t>have become</w:t>
      </w:r>
      <w:r w:rsidR="004B6BD2">
        <w:t xml:space="preserve"> one of the most important issues since the Macondo Tragedy. Due to the strict and rigid safety regulations, the business atmosphere in the dGOM no longer favors small to middle sized independent oil companies; many of these companies have either exited or reduced their dGOM business, shifting more to onshore unconventional resource plays. However, major oil companies not only remain active, but have even increased their portfolios significantly. In addition, national oil companies also have entered the dGOM through mergers and acquisitions. </w:t>
      </w:r>
    </w:p>
    <w:p w:rsidR="004B6BD2" w:rsidRDefault="001267C7" w:rsidP="004B6BD2">
      <w:pPr>
        <w:jc w:val="both"/>
      </w:pPr>
      <w:r>
        <w:tab/>
      </w:r>
      <w:r w:rsidR="003516CE">
        <w:t xml:space="preserve">Figure </w:t>
      </w:r>
      <w:r w:rsidR="00567416">
        <w:t>3.14</w:t>
      </w:r>
      <w:r w:rsidR="004B6BD2">
        <w:t xml:space="preserve"> summarizes the major challenges faced by reservoir development in the dGOM. Drilling, logging and completion technologies have also been improved to fit the challenges of the deep high pressure and high temperature environment </w:t>
      </w:r>
      <w:r w:rsidR="005814BD">
        <w:t>(Halliburton Corp., 2010)</w:t>
      </w:r>
      <w:r w:rsidR="004B6BD2">
        <w:t xml:space="preserve">. LWD (logging while drilling) and modular formation dynamic tests have become routine for engineering, geological evaluation and </w:t>
      </w:r>
      <w:r w:rsidR="004B6BD2">
        <w:lastRenderedPageBreak/>
        <w:t>monitoring. However, the average drilling costs since the Macondo</w:t>
      </w:r>
      <w:r w:rsidR="00D058D2">
        <w:t xml:space="preserve"> </w:t>
      </w:r>
      <w:r w:rsidR="004B6BD2">
        <w:t>Tragedy have risen significantly over the last decade for ultra deepwater wells. The current average cost for one Paleogene well ranges from USD$150MM up to USD$350MM (Million US Dollars). Drilling problems such as overpressure, salt canopy inclusion and sutures, carapace/raft/overturned sections near salt, sub-salt gouge zones, and sediment mass transport complexes all can cause a long non-operating time, lost circulation, low rate of penetration, bypassed wells, bad holes and in the worst scenario, a blowout.</w:t>
      </w:r>
    </w:p>
    <w:p w:rsidR="004B6BD2" w:rsidRDefault="001267C7" w:rsidP="004B6BD2">
      <w:pPr>
        <w:jc w:val="both"/>
      </w:pPr>
      <w:r>
        <w:tab/>
      </w:r>
      <w:r w:rsidR="003516CE">
        <w:t xml:space="preserve">Figure </w:t>
      </w:r>
      <w:r w:rsidR="00567416">
        <w:t>3.15</w:t>
      </w:r>
      <w:r w:rsidR="004B6BD2">
        <w:t xml:space="preserve"> is a summary of the major discoveries in the deepwater Gulf of Mexico during 2008-2014. The</w:t>
      </w:r>
      <w:r w:rsidR="00D058D2">
        <w:t xml:space="preserve"> </w:t>
      </w:r>
      <w:r w:rsidR="004B6BD2">
        <w:t>Macondo tragedy was in 2010, resulting in almost no drilling activities in 2010-2011. Beforehand, in 2008-2009, there were &gt;10 discoveries each year. As the drilling activities have now restored to a pre-Macondo level, more and more discoveries covering a wide range of resources potential can be expected during the next 10 years.</w:t>
      </w:r>
    </w:p>
    <w:p w:rsidR="004B6BD2" w:rsidRDefault="001267C7" w:rsidP="004B6BD2">
      <w:pPr>
        <w:jc w:val="both"/>
      </w:pPr>
      <w:r>
        <w:tab/>
      </w:r>
      <w:r w:rsidR="004B6BD2">
        <w:t xml:space="preserve">These oil and gas discoveries during 2008-2014 can be divided into the following major categories: </w:t>
      </w:r>
    </w:p>
    <w:p w:rsidR="004B6BD2" w:rsidRDefault="001267C7" w:rsidP="004B6BD2">
      <w:pPr>
        <w:jc w:val="both"/>
      </w:pPr>
      <w:r>
        <w:tab/>
      </w:r>
      <w:r w:rsidR="004B6BD2">
        <w:t xml:space="preserve">(1) Shallow amplitude plays in the Upper Miocene, Pliocene and Pleistocene. The resource sizes of these discoveries are usually small (&lt;50MMBOE, Million Barrels of Oil Equivalent), shallow and are surrounded by nearby existing production facilities. Thus the development costs of these wells are cheaper than dGOM wildcat exploration wells. Two good examples are the </w:t>
      </w:r>
      <w:r w:rsidR="00D058D2">
        <w:t>Condor and</w:t>
      </w:r>
      <w:r w:rsidR="004B6BD2">
        <w:t xml:space="preserve"> Droshky</w:t>
      </w:r>
      <w:r w:rsidR="00D058D2">
        <w:t xml:space="preserve"> </w:t>
      </w:r>
      <w:r w:rsidR="004B6BD2">
        <w:t xml:space="preserve">discoveries in Green Canyon (and several discoveries in Garden Banks). </w:t>
      </w:r>
    </w:p>
    <w:p w:rsidR="004B6BD2" w:rsidRDefault="001267C7" w:rsidP="004B6BD2">
      <w:pPr>
        <w:jc w:val="both"/>
      </w:pPr>
      <w:r>
        <w:tab/>
      </w:r>
      <w:r w:rsidR="004B6BD2">
        <w:t xml:space="preserve">(2) Conventional Miocene subsalt and amplitude driven discoveries, such as Heidelberg, Samurai, Vito, Deep Blue, Santiago and Santa Cruz. Most of the large </w:t>
      </w:r>
      <w:r w:rsidR="004B6BD2">
        <w:lastRenderedPageBreak/>
        <w:t xml:space="preserve">lower-middle subsalt and amplitude-driven fields are located in Green Canyon and Mississippi Canyon. These fields are often&gt;100MMBOE and related to 4-way turtle anticlines, salt pillows or 3-way traps against salt feeders and canopies. Followed by the successes of Tahiti and Thunder Horse, more such discoveries have been made using the same concept and advanced seismic imaging technology. The depositional environments of these discoveries are often </w:t>
      </w:r>
      <w:r w:rsidR="00FD77B9">
        <w:t xml:space="preserve">channelized sheet sandstone </w:t>
      </w:r>
      <w:r w:rsidR="00A7071C">
        <w:t>(weekly confined sandstone)</w:t>
      </w:r>
      <w:r w:rsidR="004B6BD2">
        <w:t xml:space="preserve"> in a proximal downslope and basin floor fan setting.</w:t>
      </w:r>
    </w:p>
    <w:p w:rsidR="004B6BD2" w:rsidRDefault="001267C7" w:rsidP="004B6BD2">
      <w:pPr>
        <w:jc w:val="both"/>
      </w:pPr>
      <w:r>
        <w:tab/>
      </w:r>
      <w:r w:rsidR="004B6BD2">
        <w:t>(3) Wildcat and appraisal wells of the emerging Paleogene trend. This is the continuing success of the trend and appears to be the future of dGOM exploration and production activities. Good examples include Shenandoah, North Platte, Tiber, Coronado, Phobos and Buckskin. Such ultra deepwater and expensive Paleogene wildcat wells push the play boundary both outboard to the south (Phobos) and inboard to the north (Shenandoah, North Platte). The appraisal activities of traditional Miocene fields such as Shenzi, Mad Dog and Big Foot have also found new opportunities in Paleogene reservoirs. Moreover, although the Paleogene Hadrian and Lucius wells</w:t>
      </w:r>
      <w:r w:rsidR="00D058D2">
        <w:t xml:space="preserve"> </w:t>
      </w:r>
      <w:r w:rsidR="004B6BD2">
        <w:t xml:space="preserve">drilled wet Wilcox reservoirs, they opened up new “subsalt” Upper Miocene and Pliocene oil plays in the </w:t>
      </w:r>
      <w:r w:rsidR="00E90FEA">
        <w:t>ultra-deep</w:t>
      </w:r>
      <w:r w:rsidR="004B6BD2">
        <w:t xml:space="preserve"> Walker Ridge. The success of the Phobos well extends the Wilcox play into the Sigsbee</w:t>
      </w:r>
      <w:r w:rsidR="00D058D2">
        <w:t xml:space="preserve"> </w:t>
      </w:r>
      <w:r w:rsidR="004B6BD2">
        <w:t>Escarpment. Such a series of successes are exciting and beyond geoscientists' imagination ten years ago.</w:t>
      </w:r>
    </w:p>
    <w:p w:rsidR="004B6BD2" w:rsidRDefault="001267C7" w:rsidP="004B6BD2">
      <w:pPr>
        <w:jc w:val="both"/>
      </w:pPr>
      <w:r>
        <w:tab/>
      </w:r>
      <w:r w:rsidR="004B6BD2">
        <w:t>(4) The success of Appomattox, Vicksburg, Tiber and Davy Jones opened up whole new opportunities in the</w:t>
      </w:r>
      <w:r w:rsidR="00D058D2">
        <w:t xml:space="preserve"> </w:t>
      </w:r>
      <w:r w:rsidR="004B6BD2">
        <w:t>deepwater</w:t>
      </w:r>
      <w:r w:rsidR="00D058D2">
        <w:t xml:space="preserve"> </w:t>
      </w:r>
      <w:r w:rsidR="004B6BD2">
        <w:t xml:space="preserve">Norphlet and Tuscaloosa trends. The Jurassic Norphlet play comprises a dune sand reservoir located in the eastern Mississippi Canyon and De Soto Canyon in the ultra deepwater (&gt;8,000 ft, 2,400 m) The </w:t>
      </w:r>
      <w:r w:rsidR="004B6BD2">
        <w:lastRenderedPageBreak/>
        <w:t>Appomattox wells in 2010 contained &gt;300 ft, 90 m of oil pay in a Jurassic fault block. The preliminary resource size of Appomattox is &gt; 300MMBOE.</w:t>
      </w:r>
    </w:p>
    <w:p w:rsidR="004B6BD2" w:rsidRDefault="001267C7" w:rsidP="004B6BD2">
      <w:pPr>
        <w:jc w:val="both"/>
      </w:pPr>
      <w:r>
        <w:tab/>
      </w:r>
      <w:r w:rsidR="004B6BD2">
        <w:t xml:space="preserve">There are two types of Cretaceous Tuscaloosa sandstones: the deepwater and the onshore deep gas. The Tiber well in Keathley Canyon found&gt; 500ft (150 m) of oil pay in the Tuscaloosa sandstones, which is the milestone of the play. Davy Jones, drilled back in 2010, discovered a deep shelf gas play in the Wilcox aged reservoirs on the shallow shelf water zone, revitalizing a new deepwater shelf gas play. </w:t>
      </w:r>
    </w:p>
    <w:p w:rsidR="004B6BD2" w:rsidRDefault="004B6BD2" w:rsidP="004B6BD2">
      <w:pPr>
        <w:jc w:val="both"/>
      </w:pPr>
      <w:r>
        <w:t>In summary, all four of these major categories of discoveries from 2008-2014 have added multi-billion barrels of equivalen</w:t>
      </w:r>
      <w:r w:rsidR="00561C1A">
        <w:t>t oil resource in the dGOM (</w:t>
      </w:r>
      <w:r w:rsidR="003516CE">
        <w:t xml:space="preserve">Figure </w:t>
      </w:r>
      <w:r w:rsidR="00567416">
        <w:t>3.15</w:t>
      </w:r>
      <w:r>
        <w:t>), and the future looks promising. Below, we discuss the latest progress on the petroleum geology of the dGOM, and associated operational, development, production, and economic challenges.</w:t>
      </w:r>
    </w:p>
    <w:p w:rsidR="004B6BD2" w:rsidRDefault="004B6BD2" w:rsidP="004B6BD2">
      <w:pPr>
        <w:jc w:val="both"/>
      </w:pPr>
    </w:p>
    <w:p w:rsidR="004B6BD2" w:rsidRPr="004B6BD2" w:rsidRDefault="004B6BD2" w:rsidP="004B6BD2">
      <w:pPr>
        <w:jc w:val="both"/>
        <w:rPr>
          <w:b/>
        </w:rPr>
      </w:pPr>
      <w:r w:rsidRPr="004B6BD2">
        <w:rPr>
          <w:b/>
        </w:rPr>
        <w:t>Neogene Play</w:t>
      </w:r>
    </w:p>
    <w:p w:rsidR="004B6BD2" w:rsidRDefault="001267C7" w:rsidP="004B6BD2">
      <w:pPr>
        <w:jc w:val="both"/>
      </w:pPr>
      <w:r>
        <w:tab/>
      </w:r>
      <w:r w:rsidR="00E90FEA">
        <w:t xml:space="preserve">The Neogene play in dGOM, which is mainly Miocene-aged reservoirs, has been heavily explored and produced, including giant fields such as Mars-Ursa, Tahiti, Mad Dog, Thunder Horse, Blind Faith, Auger, etc. </w:t>
      </w:r>
      <w:r w:rsidR="004B6BD2">
        <w:t>These fields entered the production phase in recent years. There are many opportunities for development and enhanced oil recovery from them.</w:t>
      </w:r>
    </w:p>
    <w:p w:rsidR="004B6BD2" w:rsidRDefault="001267C7" w:rsidP="004B6BD2">
      <w:pPr>
        <w:jc w:val="both"/>
      </w:pPr>
      <w:r>
        <w:tab/>
      </w:r>
      <w:r w:rsidR="004B6BD2">
        <w:t>Tahiti (Green Canyon block 640) is one such example of a giant Lower-Middle Miocene oil field. It was discovered in 2002, which is a large 3-way closure against a salt feeder (</w:t>
      </w:r>
      <w:r w:rsidR="003516CE">
        <w:t xml:space="preserve">Figure </w:t>
      </w:r>
      <w:r w:rsidR="00567416">
        <w:t>3.16</w:t>
      </w:r>
      <w:r w:rsidR="004B6BD2">
        <w:t xml:space="preserve">). The reservoirs consist of multiple channelized lobe turbidite sandstones. The sandstones are laterally continuous but are vertically separated. They </w:t>
      </w:r>
      <w:r w:rsidR="004B6BD2">
        <w:lastRenderedPageBreak/>
        <w:t>were deposited in a downslope environment. After the first discovery well drilled on the flank of the 3-way closure, 4-5 appraisal wells were drilled updip and downdip of the structure to delineate the hydrocarbon column and water contact (</w:t>
      </w:r>
      <w:r w:rsidR="003516CE">
        <w:t xml:space="preserve">Figure </w:t>
      </w:r>
      <w:r w:rsidR="00567416">
        <w:t>3.16</w:t>
      </w:r>
      <w:r w:rsidR="004B6BD2">
        <w:t>, right). The hydrocarbon column from the oil-water contact to the top of the trap is over 3,000ft (1,000 m) high. The final reserve of the field is over 300 million barrels. The first oil flowed in 2010.</w:t>
      </w:r>
    </w:p>
    <w:p w:rsidR="004B6BD2" w:rsidRDefault="004B6BD2" w:rsidP="004B6BD2">
      <w:pPr>
        <w:jc w:val="both"/>
      </w:pPr>
    </w:p>
    <w:p w:rsidR="004B6BD2" w:rsidRPr="004B6BD2" w:rsidRDefault="004B6BD2" w:rsidP="004B6BD2">
      <w:pPr>
        <w:jc w:val="both"/>
        <w:rPr>
          <w:b/>
        </w:rPr>
      </w:pPr>
      <w:r w:rsidRPr="004B6BD2">
        <w:rPr>
          <w:b/>
        </w:rPr>
        <w:t>Paleogene Play</w:t>
      </w:r>
    </w:p>
    <w:p w:rsidR="004B6BD2" w:rsidRDefault="001267C7" w:rsidP="004B6BD2">
      <w:pPr>
        <w:jc w:val="both"/>
      </w:pPr>
      <w:r>
        <w:tab/>
      </w:r>
      <w:r w:rsidR="004B6BD2">
        <w:t>The Wilcox reservoirs in dGOM consist of Upper-Middle Paleocene and Lower-Middle Eocene turbidite sandstone packages (</w:t>
      </w:r>
      <w:r w:rsidR="003516CE">
        <w:t>Figure 3.1</w:t>
      </w:r>
      <w:r w:rsidR="004B6BD2">
        <w:t>). The primary sediment source of Wilcox reservoirs is related to the uplift of the Rocky Mountains and the Sierra Madre Oriental. Large volumes of sediments were transported down from the orogenic belts to build great fluvial-delta systems around the shelf. Shelf sediments were then dumped into the deepwater basin floor by sediment gravity flows (</w:t>
      </w:r>
      <w:r w:rsidR="003516CE">
        <w:t xml:space="preserve">Figure </w:t>
      </w:r>
      <w:r w:rsidR="00567416">
        <w:t>3.17</w:t>
      </w:r>
      <w:r w:rsidR="004B6BD2">
        <w:t xml:space="preserve">). There are also secondary sources from the west in Mexico. Vertically, the Wilcox reservoirs are sub-divided into Upper and Lower Wilcox. Laterally, the Wilcox reservoirs have been divided into the Perdido fold belt play (in Alaminos Canyon) and the Walker Ridge-Keathley Canyon play. Deposition of the Lower Wilcox was focused in western Walker Ridge, Eastern Keathley Canyon and a small portion of Alaminos Canyon with average thickness from 2000-3000 ft (600-900m). The sources of these turbiditie sediments were believed to come from the Houston embayment to the north </w:t>
      </w:r>
      <w:r w:rsidR="005814BD">
        <w:t xml:space="preserve">(Lewis </w:t>
      </w:r>
      <w:r w:rsidR="00880C6B" w:rsidRPr="00880C6B">
        <w:rPr>
          <w:i/>
        </w:rPr>
        <w:t>et al.</w:t>
      </w:r>
      <w:proofErr w:type="gramStart"/>
      <w:r w:rsidR="005814BD">
        <w:t>,2007</w:t>
      </w:r>
      <w:proofErr w:type="gramEnd"/>
      <w:r w:rsidR="005814BD">
        <w:t>)</w:t>
      </w:r>
      <w:r w:rsidR="004B6BD2">
        <w:t xml:space="preserve">. The Upper Wilcox isopach shows a significant depocenter with over 4,000 ft (1,200 m) thickness in the western Alaminos Canyon and gradually thinning towards </w:t>
      </w:r>
      <w:r w:rsidR="004B6BD2">
        <w:lastRenderedPageBreak/>
        <w:t xml:space="preserve">Keathley Canyon and Walker Ridge to the east </w:t>
      </w:r>
      <w:r w:rsidR="005814BD">
        <w:t>(Mathur</w:t>
      </w:r>
      <w:proofErr w:type="gramStart"/>
      <w:r w:rsidR="005814BD">
        <w:t>,2008</w:t>
      </w:r>
      <w:proofErr w:type="gramEnd"/>
      <w:r w:rsidR="005814BD">
        <w:t>)</w:t>
      </w:r>
      <w:r w:rsidR="004B6BD2">
        <w:t xml:space="preserve">. The mixing of northern and western sources resulted in different stacking styles and distributions of the turbidities in the </w:t>
      </w:r>
      <w:r w:rsidR="00561C1A">
        <w:t>basin, which</w:t>
      </w:r>
      <w:r w:rsidR="004B6BD2">
        <w:t xml:space="preserve"> have a profound effect on reservoir properties.</w:t>
      </w:r>
    </w:p>
    <w:p w:rsidR="004B6BD2" w:rsidRDefault="001267C7" w:rsidP="004B6BD2">
      <w:pPr>
        <w:jc w:val="both"/>
      </w:pPr>
      <w:r>
        <w:tab/>
      </w:r>
      <w:r w:rsidR="003516CE">
        <w:t xml:space="preserve">Figure </w:t>
      </w:r>
      <w:r w:rsidR="00567416">
        <w:t>3.18</w:t>
      </w:r>
      <w:r w:rsidR="004B6BD2">
        <w:t xml:space="preserve"> illustrates the major Wilcox discoveries and their resources compared to Miocene fields. The Paleogene play has a higher success rate (46%) than the Miocene play (33%). This is partly due to a better seismic technology and a better understanding of trapping mechanism. </w:t>
      </w:r>
    </w:p>
    <w:p w:rsidR="004B6BD2" w:rsidRDefault="004B6BD2" w:rsidP="004B6BD2">
      <w:pPr>
        <w:jc w:val="both"/>
      </w:pPr>
    </w:p>
    <w:p w:rsidR="004B6BD2" w:rsidRPr="004B6BD2" w:rsidRDefault="004B6BD2" w:rsidP="004B6BD2">
      <w:pPr>
        <w:jc w:val="both"/>
        <w:rPr>
          <w:b/>
        </w:rPr>
      </w:pPr>
      <w:r w:rsidRPr="004B6BD2">
        <w:rPr>
          <w:b/>
        </w:rPr>
        <w:t>Jurassic Norphlet Play</w:t>
      </w:r>
    </w:p>
    <w:p w:rsidR="004B6BD2" w:rsidRDefault="001267C7" w:rsidP="004B6BD2">
      <w:pPr>
        <w:jc w:val="both"/>
      </w:pPr>
      <w:r>
        <w:tab/>
      </w:r>
      <w:r w:rsidR="004B6BD2">
        <w:t>The Jurassic Norphlet play extends from onshore to the deep waters of the eastern Gulf of Mexico. Appomattox is currently in the development phase and is moving forward with engineering design for a floating production system and subsea infrastructure. The Norphlet play is characterized by high pressures and well temperatures, where good quality oil can be found in high quality sandstone reservoirs. A series of major discoveries have been made in this emerging deep-water play (</w:t>
      </w:r>
      <w:r w:rsidR="003516CE">
        <w:t xml:space="preserve">Figure </w:t>
      </w:r>
      <w:r w:rsidR="00567416">
        <w:t>3.19</w:t>
      </w:r>
      <w:r w:rsidR="004B6BD2">
        <w:t>).</w:t>
      </w:r>
    </w:p>
    <w:p w:rsidR="004B6BD2" w:rsidRDefault="001267C7" w:rsidP="004B6BD2">
      <w:pPr>
        <w:jc w:val="both"/>
      </w:pPr>
      <w:r>
        <w:tab/>
      </w:r>
      <w:r w:rsidR="004B6BD2">
        <w:t xml:space="preserve">A recent major discovery in the Norphlet play is the Rydberg exploration well. It is located 75 miles (120 kilometers) offshore in the Mississippi Canyon Block 525 in 7,479 ft (2,280 meters) of water. The </w:t>
      </w:r>
      <w:r w:rsidR="00DE3583">
        <w:t>discovery is</w:t>
      </w:r>
      <w:r w:rsidR="004B6BD2">
        <w:t xml:space="preserve"> within 10 miles (16 kilometers) of the planned Appomattox development and the 2013 Vicksburg discovery. It was drilled to a total depth of 26,371 ft (8,038 meters) and encountered more than 400 ft (122meters) of net oil pay. The resource base is </w:t>
      </w:r>
      <w:r w:rsidR="00DE3583">
        <w:t>expected to</w:t>
      </w:r>
      <w:r w:rsidR="004B6BD2">
        <w:t xml:space="preserve"> be approximately 100 million barrels of oil equivalent. Together with the Appomattox and Vicksburg discoveries, the total potential </w:t>
      </w:r>
      <w:r w:rsidR="004B6BD2">
        <w:lastRenderedPageBreak/>
        <w:t xml:space="preserve">Norphlet discoveries are over 700 million barrels of oil equivalent. As of this writing, an exploratory well </w:t>
      </w:r>
      <w:r w:rsidR="00E90FEA">
        <w:t>is</w:t>
      </w:r>
      <w:r w:rsidR="00E90FEA" w:rsidRPr="00DE3583">
        <w:t xml:space="preserve"> being</w:t>
      </w:r>
      <w:r w:rsidR="00DE3583" w:rsidRPr="00DE3583">
        <w:t xml:space="preserve"> drilled at Gettysburg, located in Desoto Canyon Block 398 which is within 10 miles (16 kilometers) of the planned Appomattox development </w:t>
      </w:r>
      <w:r w:rsidR="005814BD">
        <w:t>(Shell Oil Company, 2014)</w:t>
      </w:r>
      <w:r w:rsidR="00DE3583" w:rsidRPr="00DE3583">
        <w:t>.</w:t>
      </w:r>
    </w:p>
    <w:p w:rsidR="004B6BD2" w:rsidRDefault="004B6BD2" w:rsidP="001962E9">
      <w:pPr>
        <w:jc w:val="both"/>
      </w:pPr>
    </w:p>
    <w:p w:rsidR="004B6BD2" w:rsidRPr="00DE3583" w:rsidRDefault="00DE3583" w:rsidP="00DE3583">
      <w:pPr>
        <w:jc w:val="center"/>
        <w:rPr>
          <w:b/>
          <w:sz w:val="28"/>
        </w:rPr>
      </w:pPr>
      <w:r w:rsidRPr="00DE3583">
        <w:rPr>
          <w:b/>
          <w:sz w:val="28"/>
          <w:lang w:eastAsia="zh-CN"/>
        </w:rPr>
        <w:t>DRILLING, DEVELOPMENT AND PRODUCTION</w:t>
      </w:r>
    </w:p>
    <w:p w:rsidR="004A3C1E" w:rsidRPr="004A3C1E" w:rsidRDefault="004A3C1E" w:rsidP="004A3C1E">
      <w:pPr>
        <w:jc w:val="both"/>
        <w:rPr>
          <w:b/>
        </w:rPr>
      </w:pPr>
      <w:r w:rsidRPr="004A3C1E">
        <w:rPr>
          <w:b/>
        </w:rPr>
        <w:t>Drilling</w:t>
      </w:r>
    </w:p>
    <w:p w:rsidR="004A3C1E" w:rsidRDefault="001267C7" w:rsidP="004A3C1E">
      <w:pPr>
        <w:jc w:val="both"/>
      </w:pPr>
      <w:r>
        <w:tab/>
      </w:r>
      <w:r w:rsidR="004A3C1E">
        <w:t>Drilling the dGOM wells is one of the toughest challenges facing the energy industry so far due to salt related structures, high pressure, greater depths, higher temperatures, blowout preventer investigation and narrow drilling margins. Average drilling time for one well is &gt; 100 days for a 25,000 ft (7,500 m) well, with more than one million USD cost per day. The average “dry hole” cost of a Wilcox well is more than USD $100MM. After the Macondo tragedy, the US government forced tough regulations for the operators in order to prevent another blowout. During drilling, the BOP (blowout preventer) now has to be tested every week or two. Checking the BOP usually requires a trip-out and trip- into of the wellbore, which takes up to a few days.</w:t>
      </w:r>
    </w:p>
    <w:p w:rsidR="004A3C1E" w:rsidRDefault="004A3C1E" w:rsidP="004A3C1E">
      <w:pPr>
        <w:jc w:val="both"/>
      </w:pPr>
      <w:r>
        <w:t xml:space="preserve">Salt related structures can have a big impact on drilling. Calculating the thickness, depth and geometry (dip and strike) of the top and base of a salt canopy near a well bore is one of the most important works during the well planning stage. In addition, geoscientists and drilling engineers need to identify all the </w:t>
      </w:r>
      <w:r w:rsidR="00315601">
        <w:rPr>
          <w:rFonts w:hint="eastAsia"/>
          <w:lang w:eastAsia="zh-CN"/>
        </w:rPr>
        <w:t>p</w:t>
      </w:r>
      <w:r>
        <w:t xml:space="preserve">otential drilling hazards such as shallow water flows, shallow faults, salt sutures and inclusions inside the salt canopy, shear gauge zones near the base of the salt, and overly steep or overturned beds </w:t>
      </w:r>
      <w:r>
        <w:lastRenderedPageBreak/>
        <w:t>caused by salt movement. It is a long journey towards reaching the Wilcox reservoirs (</w:t>
      </w:r>
      <w:r w:rsidR="003516CE">
        <w:t xml:space="preserve">Figure </w:t>
      </w:r>
      <w:r w:rsidR="00567416">
        <w:t>3.20</w:t>
      </w:r>
      <w:r>
        <w:t>).</w:t>
      </w:r>
    </w:p>
    <w:p w:rsidR="004A3C1E" w:rsidRDefault="001267C7" w:rsidP="004A3C1E">
      <w:pPr>
        <w:jc w:val="both"/>
      </w:pPr>
      <w:r>
        <w:tab/>
      </w:r>
      <w:r w:rsidR="004A3C1E">
        <w:t xml:space="preserve">Overpressure can occur anywhere along the well path. Predicting and handling overpressure is another important task before and during drilling. BOP and cementing work need to be of good quality in order to control the overpressure effects. Usually in Wilcox drilling, the overpressure can be estimated by seismic velocity and offset logs. The deeper the drilling, the more likely that overpressure will cause a narrow </w:t>
      </w:r>
      <w:r w:rsidR="004A3C1E" w:rsidRPr="004A3C1E">
        <w:t xml:space="preserve">drilling margin. For example, there may be less than 1.5 ppg difference between ECD (Estimated Circulation Density) and fracture gradient at the 16.0 ppg mud </w:t>
      </w:r>
      <w:r w:rsidR="00E90FEA" w:rsidRPr="004A3C1E">
        <w:t>weights</w:t>
      </w:r>
      <w:r w:rsidR="004A3C1E" w:rsidRPr="004A3C1E">
        <w:t>. This pressure situation will become worse when the well hits hydrocarbon bearing Wilcox sandstones.</w:t>
      </w:r>
    </w:p>
    <w:p w:rsidR="003664F5" w:rsidRDefault="001267C7" w:rsidP="004A3C1E">
      <w:pPr>
        <w:jc w:val="both"/>
      </w:pPr>
      <w:r>
        <w:tab/>
      </w:r>
      <w:r w:rsidR="003664F5" w:rsidRPr="003664F5">
        <w:t>Salt exit strategy is also one of the most important steps during drilling deepwater subsalt reservoirs</w:t>
      </w:r>
      <w:r w:rsidR="00FD2546">
        <w:t xml:space="preserve"> (</w:t>
      </w:r>
      <w:r w:rsidR="003516CE">
        <w:t xml:space="preserve">Figure </w:t>
      </w:r>
      <w:r w:rsidR="00567416">
        <w:t>3.20</w:t>
      </w:r>
      <w:r w:rsidR="00AF7893">
        <w:t>)</w:t>
      </w:r>
      <w:r w:rsidR="003664F5" w:rsidRPr="003664F5">
        <w:t xml:space="preserve">. When a well is drilled close to the base of the salt canopy and is about to exit the salt and enter the sediment, drillers have to be very careful in executing appropriate strategy. Failure to do so will result in stuck pipe, lost circulation materials, kick, blowout, sidetrack, or bypass of the original hole. To better meet the challenges of executing the salt exit strategy, the geoscientists first need to provide the drilling engineers with the structural configuration near the base of salt zone. Pressures need to be calculated from methods such as (1) seismic velocity; (2) offset wells; (3) 3-D basin modeling; (4) hard measurements such as MDT (modular formation dynamics tester) or well log measurements. Whether to set the casing in the salt or out of the salt depends on the borehole instability condition. Successfully </w:t>
      </w:r>
      <w:r w:rsidR="003664F5" w:rsidRPr="003664F5">
        <w:lastRenderedPageBreak/>
        <w:t>executing the salt exit strategy can greatly reduce the overall drilling days and drilling costs.</w:t>
      </w:r>
    </w:p>
    <w:p w:rsidR="004B6BD2" w:rsidRDefault="004B6BD2" w:rsidP="001962E9">
      <w:pPr>
        <w:jc w:val="both"/>
      </w:pPr>
    </w:p>
    <w:p w:rsidR="004B6BD2" w:rsidRPr="004A3C1E" w:rsidRDefault="004A3C1E" w:rsidP="001962E9">
      <w:pPr>
        <w:jc w:val="both"/>
        <w:rPr>
          <w:b/>
        </w:rPr>
      </w:pPr>
      <w:r w:rsidRPr="004A3C1E">
        <w:rPr>
          <w:b/>
        </w:rPr>
        <w:t>Development</w:t>
      </w:r>
    </w:p>
    <w:p w:rsidR="004A3C1E" w:rsidRDefault="001267C7" w:rsidP="004A3C1E">
      <w:pPr>
        <w:jc w:val="both"/>
      </w:pPr>
      <w:r>
        <w:tab/>
      </w:r>
      <w:r w:rsidR="004A3C1E" w:rsidRPr="004A3C1E">
        <w:t>Reservoir development in dGOM is a long time process from exploration, appraisal, design, and execution to first oil production. The general time frame is usually 10 years. The Perdido fold belt field is the earliest Wilcox development which includes Great White, Silvertip, Tobago, Trident and Tiger fields with the average water depth from 8,500-9,500 ft (2,700 m).The production platform is 200 miles to onshore and 60 miles to the nearest infrastructure. The central platform can serve multiple fields, with a</w:t>
      </w:r>
      <w:r w:rsidR="004A3C1E">
        <w:t xml:space="preserve"> facility capacity of 130,000 barrels of oil per day. Key technologies include the seafloor caisson booster system to provide the artificial lift for increased productivity; and first use of subsea (located on the sea floor) multiphase flow meters. The central platform is also the deepest installed Truss Spar design in the world </w:t>
      </w:r>
      <w:r w:rsidR="005814BD">
        <w:t>(Chevron Corp., 2011)</w:t>
      </w:r>
      <w:r w:rsidR="004A3C1E">
        <w:t>.</w:t>
      </w:r>
    </w:p>
    <w:p w:rsidR="004B6BD2" w:rsidRDefault="001267C7" w:rsidP="004A3C1E">
      <w:pPr>
        <w:jc w:val="both"/>
      </w:pPr>
      <w:r>
        <w:tab/>
      </w:r>
      <w:r w:rsidR="004A3C1E">
        <w:t>The Jack and St. Malo fields are located within 25 miles (40 km) of each other and are being jointly developed with a host floating production unit located between the two fields in 7,000 ft (2,134 m) of water, approximately 280 miles (450 km) south of New Orleans, Louisiana (</w:t>
      </w:r>
      <w:r w:rsidR="003516CE">
        <w:t xml:space="preserve">Figure </w:t>
      </w:r>
      <w:r w:rsidR="00567416">
        <w:t>3.21</w:t>
      </w:r>
      <w:r w:rsidR="004A3C1E">
        <w:t>). The facility is planned to have a design capacity of 177,000 barrels of oil-equivalent per day to accommodate production from the Jack/St. Malo development, which is estimated at a maximum total daily rate of 94,000 barrels of oil-equivalent, plus production from third-party tiebacks. Total project costs for the initial phase of the development are estimated at $7.5 billion.</w:t>
      </w:r>
    </w:p>
    <w:p w:rsidR="004A3C1E" w:rsidRDefault="001267C7" w:rsidP="004A3C1E">
      <w:pPr>
        <w:jc w:val="both"/>
      </w:pPr>
      <w:r>
        <w:lastRenderedPageBreak/>
        <w:tab/>
      </w:r>
      <w:r w:rsidR="004A3C1E">
        <w:t>It also includes seafloor boosting technology for late field life operations. In addition, the efficient multi-zone frac equipment enables complex completions over very large reservoir intervals. In march, 2013, the successful production test of St. Malo field at a daily rate of 13,000 barrels was announced, with emphasis that this production rate is limited due to the facility, i.e., there is much upside potential once it formally begins to produce in 2014. Other existing platforms and FPSOs (Floating Production, Storage and Offloading) such as Tahiti, Thunder Horse, Cascade, and Mad Dog are reaching their peak productions at present or will be in the near future.</w:t>
      </w:r>
    </w:p>
    <w:p w:rsidR="004A3C1E" w:rsidRDefault="004A3C1E" w:rsidP="004A3C1E">
      <w:pPr>
        <w:jc w:val="both"/>
      </w:pPr>
    </w:p>
    <w:p w:rsidR="004A3C1E" w:rsidRPr="004A3C1E" w:rsidRDefault="004A3C1E" w:rsidP="004A3C1E">
      <w:pPr>
        <w:jc w:val="both"/>
        <w:rPr>
          <w:b/>
        </w:rPr>
      </w:pPr>
      <w:r w:rsidRPr="004A3C1E">
        <w:rPr>
          <w:b/>
        </w:rPr>
        <w:t>Production</w:t>
      </w:r>
    </w:p>
    <w:p w:rsidR="004A3C1E" w:rsidRDefault="001267C7" w:rsidP="004A3C1E">
      <w:pPr>
        <w:jc w:val="both"/>
      </w:pPr>
      <w:r>
        <w:tab/>
      </w:r>
      <w:r w:rsidR="004A3C1E">
        <w:t xml:space="preserve">Lach </w:t>
      </w:r>
      <w:r w:rsidR="005814BD">
        <w:t>(Lach, 2010)</w:t>
      </w:r>
      <w:r w:rsidR="004A3C1E">
        <w:t xml:space="preserve"> has conducted a comprehensive study for IOR (improved oil reservoir) in dGOM. They identified at least six trapped oil mechanisms for</w:t>
      </w:r>
      <w:r w:rsidR="003A5771">
        <w:t xml:space="preserve"> </w:t>
      </w:r>
      <w:r w:rsidR="004A3C1E">
        <w:t xml:space="preserve">Paleogene Wilcox reservoirs (from high to low percentage of OOIP, </w:t>
      </w:r>
      <w:r w:rsidR="003A5771">
        <w:t>Original</w:t>
      </w:r>
      <w:r w:rsidR="004A3C1E">
        <w:t xml:space="preserve"> Oil in Place): (1) communicating capillary bound oil (29% of OOIP), (2) limited displacement drive energy (24% of OOIP), (3) poor sweep efficiency (16% of OOIP), (4) non-connected to wells (15% of OOIP), and (5) high abandonment </w:t>
      </w:r>
      <w:r w:rsidR="00E90FEA">
        <w:t>pressure (</w:t>
      </w:r>
      <w:r w:rsidR="004A3C1E">
        <w:t>6% of OOIP). The total estimated ultimate recovery accounts for only 10% of the OOIP, giving much upside potential for the IOR strategies (</w:t>
      </w:r>
      <w:r w:rsidR="003516CE">
        <w:t xml:space="preserve">Figure </w:t>
      </w:r>
      <w:r w:rsidR="00567416">
        <w:t>3.22</w:t>
      </w:r>
      <w:r w:rsidR="004A3C1E">
        <w:t xml:space="preserve">). </w:t>
      </w:r>
    </w:p>
    <w:p w:rsidR="004A3C1E" w:rsidRDefault="001267C7" w:rsidP="004A3C1E">
      <w:pPr>
        <w:jc w:val="both"/>
      </w:pPr>
      <w:r>
        <w:tab/>
      </w:r>
      <w:r w:rsidR="004A3C1E">
        <w:t xml:space="preserve">How to get oil and gas recovery beyond the initial 10% of primary recovery </w:t>
      </w:r>
      <w:proofErr w:type="gramStart"/>
      <w:r w:rsidR="004A3C1E">
        <w:t>is</w:t>
      </w:r>
      <w:proofErr w:type="gramEnd"/>
      <w:r w:rsidR="004A3C1E">
        <w:t xml:space="preserve"> the most important technical and strategic problems faced by the industry. First and the most important IOR method </w:t>
      </w:r>
      <w:proofErr w:type="gramStart"/>
      <w:r w:rsidR="004A3C1E">
        <w:t>is</w:t>
      </w:r>
      <w:proofErr w:type="gramEnd"/>
      <w:r w:rsidR="004A3C1E">
        <w:t xml:space="preserve"> water injection, including conventional and seafloor water injection </w:t>
      </w:r>
      <w:r w:rsidR="005814BD">
        <w:t>(Lach, 2010)</w:t>
      </w:r>
      <w:r w:rsidR="004A3C1E">
        <w:t>. The technical recovery factor of these two methods can go up to 22% (conventional) and 15% (seafloor), respectively (</w:t>
      </w:r>
      <w:r w:rsidR="003516CE">
        <w:t xml:space="preserve">Figure </w:t>
      </w:r>
      <w:r w:rsidR="00567416">
        <w:t>3.23</w:t>
      </w:r>
      <w:r w:rsidR="004A3C1E">
        <w:t xml:space="preserve">). Other </w:t>
      </w:r>
      <w:r w:rsidR="004A3C1E">
        <w:lastRenderedPageBreak/>
        <w:t xml:space="preserve">discussed IOR methods include low salinity water injection (7% RF, Recover Factor), conventional hydrocarbon gas injection (8% RF), nitrogen injection (12% RF), MEOR (microbial enhanced oil recovery) water injection </w:t>
      </w:r>
      <w:r w:rsidR="00E90FEA">
        <w:t>diverters (</w:t>
      </w:r>
      <w:r w:rsidR="004A3C1E">
        <w:t>7.5% RF), subsea multi-phase pumping (7.5% RF), in well ESP (electric submersible pumps), hydraulic fracturing (10% RF) and directional or horizontal drilling (5% RF).</w:t>
      </w:r>
    </w:p>
    <w:p w:rsidR="004A3C1E" w:rsidRDefault="001267C7" w:rsidP="004A3C1E">
      <w:pPr>
        <w:jc w:val="both"/>
      </w:pPr>
      <w:r>
        <w:tab/>
      </w:r>
      <w:r w:rsidR="004A3C1E">
        <w:t xml:space="preserve">The Wilcox reservoir simulation also best illustrates how an ideal tabular and continuous Wilcox reservoir behaves for water-flood recovery </w:t>
      </w:r>
      <w:r w:rsidR="005814BD">
        <w:t>(Lach, 2010)</w:t>
      </w:r>
      <w:r w:rsidR="004A3C1E">
        <w:t>. This reservoir simulation also assumes an ideal downdip aquifer support. The initial production without water flood was about 8,000 barrels per day with reservoir pressure at 12,000 psi. The rate then dropped quickly to about 2,000 barrels per day after 11 months.</w:t>
      </w:r>
    </w:p>
    <w:p w:rsidR="004A3C1E" w:rsidRDefault="004A3C1E" w:rsidP="004A3C1E">
      <w:pPr>
        <w:jc w:val="both"/>
      </w:pPr>
      <w:r>
        <w:t xml:space="preserve">However, not all the reservoirs have the ideal tabular geometry with good aquifer support downdip. The difference between channel and sheet architectures will greatly affect aquifer pressure support, sweep efficiency, and recovery factors. Zou </w:t>
      </w:r>
      <w:r w:rsidR="005814BD">
        <w:t xml:space="preserve">(Zou </w:t>
      </w:r>
      <w:r w:rsidR="00880C6B" w:rsidRPr="00880C6B">
        <w:rPr>
          <w:i/>
        </w:rPr>
        <w:t>et al.</w:t>
      </w:r>
      <w:proofErr w:type="gramStart"/>
      <w:r w:rsidR="005814BD">
        <w:t>,2012</w:t>
      </w:r>
      <w:proofErr w:type="gramEnd"/>
      <w:r w:rsidR="005814BD">
        <w:t>)</w:t>
      </w:r>
      <w:r>
        <w:t xml:space="preserve"> discussed the reservoir performance between a channelized and a sheet prone reservoir using an outcrop example from the Jackfork Group, Arkansas. Results of simulations indicate that the sheet-prone upper sandstones can provide sustained production for a much longer period of time than the channel-prone lower sandstones (</w:t>
      </w:r>
      <w:r w:rsidR="003516CE">
        <w:t xml:space="preserve">Figure </w:t>
      </w:r>
      <w:r w:rsidR="00567416">
        <w:t>3.24</w:t>
      </w:r>
      <w:r>
        <w:t>)</w:t>
      </w:r>
    </w:p>
    <w:p w:rsidR="004A3C1E" w:rsidRDefault="004A3C1E" w:rsidP="001962E9">
      <w:pPr>
        <w:jc w:val="both"/>
      </w:pPr>
    </w:p>
    <w:p w:rsidR="004A3C1E" w:rsidRPr="004A3C1E" w:rsidRDefault="004A3C1E" w:rsidP="004A3C1E">
      <w:pPr>
        <w:jc w:val="center"/>
        <w:rPr>
          <w:b/>
          <w:sz w:val="28"/>
        </w:rPr>
      </w:pPr>
      <w:r w:rsidRPr="004A3C1E">
        <w:rPr>
          <w:b/>
          <w:sz w:val="28"/>
          <w:lang w:eastAsia="zh-CN"/>
        </w:rPr>
        <w:t>VISION TOWARDS 2023</w:t>
      </w:r>
    </w:p>
    <w:p w:rsidR="004A3C1E" w:rsidRDefault="001267C7" w:rsidP="004A3C1E">
      <w:pPr>
        <w:jc w:val="both"/>
      </w:pPr>
      <w:r>
        <w:tab/>
      </w:r>
      <w:r w:rsidR="004A3C1E">
        <w:t xml:space="preserve">The crude oil production for offshore GOM was 1.3 million barrels per day in 2011, which accounts for 23% of total US crude oil production (source from EIA: US </w:t>
      </w:r>
      <w:r w:rsidR="004A3C1E">
        <w:lastRenderedPageBreak/>
        <w:t xml:space="preserve">Energy Information Administration, </w:t>
      </w:r>
      <w:r w:rsidR="003516CE">
        <w:t xml:space="preserve">Figure </w:t>
      </w:r>
      <w:r w:rsidR="00567416">
        <w:t>3.25</w:t>
      </w:r>
      <w:r w:rsidR="004A3C1E">
        <w:t>). As the dGOM large discoveries turn into production, one would expect a steady increase in both oil production and share in total US oil production. The Wilcox field in the dGOM will become a major contribution to the US crude oil production in the near future. To unlock the production potential, the industry needs to better understand the reservoirs, development technology and strategy, and more importantly, the financial and economic environment. From the prediction of Wood McKenzie (</w:t>
      </w:r>
      <w:r w:rsidR="003516CE">
        <w:t xml:space="preserve">Figure </w:t>
      </w:r>
      <w:r w:rsidR="00567416">
        <w:t>3.26</w:t>
      </w:r>
      <w:r w:rsidR="004A3C1E">
        <w:t xml:space="preserve">), BP (British Petroleum) is predicted to have the most production in the next 10 years. The key risks facing dGOM recovery include economic, environmental, regulatory and technical issues. A sustainable crude oil price above USD $80 per barrel is considered as the most important factor. The environmental and regulatory factors also have notable impact on production recoveries. From the 2013 Wood Mackenzie report, currently the dGOM has five major plays which are: conventional Pliocene and Miocene, subsalt Pliocene and Miocene, Lower Miocene, Jurassic and Paleogene. The Paleogene play has the highest risk in reservoir quality, water depth, drilling costs, reservoir complexity, and infrastructure. </w:t>
      </w:r>
    </w:p>
    <w:p w:rsidR="004A3C1E" w:rsidRDefault="001267C7" w:rsidP="004A3C1E">
      <w:pPr>
        <w:jc w:val="both"/>
      </w:pPr>
      <w:r>
        <w:tab/>
      </w:r>
      <w:r w:rsidR="004A3C1E">
        <w:t xml:space="preserve">However, it also has the highest yet-to-find volume. Economics and commerciality are also at medium risk depending on the costs and crude oil price. From the commercial plot in </w:t>
      </w:r>
      <w:r w:rsidR="003516CE">
        <w:t xml:space="preserve">Figure </w:t>
      </w:r>
      <w:r w:rsidR="00567416">
        <w:t>3.27</w:t>
      </w:r>
      <w:r w:rsidR="004A3C1E">
        <w:t xml:space="preserve">, the Paleogene play has the lowest NPV (net present value) at USD $200MM and the highest breakeven prices (USD $71/bbl, barrel), the NPV per barrel for Paleogene is less than USD $1. And the total reservoir development Capex is more than USD $16 billion. These are all negative commercial factors for developing Paleogene Wilcox reservoirs. However, successful online production of </w:t>
      </w:r>
      <w:r w:rsidR="004A3C1E">
        <w:lastRenderedPageBreak/>
        <w:t>Jack, St. Malo, Cascade-Chinook and Kaskida fields are encouraging news for Paleogene reservoirs. And there are substantial research and development activities both in industry and academia.</w:t>
      </w:r>
    </w:p>
    <w:p w:rsidR="004A3C1E" w:rsidRDefault="004A3C1E" w:rsidP="001962E9">
      <w:pPr>
        <w:jc w:val="both"/>
      </w:pPr>
    </w:p>
    <w:p w:rsidR="001962E9" w:rsidRPr="004A3C1E" w:rsidRDefault="001962E9" w:rsidP="001962E9">
      <w:pPr>
        <w:jc w:val="center"/>
        <w:rPr>
          <w:rFonts w:ascii="Times New Roman" w:hAnsi="Times New Roman"/>
          <w:b/>
          <w:sz w:val="28"/>
        </w:rPr>
      </w:pPr>
      <w:r w:rsidRPr="004A3C1E">
        <w:rPr>
          <w:rFonts w:ascii="Times New Roman" w:hAnsi="Times New Roman"/>
          <w:b/>
          <w:sz w:val="28"/>
        </w:rPr>
        <w:t>CONCLUSIONS</w:t>
      </w:r>
    </w:p>
    <w:p w:rsidR="004A3C1E" w:rsidRPr="004A3C1E" w:rsidRDefault="001267C7" w:rsidP="004A3C1E">
      <w:pPr>
        <w:autoSpaceDE w:val="0"/>
        <w:autoSpaceDN w:val="0"/>
        <w:adjustRightInd w:val="0"/>
        <w:rPr>
          <w:rFonts w:ascii="Times New Roman" w:hAnsi="Times New Roman"/>
          <w:lang w:eastAsia="zh-CN"/>
        </w:rPr>
      </w:pPr>
      <w:r>
        <w:rPr>
          <w:rFonts w:ascii="Times New Roman" w:hAnsi="Times New Roman"/>
          <w:lang w:eastAsia="zh-CN"/>
        </w:rPr>
        <w:tab/>
      </w:r>
      <w:r w:rsidR="004A3C1E" w:rsidRPr="004A3C1E">
        <w:rPr>
          <w:rFonts w:ascii="Times New Roman" w:hAnsi="Times New Roman"/>
          <w:lang w:eastAsia="zh-CN"/>
        </w:rPr>
        <w:t>The past six years (2008-2014) were a prosperous time for exploration and production in the deepwater Gulf of Mexico (dGOM). Over 30 new discoveries were made, and many older discoveries have been through appraisal and development phases. Although there was a two year drilling moratorium due to the Macondo blowout tragedy, the dGOM</w:t>
      </w:r>
      <w:r w:rsidR="003A5771">
        <w:rPr>
          <w:rFonts w:ascii="Times New Roman" w:hAnsi="Times New Roman"/>
          <w:lang w:eastAsia="zh-CN"/>
        </w:rPr>
        <w:t xml:space="preserve"> </w:t>
      </w:r>
      <w:r w:rsidR="004A3C1E" w:rsidRPr="004A3C1E">
        <w:rPr>
          <w:rFonts w:ascii="Times New Roman" w:hAnsi="Times New Roman"/>
          <w:lang w:eastAsia="zh-CN"/>
        </w:rPr>
        <w:t xml:space="preserve">is currently above its pre-Macondo rig count. </w:t>
      </w:r>
    </w:p>
    <w:p w:rsidR="004A3C1E" w:rsidRPr="004A3C1E" w:rsidRDefault="001267C7" w:rsidP="004A3C1E">
      <w:pPr>
        <w:autoSpaceDE w:val="0"/>
        <w:autoSpaceDN w:val="0"/>
        <w:adjustRightInd w:val="0"/>
        <w:rPr>
          <w:rFonts w:ascii="Times New Roman" w:hAnsi="Times New Roman"/>
          <w:lang w:eastAsia="zh-CN"/>
        </w:rPr>
      </w:pPr>
      <w:r>
        <w:rPr>
          <w:rFonts w:ascii="Times New Roman" w:hAnsi="Times New Roman"/>
          <w:lang w:eastAsia="zh-CN"/>
        </w:rPr>
        <w:tab/>
      </w:r>
      <w:r w:rsidR="004A3C1E" w:rsidRPr="004A3C1E">
        <w:rPr>
          <w:rFonts w:ascii="Times New Roman" w:hAnsi="Times New Roman"/>
          <w:lang w:eastAsia="zh-CN"/>
        </w:rPr>
        <w:t xml:space="preserve">Recent deepwater exploration and production activities can be divided into three major categories: drilling new wildcat wells, appraising and developing newly discovered fields and enhanced oil recovery of mature fields. The Lower Tertiary Wilcox reservoirs have been a focus of exploration and development in the dGOM for the past decade, with major discoveries such as Cascade, Jack, Tiber, and Kaskida. Seismic imaging, complex geology, high pressure drilling, greater depth and higher temperature are key challenges for the exploration and production of Wilcox reservoirs. Complex geology includes salt-related structures and traps, reservoir compartmentalization, and the sequence stratigraphy of turbidite reservoirs. Salt-related structures include salt feeders, canopies, carapaces, welds, sutures and mini-basins. The combination of primary basin geometry and salt structure can have a large impact on reservoir geometries and properties. Reservoir compartmentalization can be caused by faults and fractures, as well as by sedimentary facies change. Turbidite sequence </w:t>
      </w:r>
      <w:r w:rsidR="004A3C1E" w:rsidRPr="004A3C1E">
        <w:rPr>
          <w:rFonts w:ascii="Times New Roman" w:hAnsi="Times New Roman"/>
          <w:lang w:eastAsia="zh-CN"/>
        </w:rPr>
        <w:lastRenderedPageBreak/>
        <w:t xml:space="preserve">stratigraphy helps the asset team to find the best completion intervals. Sheet and channelized sandstones with good downdip aquifer support are preferred reservoir conditions. </w:t>
      </w:r>
    </w:p>
    <w:p w:rsidR="004A3C1E" w:rsidRDefault="001267C7" w:rsidP="004A3C1E">
      <w:pPr>
        <w:autoSpaceDE w:val="0"/>
        <w:autoSpaceDN w:val="0"/>
        <w:adjustRightInd w:val="0"/>
        <w:rPr>
          <w:rFonts w:ascii="Times New Roman" w:hAnsi="Times New Roman"/>
          <w:lang w:eastAsia="zh-CN"/>
        </w:rPr>
      </w:pPr>
      <w:r>
        <w:rPr>
          <w:rFonts w:ascii="Times New Roman" w:hAnsi="Times New Roman"/>
          <w:lang w:eastAsia="zh-CN"/>
        </w:rPr>
        <w:tab/>
      </w:r>
      <w:r w:rsidR="004A3C1E" w:rsidRPr="004A3C1E">
        <w:rPr>
          <w:rFonts w:ascii="Times New Roman" w:hAnsi="Times New Roman"/>
          <w:lang w:eastAsia="zh-CN"/>
        </w:rPr>
        <w:t xml:space="preserve">All the drilling, development and production challenges are related to high pressure drilling, greater depth, higher temperature and lack of existing field analogs. High well cost, narrow drilling margin, salt related drilling issues and extreme reservoir depth made drilling more difficult than anywhere on earth. High completion cost, poor reservoir quality and flow capability are key challenges for commercially developing the Wilcox fields. Various IOR methods are studied and applied in the development stage of the Wilcox fields, which have an average primary recovery factor of 10%~15%. With ideal tabular reservoir geometry and IOR methods, recovery factor of the Wilcox reservoirs can reach up to 42% of OOIP through the field life cycle. </w:t>
      </w:r>
    </w:p>
    <w:p w:rsidR="008F6879" w:rsidRDefault="008F6879" w:rsidP="00D043EB">
      <w:pPr>
        <w:jc w:val="both"/>
        <w:rPr>
          <w:rFonts w:ascii="Times New Roman" w:hAnsi="Times New Roman"/>
          <w:lang w:eastAsia="zh-CN"/>
        </w:rPr>
      </w:pPr>
    </w:p>
    <w:p w:rsidR="008F6879" w:rsidRDefault="008F6879" w:rsidP="00D043EB">
      <w:pPr>
        <w:jc w:val="both"/>
        <w:rPr>
          <w:rFonts w:ascii="Times New Roman" w:hAnsi="Times New Roman"/>
          <w:lang w:eastAsia="zh-CN"/>
        </w:rPr>
      </w:pPr>
    </w:p>
    <w:p w:rsidR="008F6879" w:rsidRDefault="008F6879" w:rsidP="008F6879">
      <w:pPr>
        <w:jc w:val="center"/>
        <w:rPr>
          <w:rFonts w:ascii="Times New Roman" w:hAnsi="Times New Roman"/>
          <w:b/>
          <w:sz w:val="28"/>
        </w:rPr>
      </w:pPr>
      <w:r w:rsidRPr="008F6879">
        <w:rPr>
          <w:rFonts w:ascii="Times New Roman" w:hAnsi="Times New Roman"/>
          <w:b/>
          <w:sz w:val="28"/>
        </w:rPr>
        <w:t>ACKNOWLEDGEMENTS</w:t>
      </w:r>
    </w:p>
    <w:p w:rsidR="008F6879" w:rsidRPr="008F6879" w:rsidRDefault="001267C7" w:rsidP="008F6879">
      <w:pPr>
        <w:jc w:val="both"/>
        <w:rPr>
          <w:rFonts w:ascii="Times New Roman" w:hAnsi="Times New Roman"/>
          <w:lang w:eastAsia="zh-CN"/>
        </w:rPr>
      </w:pPr>
      <w:r>
        <w:rPr>
          <w:rFonts w:ascii="Times New Roman" w:hAnsi="Times New Roman"/>
          <w:lang w:eastAsia="zh-CN"/>
        </w:rPr>
        <w:tab/>
      </w:r>
      <w:r w:rsidR="008F6879" w:rsidRPr="008F6879">
        <w:rPr>
          <w:rFonts w:ascii="Times New Roman" w:hAnsi="Times New Roman"/>
          <w:lang w:eastAsia="zh-CN"/>
        </w:rPr>
        <w:t>This paper is a part of Fuge Zou’s</w:t>
      </w:r>
      <w:r w:rsidR="00D058D2">
        <w:rPr>
          <w:rFonts w:ascii="Times New Roman" w:hAnsi="Times New Roman"/>
          <w:lang w:eastAsia="zh-CN"/>
        </w:rPr>
        <w:t xml:space="preserve"> </w:t>
      </w:r>
      <w:r w:rsidR="008F6879" w:rsidRPr="008F6879">
        <w:rPr>
          <w:rFonts w:ascii="Times New Roman" w:hAnsi="Times New Roman"/>
          <w:lang w:eastAsia="zh-CN"/>
        </w:rPr>
        <w:t>Ph.D. research with Dr. Roger Slatt at the University of Oklahoma. We thank the editors and reviewers who helped to greatly improve the quality of this paper.</w:t>
      </w:r>
    </w:p>
    <w:p w:rsidR="00567416" w:rsidRDefault="00567416">
      <w:pPr>
        <w:spacing w:line="240" w:lineRule="auto"/>
        <w:rPr>
          <w:rFonts w:ascii="Times New Roman" w:hAnsi="Times New Roman"/>
          <w:lang w:eastAsia="zh-CN"/>
        </w:rPr>
      </w:pPr>
      <w:r>
        <w:rPr>
          <w:rFonts w:ascii="Times New Roman" w:hAnsi="Times New Roman"/>
          <w:lang w:eastAsia="zh-CN"/>
        </w:rPr>
        <w:br w:type="page"/>
      </w:r>
    </w:p>
    <w:p w:rsidR="003B70B1" w:rsidRPr="008F6879" w:rsidRDefault="003B70B1" w:rsidP="00D043EB">
      <w:pPr>
        <w:jc w:val="both"/>
        <w:rPr>
          <w:rFonts w:ascii="Times New Roman" w:hAnsi="Times New Roman"/>
          <w:lang w:eastAsia="zh-CN"/>
        </w:rPr>
      </w:pPr>
    </w:p>
    <w:p w:rsidR="004E5701" w:rsidRDefault="004E5701" w:rsidP="004E5701">
      <w:pPr>
        <w:pStyle w:val="Heading1"/>
      </w:pPr>
      <w:r>
        <w:t>LIST OF FIGURES</w:t>
      </w:r>
    </w:p>
    <w:p w:rsidR="003B70B1" w:rsidRDefault="001A70C8" w:rsidP="006A3BA9">
      <w:pPr>
        <w:pStyle w:val="AbstractNormalText"/>
        <w:keepNext/>
        <w:spacing w:line="480" w:lineRule="auto"/>
        <w:jc w:val="center"/>
      </w:pPr>
      <w:r>
        <w:rPr>
          <w:noProof/>
        </w:rPr>
        <w:drawing>
          <wp:inline distT="0" distB="0" distL="0" distR="0" wp14:anchorId="3A1F3320">
            <wp:extent cx="5120640" cy="5471160"/>
            <wp:effectExtent l="0" t="0" r="381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120640" cy="5471160"/>
                    </a:xfrm>
                    <a:prstGeom prst="rect">
                      <a:avLst/>
                    </a:prstGeom>
                    <a:noFill/>
                  </pic:spPr>
                </pic:pic>
              </a:graphicData>
            </a:graphic>
          </wp:inline>
        </w:drawing>
      </w:r>
    </w:p>
    <w:p w:rsidR="004E5701" w:rsidRDefault="0085607B" w:rsidP="00C019EE">
      <w:pPr>
        <w:pStyle w:val="Caption"/>
        <w:rPr>
          <w:rFonts w:ascii="Times New Roman" w:hAnsi="Times New Roman"/>
          <w:sz w:val="23"/>
          <w:szCs w:val="23"/>
        </w:rPr>
      </w:pPr>
      <w:bookmarkStart w:id="21" w:name="_Toc397350217"/>
      <w:bookmarkStart w:id="22" w:name="_Toc397377195"/>
      <w:bookmarkStart w:id="23" w:name="_Toc399968144"/>
      <w:bookmarkStart w:id="24" w:name="_Toc400010226"/>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1</w:t>
      </w:r>
      <w:r>
        <w:rPr>
          <w:rFonts w:ascii="Times New Roman" w:hAnsi="Times New Roman"/>
          <w:sz w:val="23"/>
          <w:szCs w:val="23"/>
        </w:rPr>
        <w:t>.</w:t>
      </w:r>
      <w:bookmarkEnd w:id="21"/>
      <w:bookmarkEnd w:id="22"/>
      <w:bookmarkEnd w:id="23"/>
      <w:bookmarkEnd w:id="24"/>
      <w:r w:rsidR="005B48BE" w:rsidRPr="005B48BE">
        <w:rPr>
          <w:rFonts w:ascii="Times New Roman" w:hAnsi="Times New Roman"/>
          <w:sz w:val="23"/>
          <w:szCs w:val="23"/>
        </w:rPr>
        <w:t>Stratigraphic column of dGOM</w:t>
      </w:r>
      <w:r w:rsidR="00D058D2">
        <w:rPr>
          <w:rFonts w:ascii="Times New Roman" w:hAnsi="Times New Roman"/>
          <w:sz w:val="23"/>
          <w:szCs w:val="23"/>
        </w:rPr>
        <w:t xml:space="preserve"> </w:t>
      </w:r>
      <w:r w:rsidR="005B48BE" w:rsidRPr="005B48BE">
        <w:rPr>
          <w:rFonts w:ascii="Times New Roman" w:hAnsi="Times New Roman"/>
          <w:sz w:val="23"/>
          <w:szCs w:val="23"/>
        </w:rPr>
        <w:t xml:space="preserve">and key discoveries and fields </w:t>
      </w:r>
      <w:r w:rsidR="005814BD">
        <w:rPr>
          <w:rFonts w:ascii="Times New Roman" w:hAnsi="Times New Roman"/>
          <w:sz w:val="23"/>
          <w:szCs w:val="23"/>
        </w:rPr>
        <w:t>(Halliburton Corp., 2010)</w:t>
      </w:r>
      <w:r w:rsidR="005B48BE" w:rsidRPr="005B48BE">
        <w:rPr>
          <w:rFonts w:ascii="Times New Roman" w:hAnsi="Times New Roman"/>
          <w:sz w:val="23"/>
          <w:szCs w:val="23"/>
        </w:rPr>
        <w:t xml:space="preserve"> (Ma = Million Years).</w:t>
      </w:r>
    </w:p>
    <w:p w:rsidR="005B48BE" w:rsidRDefault="005B48BE" w:rsidP="005B48BE"/>
    <w:p w:rsidR="005B48BE" w:rsidRPr="005B48BE" w:rsidRDefault="005B48BE" w:rsidP="005B48BE"/>
    <w:p w:rsidR="003B70B1" w:rsidRDefault="001A70C8" w:rsidP="006A3BA9">
      <w:pPr>
        <w:keepNext/>
        <w:spacing w:before="120"/>
        <w:jc w:val="center"/>
      </w:pPr>
      <w:r>
        <w:rPr>
          <w:noProof/>
          <w:lang w:bidi="ar-SA"/>
        </w:rPr>
        <w:lastRenderedPageBreak/>
        <w:drawing>
          <wp:inline distT="0" distB="0" distL="0" distR="0" wp14:anchorId="08803EC8">
            <wp:extent cx="5280660" cy="33147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80660" cy="3314700"/>
                    </a:xfrm>
                    <a:prstGeom prst="rect">
                      <a:avLst/>
                    </a:prstGeom>
                    <a:noFill/>
                  </pic:spPr>
                </pic:pic>
              </a:graphicData>
            </a:graphic>
          </wp:inline>
        </w:drawing>
      </w:r>
    </w:p>
    <w:p w:rsidR="004E5701" w:rsidRDefault="0085607B" w:rsidP="00C019EE">
      <w:pPr>
        <w:pStyle w:val="Caption"/>
        <w:rPr>
          <w:rFonts w:ascii="Times New Roman" w:hAnsi="Times New Roman"/>
          <w:sz w:val="23"/>
          <w:szCs w:val="23"/>
        </w:rPr>
      </w:pPr>
      <w:bookmarkStart w:id="25" w:name="_Toc397350218"/>
      <w:bookmarkStart w:id="26" w:name="_Toc397377196"/>
      <w:bookmarkStart w:id="27" w:name="_Toc399968145"/>
      <w:bookmarkStart w:id="28" w:name="_Toc400010227"/>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2</w:t>
      </w:r>
      <w:r>
        <w:rPr>
          <w:rFonts w:ascii="Times New Roman" w:hAnsi="Times New Roman"/>
          <w:sz w:val="23"/>
          <w:szCs w:val="23"/>
        </w:rPr>
        <w:t>.</w:t>
      </w:r>
      <w:bookmarkEnd w:id="25"/>
      <w:r w:rsidR="005B48BE" w:rsidRPr="005B48BE">
        <w:rPr>
          <w:rFonts w:ascii="Times New Roman" w:hAnsi="Times New Roman"/>
          <w:sz w:val="23"/>
          <w:szCs w:val="23"/>
        </w:rPr>
        <w:t>Major play trends and some key wells and discoveries in the deepwater Gulf of Mexico (Stars are important oil and gas discoveries or fields in each trend).</w:t>
      </w:r>
      <w:r w:rsidR="00B17CD7">
        <w:rPr>
          <w:rFonts w:ascii="Times New Roman" w:hAnsi="Times New Roman"/>
          <w:sz w:val="23"/>
          <w:szCs w:val="23"/>
        </w:rPr>
        <w:t>bin number for anisotropy analysis.</w:t>
      </w:r>
      <w:bookmarkEnd w:id="26"/>
      <w:bookmarkEnd w:id="27"/>
      <w:bookmarkEnd w:id="28"/>
    </w:p>
    <w:p w:rsidR="005B48BE" w:rsidRDefault="005B48BE" w:rsidP="005B48BE"/>
    <w:p w:rsidR="005B48BE" w:rsidRDefault="005B48BE" w:rsidP="005B48BE"/>
    <w:p w:rsidR="005B48BE" w:rsidRDefault="005B48BE" w:rsidP="005B48BE"/>
    <w:p w:rsidR="005B48BE" w:rsidRDefault="005B48BE" w:rsidP="005B48BE"/>
    <w:p w:rsidR="005B48BE" w:rsidRDefault="005B48BE" w:rsidP="005B48BE"/>
    <w:p w:rsidR="005B48BE" w:rsidRDefault="005B48BE" w:rsidP="005B48BE"/>
    <w:p w:rsidR="005B48BE" w:rsidRDefault="005B48BE" w:rsidP="005B48BE"/>
    <w:p w:rsidR="005B48BE" w:rsidRDefault="005B48BE" w:rsidP="005B48BE"/>
    <w:p w:rsidR="005B48BE" w:rsidRPr="005B48BE" w:rsidRDefault="005B48BE" w:rsidP="005B48BE"/>
    <w:p w:rsidR="004E5701" w:rsidRPr="003B70B1" w:rsidRDefault="005B48BE" w:rsidP="008E4593">
      <w:pPr>
        <w:jc w:val="center"/>
        <w:rPr>
          <w:rFonts w:ascii="Times New Roman" w:hAnsi="Times New Roman"/>
          <w:b/>
          <w:color w:val="000000"/>
          <w:kern w:val="24"/>
          <w:sz w:val="16"/>
          <w:szCs w:val="16"/>
          <w:lang w:eastAsia="zh-CN"/>
        </w:rPr>
      </w:pPr>
      <w:r w:rsidRPr="005B48BE">
        <w:rPr>
          <w:rFonts w:ascii="Times New Roman" w:hAnsi="Times New Roman"/>
          <w:b/>
          <w:noProof/>
          <w:color w:val="000000"/>
          <w:kern w:val="24"/>
          <w:sz w:val="16"/>
          <w:szCs w:val="16"/>
          <w:lang w:bidi="ar-SA"/>
        </w:rPr>
        <w:lastRenderedPageBreak/>
        <w:drawing>
          <wp:inline distT="0" distB="0" distL="0" distR="0" wp14:anchorId="39C5EF15" wp14:editId="7971C6DA">
            <wp:extent cx="4952371" cy="4324350"/>
            <wp:effectExtent l="19050" t="19050" r="19685" b="19050"/>
            <wp:docPr id="8" name="图片 1" descr="c:\users\cynthiapc\appdata\roaming\360se6\User Data\temp\FanSaltBa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nthiapc\appdata\roaming\360se6\User Data\temp\FanSaltBasin.jpg"/>
                    <pic:cNvPicPr>
                      <a:picLocks noChangeAspect="1" noChangeArrowheads="1"/>
                    </pic:cNvPicPr>
                  </pic:nvPicPr>
                  <pic:blipFill>
                    <a:blip r:embed="rId150" cstate="print"/>
                    <a:srcRect/>
                    <a:stretch>
                      <a:fillRect/>
                    </a:stretch>
                  </pic:blipFill>
                  <pic:spPr bwMode="auto">
                    <a:xfrm>
                      <a:off x="0" y="0"/>
                      <a:ext cx="4955768" cy="4327317"/>
                    </a:xfrm>
                    <a:prstGeom prst="rect">
                      <a:avLst/>
                    </a:prstGeom>
                    <a:noFill/>
                    <a:ln w="9525">
                      <a:solidFill>
                        <a:schemeClr val="tx1"/>
                      </a:solidFill>
                      <a:miter lim="800000"/>
                      <a:headEnd/>
                      <a:tailEnd/>
                    </a:ln>
                  </pic:spPr>
                </pic:pic>
              </a:graphicData>
            </a:graphic>
          </wp:inline>
        </w:drawing>
      </w:r>
    </w:p>
    <w:p w:rsidR="004E5701" w:rsidRPr="00C019EE" w:rsidRDefault="0085607B" w:rsidP="003B70B1">
      <w:pPr>
        <w:pStyle w:val="Caption"/>
        <w:rPr>
          <w:rFonts w:ascii="Times New Roman" w:hAnsi="Times New Roman"/>
          <w:sz w:val="23"/>
          <w:szCs w:val="23"/>
        </w:rPr>
      </w:pPr>
      <w:bookmarkStart w:id="29" w:name="_Toc397350219"/>
      <w:bookmarkStart w:id="30" w:name="_Toc397377197"/>
      <w:bookmarkStart w:id="31" w:name="_Toc399968146"/>
      <w:bookmarkStart w:id="32" w:name="_Toc400010228"/>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3</w:t>
      </w:r>
      <w:r>
        <w:rPr>
          <w:rFonts w:ascii="Times New Roman" w:hAnsi="Times New Roman"/>
          <w:sz w:val="23"/>
          <w:szCs w:val="23"/>
        </w:rPr>
        <w:t>.</w:t>
      </w:r>
      <w:bookmarkEnd w:id="29"/>
      <w:bookmarkEnd w:id="30"/>
      <w:bookmarkEnd w:id="31"/>
      <w:bookmarkEnd w:id="32"/>
      <w:r w:rsidR="005B48BE" w:rsidRPr="005B48BE">
        <w:rPr>
          <w:rFonts w:ascii="Times New Roman" w:hAnsi="Times New Roman"/>
          <w:sz w:val="23"/>
          <w:szCs w:val="23"/>
        </w:rPr>
        <w:t xml:space="preserve">Turbidite facies in the dGOM </w:t>
      </w:r>
      <w:r w:rsidR="005814BD">
        <w:rPr>
          <w:rFonts w:ascii="Times New Roman" w:hAnsi="Times New Roman"/>
          <w:sz w:val="23"/>
          <w:szCs w:val="23"/>
        </w:rPr>
        <w:t xml:space="preserve">(DeVay </w:t>
      </w:r>
      <w:r w:rsidR="00880C6B" w:rsidRPr="00880C6B">
        <w:rPr>
          <w:rFonts w:ascii="Times New Roman" w:hAnsi="Times New Roman"/>
          <w:i/>
          <w:sz w:val="23"/>
          <w:szCs w:val="23"/>
        </w:rPr>
        <w:t>et al.</w:t>
      </w:r>
      <w:proofErr w:type="gramStart"/>
      <w:r w:rsidR="005814BD">
        <w:rPr>
          <w:rFonts w:ascii="Times New Roman" w:hAnsi="Times New Roman"/>
          <w:sz w:val="23"/>
          <w:szCs w:val="23"/>
        </w:rPr>
        <w:t>,2000</w:t>
      </w:r>
      <w:proofErr w:type="gramEnd"/>
      <w:r w:rsidR="005814BD">
        <w:rPr>
          <w:rFonts w:ascii="Times New Roman" w:hAnsi="Times New Roman"/>
          <w:sz w:val="23"/>
          <w:szCs w:val="23"/>
        </w:rPr>
        <w:t>)</w:t>
      </w:r>
      <w:r w:rsidR="005B48BE" w:rsidRPr="005B48BE">
        <w:rPr>
          <w:rFonts w:ascii="Times New Roman" w:hAnsi="Times New Roman"/>
          <w:sz w:val="23"/>
          <w:szCs w:val="23"/>
        </w:rPr>
        <w:t>, showing major deepwater architectural elements from updip slope down to basin floor fans.</w:t>
      </w:r>
    </w:p>
    <w:p w:rsidR="004E5701" w:rsidRDefault="004E5701" w:rsidP="004E5701"/>
    <w:p w:rsidR="005B48BE" w:rsidRDefault="005B48BE" w:rsidP="004E5701"/>
    <w:p w:rsidR="005B48BE" w:rsidRDefault="005B48BE" w:rsidP="004E5701"/>
    <w:p w:rsidR="005B48BE" w:rsidRDefault="005B48BE" w:rsidP="004E5701"/>
    <w:p w:rsidR="003B70B1" w:rsidRDefault="001A70C8" w:rsidP="008E4593">
      <w:pPr>
        <w:keepNext/>
        <w:jc w:val="center"/>
      </w:pPr>
      <w:r>
        <w:rPr>
          <w:noProof/>
          <w:lang w:bidi="ar-SA"/>
        </w:rPr>
        <w:lastRenderedPageBreak/>
        <w:drawing>
          <wp:inline distT="0" distB="0" distL="0" distR="0" wp14:anchorId="7D8FF4C3">
            <wp:extent cx="5044440" cy="5029200"/>
            <wp:effectExtent l="0" t="0" r="381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044440" cy="5029200"/>
                    </a:xfrm>
                    <a:prstGeom prst="rect">
                      <a:avLst/>
                    </a:prstGeom>
                    <a:noFill/>
                  </pic:spPr>
                </pic:pic>
              </a:graphicData>
            </a:graphic>
          </wp:inline>
        </w:drawing>
      </w:r>
    </w:p>
    <w:p w:rsidR="004E5701" w:rsidRDefault="0085607B" w:rsidP="005B48BE">
      <w:pPr>
        <w:pStyle w:val="Caption"/>
      </w:pPr>
      <w:bookmarkStart w:id="33" w:name="_Toc397350220"/>
      <w:bookmarkStart w:id="34" w:name="_Toc397377198"/>
      <w:bookmarkStart w:id="35" w:name="_Toc399968147"/>
      <w:bookmarkStart w:id="36" w:name="_Toc400010229"/>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4</w:t>
      </w:r>
      <w:r>
        <w:rPr>
          <w:rFonts w:ascii="Times New Roman" w:hAnsi="Times New Roman"/>
          <w:sz w:val="23"/>
          <w:szCs w:val="23"/>
        </w:rPr>
        <w:t>.</w:t>
      </w:r>
      <w:bookmarkEnd w:id="33"/>
      <w:bookmarkEnd w:id="34"/>
      <w:bookmarkEnd w:id="35"/>
      <w:bookmarkEnd w:id="36"/>
      <w:r w:rsidR="005B48BE" w:rsidRPr="005B48BE">
        <w:rPr>
          <w:rFonts w:ascii="Times New Roman" w:hAnsi="Times New Roman"/>
          <w:sz w:val="23"/>
          <w:szCs w:val="23"/>
        </w:rPr>
        <w:t xml:space="preserve">Upper: west-east seismic cross section perpendicular to the direction of deposition in Mississippi Canyon, dGOM. Lower: interpreted cross section showing depositional elements and key surfaces </w:t>
      </w:r>
      <w:r w:rsidR="005814BD">
        <w:rPr>
          <w:rFonts w:ascii="Times New Roman" w:hAnsi="Times New Roman"/>
          <w:sz w:val="23"/>
          <w:szCs w:val="23"/>
        </w:rPr>
        <w:t>(Sawyer, 2006)</w:t>
      </w:r>
      <w:r w:rsidR="005B48BE" w:rsidRPr="005B48BE">
        <w:rPr>
          <w:rFonts w:ascii="Times New Roman" w:hAnsi="Times New Roman"/>
          <w:sz w:val="23"/>
          <w:szCs w:val="23"/>
        </w:rPr>
        <w:t>. (v.e. = vertical exaggeration)</w:t>
      </w:r>
    </w:p>
    <w:p w:rsidR="004E5701" w:rsidRDefault="004E5701" w:rsidP="004E5701"/>
    <w:p w:rsidR="003B70B1" w:rsidRDefault="00016A5B" w:rsidP="008E4593">
      <w:pPr>
        <w:keepNext/>
        <w:jc w:val="center"/>
      </w:pPr>
      <w:r>
        <w:rPr>
          <w:noProof/>
          <w:lang w:bidi="ar-SA"/>
        </w:rPr>
        <w:lastRenderedPageBreak/>
        <w:drawing>
          <wp:inline distT="0" distB="0" distL="0" distR="0" wp14:anchorId="4CCFBFC2">
            <wp:extent cx="5067300" cy="36042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067300" cy="3604260"/>
                    </a:xfrm>
                    <a:prstGeom prst="rect">
                      <a:avLst/>
                    </a:prstGeom>
                    <a:noFill/>
                  </pic:spPr>
                </pic:pic>
              </a:graphicData>
            </a:graphic>
          </wp:inline>
        </w:drawing>
      </w:r>
    </w:p>
    <w:p w:rsidR="004E5701" w:rsidRPr="00C019EE" w:rsidRDefault="003B70B1" w:rsidP="00C019EE">
      <w:pPr>
        <w:pStyle w:val="Caption"/>
        <w:rPr>
          <w:rFonts w:ascii="Times New Roman" w:hAnsi="Times New Roman"/>
          <w:sz w:val="23"/>
          <w:szCs w:val="23"/>
        </w:rPr>
      </w:pPr>
      <w:bookmarkStart w:id="37" w:name="_Toc397350221"/>
      <w:bookmarkStart w:id="38" w:name="_Toc397377199"/>
      <w:bookmarkStart w:id="39" w:name="_Toc399968148"/>
      <w:bookmarkStart w:id="40" w:name="_Toc400010230"/>
      <w:proofErr w:type="gramStart"/>
      <w:r w:rsidRPr="00C019EE">
        <w:rPr>
          <w:rFonts w:ascii="Times New Roman" w:hAnsi="Times New Roman"/>
          <w:sz w:val="23"/>
          <w:szCs w:val="23"/>
        </w:rPr>
        <w:t xml:space="preserve">Figure </w:t>
      </w:r>
      <w:r w:rsidR="00784C77">
        <w:rPr>
          <w:rFonts w:ascii="Times New Roman" w:hAnsi="Times New Roman"/>
          <w:sz w:val="23"/>
          <w:szCs w:val="23"/>
        </w:rPr>
        <w:t>3</w:t>
      </w:r>
      <w:r w:rsidRPr="00C019EE">
        <w:rPr>
          <w:rFonts w:ascii="Times New Roman" w:hAnsi="Times New Roman"/>
          <w:sz w:val="23"/>
          <w:szCs w:val="23"/>
        </w:rPr>
        <w:t>.</w:t>
      </w:r>
      <w:r w:rsidR="00016A5B">
        <w:rPr>
          <w:rFonts w:ascii="Times New Roman" w:hAnsi="Times New Roman"/>
          <w:sz w:val="23"/>
          <w:szCs w:val="23"/>
        </w:rPr>
        <w:t>5</w:t>
      </w:r>
      <w:r w:rsidR="0085607B">
        <w:rPr>
          <w:rFonts w:ascii="Times New Roman" w:hAnsi="Times New Roman"/>
          <w:sz w:val="23"/>
          <w:szCs w:val="23"/>
        </w:rPr>
        <w:t>.</w:t>
      </w:r>
      <w:bookmarkEnd w:id="37"/>
      <w:bookmarkEnd w:id="38"/>
      <w:bookmarkEnd w:id="39"/>
      <w:bookmarkEnd w:id="40"/>
      <w:proofErr w:type="gramEnd"/>
      <w:r w:rsidR="001A70C8">
        <w:rPr>
          <w:rFonts w:ascii="Times New Roman" w:hAnsi="Times New Roman"/>
          <w:sz w:val="23"/>
          <w:szCs w:val="23"/>
        </w:rPr>
        <w:t xml:space="preserve"> </w:t>
      </w:r>
      <w:r w:rsidR="005B48BE" w:rsidRPr="005B48BE">
        <w:rPr>
          <w:rFonts w:ascii="Times New Roman" w:hAnsi="Times New Roman"/>
          <w:sz w:val="23"/>
          <w:szCs w:val="23"/>
        </w:rPr>
        <w:t xml:space="preserve">Static vs. dynamic onlaps of turbidite onto the edge of the basin or diaper </w:t>
      </w:r>
      <w:r w:rsidR="005814BD">
        <w:rPr>
          <w:rFonts w:ascii="Times New Roman" w:hAnsi="Times New Roman"/>
          <w:sz w:val="23"/>
          <w:szCs w:val="23"/>
        </w:rPr>
        <w:t>(Haughton</w:t>
      </w:r>
      <w:proofErr w:type="gramStart"/>
      <w:r w:rsidR="005814BD">
        <w:rPr>
          <w:rFonts w:ascii="Times New Roman" w:hAnsi="Times New Roman"/>
          <w:sz w:val="23"/>
          <w:szCs w:val="23"/>
        </w:rPr>
        <w:t>,2000</w:t>
      </w:r>
      <w:proofErr w:type="gramEnd"/>
      <w:r w:rsidR="005814BD">
        <w:rPr>
          <w:rFonts w:ascii="Times New Roman" w:hAnsi="Times New Roman"/>
          <w:sz w:val="23"/>
          <w:szCs w:val="23"/>
        </w:rPr>
        <w:t>)</w:t>
      </w:r>
      <w:r w:rsidR="005B48BE" w:rsidRPr="005B48BE">
        <w:rPr>
          <w:rFonts w:ascii="Times New Roman" w:hAnsi="Times New Roman"/>
          <w:sz w:val="23"/>
          <w:szCs w:val="23"/>
        </w:rPr>
        <w:t>.</w:t>
      </w:r>
    </w:p>
    <w:p w:rsidR="004E5701" w:rsidRDefault="004E5701" w:rsidP="004E5701"/>
    <w:p w:rsidR="004E5701" w:rsidRDefault="004E5701" w:rsidP="004E5701"/>
    <w:p w:rsidR="003B70B1" w:rsidRDefault="005B48BE" w:rsidP="008E4593">
      <w:pPr>
        <w:keepNext/>
        <w:jc w:val="center"/>
      </w:pPr>
      <w:r w:rsidRPr="005B48BE">
        <w:rPr>
          <w:rFonts w:ascii="Times New Roman" w:hAnsi="Times New Roman"/>
          <w:noProof/>
          <w:lang w:bidi="ar-SA"/>
        </w:rPr>
        <w:drawing>
          <wp:inline distT="0" distB="0" distL="0" distR="0" wp14:anchorId="153DBBCE" wp14:editId="7C5A9564">
            <wp:extent cx="5120640" cy="1177446"/>
            <wp:effectExtent l="0" t="0" r="3810" b="381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cstate="print"/>
                    <a:srcRect/>
                    <a:stretch>
                      <a:fillRect/>
                    </a:stretch>
                  </pic:blipFill>
                  <pic:spPr bwMode="auto">
                    <a:xfrm>
                      <a:off x="0" y="0"/>
                      <a:ext cx="5130044" cy="1179608"/>
                    </a:xfrm>
                    <a:prstGeom prst="rect">
                      <a:avLst/>
                    </a:prstGeom>
                    <a:noFill/>
                  </pic:spPr>
                </pic:pic>
              </a:graphicData>
            </a:graphic>
          </wp:inline>
        </w:drawing>
      </w:r>
    </w:p>
    <w:p w:rsidR="005B48BE" w:rsidRPr="005B48BE" w:rsidRDefault="0085607B" w:rsidP="005B48BE">
      <w:pPr>
        <w:pStyle w:val="Caption"/>
        <w:rPr>
          <w:rFonts w:ascii="Times New Roman" w:hAnsi="Times New Roman"/>
          <w:sz w:val="23"/>
          <w:szCs w:val="23"/>
        </w:rPr>
      </w:pPr>
      <w:bookmarkStart w:id="41" w:name="_Toc397350222"/>
      <w:bookmarkStart w:id="42" w:name="_Toc397377200"/>
      <w:bookmarkStart w:id="43" w:name="_Toc399968149"/>
      <w:bookmarkStart w:id="44" w:name="_Toc400010231"/>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 xml:space="preserve">6 </w:t>
      </w:r>
      <w:r>
        <w:rPr>
          <w:rFonts w:ascii="Times New Roman" w:hAnsi="Times New Roman"/>
          <w:sz w:val="23"/>
          <w:szCs w:val="23"/>
        </w:rPr>
        <w:t>.</w:t>
      </w:r>
      <w:bookmarkEnd w:id="41"/>
      <w:bookmarkEnd w:id="42"/>
      <w:bookmarkEnd w:id="43"/>
      <w:bookmarkEnd w:id="44"/>
      <w:r w:rsidR="005B48BE">
        <w:t>P</w:t>
      </w:r>
      <w:r w:rsidR="005B48BE" w:rsidRPr="005B48BE">
        <w:rPr>
          <w:rFonts w:ascii="Times New Roman" w:hAnsi="Times New Roman"/>
          <w:sz w:val="23"/>
          <w:szCs w:val="23"/>
        </w:rPr>
        <w:t>anorama of Hollywood Quarry, Jackfork Group in Arkansas, USA.</w:t>
      </w:r>
    </w:p>
    <w:p w:rsidR="004E5701" w:rsidRPr="00C019EE" w:rsidRDefault="005B48BE" w:rsidP="005B48BE">
      <w:pPr>
        <w:pStyle w:val="Caption"/>
        <w:rPr>
          <w:rFonts w:ascii="Times New Roman" w:hAnsi="Times New Roman"/>
          <w:sz w:val="23"/>
          <w:szCs w:val="23"/>
        </w:rPr>
      </w:pPr>
      <w:r w:rsidRPr="005B48BE">
        <w:rPr>
          <w:rFonts w:ascii="Times New Roman" w:hAnsi="Times New Roman"/>
          <w:sz w:val="23"/>
          <w:szCs w:val="23"/>
        </w:rPr>
        <w:t>It represents a channel-lobe system in a proximal fan setting which is one of the most common reservoirs in ultra dGOM Outcrop analogs have been widely used for the current ultra dGOM reservoir characterization. Three good examples for Wilcox reservoir analogs are Jackfork Group in USA, Ross Formation in Ireland, and Karoo Basin in South Africa.</w:t>
      </w:r>
    </w:p>
    <w:p w:rsidR="004E5701" w:rsidRDefault="004E5701" w:rsidP="004E5701"/>
    <w:p w:rsidR="003B70B1" w:rsidRDefault="00016A5B" w:rsidP="008E4593">
      <w:pPr>
        <w:keepNext/>
        <w:jc w:val="center"/>
      </w:pPr>
      <w:r>
        <w:rPr>
          <w:noProof/>
          <w:lang w:bidi="ar-SA"/>
        </w:rPr>
        <w:lastRenderedPageBreak/>
        <w:drawing>
          <wp:inline distT="0" distB="0" distL="0" distR="0" wp14:anchorId="68610C6E">
            <wp:extent cx="4892040" cy="3345180"/>
            <wp:effectExtent l="0" t="0" r="381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892040" cy="3345180"/>
                    </a:xfrm>
                    <a:prstGeom prst="rect">
                      <a:avLst/>
                    </a:prstGeom>
                    <a:noFill/>
                  </pic:spPr>
                </pic:pic>
              </a:graphicData>
            </a:graphic>
          </wp:inline>
        </w:drawing>
      </w:r>
    </w:p>
    <w:p w:rsidR="004E5701" w:rsidRDefault="0085607B" w:rsidP="00C019EE">
      <w:pPr>
        <w:pStyle w:val="Caption"/>
        <w:rPr>
          <w:rFonts w:ascii="Times New Roman" w:hAnsi="Times New Roman"/>
          <w:sz w:val="23"/>
          <w:szCs w:val="23"/>
        </w:rPr>
      </w:pPr>
      <w:bookmarkStart w:id="45" w:name="_Toc397350223"/>
      <w:bookmarkStart w:id="46" w:name="_Toc397377201"/>
      <w:bookmarkStart w:id="47" w:name="_Toc399968150"/>
      <w:bookmarkStart w:id="48" w:name="_Toc400010232"/>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7</w:t>
      </w:r>
      <w:r>
        <w:rPr>
          <w:rFonts w:ascii="Times New Roman" w:hAnsi="Times New Roman"/>
          <w:sz w:val="23"/>
          <w:szCs w:val="23"/>
        </w:rPr>
        <w:t>.</w:t>
      </w:r>
      <w:bookmarkEnd w:id="45"/>
      <w:bookmarkEnd w:id="46"/>
      <w:bookmarkEnd w:id="47"/>
      <w:bookmarkEnd w:id="48"/>
      <w:r w:rsidR="005B48BE" w:rsidRPr="005B48BE">
        <w:rPr>
          <w:rFonts w:ascii="Times New Roman" w:hAnsi="Times New Roman"/>
          <w:sz w:val="23"/>
          <w:szCs w:val="23"/>
        </w:rPr>
        <w:t xml:space="preserve">Wilcox reservoir in the Baha 2 well within a sequence stratigraphic framework </w:t>
      </w:r>
      <w:r w:rsidR="005814BD">
        <w:rPr>
          <w:rFonts w:ascii="Times New Roman" w:hAnsi="Times New Roman"/>
          <w:sz w:val="23"/>
          <w:szCs w:val="23"/>
        </w:rPr>
        <w:t xml:space="preserve">(Meyer </w:t>
      </w:r>
      <w:r w:rsidR="00880C6B" w:rsidRPr="00880C6B">
        <w:rPr>
          <w:rFonts w:ascii="Times New Roman" w:hAnsi="Times New Roman"/>
          <w:i/>
          <w:sz w:val="23"/>
          <w:szCs w:val="23"/>
        </w:rPr>
        <w:t>et al.</w:t>
      </w:r>
      <w:proofErr w:type="gramStart"/>
      <w:r w:rsidR="005814BD">
        <w:rPr>
          <w:rFonts w:ascii="Times New Roman" w:hAnsi="Times New Roman"/>
          <w:sz w:val="23"/>
          <w:szCs w:val="23"/>
        </w:rPr>
        <w:t>,2005</w:t>
      </w:r>
      <w:proofErr w:type="gramEnd"/>
      <w:r w:rsidR="005814BD">
        <w:rPr>
          <w:rFonts w:ascii="Times New Roman" w:hAnsi="Times New Roman"/>
          <w:sz w:val="23"/>
          <w:szCs w:val="23"/>
        </w:rPr>
        <w:t>)</w:t>
      </w:r>
      <w:r w:rsidR="005B48BE" w:rsidRPr="005B48BE">
        <w:rPr>
          <w:rFonts w:ascii="Times New Roman" w:hAnsi="Times New Roman"/>
          <w:sz w:val="23"/>
          <w:szCs w:val="23"/>
        </w:rPr>
        <w:t>. The vertical scale unit is in feet. The age is in million years. CS= Condensed Section.</w:t>
      </w:r>
    </w:p>
    <w:p w:rsidR="00561C1A" w:rsidRDefault="00561C1A" w:rsidP="00561C1A"/>
    <w:p w:rsidR="00561C1A" w:rsidRDefault="00561C1A" w:rsidP="00561C1A"/>
    <w:p w:rsidR="00561C1A" w:rsidRDefault="00561C1A" w:rsidP="00561C1A"/>
    <w:p w:rsidR="00561C1A" w:rsidRDefault="00561C1A" w:rsidP="00561C1A"/>
    <w:p w:rsidR="00561C1A" w:rsidRDefault="00561C1A" w:rsidP="00561C1A"/>
    <w:p w:rsidR="00561C1A" w:rsidRDefault="00561C1A" w:rsidP="00561C1A"/>
    <w:p w:rsidR="00561C1A" w:rsidRDefault="00561C1A" w:rsidP="00561C1A"/>
    <w:p w:rsidR="00561C1A" w:rsidRDefault="00561C1A" w:rsidP="00561C1A"/>
    <w:p w:rsidR="00561C1A" w:rsidRDefault="00561C1A" w:rsidP="00561C1A"/>
    <w:p w:rsidR="00561C1A" w:rsidRPr="00561C1A" w:rsidRDefault="00561C1A" w:rsidP="00561C1A"/>
    <w:p w:rsidR="004E5701" w:rsidRDefault="00016A5B" w:rsidP="008E4593">
      <w:pPr>
        <w:jc w:val="center"/>
      </w:pPr>
      <w:r>
        <w:rPr>
          <w:noProof/>
          <w:lang w:bidi="ar-SA"/>
        </w:rPr>
        <w:lastRenderedPageBreak/>
        <w:drawing>
          <wp:inline distT="0" distB="0" distL="0" distR="0" wp14:anchorId="73C3F703">
            <wp:extent cx="5029200" cy="29565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029200" cy="2956560"/>
                    </a:xfrm>
                    <a:prstGeom prst="rect">
                      <a:avLst/>
                    </a:prstGeom>
                    <a:noFill/>
                  </pic:spPr>
                </pic:pic>
              </a:graphicData>
            </a:graphic>
          </wp:inline>
        </w:drawing>
      </w:r>
    </w:p>
    <w:p w:rsidR="004E5701" w:rsidRDefault="00016A5B" w:rsidP="008E4593">
      <w:pPr>
        <w:jc w:val="center"/>
      </w:pPr>
      <w:r>
        <w:rPr>
          <w:noProof/>
          <w:lang w:bidi="ar-SA"/>
        </w:rPr>
        <w:drawing>
          <wp:inline distT="0" distB="0" distL="0" distR="0" wp14:anchorId="16A42A37">
            <wp:extent cx="5029200" cy="30937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029200" cy="3093720"/>
                    </a:xfrm>
                    <a:prstGeom prst="rect">
                      <a:avLst/>
                    </a:prstGeom>
                    <a:noFill/>
                  </pic:spPr>
                </pic:pic>
              </a:graphicData>
            </a:graphic>
          </wp:inline>
        </w:drawing>
      </w:r>
    </w:p>
    <w:p w:rsidR="004E5701" w:rsidRDefault="0085607B" w:rsidP="005B48BE">
      <w:pPr>
        <w:pStyle w:val="Caption"/>
        <w:rPr>
          <w:rFonts w:ascii="Times New Roman" w:hAnsi="Times New Roman"/>
        </w:rPr>
      </w:pPr>
      <w:bookmarkStart w:id="49" w:name="_Toc397350224"/>
      <w:bookmarkStart w:id="50" w:name="_Toc397377202"/>
      <w:bookmarkStart w:id="51" w:name="_Toc399968151"/>
      <w:bookmarkStart w:id="52" w:name="_Toc400010233"/>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8</w:t>
      </w:r>
      <w:r>
        <w:rPr>
          <w:rFonts w:ascii="Times New Roman" w:hAnsi="Times New Roman"/>
          <w:sz w:val="23"/>
          <w:szCs w:val="23"/>
        </w:rPr>
        <w:t>.</w:t>
      </w:r>
      <w:bookmarkEnd w:id="49"/>
      <w:bookmarkEnd w:id="50"/>
      <w:bookmarkEnd w:id="51"/>
      <w:bookmarkEnd w:id="52"/>
      <w:r w:rsidR="005B48BE" w:rsidRPr="005B48BE">
        <w:rPr>
          <w:rFonts w:ascii="Times New Roman" w:hAnsi="Times New Roman"/>
          <w:sz w:val="23"/>
          <w:szCs w:val="23"/>
        </w:rPr>
        <w:t xml:space="preserve">Upper: top primary basin interpretation based upon 80,000 km2 (31,000 mi2) of 3-D depth-processed seismic data, lower: schematic representation of salt-related geometries in the dGOM, GB = Garden Bank, GC = Green Canyon, AT = Atwater Valley, KC = Keathley Canyon, WR = Walker Ridge; (I) interpretation of the top primary basin surface and distinction between primary and secondary basins; (II) classification of the top primary basin surface according to the nature of the surface; (III) schematic salt geometry highlighting primary basin trap types with a turtle structure (T), bucket weld (B), salt feeder (F), salt ridge (R), base-of-salt truncation (S), and salt cored fold (C) </w:t>
      </w:r>
      <w:r w:rsidR="005814BD">
        <w:rPr>
          <w:rFonts w:ascii="Times New Roman" w:hAnsi="Times New Roman"/>
          <w:sz w:val="23"/>
          <w:szCs w:val="23"/>
        </w:rPr>
        <w:t xml:space="preserve">(Pilcher </w:t>
      </w:r>
      <w:r w:rsidR="00880C6B" w:rsidRPr="00880C6B">
        <w:rPr>
          <w:rFonts w:ascii="Times New Roman" w:hAnsi="Times New Roman"/>
          <w:i/>
          <w:sz w:val="23"/>
          <w:szCs w:val="23"/>
        </w:rPr>
        <w:t>et al.</w:t>
      </w:r>
      <w:r w:rsidR="005814BD">
        <w:rPr>
          <w:rFonts w:ascii="Times New Roman" w:hAnsi="Times New Roman"/>
          <w:sz w:val="23"/>
          <w:szCs w:val="23"/>
        </w:rPr>
        <w:t>,2011)</w:t>
      </w:r>
      <w:r w:rsidR="005B48BE" w:rsidRPr="005B48BE">
        <w:rPr>
          <w:rFonts w:ascii="Times New Roman" w:hAnsi="Times New Roman"/>
          <w:sz w:val="23"/>
          <w:szCs w:val="23"/>
        </w:rPr>
        <w:t>.</w:t>
      </w:r>
    </w:p>
    <w:p w:rsidR="003B70B1" w:rsidRDefault="00016A5B" w:rsidP="008E4593">
      <w:pPr>
        <w:keepNext/>
        <w:jc w:val="center"/>
      </w:pPr>
      <w:r>
        <w:rPr>
          <w:noProof/>
          <w:lang w:bidi="ar-SA"/>
        </w:rPr>
        <w:lastRenderedPageBreak/>
        <w:drawing>
          <wp:inline distT="0" distB="0" distL="0" distR="0" wp14:anchorId="4D682A19">
            <wp:extent cx="5059680" cy="352806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59680" cy="3528060"/>
                    </a:xfrm>
                    <a:prstGeom prst="rect">
                      <a:avLst/>
                    </a:prstGeom>
                    <a:noFill/>
                  </pic:spPr>
                </pic:pic>
              </a:graphicData>
            </a:graphic>
          </wp:inline>
        </w:drawing>
      </w:r>
    </w:p>
    <w:p w:rsidR="003B70B1" w:rsidRPr="00C019EE" w:rsidRDefault="003B70B1" w:rsidP="00C019EE">
      <w:pPr>
        <w:pStyle w:val="Caption"/>
        <w:rPr>
          <w:rFonts w:ascii="Times New Roman" w:hAnsi="Times New Roman"/>
          <w:sz w:val="23"/>
          <w:szCs w:val="23"/>
        </w:rPr>
      </w:pPr>
      <w:bookmarkStart w:id="53" w:name="_Toc397350225"/>
      <w:bookmarkStart w:id="54" w:name="_Toc397377203"/>
      <w:bookmarkStart w:id="55" w:name="_Toc399968152"/>
      <w:bookmarkStart w:id="56" w:name="_Toc400010234"/>
      <w:r w:rsidRPr="00C019EE">
        <w:rPr>
          <w:rFonts w:ascii="Times New Roman" w:hAnsi="Times New Roman"/>
          <w:sz w:val="23"/>
          <w:szCs w:val="23"/>
        </w:rPr>
        <w:t xml:space="preserve">Figure </w:t>
      </w:r>
      <w:r w:rsidR="00784C77">
        <w:rPr>
          <w:rFonts w:ascii="Times New Roman" w:hAnsi="Times New Roman"/>
          <w:sz w:val="23"/>
          <w:szCs w:val="23"/>
        </w:rPr>
        <w:t>3</w:t>
      </w:r>
      <w:r w:rsidRPr="00C019EE">
        <w:rPr>
          <w:rFonts w:ascii="Times New Roman" w:hAnsi="Times New Roman"/>
          <w:sz w:val="23"/>
          <w:szCs w:val="23"/>
        </w:rPr>
        <w:t>.</w:t>
      </w:r>
      <w:r w:rsidR="00016A5B">
        <w:rPr>
          <w:rFonts w:ascii="Times New Roman" w:hAnsi="Times New Roman"/>
          <w:sz w:val="23"/>
          <w:szCs w:val="23"/>
        </w:rPr>
        <w:t>9</w:t>
      </w:r>
      <w:r w:rsidR="0085607B">
        <w:rPr>
          <w:rFonts w:ascii="Times New Roman" w:hAnsi="Times New Roman"/>
          <w:sz w:val="23"/>
          <w:szCs w:val="23"/>
        </w:rPr>
        <w:t>.</w:t>
      </w:r>
      <w:bookmarkEnd w:id="53"/>
      <w:bookmarkEnd w:id="54"/>
      <w:bookmarkEnd w:id="55"/>
      <w:bookmarkEnd w:id="56"/>
      <w:r w:rsidR="005B48BE" w:rsidRPr="005B48BE">
        <w:rPr>
          <w:rFonts w:ascii="Times New Roman" w:hAnsi="Times New Roman"/>
          <w:sz w:val="23"/>
          <w:szCs w:val="23"/>
        </w:rPr>
        <w:t xml:space="preserve">Evolution of salt mini-basins and distribution of deep water strata in the northern Gulf of Mexico </w:t>
      </w:r>
      <w:r w:rsidR="005814BD">
        <w:rPr>
          <w:rFonts w:ascii="Times New Roman" w:hAnsi="Times New Roman"/>
          <w:sz w:val="23"/>
          <w:szCs w:val="23"/>
        </w:rPr>
        <w:t xml:space="preserve">(Mount </w:t>
      </w:r>
      <w:r w:rsidR="00880C6B" w:rsidRPr="00880C6B">
        <w:rPr>
          <w:rFonts w:ascii="Times New Roman" w:hAnsi="Times New Roman"/>
          <w:i/>
          <w:sz w:val="23"/>
          <w:szCs w:val="23"/>
        </w:rPr>
        <w:t>et al.</w:t>
      </w:r>
      <w:proofErr w:type="gramStart"/>
      <w:r w:rsidR="005814BD">
        <w:rPr>
          <w:rFonts w:ascii="Times New Roman" w:hAnsi="Times New Roman"/>
          <w:sz w:val="23"/>
          <w:szCs w:val="23"/>
        </w:rPr>
        <w:t>,2007</w:t>
      </w:r>
      <w:proofErr w:type="gramEnd"/>
      <w:r w:rsidR="005814BD">
        <w:rPr>
          <w:rFonts w:ascii="Times New Roman" w:hAnsi="Times New Roman"/>
          <w:sz w:val="23"/>
          <w:szCs w:val="23"/>
        </w:rPr>
        <w:t>)</w:t>
      </w:r>
      <w:r w:rsidR="005B48BE" w:rsidRPr="005B48BE">
        <w:rPr>
          <w:rFonts w:ascii="Times New Roman" w:hAnsi="Times New Roman"/>
          <w:sz w:val="23"/>
          <w:szCs w:val="23"/>
        </w:rPr>
        <w:t>. The age is from Jurassic (~150 million years ago) to present day.</w:t>
      </w:r>
    </w:p>
    <w:p w:rsidR="004E5701" w:rsidRDefault="004E5701" w:rsidP="003B70B1">
      <w:pPr>
        <w:pStyle w:val="Caption"/>
      </w:pPr>
    </w:p>
    <w:p w:rsidR="004E5701" w:rsidRPr="00BC6E5C" w:rsidRDefault="004E5701" w:rsidP="004E5701"/>
    <w:p w:rsidR="008D0353" w:rsidRDefault="008D0353" w:rsidP="00D043EB">
      <w:pPr>
        <w:jc w:val="both"/>
        <w:rPr>
          <w:rFonts w:ascii="Times New Roman" w:hAnsi="Times New Roman"/>
          <w:lang w:eastAsia="zh-CN"/>
        </w:rPr>
      </w:pPr>
    </w:p>
    <w:p w:rsidR="00000046" w:rsidRDefault="00000046" w:rsidP="00D043EB">
      <w:pPr>
        <w:jc w:val="both"/>
        <w:rPr>
          <w:rFonts w:ascii="Times New Roman" w:hAnsi="Times New Roman"/>
          <w:lang w:eastAsia="zh-CN"/>
        </w:rPr>
      </w:pPr>
    </w:p>
    <w:p w:rsidR="00BB77BD" w:rsidRDefault="00BB77BD" w:rsidP="00D043EB">
      <w:pPr>
        <w:jc w:val="both"/>
        <w:rPr>
          <w:rFonts w:ascii="Times New Roman" w:hAnsi="Times New Roman"/>
          <w:lang w:eastAsia="zh-CN"/>
        </w:rPr>
      </w:pPr>
    </w:p>
    <w:p w:rsidR="00BB77BD" w:rsidRDefault="00BB77BD" w:rsidP="00D043EB">
      <w:pPr>
        <w:jc w:val="both"/>
        <w:rPr>
          <w:rFonts w:ascii="Times New Roman" w:hAnsi="Times New Roman"/>
          <w:lang w:eastAsia="zh-CN"/>
        </w:rPr>
      </w:pPr>
    </w:p>
    <w:p w:rsidR="004E5701" w:rsidRDefault="004E5701" w:rsidP="004E5701"/>
    <w:p w:rsidR="004E5701" w:rsidRDefault="004E5701" w:rsidP="004E5701"/>
    <w:p w:rsidR="003B70B1" w:rsidRDefault="00016A5B" w:rsidP="008E4593">
      <w:pPr>
        <w:keepNext/>
        <w:jc w:val="center"/>
      </w:pPr>
      <w:r>
        <w:rPr>
          <w:noProof/>
          <w:lang w:bidi="ar-SA"/>
        </w:rPr>
        <w:lastRenderedPageBreak/>
        <w:drawing>
          <wp:inline distT="0" distB="0" distL="0" distR="0" wp14:anchorId="3D113F51">
            <wp:extent cx="5029200" cy="64160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029200" cy="6416040"/>
                    </a:xfrm>
                    <a:prstGeom prst="rect">
                      <a:avLst/>
                    </a:prstGeom>
                    <a:noFill/>
                  </pic:spPr>
                </pic:pic>
              </a:graphicData>
            </a:graphic>
          </wp:inline>
        </w:drawing>
      </w:r>
    </w:p>
    <w:p w:rsidR="004E5701" w:rsidRDefault="0085607B" w:rsidP="005B48BE">
      <w:pPr>
        <w:pStyle w:val="Caption"/>
      </w:pPr>
      <w:bookmarkStart w:id="57" w:name="_Toc397350226"/>
      <w:bookmarkStart w:id="58" w:name="_Toc397377204"/>
      <w:bookmarkStart w:id="59" w:name="_Toc399968153"/>
      <w:bookmarkStart w:id="60" w:name="_Toc400010235"/>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10</w:t>
      </w:r>
      <w:r>
        <w:rPr>
          <w:rFonts w:ascii="Times New Roman" w:hAnsi="Times New Roman"/>
          <w:sz w:val="23"/>
          <w:szCs w:val="23"/>
        </w:rPr>
        <w:t>.</w:t>
      </w:r>
      <w:bookmarkEnd w:id="57"/>
      <w:bookmarkEnd w:id="58"/>
      <w:bookmarkEnd w:id="59"/>
      <w:bookmarkEnd w:id="60"/>
      <w:r w:rsidR="005B48BE" w:rsidRPr="005B48BE">
        <w:rPr>
          <w:rFonts w:ascii="Times New Roman" w:hAnsi="Times New Roman"/>
          <w:sz w:val="23"/>
          <w:szCs w:val="23"/>
        </w:rPr>
        <w:t xml:space="preserve">Schematic diagrams showing published aspects of sutures in (A) cross section and (B) map view </w:t>
      </w:r>
      <w:r w:rsidR="005814BD">
        <w:rPr>
          <w:rFonts w:ascii="Times New Roman" w:hAnsi="Times New Roman"/>
          <w:sz w:val="23"/>
          <w:szCs w:val="23"/>
        </w:rPr>
        <w:t xml:space="preserve">(Dooley </w:t>
      </w:r>
      <w:r w:rsidR="00880C6B" w:rsidRPr="00880C6B">
        <w:rPr>
          <w:rFonts w:ascii="Times New Roman" w:hAnsi="Times New Roman"/>
          <w:i/>
          <w:sz w:val="23"/>
          <w:szCs w:val="23"/>
        </w:rPr>
        <w:t>et al.</w:t>
      </w:r>
      <w:proofErr w:type="gramStart"/>
      <w:r w:rsidR="005814BD">
        <w:rPr>
          <w:rFonts w:ascii="Times New Roman" w:hAnsi="Times New Roman"/>
          <w:sz w:val="23"/>
          <w:szCs w:val="23"/>
        </w:rPr>
        <w:t>,2012</w:t>
      </w:r>
      <w:proofErr w:type="gramEnd"/>
      <w:r w:rsidR="005814BD">
        <w:rPr>
          <w:rFonts w:ascii="Times New Roman" w:hAnsi="Times New Roman"/>
          <w:sz w:val="23"/>
          <w:szCs w:val="23"/>
        </w:rPr>
        <w:t>)</w:t>
      </w:r>
      <w:r w:rsidR="005B48BE" w:rsidRPr="005B48BE">
        <w:rPr>
          <w:rFonts w:ascii="Times New Roman" w:hAnsi="Times New Roman"/>
          <w:sz w:val="23"/>
          <w:szCs w:val="23"/>
        </w:rPr>
        <w:t>.</w:t>
      </w:r>
    </w:p>
    <w:p w:rsidR="004E5701" w:rsidRDefault="004E5701" w:rsidP="004E5701">
      <w:pPr>
        <w:rPr>
          <w:sz w:val="23"/>
          <w:szCs w:val="23"/>
        </w:rPr>
      </w:pPr>
    </w:p>
    <w:p w:rsidR="00722CBD" w:rsidRDefault="00722CBD">
      <w:pPr>
        <w:spacing w:line="240" w:lineRule="auto"/>
        <w:rPr>
          <w:sz w:val="23"/>
          <w:szCs w:val="23"/>
        </w:rPr>
      </w:pPr>
      <w:r>
        <w:rPr>
          <w:sz w:val="23"/>
          <w:szCs w:val="23"/>
        </w:rPr>
        <w:br w:type="page"/>
      </w:r>
    </w:p>
    <w:p w:rsidR="001A70C8" w:rsidRDefault="00016A5B" w:rsidP="001A70C8">
      <w:pPr>
        <w:jc w:val="center"/>
        <w:rPr>
          <w:rFonts w:ascii="Times New Roman" w:hAnsi="Times New Roman"/>
          <w:b/>
          <w:sz w:val="23"/>
          <w:szCs w:val="23"/>
        </w:rPr>
      </w:pPr>
      <w:r>
        <w:rPr>
          <w:rFonts w:ascii="Times New Roman" w:hAnsi="Times New Roman"/>
          <w:b/>
          <w:noProof/>
          <w:sz w:val="23"/>
          <w:szCs w:val="23"/>
          <w:lang w:bidi="ar-SA"/>
        </w:rPr>
        <w:lastRenderedPageBreak/>
        <w:drawing>
          <wp:inline distT="0" distB="0" distL="0" distR="0" wp14:anchorId="65C0417E">
            <wp:extent cx="5097780" cy="709422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97780" cy="7094220"/>
                    </a:xfrm>
                    <a:prstGeom prst="rect">
                      <a:avLst/>
                    </a:prstGeom>
                    <a:noFill/>
                  </pic:spPr>
                </pic:pic>
              </a:graphicData>
            </a:graphic>
          </wp:inline>
        </w:drawing>
      </w:r>
    </w:p>
    <w:p w:rsidR="00722CBD" w:rsidRPr="00965C78" w:rsidRDefault="00722CBD" w:rsidP="001A70C8">
      <w:pPr>
        <w:rPr>
          <w:rFonts w:ascii="Times New Roman" w:hAnsi="Times New Roman"/>
          <w:b/>
          <w:sz w:val="23"/>
          <w:szCs w:val="23"/>
        </w:rPr>
      </w:pPr>
      <w:r w:rsidRPr="00965C78">
        <w:rPr>
          <w:rFonts w:ascii="Times New Roman" w:hAnsi="Times New Roman"/>
          <w:b/>
          <w:sz w:val="23"/>
          <w:szCs w:val="23"/>
        </w:rPr>
        <w:t>Figure 3.</w:t>
      </w:r>
      <w:r w:rsidR="00016A5B">
        <w:rPr>
          <w:rFonts w:ascii="Times New Roman" w:hAnsi="Times New Roman"/>
          <w:b/>
          <w:sz w:val="23"/>
          <w:szCs w:val="23"/>
        </w:rPr>
        <w:t>11</w:t>
      </w:r>
      <w:r w:rsidRPr="00965C78">
        <w:rPr>
          <w:rFonts w:ascii="Times New Roman" w:hAnsi="Times New Roman"/>
          <w:b/>
          <w:sz w:val="23"/>
          <w:szCs w:val="23"/>
        </w:rPr>
        <w:t>.</w:t>
      </w:r>
      <w:r w:rsidR="007A2D32" w:rsidRPr="00965C78">
        <w:rPr>
          <w:rFonts w:ascii="Times New Roman" w:hAnsi="Times New Roman"/>
          <w:b/>
          <w:sz w:val="23"/>
          <w:szCs w:val="23"/>
        </w:rPr>
        <w:t>Case Study on the eastern Mississippi Canyon, deepwater GOM</w:t>
      </w:r>
    </w:p>
    <w:p w:rsidR="00722CBD" w:rsidRDefault="00722CBD">
      <w:pPr>
        <w:spacing w:line="240" w:lineRule="auto"/>
        <w:rPr>
          <w:sz w:val="23"/>
          <w:szCs w:val="23"/>
        </w:rPr>
      </w:pPr>
    </w:p>
    <w:p w:rsidR="007A2D32" w:rsidRPr="00C019EE" w:rsidRDefault="00016A5B" w:rsidP="001A70C8">
      <w:pPr>
        <w:pStyle w:val="Caption"/>
        <w:rPr>
          <w:rFonts w:ascii="Times New Roman" w:hAnsi="Times New Roman"/>
          <w:sz w:val="23"/>
          <w:szCs w:val="23"/>
        </w:rPr>
      </w:pPr>
      <w:r>
        <w:rPr>
          <w:rFonts w:ascii="Times New Roman" w:hAnsi="Times New Roman"/>
          <w:noProof/>
          <w:sz w:val="23"/>
          <w:szCs w:val="23"/>
          <w:lang w:bidi="ar-SA"/>
        </w:rPr>
        <w:lastRenderedPageBreak/>
        <w:drawing>
          <wp:inline distT="0" distB="0" distL="0" distR="0" wp14:anchorId="05A0EE47">
            <wp:extent cx="5052060" cy="7086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052060" cy="7086600"/>
                    </a:xfrm>
                    <a:prstGeom prst="rect">
                      <a:avLst/>
                    </a:prstGeom>
                    <a:noFill/>
                  </pic:spPr>
                </pic:pic>
              </a:graphicData>
            </a:graphic>
          </wp:inline>
        </w:drawing>
      </w:r>
      <w:r w:rsidR="007A2D32">
        <w:rPr>
          <w:rFonts w:ascii="Times New Roman" w:hAnsi="Times New Roman"/>
          <w:sz w:val="23"/>
          <w:szCs w:val="23"/>
        </w:rPr>
        <w:t>Figure 3.</w:t>
      </w:r>
      <w:r>
        <w:rPr>
          <w:rFonts w:ascii="Times New Roman" w:hAnsi="Times New Roman"/>
          <w:sz w:val="23"/>
          <w:szCs w:val="23"/>
        </w:rPr>
        <w:t>12</w:t>
      </w:r>
      <w:r w:rsidR="007A2D32">
        <w:rPr>
          <w:rFonts w:ascii="Times New Roman" w:hAnsi="Times New Roman"/>
          <w:sz w:val="23"/>
          <w:szCs w:val="23"/>
        </w:rPr>
        <w:t>.Case Study on the Green Canyon, deepwater GOM, salt structures and trap</w:t>
      </w:r>
    </w:p>
    <w:p w:rsidR="00ED2DEB" w:rsidRDefault="00ED2DEB" w:rsidP="001A70C8">
      <w:pPr>
        <w:pStyle w:val="Caption"/>
        <w:rPr>
          <w:rFonts w:ascii="Times New Roman" w:hAnsi="Times New Roman"/>
          <w:sz w:val="23"/>
          <w:szCs w:val="23"/>
        </w:rPr>
      </w:pPr>
    </w:p>
    <w:p w:rsidR="00ED2DEB" w:rsidRDefault="00722CBD" w:rsidP="008E4593">
      <w:pPr>
        <w:spacing w:line="240" w:lineRule="auto"/>
        <w:jc w:val="center"/>
        <w:rPr>
          <w:sz w:val="23"/>
          <w:szCs w:val="23"/>
        </w:rPr>
      </w:pPr>
      <w:r>
        <w:rPr>
          <w:sz w:val="23"/>
          <w:szCs w:val="23"/>
        </w:rPr>
        <w:br w:type="page"/>
      </w:r>
      <w:r w:rsidR="00016A5B">
        <w:rPr>
          <w:noProof/>
          <w:sz w:val="23"/>
          <w:szCs w:val="23"/>
          <w:lang w:bidi="ar-SA"/>
        </w:rPr>
        <w:lastRenderedPageBreak/>
        <w:drawing>
          <wp:inline distT="0" distB="0" distL="0" distR="0" wp14:anchorId="418BCEB4">
            <wp:extent cx="5265420" cy="6248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65420" cy="6248400"/>
                    </a:xfrm>
                    <a:prstGeom prst="rect">
                      <a:avLst/>
                    </a:prstGeom>
                    <a:noFill/>
                  </pic:spPr>
                </pic:pic>
              </a:graphicData>
            </a:graphic>
          </wp:inline>
        </w:drawing>
      </w:r>
    </w:p>
    <w:p w:rsidR="007A2D32" w:rsidRPr="00C019EE" w:rsidRDefault="00ED2DEB" w:rsidP="007A2D32">
      <w:pPr>
        <w:pStyle w:val="Caption"/>
        <w:rPr>
          <w:rFonts w:ascii="Times New Roman" w:hAnsi="Times New Roman"/>
          <w:sz w:val="23"/>
          <w:szCs w:val="23"/>
        </w:rPr>
      </w:pPr>
      <w:proofErr w:type="gramStart"/>
      <w:r w:rsidRPr="001D0818">
        <w:rPr>
          <w:sz w:val="23"/>
          <w:szCs w:val="23"/>
        </w:rPr>
        <w:t xml:space="preserve">Figure </w:t>
      </w:r>
      <w:r>
        <w:rPr>
          <w:sz w:val="23"/>
          <w:szCs w:val="23"/>
        </w:rPr>
        <w:t>3</w:t>
      </w:r>
      <w:r w:rsidRPr="001D0818">
        <w:rPr>
          <w:sz w:val="23"/>
          <w:szCs w:val="23"/>
        </w:rPr>
        <w:t>.</w:t>
      </w:r>
      <w:r w:rsidR="00016A5B">
        <w:rPr>
          <w:sz w:val="23"/>
          <w:szCs w:val="23"/>
        </w:rPr>
        <w:t>13</w:t>
      </w:r>
      <w:r w:rsidRPr="001D0818">
        <w:rPr>
          <w:sz w:val="23"/>
          <w:szCs w:val="23"/>
        </w:rPr>
        <w:t>.</w:t>
      </w:r>
      <w:proofErr w:type="gramEnd"/>
      <w:r w:rsidRPr="001D0818">
        <w:rPr>
          <w:sz w:val="23"/>
          <w:szCs w:val="23"/>
        </w:rPr>
        <w:t xml:space="preserve"> </w:t>
      </w:r>
      <w:r w:rsidR="007A2D32">
        <w:rPr>
          <w:rFonts w:ascii="Times New Roman" w:hAnsi="Times New Roman"/>
          <w:sz w:val="23"/>
          <w:szCs w:val="23"/>
        </w:rPr>
        <w:t>Case Study on the Green Canyon, deepwater GOM, turbidite deposition for shallow and deep reservoirs</w:t>
      </w:r>
    </w:p>
    <w:p w:rsidR="009278EC" w:rsidRDefault="009278EC" w:rsidP="007A2D32">
      <w:pPr>
        <w:pStyle w:val="-10"/>
        <w:widowControl w:val="0"/>
        <w:rPr>
          <w:sz w:val="23"/>
          <w:szCs w:val="23"/>
        </w:rPr>
      </w:pPr>
    </w:p>
    <w:p w:rsidR="009278EC" w:rsidRDefault="009278EC">
      <w:pPr>
        <w:spacing w:line="240" w:lineRule="auto"/>
        <w:rPr>
          <w:sz w:val="23"/>
          <w:szCs w:val="23"/>
        </w:rPr>
      </w:pPr>
    </w:p>
    <w:p w:rsidR="009278EC" w:rsidRDefault="009278EC" w:rsidP="009278EC">
      <w:pPr>
        <w:spacing w:line="240" w:lineRule="auto"/>
        <w:rPr>
          <w:sz w:val="23"/>
          <w:szCs w:val="23"/>
        </w:rPr>
      </w:pPr>
      <w:r>
        <w:rPr>
          <w:sz w:val="23"/>
          <w:szCs w:val="23"/>
        </w:rPr>
        <w:br w:type="page"/>
      </w:r>
    </w:p>
    <w:p w:rsidR="00722CBD" w:rsidRDefault="00722CBD">
      <w:pPr>
        <w:spacing w:line="240" w:lineRule="auto"/>
        <w:rPr>
          <w:sz w:val="23"/>
          <w:szCs w:val="23"/>
        </w:rPr>
      </w:pPr>
    </w:p>
    <w:p w:rsidR="00722CBD" w:rsidRDefault="00722CBD" w:rsidP="004E5701">
      <w:pPr>
        <w:rPr>
          <w:sz w:val="23"/>
          <w:szCs w:val="23"/>
        </w:rPr>
      </w:pPr>
    </w:p>
    <w:p w:rsidR="005B48BE" w:rsidRDefault="005B48BE" w:rsidP="008E4593">
      <w:pPr>
        <w:keepNext/>
        <w:spacing w:line="240" w:lineRule="auto"/>
        <w:jc w:val="center"/>
      </w:pPr>
      <w:r w:rsidRPr="005B48BE">
        <w:rPr>
          <w:noProof/>
          <w:lang w:bidi="ar-SA"/>
        </w:rPr>
        <w:drawing>
          <wp:inline distT="0" distB="0" distL="0" distR="0" wp14:anchorId="5E2CC554" wp14:editId="769B2026">
            <wp:extent cx="4931729" cy="2965181"/>
            <wp:effectExtent l="19050" t="19050" r="21590" b="26035"/>
            <wp:docPr id="40"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62" cstate="print"/>
                    <a:srcRect/>
                    <a:stretch>
                      <a:fillRect/>
                    </a:stretch>
                  </pic:blipFill>
                  <pic:spPr bwMode="auto">
                    <a:xfrm>
                      <a:off x="0" y="0"/>
                      <a:ext cx="4935214" cy="2967277"/>
                    </a:xfrm>
                    <a:prstGeom prst="rect">
                      <a:avLst/>
                    </a:prstGeom>
                    <a:noFill/>
                    <a:ln w="9525">
                      <a:solidFill>
                        <a:schemeClr val="tx1"/>
                      </a:solidFill>
                      <a:miter lim="800000"/>
                      <a:headEnd/>
                      <a:tailEnd/>
                    </a:ln>
                  </pic:spPr>
                </pic:pic>
              </a:graphicData>
            </a:graphic>
          </wp:inline>
        </w:drawing>
      </w:r>
    </w:p>
    <w:p w:rsidR="005B48BE" w:rsidRDefault="005B48BE" w:rsidP="003B70B1">
      <w:pPr>
        <w:pStyle w:val="Caption"/>
        <w:rPr>
          <w:rFonts w:ascii="Times New Roman" w:hAnsi="Times New Roman"/>
          <w:sz w:val="23"/>
          <w:szCs w:val="23"/>
        </w:rPr>
      </w:pPr>
      <w:bookmarkStart w:id="61" w:name="_Toc397350227"/>
      <w:bookmarkStart w:id="62" w:name="_Toc397377205"/>
      <w:bookmarkStart w:id="63" w:name="_Toc399968154"/>
      <w:bookmarkStart w:id="64" w:name="_Toc400010236"/>
    </w:p>
    <w:p w:rsidR="004E5701" w:rsidRPr="00C019EE" w:rsidRDefault="0085607B" w:rsidP="003B70B1">
      <w:pPr>
        <w:pStyle w:val="Caption"/>
        <w:rPr>
          <w:rFonts w:ascii="Times New Roman" w:hAnsi="Times New Roman"/>
          <w:sz w:val="23"/>
          <w:szCs w:val="23"/>
        </w:rPr>
      </w:pPr>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016A5B">
        <w:rPr>
          <w:rFonts w:ascii="Times New Roman" w:hAnsi="Times New Roman"/>
          <w:sz w:val="23"/>
          <w:szCs w:val="23"/>
        </w:rPr>
        <w:t>14</w:t>
      </w:r>
      <w:r>
        <w:rPr>
          <w:rFonts w:ascii="Times New Roman" w:hAnsi="Times New Roman"/>
          <w:sz w:val="23"/>
          <w:szCs w:val="23"/>
        </w:rPr>
        <w:t>.</w:t>
      </w:r>
      <w:bookmarkEnd w:id="61"/>
      <w:bookmarkEnd w:id="62"/>
      <w:bookmarkEnd w:id="63"/>
      <w:bookmarkEnd w:id="64"/>
      <w:r w:rsidR="005B48BE" w:rsidRPr="005B48BE">
        <w:rPr>
          <w:rFonts w:ascii="Times New Roman" w:hAnsi="Times New Roman"/>
          <w:sz w:val="23"/>
          <w:szCs w:val="23"/>
        </w:rPr>
        <w:t xml:space="preserve">Summary of deepwater GOM reservoir development challenges </w:t>
      </w:r>
      <w:r w:rsidR="005814BD">
        <w:rPr>
          <w:rFonts w:ascii="Times New Roman" w:hAnsi="Times New Roman"/>
          <w:sz w:val="23"/>
          <w:szCs w:val="23"/>
        </w:rPr>
        <w:t>(Halliburton Corp., 2010)</w:t>
      </w:r>
      <w:r w:rsidR="005B48BE" w:rsidRPr="005B48BE">
        <w:rPr>
          <w:rFonts w:ascii="Times New Roman" w:hAnsi="Times New Roman"/>
          <w:sz w:val="23"/>
          <w:szCs w:val="23"/>
        </w:rPr>
        <w:t>.</w:t>
      </w:r>
    </w:p>
    <w:p w:rsidR="004E5701" w:rsidRDefault="004E5701" w:rsidP="004E5701">
      <w:pPr>
        <w:rPr>
          <w:sz w:val="23"/>
          <w:szCs w:val="23"/>
        </w:rPr>
      </w:pPr>
    </w:p>
    <w:p w:rsidR="004E5701" w:rsidRDefault="004E5701" w:rsidP="004E5701">
      <w:pPr>
        <w:rPr>
          <w:sz w:val="23"/>
          <w:szCs w:val="23"/>
        </w:rPr>
      </w:pPr>
    </w:p>
    <w:p w:rsidR="003B70B1" w:rsidRDefault="005B48BE" w:rsidP="008E4593">
      <w:pPr>
        <w:keepNext/>
        <w:jc w:val="center"/>
      </w:pPr>
      <w:r w:rsidRPr="005B48BE">
        <w:rPr>
          <w:noProof/>
          <w:lang w:bidi="ar-SA"/>
        </w:rPr>
        <w:lastRenderedPageBreak/>
        <w:drawing>
          <wp:inline distT="0" distB="0" distL="0" distR="0" wp14:anchorId="382D3C94" wp14:editId="3A79CD76">
            <wp:extent cx="5089037" cy="5781675"/>
            <wp:effectExtent l="0" t="0" r="0" b="0"/>
            <wp:docPr id="5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092909" cy="5786074"/>
                    </a:xfrm>
                    <a:prstGeom prst="rect">
                      <a:avLst/>
                    </a:prstGeom>
                    <a:noFill/>
                    <a:ln>
                      <a:noFill/>
                    </a:ln>
                  </pic:spPr>
                </pic:pic>
              </a:graphicData>
            </a:graphic>
          </wp:inline>
        </w:drawing>
      </w:r>
    </w:p>
    <w:p w:rsidR="004E5701" w:rsidRDefault="0085607B" w:rsidP="003B70B1">
      <w:pPr>
        <w:pStyle w:val="Caption"/>
        <w:rPr>
          <w:rFonts w:ascii="Times New Roman" w:hAnsi="Times New Roman"/>
          <w:sz w:val="23"/>
          <w:szCs w:val="23"/>
        </w:rPr>
      </w:pPr>
      <w:bookmarkStart w:id="65" w:name="_Toc397350228"/>
      <w:bookmarkStart w:id="66" w:name="_Toc397377206"/>
      <w:bookmarkStart w:id="67" w:name="_Toc399968155"/>
      <w:bookmarkStart w:id="68" w:name="_Toc400010237"/>
      <w:proofErr w:type="gramStart"/>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E8732D">
        <w:rPr>
          <w:rFonts w:ascii="Times New Roman" w:hAnsi="Times New Roman" w:hint="eastAsia"/>
          <w:sz w:val="23"/>
          <w:szCs w:val="23"/>
          <w:lang w:eastAsia="zh-CN"/>
        </w:rPr>
        <w:t>1</w:t>
      </w:r>
      <w:r w:rsidR="00ED2DEB">
        <w:rPr>
          <w:rFonts w:ascii="Times New Roman" w:hAnsi="Times New Roman"/>
          <w:sz w:val="23"/>
          <w:szCs w:val="23"/>
        </w:rPr>
        <w:t>5</w:t>
      </w:r>
      <w:r>
        <w:rPr>
          <w:rFonts w:ascii="Times New Roman" w:hAnsi="Times New Roman"/>
          <w:sz w:val="23"/>
          <w:szCs w:val="23"/>
        </w:rPr>
        <w:t>.</w:t>
      </w:r>
      <w:bookmarkEnd w:id="65"/>
      <w:bookmarkEnd w:id="66"/>
      <w:bookmarkEnd w:id="67"/>
      <w:bookmarkEnd w:id="68"/>
      <w:r w:rsidR="005B48BE" w:rsidRPr="005B48BE">
        <w:rPr>
          <w:rFonts w:ascii="Times New Roman" w:hAnsi="Times New Roman"/>
          <w:sz w:val="23"/>
          <w:szCs w:val="23"/>
        </w:rPr>
        <w:t xml:space="preserve">Summary of major discoveries from 2008-2014 in the deepwater Gulf of Mexico </w:t>
      </w:r>
      <w:r w:rsidR="005814BD">
        <w:rPr>
          <w:rFonts w:ascii="Times New Roman" w:hAnsi="Times New Roman"/>
          <w:sz w:val="23"/>
          <w:szCs w:val="23"/>
        </w:rPr>
        <w:t>(Halliburton Corp., 2010)</w:t>
      </w:r>
      <w:r w:rsidR="005B48BE" w:rsidRPr="005B48BE">
        <w:rPr>
          <w:rFonts w:ascii="Times New Roman" w:hAnsi="Times New Roman"/>
          <w:sz w:val="23"/>
          <w:szCs w:val="23"/>
        </w:rPr>
        <w:t>.</w:t>
      </w:r>
      <w:proofErr w:type="gramEnd"/>
      <w:r w:rsidR="005B48BE" w:rsidRPr="005B48BE">
        <w:rPr>
          <w:rFonts w:ascii="Times New Roman" w:hAnsi="Times New Roman"/>
          <w:sz w:val="23"/>
          <w:szCs w:val="23"/>
        </w:rPr>
        <w:t xml:space="preserve"> N/A = Not Available</w:t>
      </w:r>
    </w:p>
    <w:p w:rsidR="005B48BE" w:rsidRPr="005B48BE" w:rsidRDefault="005B48BE" w:rsidP="005B48BE"/>
    <w:p w:rsidR="008E4593" w:rsidRDefault="00016A5B" w:rsidP="008E4593">
      <w:pPr>
        <w:pStyle w:val="-10"/>
        <w:widowControl w:val="0"/>
        <w:jc w:val="center"/>
        <w:rPr>
          <w:sz w:val="23"/>
          <w:szCs w:val="23"/>
        </w:rPr>
      </w:pPr>
      <w:bookmarkStart w:id="69" w:name="_Toc397350229"/>
      <w:bookmarkStart w:id="70" w:name="_Toc397377207"/>
      <w:bookmarkStart w:id="71" w:name="_Toc399968156"/>
      <w:bookmarkStart w:id="72" w:name="_Toc400010238"/>
      <w:r>
        <w:rPr>
          <w:noProof/>
          <w:sz w:val="23"/>
          <w:szCs w:val="23"/>
        </w:rPr>
        <w:lastRenderedPageBreak/>
        <w:drawing>
          <wp:inline distT="0" distB="0" distL="0" distR="0" wp14:anchorId="68D507D1">
            <wp:extent cx="5120640" cy="275082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120640" cy="2750820"/>
                    </a:xfrm>
                    <a:prstGeom prst="rect">
                      <a:avLst/>
                    </a:prstGeom>
                    <a:noFill/>
                  </pic:spPr>
                </pic:pic>
              </a:graphicData>
            </a:graphic>
          </wp:inline>
        </w:drawing>
      </w:r>
    </w:p>
    <w:p w:rsidR="008E4593" w:rsidRDefault="008E4593" w:rsidP="008E4593">
      <w:pPr>
        <w:pStyle w:val="-10"/>
        <w:widowControl w:val="0"/>
        <w:jc w:val="center"/>
        <w:rPr>
          <w:sz w:val="23"/>
          <w:szCs w:val="23"/>
        </w:rPr>
      </w:pPr>
    </w:p>
    <w:p w:rsidR="00A3056C" w:rsidRPr="00A3056C" w:rsidRDefault="003B70B1" w:rsidP="008E4593">
      <w:pPr>
        <w:pStyle w:val="-10"/>
        <w:widowControl w:val="0"/>
        <w:rPr>
          <w:sz w:val="23"/>
          <w:szCs w:val="23"/>
        </w:rPr>
      </w:pPr>
      <w:r w:rsidRPr="001D0818">
        <w:rPr>
          <w:sz w:val="23"/>
          <w:szCs w:val="23"/>
        </w:rPr>
        <w:t xml:space="preserve">Figure </w:t>
      </w:r>
      <w:r w:rsidR="00784C77">
        <w:rPr>
          <w:sz w:val="23"/>
          <w:szCs w:val="23"/>
        </w:rPr>
        <w:t>3</w:t>
      </w:r>
      <w:r w:rsidRPr="001D0818">
        <w:rPr>
          <w:sz w:val="23"/>
          <w:szCs w:val="23"/>
        </w:rPr>
        <w:t>.</w:t>
      </w:r>
      <w:r w:rsidR="00ED2DEB">
        <w:rPr>
          <w:sz w:val="23"/>
          <w:szCs w:val="23"/>
        </w:rPr>
        <w:t>16</w:t>
      </w:r>
      <w:r w:rsidR="0085607B" w:rsidRPr="001D0818">
        <w:rPr>
          <w:sz w:val="23"/>
          <w:szCs w:val="23"/>
        </w:rPr>
        <w:t>.</w:t>
      </w:r>
      <w:bookmarkEnd w:id="69"/>
      <w:bookmarkEnd w:id="70"/>
      <w:bookmarkEnd w:id="71"/>
      <w:bookmarkEnd w:id="72"/>
      <w:r w:rsidR="00A3056C" w:rsidRPr="001D0818">
        <w:rPr>
          <w:sz w:val="23"/>
          <w:szCs w:val="23"/>
        </w:rPr>
        <w:t xml:space="preserve">The structural model and map of the Tahiti field, Green Canyon Block 640, deepwater GOM </w:t>
      </w:r>
      <w:r w:rsidR="005814BD">
        <w:rPr>
          <w:sz w:val="23"/>
          <w:szCs w:val="23"/>
        </w:rPr>
        <w:t xml:space="preserve">(Swaston </w:t>
      </w:r>
      <w:r w:rsidR="00880C6B" w:rsidRPr="00880C6B">
        <w:rPr>
          <w:i/>
          <w:sz w:val="23"/>
          <w:szCs w:val="23"/>
        </w:rPr>
        <w:t>et al.</w:t>
      </w:r>
      <w:proofErr w:type="gramStart"/>
      <w:r w:rsidR="005814BD">
        <w:rPr>
          <w:sz w:val="23"/>
          <w:szCs w:val="23"/>
        </w:rPr>
        <w:t>,2012</w:t>
      </w:r>
      <w:proofErr w:type="gramEnd"/>
      <w:r w:rsidR="005814BD">
        <w:rPr>
          <w:sz w:val="23"/>
          <w:szCs w:val="23"/>
        </w:rPr>
        <w:t>)</w:t>
      </w:r>
      <w:r w:rsidR="00A3056C" w:rsidRPr="001D0818">
        <w:rPr>
          <w:sz w:val="23"/>
          <w:szCs w:val="23"/>
        </w:rPr>
        <w:t>.</w:t>
      </w: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Default="00A3056C" w:rsidP="00A3056C">
      <w:pPr>
        <w:pStyle w:val="-10"/>
        <w:widowControl w:val="0"/>
      </w:pPr>
    </w:p>
    <w:p w:rsidR="00A3056C" w:rsidRPr="00E0417D" w:rsidRDefault="006B086A" w:rsidP="007239B7">
      <w:pPr>
        <w:pStyle w:val="-10"/>
        <w:widowControl w:val="0"/>
        <w:jc w:val="center"/>
      </w:pPr>
      <w:r>
        <w:rPr>
          <w:noProof/>
        </w:rPr>
        <w:lastRenderedPageBreak/>
        <w:drawing>
          <wp:inline distT="0" distB="0" distL="0" distR="0" wp14:anchorId="756B0D04">
            <wp:extent cx="4930140" cy="3672840"/>
            <wp:effectExtent l="0" t="0" r="3810" b="3810"/>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930140" cy="3672840"/>
                    </a:xfrm>
                    <a:prstGeom prst="rect">
                      <a:avLst/>
                    </a:prstGeom>
                    <a:noFill/>
                  </pic:spPr>
                </pic:pic>
              </a:graphicData>
            </a:graphic>
          </wp:inline>
        </w:drawing>
      </w:r>
    </w:p>
    <w:p w:rsidR="003B70B1" w:rsidRDefault="0085607B" w:rsidP="001D0818">
      <w:pPr>
        <w:pStyle w:val="Caption"/>
        <w:rPr>
          <w:rFonts w:ascii="Times New Roman" w:hAnsi="Times New Roman"/>
          <w:sz w:val="23"/>
          <w:szCs w:val="23"/>
        </w:rPr>
      </w:pPr>
      <w:bookmarkStart w:id="73" w:name="_Toc397350230"/>
      <w:bookmarkStart w:id="74" w:name="_Toc397377208"/>
      <w:bookmarkStart w:id="75" w:name="_Toc399968157"/>
      <w:bookmarkStart w:id="76" w:name="_Toc400010239"/>
      <w:r>
        <w:rPr>
          <w:rFonts w:ascii="Times New Roman" w:hAnsi="Times New Roman"/>
          <w:sz w:val="23"/>
          <w:szCs w:val="23"/>
        </w:rPr>
        <w:t>Figure</w:t>
      </w:r>
      <w:r w:rsidR="001A70C8">
        <w:rPr>
          <w:rFonts w:ascii="Times New Roman" w:hAnsi="Times New Roman"/>
          <w:sz w:val="23"/>
          <w:szCs w:val="23"/>
        </w:rPr>
        <w:t xml:space="preserve"> </w:t>
      </w:r>
      <w:r w:rsidR="00784C77">
        <w:rPr>
          <w:rFonts w:ascii="Times New Roman" w:hAnsi="Times New Roman"/>
          <w:sz w:val="23"/>
          <w:szCs w:val="23"/>
        </w:rPr>
        <w:t>3</w:t>
      </w:r>
      <w:r>
        <w:rPr>
          <w:rFonts w:ascii="Times New Roman" w:hAnsi="Times New Roman"/>
          <w:sz w:val="23"/>
          <w:szCs w:val="23"/>
        </w:rPr>
        <w:t>.</w:t>
      </w:r>
      <w:r w:rsidR="001A70C8">
        <w:rPr>
          <w:rFonts w:ascii="Times New Roman" w:hAnsi="Times New Roman"/>
          <w:sz w:val="23"/>
          <w:szCs w:val="23"/>
        </w:rPr>
        <w:t>17</w:t>
      </w:r>
      <w:r>
        <w:rPr>
          <w:rFonts w:ascii="Times New Roman" w:hAnsi="Times New Roman"/>
          <w:sz w:val="23"/>
          <w:szCs w:val="23"/>
        </w:rPr>
        <w:t>.</w:t>
      </w:r>
      <w:bookmarkEnd w:id="73"/>
      <w:bookmarkEnd w:id="74"/>
      <w:bookmarkEnd w:id="75"/>
      <w:bookmarkEnd w:id="76"/>
      <w:r w:rsidR="001D0818" w:rsidRPr="001D0818">
        <w:rPr>
          <w:rFonts w:ascii="Times New Roman" w:hAnsi="Times New Roman"/>
          <w:sz w:val="23"/>
          <w:szCs w:val="23"/>
        </w:rPr>
        <w:t xml:space="preserve">Lower Tertiary paleogeography and depositional styles in the northern Gulf of Mexico. Some discoveries are shown by red stars </w:t>
      </w:r>
      <w:r w:rsidR="005814BD">
        <w:rPr>
          <w:rFonts w:ascii="Times New Roman" w:hAnsi="Times New Roman"/>
          <w:sz w:val="23"/>
          <w:szCs w:val="23"/>
        </w:rPr>
        <w:t>(Berman and Rosenfeld,</w:t>
      </w:r>
      <w:r w:rsidR="001A70C8">
        <w:rPr>
          <w:rFonts w:ascii="Times New Roman" w:hAnsi="Times New Roman"/>
          <w:sz w:val="23"/>
          <w:szCs w:val="23"/>
        </w:rPr>
        <w:t xml:space="preserve"> </w:t>
      </w:r>
      <w:r w:rsidR="005814BD">
        <w:rPr>
          <w:rFonts w:ascii="Times New Roman" w:hAnsi="Times New Roman"/>
          <w:sz w:val="23"/>
          <w:szCs w:val="23"/>
        </w:rPr>
        <w:t>2007)</w:t>
      </w:r>
      <w:r w:rsidR="001D0818" w:rsidRPr="001D0818">
        <w:rPr>
          <w:rFonts w:ascii="Times New Roman" w:hAnsi="Times New Roman"/>
          <w:sz w:val="23"/>
          <w:szCs w:val="23"/>
        </w:rPr>
        <w:t>.</w:t>
      </w:r>
    </w:p>
    <w:p w:rsidR="001D0818" w:rsidRDefault="001D0818" w:rsidP="001D0818"/>
    <w:p w:rsidR="001D0818" w:rsidRDefault="001D0818" w:rsidP="001D0818"/>
    <w:p w:rsidR="001D0818" w:rsidRDefault="001D0818" w:rsidP="001D0818"/>
    <w:p w:rsidR="001D0818" w:rsidRDefault="001D0818" w:rsidP="001D0818"/>
    <w:p w:rsidR="001D0818" w:rsidRDefault="001D0818" w:rsidP="001D0818"/>
    <w:p w:rsidR="001D0818" w:rsidRDefault="001D0818" w:rsidP="001D0818"/>
    <w:p w:rsidR="001D0818" w:rsidRDefault="001D0818" w:rsidP="001D0818"/>
    <w:p w:rsidR="001D0818" w:rsidRDefault="001D0818" w:rsidP="001D0818"/>
    <w:p w:rsidR="001D0818" w:rsidRDefault="001D0818" w:rsidP="001D0818"/>
    <w:p w:rsidR="001D0818" w:rsidRDefault="001D0818" w:rsidP="001D0818"/>
    <w:p w:rsidR="001D0818" w:rsidRDefault="001D0818" w:rsidP="001D0818"/>
    <w:p w:rsidR="001D0818" w:rsidRPr="001D0818" w:rsidRDefault="00141B66" w:rsidP="007239B7">
      <w:pPr>
        <w:jc w:val="center"/>
      </w:pPr>
      <w:r>
        <w:rPr>
          <w:noProof/>
          <w:lang w:bidi="ar-SA"/>
        </w:rPr>
        <w:lastRenderedPageBreak/>
        <w:drawing>
          <wp:inline distT="0" distB="0" distL="0" distR="0" wp14:anchorId="269C60AE">
            <wp:extent cx="5120640" cy="3025140"/>
            <wp:effectExtent l="0" t="0" r="3810" b="381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120640" cy="3025140"/>
                    </a:xfrm>
                    <a:prstGeom prst="rect">
                      <a:avLst/>
                    </a:prstGeom>
                    <a:noFill/>
                  </pic:spPr>
                </pic:pic>
              </a:graphicData>
            </a:graphic>
          </wp:inline>
        </w:drawing>
      </w:r>
    </w:p>
    <w:p w:rsidR="004E5701" w:rsidRPr="00C019EE" w:rsidRDefault="0085607B" w:rsidP="00C019EE">
      <w:pPr>
        <w:pStyle w:val="Caption"/>
        <w:rPr>
          <w:rFonts w:ascii="Times New Roman" w:hAnsi="Times New Roman"/>
          <w:sz w:val="23"/>
          <w:szCs w:val="23"/>
        </w:rPr>
      </w:pPr>
      <w:bookmarkStart w:id="77" w:name="_Toc397350231"/>
      <w:bookmarkStart w:id="78" w:name="_Toc397377209"/>
      <w:bookmarkStart w:id="79" w:name="_Toc399968158"/>
      <w:bookmarkStart w:id="80" w:name="_Toc400010240"/>
      <w:proofErr w:type="gramStart"/>
      <w:r>
        <w:rPr>
          <w:rFonts w:ascii="Times New Roman" w:hAnsi="Times New Roman"/>
          <w:sz w:val="23"/>
          <w:szCs w:val="23"/>
        </w:rPr>
        <w:t xml:space="preserve">Figure </w:t>
      </w:r>
      <w:r w:rsidR="00784C77">
        <w:rPr>
          <w:rFonts w:ascii="Times New Roman" w:hAnsi="Times New Roman"/>
          <w:sz w:val="23"/>
          <w:szCs w:val="23"/>
        </w:rPr>
        <w:t>3</w:t>
      </w:r>
      <w:r w:rsidR="001A70C8">
        <w:rPr>
          <w:rFonts w:ascii="Times New Roman" w:hAnsi="Times New Roman"/>
          <w:sz w:val="23"/>
          <w:szCs w:val="23"/>
        </w:rPr>
        <w:t>.1</w:t>
      </w:r>
      <w:r w:rsidR="00ED2DEB">
        <w:rPr>
          <w:rFonts w:ascii="Times New Roman" w:hAnsi="Times New Roman"/>
          <w:sz w:val="23"/>
          <w:szCs w:val="23"/>
        </w:rPr>
        <w:t>8</w:t>
      </w:r>
      <w:r>
        <w:rPr>
          <w:rFonts w:ascii="Times New Roman" w:hAnsi="Times New Roman"/>
          <w:sz w:val="23"/>
          <w:szCs w:val="23"/>
        </w:rPr>
        <w:t>.</w:t>
      </w:r>
      <w:bookmarkEnd w:id="77"/>
      <w:bookmarkEnd w:id="78"/>
      <w:bookmarkEnd w:id="79"/>
      <w:bookmarkEnd w:id="80"/>
      <w:r w:rsidR="001D0818" w:rsidRPr="001D0818">
        <w:rPr>
          <w:rFonts w:ascii="Times New Roman" w:hAnsi="Times New Roman"/>
          <w:sz w:val="23"/>
          <w:szCs w:val="23"/>
        </w:rPr>
        <w:t xml:space="preserve">Wilcox discoveries and deepwater GOM resource potential </w:t>
      </w:r>
      <w:r w:rsidR="005814BD">
        <w:rPr>
          <w:rFonts w:ascii="Times New Roman" w:hAnsi="Times New Roman"/>
          <w:sz w:val="23"/>
          <w:szCs w:val="23"/>
        </w:rPr>
        <w:t>(Chevron Corp., 2011)</w:t>
      </w:r>
      <w:r w:rsidR="001D0818" w:rsidRPr="001D0818">
        <w:rPr>
          <w:rFonts w:ascii="Times New Roman" w:hAnsi="Times New Roman"/>
          <w:sz w:val="23"/>
          <w:szCs w:val="23"/>
        </w:rPr>
        <w:t>.</w:t>
      </w:r>
      <w:proofErr w:type="gramEnd"/>
      <w:r w:rsidR="001D0818" w:rsidRPr="001D0818">
        <w:rPr>
          <w:rFonts w:ascii="Times New Roman" w:hAnsi="Times New Roman"/>
          <w:sz w:val="23"/>
          <w:szCs w:val="23"/>
        </w:rPr>
        <w:t xml:space="preserve"> Orange color is the Miocene Trend, Green Color is the Paleogene (Lower Tertiary Wilcox) Trend, Deep purple color is the salt canopy, </w:t>
      </w:r>
      <w:proofErr w:type="gramStart"/>
      <w:r w:rsidR="001D0818" w:rsidRPr="001D0818">
        <w:rPr>
          <w:rFonts w:ascii="Times New Roman" w:hAnsi="Times New Roman"/>
          <w:sz w:val="23"/>
          <w:szCs w:val="23"/>
        </w:rPr>
        <w:t>small</w:t>
      </w:r>
      <w:proofErr w:type="gramEnd"/>
      <w:r w:rsidR="001D0818" w:rsidRPr="001D0818">
        <w:rPr>
          <w:rFonts w:ascii="Times New Roman" w:hAnsi="Times New Roman"/>
          <w:sz w:val="23"/>
          <w:szCs w:val="23"/>
        </w:rPr>
        <w:t xml:space="preserve"> red circles are key Paleogene fields.</w:t>
      </w:r>
    </w:p>
    <w:p w:rsidR="004E5701" w:rsidRDefault="004E5701" w:rsidP="004E5701">
      <w:pPr>
        <w:spacing w:line="240" w:lineRule="auto"/>
        <w:jc w:val="both"/>
        <w:rPr>
          <w:b/>
          <w:noProof/>
          <w:sz w:val="23"/>
          <w:szCs w:val="23"/>
          <w:lang w:eastAsia="zh-CN" w:bidi="ar-SA"/>
        </w:rPr>
      </w:pPr>
    </w:p>
    <w:p w:rsidR="004E5701" w:rsidRDefault="004E5701" w:rsidP="004E5701">
      <w:pPr>
        <w:spacing w:line="240" w:lineRule="auto"/>
        <w:jc w:val="both"/>
        <w:rPr>
          <w:noProof/>
          <w:sz w:val="23"/>
          <w:szCs w:val="23"/>
          <w:lang w:eastAsia="zh-CN" w:bidi="ar-SA"/>
        </w:rPr>
      </w:pPr>
    </w:p>
    <w:p w:rsidR="00561C1A" w:rsidRDefault="003448E7" w:rsidP="003B70B1">
      <w:pPr>
        <w:keepNext/>
        <w:spacing w:line="240" w:lineRule="auto"/>
        <w:jc w:val="both"/>
      </w:pPr>
      <w:r>
        <w:rPr>
          <w:noProof/>
          <w:lang w:bidi="ar-SA"/>
        </w:rPr>
        <w:lastRenderedPageBreak/>
        <w:drawing>
          <wp:inline distT="0" distB="0" distL="0" distR="0" wp14:anchorId="548D6AEE">
            <wp:extent cx="5394960" cy="5372100"/>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394960" cy="5372100"/>
                    </a:xfrm>
                    <a:prstGeom prst="rect">
                      <a:avLst/>
                    </a:prstGeom>
                    <a:noFill/>
                  </pic:spPr>
                </pic:pic>
              </a:graphicData>
            </a:graphic>
          </wp:inline>
        </w:drawing>
      </w:r>
    </w:p>
    <w:p w:rsidR="00561C1A" w:rsidRDefault="00561C1A" w:rsidP="00C019EE">
      <w:pPr>
        <w:pStyle w:val="Caption"/>
        <w:rPr>
          <w:rFonts w:ascii="Times New Roman" w:hAnsi="Times New Roman"/>
          <w:sz w:val="23"/>
          <w:szCs w:val="23"/>
        </w:rPr>
      </w:pPr>
      <w:bookmarkStart w:id="81" w:name="_Toc397350232"/>
      <w:bookmarkStart w:id="82" w:name="_Toc397377210"/>
      <w:bookmarkStart w:id="83" w:name="_Toc399968159"/>
      <w:bookmarkStart w:id="84" w:name="_Toc400010241"/>
    </w:p>
    <w:p w:rsidR="004E5701" w:rsidRDefault="0085607B" w:rsidP="00C019EE">
      <w:pPr>
        <w:pStyle w:val="Caption"/>
        <w:rPr>
          <w:rFonts w:ascii="Times New Roman" w:hAnsi="Times New Roman"/>
          <w:sz w:val="23"/>
          <w:szCs w:val="23"/>
        </w:rPr>
      </w:pPr>
      <w:r>
        <w:rPr>
          <w:rFonts w:ascii="Times New Roman" w:hAnsi="Times New Roman"/>
          <w:sz w:val="23"/>
          <w:szCs w:val="23"/>
        </w:rPr>
        <w:t xml:space="preserve">Figure </w:t>
      </w:r>
      <w:r w:rsidR="00784C77">
        <w:rPr>
          <w:rFonts w:ascii="Times New Roman" w:hAnsi="Times New Roman"/>
          <w:sz w:val="23"/>
          <w:szCs w:val="23"/>
        </w:rPr>
        <w:t>3</w:t>
      </w:r>
      <w:r>
        <w:rPr>
          <w:rFonts w:ascii="Times New Roman" w:hAnsi="Times New Roman"/>
          <w:sz w:val="23"/>
          <w:szCs w:val="23"/>
        </w:rPr>
        <w:t>.</w:t>
      </w:r>
      <w:r w:rsidR="001A70C8">
        <w:rPr>
          <w:rFonts w:ascii="Times New Roman" w:hAnsi="Times New Roman"/>
          <w:sz w:val="23"/>
          <w:szCs w:val="23"/>
        </w:rPr>
        <w:t>1</w:t>
      </w:r>
      <w:r w:rsidR="00ED2DEB">
        <w:rPr>
          <w:rFonts w:ascii="Times New Roman" w:hAnsi="Times New Roman"/>
          <w:sz w:val="23"/>
          <w:szCs w:val="23"/>
        </w:rPr>
        <w:t>9</w:t>
      </w:r>
      <w:r>
        <w:rPr>
          <w:rFonts w:ascii="Times New Roman" w:hAnsi="Times New Roman"/>
          <w:sz w:val="23"/>
          <w:szCs w:val="23"/>
        </w:rPr>
        <w:t>.</w:t>
      </w:r>
      <w:bookmarkEnd w:id="81"/>
      <w:bookmarkEnd w:id="82"/>
      <w:bookmarkEnd w:id="83"/>
      <w:bookmarkEnd w:id="84"/>
      <w:r w:rsidR="001D0818" w:rsidRPr="001D0818">
        <w:rPr>
          <w:rFonts w:ascii="Times New Roman" w:hAnsi="Times New Roman"/>
          <w:sz w:val="23"/>
          <w:szCs w:val="23"/>
        </w:rPr>
        <w:t>The</w:t>
      </w:r>
      <w:r w:rsidR="001A70C8">
        <w:rPr>
          <w:rFonts w:ascii="Times New Roman" w:hAnsi="Times New Roman"/>
          <w:sz w:val="23"/>
          <w:szCs w:val="23"/>
        </w:rPr>
        <w:t xml:space="preserve"> </w:t>
      </w:r>
      <w:r w:rsidR="001D0818" w:rsidRPr="001D0818">
        <w:rPr>
          <w:rFonts w:ascii="Times New Roman" w:hAnsi="Times New Roman"/>
          <w:sz w:val="23"/>
          <w:szCs w:val="23"/>
        </w:rPr>
        <w:t>Norphlet</w:t>
      </w:r>
      <w:r w:rsidR="001A70C8">
        <w:rPr>
          <w:rFonts w:ascii="Times New Roman" w:hAnsi="Times New Roman"/>
          <w:sz w:val="23"/>
          <w:szCs w:val="23"/>
        </w:rPr>
        <w:t xml:space="preserve"> </w:t>
      </w:r>
      <w:r w:rsidR="001D0818" w:rsidRPr="001D0818">
        <w:rPr>
          <w:rFonts w:ascii="Times New Roman" w:hAnsi="Times New Roman"/>
          <w:sz w:val="23"/>
          <w:szCs w:val="23"/>
        </w:rPr>
        <w:t xml:space="preserve">play area in the eastern Mississippi Canyon and Desoto Canyon and the three most important discoveries by Shell </w:t>
      </w:r>
      <w:r w:rsidR="005814BD">
        <w:rPr>
          <w:rFonts w:ascii="Times New Roman" w:hAnsi="Times New Roman"/>
          <w:sz w:val="23"/>
          <w:szCs w:val="23"/>
        </w:rPr>
        <w:t>(Shell Oil Company, 2014)</w:t>
      </w:r>
      <w:r w:rsidR="001D0818" w:rsidRPr="001D0818">
        <w:rPr>
          <w:rFonts w:ascii="Times New Roman" w:hAnsi="Times New Roman"/>
          <w:sz w:val="23"/>
          <w:szCs w:val="23"/>
        </w:rPr>
        <w:t>.</w:t>
      </w:r>
    </w:p>
    <w:p w:rsidR="0064610B" w:rsidRDefault="0064610B" w:rsidP="0064610B"/>
    <w:p w:rsidR="0064610B" w:rsidRDefault="0064610B" w:rsidP="0064610B"/>
    <w:p w:rsidR="0064610B" w:rsidRDefault="0064610B" w:rsidP="0064610B"/>
    <w:p w:rsidR="0064610B" w:rsidRDefault="0064610B" w:rsidP="0064610B"/>
    <w:p w:rsidR="0064610B" w:rsidRPr="0064610B" w:rsidRDefault="0064610B" w:rsidP="007239B7">
      <w:pPr>
        <w:jc w:val="center"/>
      </w:pPr>
      <w:r w:rsidRPr="0064610B">
        <w:rPr>
          <w:noProof/>
          <w:lang w:bidi="ar-SA"/>
        </w:rPr>
        <w:lastRenderedPageBreak/>
        <w:drawing>
          <wp:inline distT="0" distB="0" distL="0" distR="0" wp14:anchorId="5ED4F087" wp14:editId="2A1C60D5">
            <wp:extent cx="5132794" cy="3806896"/>
            <wp:effectExtent l="19050" t="19050" r="10795" b="22225"/>
            <wp:docPr id="10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1" name="Picture 1"/>
                    <pic:cNvPicPr>
                      <a:picLocks noChangeAspect="1" noChangeArrowheads="1"/>
                    </pic:cNvPicPr>
                  </pic:nvPicPr>
                  <pic:blipFill>
                    <a:blip r:embed="rId168" cstate="print"/>
                    <a:srcRect l="3470" t="8269" r="6593" b="12015"/>
                    <a:stretch>
                      <a:fillRect/>
                    </a:stretch>
                  </pic:blipFill>
                  <pic:spPr bwMode="auto">
                    <a:xfrm>
                      <a:off x="0" y="0"/>
                      <a:ext cx="5137984" cy="3810745"/>
                    </a:xfrm>
                    <a:prstGeom prst="rect">
                      <a:avLst/>
                    </a:prstGeom>
                    <a:noFill/>
                    <a:ln w="9525">
                      <a:solidFill>
                        <a:schemeClr val="tx1"/>
                      </a:solidFill>
                      <a:miter lim="800000"/>
                      <a:headEnd/>
                      <a:tailEnd/>
                    </a:ln>
                  </pic:spPr>
                </pic:pic>
              </a:graphicData>
            </a:graphic>
          </wp:inline>
        </w:drawing>
      </w:r>
    </w:p>
    <w:p w:rsidR="004E5701" w:rsidRDefault="003B70B1" w:rsidP="0064610B">
      <w:pPr>
        <w:pStyle w:val="Caption"/>
        <w:rPr>
          <w:rFonts w:ascii="Times New Roman" w:hAnsi="Times New Roman"/>
          <w:sz w:val="23"/>
          <w:szCs w:val="23"/>
        </w:rPr>
      </w:pPr>
      <w:bookmarkStart w:id="85" w:name="_Toc397350233"/>
      <w:bookmarkStart w:id="86" w:name="_Toc397377211"/>
      <w:bookmarkStart w:id="87" w:name="_Toc399968160"/>
      <w:bookmarkStart w:id="88" w:name="_Toc400010242"/>
      <w:r w:rsidRPr="00C019EE">
        <w:rPr>
          <w:rFonts w:ascii="Times New Roman" w:hAnsi="Times New Roman"/>
          <w:sz w:val="23"/>
          <w:szCs w:val="23"/>
        </w:rPr>
        <w:t>Fig</w:t>
      </w:r>
      <w:r w:rsidR="0085607B">
        <w:rPr>
          <w:rFonts w:ascii="Times New Roman" w:hAnsi="Times New Roman"/>
          <w:sz w:val="23"/>
          <w:szCs w:val="23"/>
        </w:rPr>
        <w:t xml:space="preserve">ure </w:t>
      </w:r>
      <w:r w:rsidR="00784C77">
        <w:rPr>
          <w:rFonts w:ascii="Times New Roman" w:hAnsi="Times New Roman"/>
          <w:sz w:val="23"/>
          <w:szCs w:val="23"/>
        </w:rPr>
        <w:t>3</w:t>
      </w:r>
      <w:r w:rsidR="0085607B">
        <w:rPr>
          <w:rFonts w:ascii="Times New Roman" w:hAnsi="Times New Roman"/>
          <w:sz w:val="23"/>
          <w:szCs w:val="23"/>
        </w:rPr>
        <w:t>.</w:t>
      </w:r>
      <w:r w:rsidR="00ED2DEB">
        <w:rPr>
          <w:rFonts w:ascii="Times New Roman" w:hAnsi="Times New Roman"/>
          <w:sz w:val="23"/>
          <w:szCs w:val="23"/>
        </w:rPr>
        <w:t>20</w:t>
      </w:r>
      <w:r w:rsidR="0085607B">
        <w:rPr>
          <w:rFonts w:ascii="Times New Roman" w:hAnsi="Times New Roman"/>
          <w:sz w:val="23"/>
          <w:szCs w:val="23"/>
        </w:rPr>
        <w:t>.</w:t>
      </w:r>
      <w:bookmarkEnd w:id="85"/>
      <w:bookmarkEnd w:id="86"/>
      <w:bookmarkEnd w:id="87"/>
      <w:bookmarkEnd w:id="88"/>
      <w:r w:rsidR="0064610B" w:rsidRPr="0064610B">
        <w:rPr>
          <w:rFonts w:ascii="Times New Roman" w:hAnsi="Times New Roman"/>
          <w:sz w:val="23"/>
          <w:szCs w:val="23"/>
        </w:rPr>
        <w:t xml:space="preserve">Summary of Wilcox pressure challenges </w:t>
      </w:r>
      <w:r w:rsidR="005814BD">
        <w:rPr>
          <w:rFonts w:ascii="Times New Roman" w:hAnsi="Times New Roman"/>
          <w:sz w:val="23"/>
          <w:szCs w:val="23"/>
        </w:rPr>
        <w:t>(Shaker, 2010)</w:t>
      </w:r>
      <w:r w:rsidR="0064610B" w:rsidRPr="0064610B">
        <w:rPr>
          <w:rFonts w:ascii="Times New Roman" w:hAnsi="Times New Roman"/>
          <w:sz w:val="23"/>
          <w:szCs w:val="23"/>
        </w:rPr>
        <w:t>.PS =principle stress, FP= fracture pressure, OB = overburden, PP = pore pressure, SB = salt buoyancy</w:t>
      </w:r>
      <w:r w:rsidR="0064610B" w:rsidRPr="0064610B">
        <w:rPr>
          <w:rFonts w:ascii="Times New Roman" w:hAnsi="Times New Roman"/>
          <w:sz w:val="23"/>
          <w:szCs w:val="23"/>
        </w:rPr>
        <w:tab/>
      </w:r>
    </w:p>
    <w:p w:rsidR="0064610B" w:rsidRDefault="0064610B" w:rsidP="0064610B"/>
    <w:p w:rsidR="0064610B" w:rsidRDefault="0064610B" w:rsidP="0064610B"/>
    <w:p w:rsidR="0064610B" w:rsidRDefault="0064610B" w:rsidP="0064610B"/>
    <w:p w:rsidR="0064610B" w:rsidRDefault="0064610B" w:rsidP="0064610B"/>
    <w:p w:rsidR="0064610B" w:rsidRDefault="003448E7" w:rsidP="007239B7">
      <w:pPr>
        <w:pStyle w:val="-111"/>
        <w:widowControl w:val="0"/>
      </w:pPr>
      <w:r>
        <w:rPr>
          <w:noProof/>
        </w:rPr>
        <w:lastRenderedPageBreak/>
        <w:drawing>
          <wp:inline distT="0" distB="0" distL="0" distR="0" wp14:anchorId="45C0DE39">
            <wp:extent cx="5074920" cy="3787140"/>
            <wp:effectExtent l="0" t="0" r="0" b="381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74920" cy="3787140"/>
                    </a:xfrm>
                    <a:prstGeom prst="rect">
                      <a:avLst/>
                    </a:prstGeom>
                    <a:noFill/>
                  </pic:spPr>
                </pic:pic>
              </a:graphicData>
            </a:graphic>
          </wp:inline>
        </w:drawing>
      </w:r>
    </w:p>
    <w:p w:rsidR="0064610B" w:rsidRPr="00E0417D" w:rsidRDefault="0064610B" w:rsidP="0064610B">
      <w:pPr>
        <w:pStyle w:val="-111"/>
        <w:widowControl w:val="0"/>
      </w:pPr>
    </w:p>
    <w:p w:rsidR="0064610B" w:rsidRPr="0064610B" w:rsidRDefault="0064610B" w:rsidP="0064610B">
      <w:pPr>
        <w:pStyle w:val="-10"/>
        <w:widowControl w:val="0"/>
        <w:rPr>
          <w:sz w:val="23"/>
          <w:szCs w:val="23"/>
          <w:lang w:eastAsia="zh-CN"/>
        </w:rPr>
      </w:pPr>
      <w:proofErr w:type="gramStart"/>
      <w:r w:rsidRPr="0064610B">
        <w:rPr>
          <w:sz w:val="23"/>
          <w:szCs w:val="23"/>
        </w:rPr>
        <w:t xml:space="preserve">Figure </w:t>
      </w:r>
      <w:r w:rsidR="00784C77">
        <w:rPr>
          <w:sz w:val="23"/>
          <w:szCs w:val="23"/>
        </w:rPr>
        <w:t>3</w:t>
      </w:r>
      <w:r w:rsidR="00ED2DEB">
        <w:rPr>
          <w:sz w:val="23"/>
          <w:szCs w:val="23"/>
        </w:rPr>
        <w:t>.21</w:t>
      </w:r>
      <w:r w:rsidRPr="0064610B">
        <w:rPr>
          <w:sz w:val="23"/>
          <w:szCs w:val="23"/>
        </w:rPr>
        <w:t>.</w:t>
      </w:r>
      <w:proofErr w:type="gramEnd"/>
      <w:r w:rsidRPr="0064610B">
        <w:rPr>
          <w:sz w:val="23"/>
          <w:szCs w:val="23"/>
        </w:rPr>
        <w:t xml:space="preserve"> Summary of the Wilcox reservoir development in Perdido fold belt </w:t>
      </w:r>
      <w:r w:rsidR="005814BD">
        <w:rPr>
          <w:sz w:val="23"/>
          <w:szCs w:val="23"/>
        </w:rPr>
        <w:t>(Chevron Corp., 2011)</w:t>
      </w:r>
    </w:p>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3448E7" w:rsidP="0064610B">
      <w:pPr>
        <w:pStyle w:val="-111"/>
        <w:widowControl w:val="0"/>
      </w:pPr>
      <w:r>
        <w:rPr>
          <w:noProof/>
        </w:rPr>
        <w:lastRenderedPageBreak/>
        <w:drawing>
          <wp:inline distT="0" distB="0" distL="0" distR="0" wp14:anchorId="52F311BB">
            <wp:extent cx="5151120" cy="3139440"/>
            <wp:effectExtent l="0" t="0" r="0" b="381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151120" cy="3139440"/>
                    </a:xfrm>
                    <a:prstGeom prst="rect">
                      <a:avLst/>
                    </a:prstGeom>
                    <a:noFill/>
                  </pic:spPr>
                </pic:pic>
              </a:graphicData>
            </a:graphic>
          </wp:inline>
        </w:drawing>
      </w:r>
    </w:p>
    <w:p w:rsidR="0064610B" w:rsidRPr="00E0417D" w:rsidRDefault="0064610B" w:rsidP="0064610B">
      <w:pPr>
        <w:pStyle w:val="-111"/>
        <w:widowControl w:val="0"/>
      </w:pPr>
    </w:p>
    <w:p w:rsidR="0064610B" w:rsidRPr="0064610B" w:rsidRDefault="0064610B" w:rsidP="0064610B">
      <w:pPr>
        <w:pStyle w:val="-10"/>
        <w:widowControl w:val="0"/>
        <w:rPr>
          <w:sz w:val="23"/>
          <w:szCs w:val="23"/>
        </w:rPr>
      </w:pPr>
      <w:r w:rsidRPr="0064610B">
        <w:rPr>
          <w:sz w:val="23"/>
          <w:szCs w:val="23"/>
        </w:rPr>
        <w:t xml:space="preserve">Figure </w:t>
      </w:r>
      <w:r w:rsidR="00784C77">
        <w:rPr>
          <w:sz w:val="23"/>
          <w:szCs w:val="23"/>
        </w:rPr>
        <w:t>3</w:t>
      </w:r>
      <w:r w:rsidR="00ED2DEB">
        <w:rPr>
          <w:sz w:val="23"/>
          <w:szCs w:val="23"/>
        </w:rPr>
        <w:t>.22</w:t>
      </w:r>
      <w:r>
        <w:rPr>
          <w:sz w:val="23"/>
          <w:szCs w:val="23"/>
        </w:rPr>
        <w:t>.</w:t>
      </w:r>
      <w:r w:rsidRPr="0064610B">
        <w:rPr>
          <w:sz w:val="23"/>
          <w:szCs w:val="23"/>
        </w:rPr>
        <w:t xml:space="preserve">Major trapped oil mechanisms for Paleogene Wilcox reservoirs in dGOM </w:t>
      </w:r>
      <w:r w:rsidR="005814BD">
        <w:rPr>
          <w:sz w:val="23"/>
          <w:szCs w:val="23"/>
        </w:rPr>
        <w:t>(Lach, 2010)</w:t>
      </w:r>
      <w:r w:rsidRPr="0064610B">
        <w:rPr>
          <w:sz w:val="23"/>
          <w:szCs w:val="23"/>
        </w:rPr>
        <w:t>.</w:t>
      </w:r>
    </w:p>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3448E7" w:rsidP="0064610B">
      <w:pPr>
        <w:pStyle w:val="-111"/>
        <w:widowControl w:val="0"/>
      </w:pPr>
      <w:r>
        <w:rPr>
          <w:noProof/>
        </w:rPr>
        <w:lastRenderedPageBreak/>
        <w:drawing>
          <wp:inline distT="0" distB="0" distL="0" distR="0" wp14:anchorId="22733A1D">
            <wp:extent cx="5181600" cy="3177540"/>
            <wp:effectExtent l="0" t="0" r="0" b="381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181600" cy="3177540"/>
                    </a:xfrm>
                    <a:prstGeom prst="rect">
                      <a:avLst/>
                    </a:prstGeom>
                    <a:noFill/>
                  </pic:spPr>
                </pic:pic>
              </a:graphicData>
            </a:graphic>
          </wp:inline>
        </w:drawing>
      </w:r>
    </w:p>
    <w:p w:rsidR="0064610B" w:rsidRPr="00E0417D" w:rsidRDefault="0064610B" w:rsidP="0064610B">
      <w:pPr>
        <w:pStyle w:val="-111"/>
        <w:widowControl w:val="0"/>
      </w:pPr>
    </w:p>
    <w:p w:rsidR="0064610B" w:rsidRPr="0064610B" w:rsidRDefault="0064610B" w:rsidP="00D76744">
      <w:pPr>
        <w:pStyle w:val="-112"/>
        <w:spacing w:line="240" w:lineRule="auto"/>
        <w:rPr>
          <w:sz w:val="23"/>
          <w:szCs w:val="23"/>
        </w:rPr>
      </w:pPr>
      <w:proofErr w:type="gramStart"/>
      <w:r w:rsidRPr="0064610B">
        <w:rPr>
          <w:sz w:val="23"/>
          <w:szCs w:val="23"/>
        </w:rPr>
        <w:t xml:space="preserve">Figure </w:t>
      </w:r>
      <w:r w:rsidR="00784C77">
        <w:rPr>
          <w:sz w:val="23"/>
          <w:szCs w:val="23"/>
        </w:rPr>
        <w:t>3</w:t>
      </w:r>
      <w:r w:rsidR="00ED2DEB">
        <w:rPr>
          <w:sz w:val="23"/>
          <w:szCs w:val="23"/>
        </w:rPr>
        <w:t>.23</w:t>
      </w:r>
      <w:r w:rsidRPr="0064610B">
        <w:rPr>
          <w:sz w:val="23"/>
          <w:szCs w:val="23"/>
        </w:rPr>
        <w:t>.</w:t>
      </w:r>
      <w:proofErr w:type="gramEnd"/>
      <w:r w:rsidRPr="0064610B">
        <w:rPr>
          <w:sz w:val="23"/>
          <w:szCs w:val="23"/>
        </w:rPr>
        <w:t xml:space="preserve">  IOR deliverability forecast for Paleogene fields </w:t>
      </w:r>
      <w:r w:rsidR="005814BD">
        <w:rPr>
          <w:sz w:val="23"/>
          <w:szCs w:val="23"/>
        </w:rPr>
        <w:t>(Lach, 2010)</w:t>
      </w:r>
      <w:r w:rsidRPr="0064610B">
        <w:rPr>
          <w:sz w:val="23"/>
          <w:szCs w:val="23"/>
        </w:rPr>
        <w:t xml:space="preserve">. </w:t>
      </w:r>
    </w:p>
    <w:p w:rsidR="0064610B" w:rsidRPr="0064610B" w:rsidRDefault="0064610B" w:rsidP="00D76744">
      <w:pPr>
        <w:pStyle w:val="-112"/>
        <w:spacing w:line="240" w:lineRule="auto"/>
        <w:rPr>
          <w:sz w:val="23"/>
          <w:szCs w:val="23"/>
        </w:rPr>
      </w:pPr>
      <w:r w:rsidRPr="0064610B">
        <w:rPr>
          <w:sz w:val="23"/>
          <w:szCs w:val="23"/>
        </w:rPr>
        <w:t>Total near-term, mid-term and far-term IOR can contribute up to 42.1% of oil recovery by forecast.</w:t>
      </w:r>
      <w:r w:rsidRPr="0064610B">
        <w:rPr>
          <w:sz w:val="23"/>
          <w:szCs w:val="23"/>
        </w:rPr>
        <w:tab/>
        <w:t xml:space="preserve">From a practical standpoint, the IOR process during Wilcox reservoir development </w:t>
      </w:r>
      <w:r w:rsidRPr="0064610B">
        <w:rPr>
          <w:spacing w:val="-4"/>
          <w:sz w:val="23"/>
          <w:szCs w:val="23"/>
        </w:rPr>
        <w:t>should use the technology having a mature technical level and lower costs. Among the methods mentioned above, conventional</w:t>
      </w:r>
      <w:r w:rsidRPr="0064610B">
        <w:rPr>
          <w:sz w:val="23"/>
          <w:szCs w:val="23"/>
        </w:rPr>
        <w:t xml:space="preserve"> water flood, subsea multiphase pumping, conventional hydrocarbon gas injection, in well ESP, and directional or horizontal drilling have the highest “technical readiness level”, and they should be applied regularly during the reservoir development phase. In the IOR process ranking, conventional water flooding and subsea multiphase pumping rank the highest. </w:t>
      </w:r>
      <w:proofErr w:type="gramStart"/>
      <w:r w:rsidRPr="0064610B">
        <w:rPr>
          <w:sz w:val="23"/>
          <w:szCs w:val="23"/>
        </w:rPr>
        <w:t>A combination</w:t>
      </w:r>
      <w:proofErr w:type="gramEnd"/>
      <w:r w:rsidRPr="0064610B">
        <w:rPr>
          <w:sz w:val="23"/>
          <w:szCs w:val="23"/>
        </w:rPr>
        <w:t xml:space="preserve"> of these IOR methods will unlock the recovery step by step through near, mid to far term field life cycle. Ideally, the ultimate recovery factor through the life cycle of the field can be up to 42%.</w:t>
      </w:r>
    </w:p>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Default="0064610B" w:rsidP="0064610B"/>
    <w:p w:rsidR="0064610B" w:rsidRPr="00E0417D" w:rsidRDefault="006B086A" w:rsidP="0064610B">
      <w:pPr>
        <w:pStyle w:val="-111"/>
        <w:widowControl w:val="0"/>
      </w:pPr>
      <w:r>
        <w:rPr>
          <w:noProof/>
        </w:rPr>
        <w:lastRenderedPageBreak/>
        <w:drawing>
          <wp:inline distT="0" distB="0" distL="0" distR="0" wp14:anchorId="38551395">
            <wp:extent cx="4899660" cy="6400800"/>
            <wp:effectExtent l="0" t="0" r="0" b="0"/>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99660" cy="6400800"/>
                    </a:xfrm>
                    <a:prstGeom prst="rect">
                      <a:avLst/>
                    </a:prstGeom>
                    <a:noFill/>
                  </pic:spPr>
                </pic:pic>
              </a:graphicData>
            </a:graphic>
          </wp:inline>
        </w:drawing>
      </w:r>
    </w:p>
    <w:p w:rsidR="0064610B" w:rsidRPr="001B0587" w:rsidRDefault="001B0587" w:rsidP="00D76744">
      <w:pPr>
        <w:pStyle w:val="-112"/>
        <w:spacing w:line="240" w:lineRule="auto"/>
        <w:rPr>
          <w:sz w:val="23"/>
          <w:szCs w:val="23"/>
        </w:rPr>
      </w:pPr>
      <w:proofErr w:type="gramStart"/>
      <w:r w:rsidRPr="001B0587">
        <w:rPr>
          <w:sz w:val="23"/>
          <w:szCs w:val="23"/>
        </w:rPr>
        <w:t>Figure</w:t>
      </w:r>
      <w:r w:rsidR="003448E7">
        <w:rPr>
          <w:sz w:val="23"/>
          <w:szCs w:val="23"/>
        </w:rPr>
        <w:t xml:space="preserve"> </w:t>
      </w:r>
      <w:r w:rsidR="00784C77">
        <w:rPr>
          <w:sz w:val="23"/>
          <w:szCs w:val="23"/>
        </w:rPr>
        <w:t>3</w:t>
      </w:r>
      <w:r w:rsidR="0064610B" w:rsidRPr="001B0587">
        <w:rPr>
          <w:sz w:val="23"/>
          <w:szCs w:val="23"/>
        </w:rPr>
        <w:t>.2</w:t>
      </w:r>
      <w:r w:rsidR="00ED2DEB">
        <w:rPr>
          <w:sz w:val="23"/>
          <w:szCs w:val="23"/>
        </w:rPr>
        <w:t>4</w:t>
      </w:r>
      <w:r w:rsidRPr="001B0587">
        <w:rPr>
          <w:sz w:val="23"/>
          <w:szCs w:val="23"/>
        </w:rPr>
        <w:t>.</w:t>
      </w:r>
      <w:proofErr w:type="gramEnd"/>
      <w:r w:rsidR="0064610B" w:rsidRPr="001B0587">
        <w:rPr>
          <w:sz w:val="23"/>
          <w:szCs w:val="23"/>
        </w:rPr>
        <w:t xml:space="preserve"> Reservoir simulation results from both upper and lower sandstones, upper sandstones only, and lower sandstones only, including cumulative production and production rate from producing well 1 (solid line) and well 2 (dashed line). </w:t>
      </w:r>
    </w:p>
    <w:p w:rsidR="0064610B" w:rsidRPr="001B0587" w:rsidRDefault="0064610B" w:rsidP="00D76744">
      <w:pPr>
        <w:pStyle w:val="-112"/>
        <w:spacing w:line="240" w:lineRule="auto"/>
        <w:rPr>
          <w:sz w:val="23"/>
          <w:szCs w:val="23"/>
        </w:rPr>
      </w:pPr>
      <w:r w:rsidRPr="001B0587">
        <w:rPr>
          <w:sz w:val="23"/>
          <w:szCs w:val="23"/>
        </w:rPr>
        <w:t xml:space="preserve">Note that the (1) production volume and rate in well 1 is 60% more than those in well 2 in all cases; (2) the lower channelized sandstone package shows a larger drop in production rate than does the upper sheet sandstone; and (3) the upper sandstones are more sustainable during a 10-yr production period, whereas the rate of the lower sandstones is close to zero after 10 years </w:t>
      </w:r>
      <w:r w:rsidR="005814BD">
        <w:rPr>
          <w:sz w:val="23"/>
          <w:szCs w:val="23"/>
        </w:rPr>
        <w:t xml:space="preserve">(Zou </w:t>
      </w:r>
      <w:r w:rsidR="00880C6B" w:rsidRPr="00880C6B">
        <w:rPr>
          <w:i/>
          <w:sz w:val="23"/>
          <w:szCs w:val="23"/>
        </w:rPr>
        <w:t>et al.</w:t>
      </w:r>
      <w:proofErr w:type="gramStart"/>
      <w:r w:rsidR="005814BD">
        <w:rPr>
          <w:sz w:val="23"/>
          <w:szCs w:val="23"/>
        </w:rPr>
        <w:t>,2012</w:t>
      </w:r>
      <w:proofErr w:type="gramEnd"/>
      <w:r w:rsidR="005814BD">
        <w:rPr>
          <w:sz w:val="23"/>
          <w:szCs w:val="23"/>
        </w:rPr>
        <w:t>)</w:t>
      </w:r>
      <w:r w:rsidRPr="001B0587">
        <w:rPr>
          <w:sz w:val="23"/>
          <w:szCs w:val="23"/>
        </w:rPr>
        <w:t>.</w:t>
      </w:r>
    </w:p>
    <w:p w:rsidR="0064610B" w:rsidRDefault="003448E7" w:rsidP="0064610B">
      <w:pPr>
        <w:pStyle w:val="-111"/>
        <w:widowControl w:val="0"/>
      </w:pPr>
      <w:r>
        <w:rPr>
          <w:noProof/>
        </w:rPr>
        <w:lastRenderedPageBreak/>
        <w:drawing>
          <wp:inline distT="0" distB="0" distL="0" distR="0" wp14:anchorId="5B40BEB7">
            <wp:extent cx="5196840" cy="2766060"/>
            <wp:effectExtent l="0" t="0" r="381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196840" cy="2766060"/>
                    </a:xfrm>
                    <a:prstGeom prst="rect">
                      <a:avLst/>
                    </a:prstGeom>
                    <a:noFill/>
                  </pic:spPr>
                </pic:pic>
              </a:graphicData>
            </a:graphic>
          </wp:inline>
        </w:drawing>
      </w:r>
    </w:p>
    <w:p w:rsidR="001B0587" w:rsidRPr="00E0417D" w:rsidRDefault="001B0587" w:rsidP="0064610B">
      <w:pPr>
        <w:pStyle w:val="-111"/>
        <w:widowControl w:val="0"/>
      </w:pPr>
    </w:p>
    <w:p w:rsidR="001B0587" w:rsidRDefault="001B0587" w:rsidP="001B0587">
      <w:pPr>
        <w:rPr>
          <w:rFonts w:ascii="Times New Roman" w:hAnsi="Times New Roman"/>
          <w:b/>
          <w:sz w:val="23"/>
          <w:szCs w:val="23"/>
          <w:lang w:eastAsia="zh-CN" w:bidi="ar-SA"/>
        </w:rPr>
      </w:pPr>
      <w:r w:rsidRPr="001B0587">
        <w:rPr>
          <w:rFonts w:ascii="Times New Roman" w:hAnsi="Times New Roman"/>
          <w:b/>
          <w:sz w:val="23"/>
          <w:szCs w:val="23"/>
          <w:lang w:eastAsia="zh-CN" w:bidi="ar-SA"/>
        </w:rPr>
        <w:t xml:space="preserve">Figure </w:t>
      </w:r>
      <w:r w:rsidR="00784C77">
        <w:rPr>
          <w:rFonts w:ascii="Times New Roman" w:hAnsi="Times New Roman"/>
          <w:b/>
          <w:sz w:val="23"/>
          <w:szCs w:val="23"/>
          <w:lang w:eastAsia="zh-CN" w:bidi="ar-SA"/>
        </w:rPr>
        <w:t>3</w:t>
      </w:r>
      <w:r w:rsidRPr="001B0587">
        <w:rPr>
          <w:rFonts w:ascii="Times New Roman" w:hAnsi="Times New Roman"/>
          <w:b/>
          <w:sz w:val="23"/>
          <w:szCs w:val="23"/>
          <w:lang w:eastAsia="zh-CN" w:bidi="ar-SA"/>
        </w:rPr>
        <w:t>.2</w:t>
      </w:r>
      <w:r w:rsidR="00ED2DEB">
        <w:rPr>
          <w:rFonts w:ascii="Times New Roman" w:hAnsi="Times New Roman"/>
          <w:b/>
          <w:sz w:val="23"/>
          <w:szCs w:val="23"/>
          <w:lang w:eastAsia="zh-CN" w:bidi="ar-SA"/>
        </w:rPr>
        <w:t>5</w:t>
      </w:r>
      <w:r w:rsidRPr="001B0587">
        <w:rPr>
          <w:rFonts w:ascii="Times New Roman" w:hAnsi="Times New Roman"/>
          <w:b/>
          <w:sz w:val="23"/>
          <w:szCs w:val="23"/>
          <w:lang w:eastAsia="zh-CN" w:bidi="ar-SA"/>
        </w:rPr>
        <w:t xml:space="preserve">.Oil production and prediction of dGOM </w:t>
      </w:r>
      <w:r w:rsidR="005814BD">
        <w:rPr>
          <w:rFonts w:ascii="Times New Roman" w:hAnsi="Times New Roman"/>
          <w:b/>
          <w:sz w:val="23"/>
          <w:szCs w:val="23"/>
          <w:lang w:eastAsia="zh-CN" w:bidi="ar-SA"/>
        </w:rPr>
        <w:t>(Paganie, 2009)</w:t>
      </w:r>
      <w:r w:rsidRPr="001B0587">
        <w:rPr>
          <w:rFonts w:ascii="Times New Roman" w:hAnsi="Times New Roman"/>
          <w:b/>
          <w:sz w:val="23"/>
          <w:szCs w:val="23"/>
          <w:lang w:eastAsia="zh-CN" w:bidi="ar-SA"/>
        </w:rPr>
        <w:t>.</w:t>
      </w:r>
    </w:p>
    <w:p w:rsidR="001B0587" w:rsidRDefault="001B0587" w:rsidP="001B0587">
      <w:pPr>
        <w:rPr>
          <w:rFonts w:ascii="Times New Roman" w:hAnsi="Times New Roman"/>
          <w:b/>
          <w:sz w:val="23"/>
          <w:szCs w:val="23"/>
          <w:lang w:eastAsia="zh-CN" w:bidi="ar-SA"/>
        </w:rPr>
      </w:pPr>
    </w:p>
    <w:p w:rsidR="001B0587" w:rsidRDefault="001B0587" w:rsidP="001B0587">
      <w:pPr>
        <w:rPr>
          <w:rFonts w:ascii="Times New Roman" w:hAnsi="Times New Roman"/>
          <w:b/>
          <w:sz w:val="23"/>
          <w:szCs w:val="23"/>
          <w:lang w:eastAsia="zh-CN" w:bidi="ar-SA"/>
        </w:rPr>
      </w:pPr>
    </w:p>
    <w:p w:rsidR="001B0587" w:rsidRDefault="001B0587" w:rsidP="001B0587">
      <w:pPr>
        <w:rPr>
          <w:rFonts w:ascii="Times New Roman" w:hAnsi="Times New Roman"/>
          <w:b/>
          <w:sz w:val="23"/>
          <w:szCs w:val="23"/>
          <w:lang w:eastAsia="zh-CN" w:bidi="ar-SA"/>
        </w:rPr>
      </w:pPr>
    </w:p>
    <w:p w:rsidR="001B0587" w:rsidRDefault="001B0587" w:rsidP="001B0587">
      <w:pPr>
        <w:rPr>
          <w:rFonts w:ascii="Times New Roman" w:hAnsi="Times New Roman"/>
          <w:b/>
          <w:sz w:val="23"/>
          <w:szCs w:val="23"/>
          <w:lang w:eastAsia="zh-CN" w:bidi="ar-SA"/>
        </w:rPr>
      </w:pPr>
    </w:p>
    <w:p w:rsidR="001B0587" w:rsidRDefault="001B0587" w:rsidP="001B0587">
      <w:pPr>
        <w:rPr>
          <w:rFonts w:ascii="Times New Roman" w:hAnsi="Times New Roman"/>
          <w:b/>
          <w:sz w:val="23"/>
          <w:szCs w:val="23"/>
          <w:lang w:eastAsia="zh-CN" w:bidi="ar-SA"/>
        </w:rPr>
      </w:pPr>
    </w:p>
    <w:p w:rsidR="001B0587" w:rsidRDefault="001B0587" w:rsidP="001B0587">
      <w:pPr>
        <w:rPr>
          <w:rFonts w:ascii="Times New Roman" w:hAnsi="Times New Roman"/>
          <w:b/>
          <w:sz w:val="23"/>
          <w:szCs w:val="23"/>
          <w:lang w:eastAsia="zh-CN" w:bidi="ar-SA"/>
        </w:rPr>
      </w:pPr>
    </w:p>
    <w:p w:rsidR="001B0587" w:rsidRDefault="001B0587" w:rsidP="001B0587">
      <w:pPr>
        <w:rPr>
          <w:rFonts w:ascii="Times New Roman" w:hAnsi="Times New Roman"/>
          <w:b/>
          <w:sz w:val="23"/>
          <w:szCs w:val="23"/>
          <w:lang w:eastAsia="zh-CN" w:bidi="ar-SA"/>
        </w:rPr>
      </w:pPr>
    </w:p>
    <w:p w:rsidR="001B0587" w:rsidRDefault="001B0587" w:rsidP="001B0587">
      <w:pPr>
        <w:rPr>
          <w:rFonts w:ascii="Times New Roman" w:hAnsi="Times New Roman"/>
          <w:b/>
          <w:sz w:val="23"/>
          <w:szCs w:val="23"/>
          <w:lang w:eastAsia="zh-CN" w:bidi="ar-SA"/>
        </w:rPr>
      </w:pPr>
    </w:p>
    <w:p w:rsidR="001B0587" w:rsidRPr="001B0587" w:rsidRDefault="001B0587" w:rsidP="001B0587">
      <w:pPr>
        <w:rPr>
          <w:rFonts w:ascii="Times New Roman" w:hAnsi="Times New Roman"/>
          <w:b/>
          <w:sz w:val="23"/>
          <w:szCs w:val="23"/>
          <w:lang w:eastAsia="zh-CN" w:bidi="ar-SA"/>
        </w:rPr>
      </w:pPr>
    </w:p>
    <w:p w:rsidR="0064610B" w:rsidRDefault="003448E7" w:rsidP="0064610B">
      <w:pPr>
        <w:pStyle w:val="-111"/>
        <w:widowControl w:val="0"/>
      </w:pPr>
      <w:r>
        <w:rPr>
          <w:noProof/>
        </w:rPr>
        <w:lastRenderedPageBreak/>
        <w:drawing>
          <wp:inline distT="0" distB="0" distL="0" distR="0" wp14:anchorId="2BD2E705">
            <wp:extent cx="3977640" cy="2636520"/>
            <wp:effectExtent l="0" t="0" r="381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977640" cy="2636520"/>
                    </a:xfrm>
                    <a:prstGeom prst="rect">
                      <a:avLst/>
                    </a:prstGeom>
                    <a:noFill/>
                  </pic:spPr>
                </pic:pic>
              </a:graphicData>
            </a:graphic>
          </wp:inline>
        </w:drawing>
      </w:r>
    </w:p>
    <w:p w:rsidR="001B0587" w:rsidRPr="00E0417D" w:rsidRDefault="001B0587" w:rsidP="0064610B">
      <w:pPr>
        <w:pStyle w:val="-111"/>
        <w:widowControl w:val="0"/>
      </w:pPr>
    </w:p>
    <w:p w:rsidR="0064610B" w:rsidRDefault="001B0587" w:rsidP="00D76744">
      <w:pPr>
        <w:spacing w:line="240" w:lineRule="auto"/>
        <w:rPr>
          <w:rFonts w:ascii="Times New Roman" w:hAnsi="Times New Roman"/>
          <w:b/>
          <w:sz w:val="23"/>
          <w:szCs w:val="23"/>
          <w:lang w:eastAsia="zh-CN" w:bidi="ar-SA"/>
        </w:rPr>
      </w:pPr>
      <w:r w:rsidRPr="001B0587">
        <w:rPr>
          <w:rFonts w:ascii="Times New Roman" w:hAnsi="Times New Roman"/>
          <w:b/>
          <w:sz w:val="23"/>
          <w:szCs w:val="23"/>
          <w:lang w:eastAsia="zh-CN" w:bidi="ar-SA"/>
        </w:rPr>
        <w:t xml:space="preserve">Figure </w:t>
      </w:r>
      <w:r w:rsidR="00784C77">
        <w:rPr>
          <w:rFonts w:ascii="Times New Roman" w:hAnsi="Times New Roman"/>
          <w:b/>
          <w:sz w:val="23"/>
          <w:szCs w:val="23"/>
          <w:lang w:eastAsia="zh-CN" w:bidi="ar-SA"/>
        </w:rPr>
        <w:t>3</w:t>
      </w:r>
      <w:r w:rsidRPr="001B0587">
        <w:rPr>
          <w:rFonts w:ascii="Times New Roman" w:hAnsi="Times New Roman"/>
          <w:b/>
          <w:sz w:val="23"/>
          <w:szCs w:val="23"/>
          <w:lang w:eastAsia="zh-CN" w:bidi="ar-SA"/>
        </w:rPr>
        <w:t>.2</w:t>
      </w:r>
      <w:r w:rsidR="00ED2DEB">
        <w:rPr>
          <w:rFonts w:ascii="Times New Roman" w:hAnsi="Times New Roman"/>
          <w:b/>
          <w:sz w:val="23"/>
          <w:szCs w:val="23"/>
          <w:lang w:eastAsia="zh-CN" w:bidi="ar-SA"/>
        </w:rPr>
        <w:t>6</w:t>
      </w:r>
      <w:r w:rsidRPr="001B0587">
        <w:rPr>
          <w:rFonts w:ascii="Times New Roman" w:hAnsi="Times New Roman"/>
          <w:b/>
          <w:sz w:val="23"/>
          <w:szCs w:val="23"/>
          <w:lang w:eastAsia="zh-CN" w:bidi="ar-SA"/>
        </w:rPr>
        <w:t xml:space="preserve">.Production from 2010-2020 by companies </w:t>
      </w:r>
      <w:r w:rsidR="005814BD">
        <w:rPr>
          <w:rFonts w:ascii="Times New Roman" w:hAnsi="Times New Roman"/>
          <w:b/>
          <w:sz w:val="23"/>
          <w:szCs w:val="23"/>
          <w:lang w:eastAsia="zh-CN" w:bidi="ar-SA"/>
        </w:rPr>
        <w:t>(Wood Mackenzie, 2014)</w:t>
      </w:r>
      <w:r w:rsidRPr="001B0587">
        <w:rPr>
          <w:rFonts w:ascii="Times New Roman" w:hAnsi="Times New Roman"/>
          <w:b/>
          <w:sz w:val="23"/>
          <w:szCs w:val="23"/>
          <w:lang w:eastAsia="zh-CN" w:bidi="ar-SA"/>
        </w:rPr>
        <w:t>.Bnboe = billion of barrels oil equivalent, BP = British Petroleum, CVX = Chevron Corporation, RDS = Royal Dutch Shell, APC = Anadarko Petroleum Corporation, XOM = ExxonMobil Corporation, STL = Statoil Corporation, PBR = Petrobras Corporation, HES = Hess Corporation, ENI = Eni Corporation, APA = Apache Corporation, ME = Murphy Oil Company, DVN = Devon Corp, BHP = BHP Corp.</w:t>
      </w:r>
    </w:p>
    <w:p w:rsidR="001B0587" w:rsidRDefault="001B0587" w:rsidP="0064610B">
      <w:pPr>
        <w:rPr>
          <w:rFonts w:ascii="Times New Roman" w:hAnsi="Times New Roman"/>
          <w:b/>
          <w:sz w:val="23"/>
          <w:szCs w:val="23"/>
          <w:lang w:eastAsia="zh-CN" w:bidi="ar-SA"/>
        </w:rPr>
      </w:pPr>
    </w:p>
    <w:p w:rsidR="0064610B" w:rsidRDefault="003448E7" w:rsidP="0064610B">
      <w:pPr>
        <w:pStyle w:val="-111"/>
        <w:widowControl w:val="0"/>
        <w:rPr>
          <w:rFonts w:cs="Times New Roman"/>
          <w:b/>
          <w:sz w:val="23"/>
          <w:szCs w:val="23"/>
          <w:lang w:eastAsia="zh-CN"/>
        </w:rPr>
      </w:pPr>
      <w:r>
        <w:rPr>
          <w:rFonts w:cs="Times New Roman"/>
          <w:b/>
          <w:noProof/>
          <w:sz w:val="23"/>
          <w:szCs w:val="23"/>
        </w:rPr>
        <w:drawing>
          <wp:inline distT="0" distB="0" distL="0" distR="0" wp14:anchorId="67EE1829">
            <wp:extent cx="5219700" cy="2743200"/>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219700" cy="2743200"/>
                    </a:xfrm>
                    <a:prstGeom prst="rect">
                      <a:avLst/>
                    </a:prstGeom>
                    <a:noFill/>
                  </pic:spPr>
                </pic:pic>
              </a:graphicData>
            </a:graphic>
          </wp:inline>
        </w:drawing>
      </w:r>
    </w:p>
    <w:p w:rsidR="001B0587" w:rsidRPr="001B0587" w:rsidRDefault="001B0587" w:rsidP="0064610B">
      <w:pPr>
        <w:pStyle w:val="-111"/>
        <w:widowControl w:val="0"/>
        <w:rPr>
          <w:rFonts w:cs="Times New Roman"/>
          <w:b/>
          <w:sz w:val="23"/>
          <w:szCs w:val="23"/>
          <w:lang w:eastAsia="zh-CN"/>
        </w:rPr>
      </w:pPr>
    </w:p>
    <w:p w:rsidR="0064610B" w:rsidRPr="001B0587" w:rsidRDefault="00784C77" w:rsidP="0064610B">
      <w:pPr>
        <w:pStyle w:val="-10"/>
        <w:widowControl w:val="0"/>
        <w:rPr>
          <w:rFonts w:cs="Times New Roman"/>
          <w:bCs w:val="0"/>
          <w:sz w:val="23"/>
          <w:szCs w:val="23"/>
          <w:lang w:eastAsia="zh-CN"/>
        </w:rPr>
      </w:pPr>
      <w:r>
        <w:rPr>
          <w:rFonts w:cs="Times New Roman"/>
          <w:bCs w:val="0"/>
          <w:sz w:val="23"/>
          <w:szCs w:val="23"/>
          <w:lang w:eastAsia="zh-CN"/>
        </w:rPr>
        <w:t>Figure 3</w:t>
      </w:r>
      <w:r w:rsidR="0064610B" w:rsidRPr="001B0587">
        <w:rPr>
          <w:rFonts w:cs="Times New Roman"/>
          <w:bCs w:val="0"/>
          <w:sz w:val="23"/>
          <w:szCs w:val="23"/>
          <w:lang w:eastAsia="zh-CN"/>
        </w:rPr>
        <w:t>.2</w:t>
      </w:r>
      <w:r w:rsidR="00ED2DEB">
        <w:rPr>
          <w:rFonts w:cs="Times New Roman"/>
          <w:bCs w:val="0"/>
          <w:sz w:val="23"/>
          <w:szCs w:val="23"/>
          <w:lang w:eastAsia="zh-CN"/>
        </w:rPr>
        <w:t>7</w:t>
      </w:r>
      <w:r w:rsidR="001B0587" w:rsidRPr="001B0587">
        <w:rPr>
          <w:rFonts w:cs="Times New Roman"/>
          <w:bCs w:val="0"/>
          <w:sz w:val="23"/>
          <w:szCs w:val="23"/>
          <w:lang w:eastAsia="zh-CN"/>
        </w:rPr>
        <w:t>.</w:t>
      </w:r>
      <w:r w:rsidR="0064610B" w:rsidRPr="001B0587">
        <w:rPr>
          <w:rFonts w:cs="Times New Roman"/>
          <w:bCs w:val="0"/>
          <w:sz w:val="23"/>
          <w:szCs w:val="23"/>
          <w:lang w:eastAsia="zh-CN"/>
        </w:rPr>
        <w:t>NPV and breakeven oil prices (left)</w:t>
      </w:r>
      <w:r w:rsidR="0064610B" w:rsidRPr="001B0587">
        <w:rPr>
          <w:rFonts w:cs="Times New Roman" w:hint="eastAsia"/>
          <w:bCs w:val="0"/>
          <w:sz w:val="23"/>
          <w:szCs w:val="23"/>
          <w:lang w:eastAsia="zh-CN"/>
        </w:rPr>
        <w:t>,</w:t>
      </w:r>
      <w:r w:rsidR="0064610B" w:rsidRPr="001B0587">
        <w:rPr>
          <w:rFonts w:cs="Times New Roman"/>
          <w:bCs w:val="0"/>
          <w:sz w:val="23"/>
          <w:szCs w:val="23"/>
          <w:lang w:eastAsia="zh-CN"/>
        </w:rPr>
        <w:t xml:space="preserve"> and NPV/</w:t>
      </w:r>
      <w:bookmarkStart w:id="89" w:name="OLE_LINK3"/>
      <w:bookmarkStart w:id="90" w:name="OLE_LINK4"/>
      <w:r w:rsidR="0064610B" w:rsidRPr="001B0587">
        <w:rPr>
          <w:rFonts w:cs="Times New Roman"/>
          <w:bCs w:val="0"/>
          <w:sz w:val="23"/>
          <w:szCs w:val="23"/>
          <w:lang w:eastAsia="zh-CN"/>
        </w:rPr>
        <w:t>boe</w:t>
      </w:r>
      <w:bookmarkEnd w:id="89"/>
      <w:bookmarkEnd w:id="90"/>
      <w:r w:rsidR="0064610B" w:rsidRPr="001B0587">
        <w:rPr>
          <w:rFonts w:cs="Times New Roman"/>
          <w:bCs w:val="0"/>
          <w:sz w:val="23"/>
          <w:szCs w:val="23"/>
          <w:lang w:eastAsia="zh-CN"/>
        </w:rPr>
        <w:t xml:space="preserve"> and total Capex</w:t>
      </w:r>
      <w:r w:rsidR="0064610B" w:rsidRPr="001B0587">
        <w:rPr>
          <w:rFonts w:cs="Times New Roman" w:hint="eastAsia"/>
          <w:bCs w:val="0"/>
          <w:sz w:val="23"/>
          <w:szCs w:val="23"/>
          <w:lang w:eastAsia="zh-CN"/>
        </w:rPr>
        <w:t xml:space="preserve"> (right)</w:t>
      </w:r>
      <w:r w:rsidR="0064610B" w:rsidRPr="001B0587">
        <w:rPr>
          <w:rFonts w:cs="Times New Roman"/>
          <w:bCs w:val="0"/>
          <w:sz w:val="23"/>
          <w:szCs w:val="23"/>
          <w:lang w:eastAsia="zh-CN"/>
        </w:rPr>
        <w:t xml:space="preserve"> for deepwater GOM plays </w:t>
      </w:r>
      <w:r w:rsidR="005814BD">
        <w:rPr>
          <w:rFonts w:cs="Times New Roman"/>
          <w:bCs w:val="0"/>
          <w:sz w:val="23"/>
          <w:szCs w:val="23"/>
          <w:lang w:eastAsia="zh-CN"/>
        </w:rPr>
        <w:t>(Wood Mackenzie, 2014)</w:t>
      </w:r>
      <w:r w:rsidR="0064610B" w:rsidRPr="001B0587">
        <w:rPr>
          <w:rFonts w:cs="Times New Roman"/>
          <w:bCs w:val="0"/>
          <w:sz w:val="23"/>
          <w:szCs w:val="23"/>
          <w:lang w:eastAsia="zh-CN"/>
        </w:rPr>
        <w:t xml:space="preserve">. BOE = Barrel of Oil </w:t>
      </w:r>
      <w:r w:rsidR="003902AC" w:rsidRPr="001B0587">
        <w:rPr>
          <w:rFonts w:cs="Times New Roman"/>
          <w:bCs w:val="0"/>
          <w:sz w:val="23"/>
          <w:szCs w:val="23"/>
          <w:lang w:eastAsia="zh-CN"/>
        </w:rPr>
        <w:t>Equivalent</w:t>
      </w:r>
      <w:r w:rsidR="0064610B" w:rsidRPr="001B0587">
        <w:rPr>
          <w:rFonts w:cs="Times New Roman"/>
          <w:bCs w:val="0"/>
          <w:sz w:val="23"/>
          <w:szCs w:val="23"/>
          <w:lang w:eastAsia="zh-CN"/>
        </w:rPr>
        <w:t>, NPV = Net Present Value</w:t>
      </w:r>
    </w:p>
    <w:p w:rsidR="00D058D2" w:rsidRDefault="00D058D2">
      <w:pPr>
        <w:spacing w:line="240" w:lineRule="auto"/>
        <w:rPr>
          <w:rFonts w:ascii="Times New Roman" w:hAnsi="Times New Roman"/>
          <w:b/>
          <w:sz w:val="23"/>
          <w:szCs w:val="23"/>
          <w:lang w:eastAsia="zh-CN" w:bidi="ar-SA"/>
        </w:rPr>
      </w:pPr>
      <w:r>
        <w:rPr>
          <w:rFonts w:ascii="Times New Roman" w:hAnsi="Times New Roman"/>
          <w:b/>
          <w:sz w:val="23"/>
          <w:szCs w:val="23"/>
          <w:lang w:eastAsia="zh-CN" w:bidi="ar-SA"/>
        </w:rPr>
        <w:br w:type="page"/>
      </w:r>
    </w:p>
    <w:p w:rsidR="00467D87" w:rsidRDefault="00467D87" w:rsidP="00467D87">
      <w:pPr>
        <w:jc w:val="center"/>
        <w:rPr>
          <w:rFonts w:ascii="Times New Roman" w:eastAsia="+mn-ea" w:hAnsi="Times New Roman"/>
          <w:kern w:val="24"/>
        </w:rPr>
      </w:pPr>
      <w:r>
        <w:rPr>
          <w:rFonts w:ascii="Times New Roman" w:hAnsi="Times New Roman"/>
          <w:b/>
          <w:sz w:val="28"/>
          <w:szCs w:val="28"/>
        </w:rPr>
        <w:lastRenderedPageBreak/>
        <w:t>REFERENCES</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Bureau of Ocean Energy Management, Regulation and Enforcement (BOEMRE), Gulf of Mexico Oil and Gas Production Forecast: 2007-2016.</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 xml:space="preserve">Berman, A.E and J.H. Rosenfeld, 2007, </w:t>
      </w:r>
      <w:proofErr w:type="gramStart"/>
      <w:r w:rsidRPr="006273D5">
        <w:rPr>
          <w:rFonts w:ascii="Times New Roman" w:eastAsia="AGaramond-Regular" w:hAnsi="Times New Roman"/>
        </w:rPr>
        <w:t>A</w:t>
      </w:r>
      <w:proofErr w:type="gramEnd"/>
      <w:r w:rsidRPr="006273D5">
        <w:rPr>
          <w:rFonts w:ascii="Times New Roman" w:eastAsia="AGaramond-Regular" w:hAnsi="Times New Roman"/>
        </w:rPr>
        <w:t xml:space="preserve"> new depositional model for the deepwater Wiilcox-equivalent Whopper sand - changing the paradigm, World Oil, Vol. 228, No.6.</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Daly, M. and A. Hopwood, 2011, Upstream break-</w:t>
      </w:r>
      <w:proofErr w:type="gramStart"/>
      <w:r w:rsidRPr="006273D5">
        <w:rPr>
          <w:rFonts w:ascii="Times New Roman" w:eastAsia="AGaramond-Regular" w:hAnsi="Times New Roman"/>
        </w:rPr>
        <w:t>out,</w:t>
      </w:r>
      <w:proofErr w:type="gramEnd"/>
      <w:r w:rsidRPr="006273D5">
        <w:rPr>
          <w:rFonts w:ascii="Times New Roman" w:eastAsia="AGaramond-Regular" w:hAnsi="Times New Roman"/>
        </w:rPr>
        <w:t xml:space="preserve"> Longer term investments, BP 2011 Results and Strategy Presentation.</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Dooley, T. P., M. R. Hudec, and M. P. A. Jackson, 2012, the structure and evolution of sutures in allochthonous salt, AAPG Bulletin, v. 96, no. 6, pp. 1045–1070</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 xml:space="preserve">Haughton, P.D.W., 2000, </w:t>
      </w:r>
      <w:proofErr w:type="gramStart"/>
      <w:r w:rsidRPr="006273D5">
        <w:rPr>
          <w:rFonts w:ascii="Times New Roman" w:eastAsia="AGaramond-Regular" w:hAnsi="Times New Roman"/>
        </w:rPr>
        <w:t>Evolving</w:t>
      </w:r>
      <w:proofErr w:type="gramEnd"/>
      <w:r w:rsidRPr="006273D5">
        <w:rPr>
          <w:rFonts w:ascii="Times New Roman" w:eastAsia="AGaramond-Regular" w:hAnsi="Times New Roman"/>
        </w:rPr>
        <w:t xml:space="preserve"> turbidite systems on a deforming basin floor, Tabernas, SE Spain: Sedimentology, v. 47, p. 497–518.</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Halliburton's, 2010, Deepwater Gulf of Mexico Map, http://www.halliburton.com/public/solutions/contents/Deep_Water/related_docs/GOM_DWMap.pdf</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Lach J., 2010, IOR for Deepwater Gulf of Mexico, Improved Recovery: Phase I, RPSEA Project 1701 Final Report, pp. 1-329.</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 xml:space="preserve">Lewis, J., Clinch, S., Meyer, D., Lewis, J., Richards, M., Skirius, C., Stokes, R., and Zarra, L.   2007. Exploration and Appraisal Challenges in the Gulf of Mexico Deep-Water Wilcox: Part 1 – Exploration Overview, Reservoir Quality, and Seismic Imaging.  Presented at the 27th Annual   GCSSEPM Foundation Bob F. Perkins Research Conference, Houston, Texas, </w:t>
      </w:r>
      <w:proofErr w:type="gramStart"/>
      <w:r w:rsidRPr="006273D5">
        <w:rPr>
          <w:rFonts w:ascii="Times New Roman" w:eastAsia="AGaramond-Regular" w:hAnsi="Times New Roman"/>
        </w:rPr>
        <w:t>2</w:t>
      </w:r>
      <w:proofErr w:type="gramEnd"/>
      <w:r w:rsidRPr="006273D5">
        <w:rPr>
          <w:rFonts w:ascii="Times New Roman" w:eastAsia="AGaramond-Regular" w:hAnsi="Times New Roman"/>
        </w:rPr>
        <w:t xml:space="preserve">-5 December.   </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lastRenderedPageBreak/>
        <w:t xml:space="preserve">Mathur, V., 2008, </w:t>
      </w:r>
      <w:proofErr w:type="gramStart"/>
      <w:r w:rsidRPr="006273D5">
        <w:rPr>
          <w:rFonts w:ascii="Times New Roman" w:eastAsia="AGaramond-Regular" w:hAnsi="Times New Roman"/>
        </w:rPr>
        <w:t>The</w:t>
      </w:r>
      <w:proofErr w:type="gramEnd"/>
      <w:r w:rsidRPr="006273D5">
        <w:rPr>
          <w:rFonts w:ascii="Times New Roman" w:eastAsia="AGaramond-Regular" w:hAnsi="Times New Roman"/>
        </w:rPr>
        <w:t xml:space="preserve"> emerging Paleogene play: Deepwater Gulf of Mexico, 19th World Petroleum Congress, Spain 2008, Forum 01: New frontier exploration.</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 xml:space="preserve">Meyer, D., L. Zarra, D. Rains, B. Meltz and T. Hall, 2005, Emergence of the Lower Tertiary Wilcox trend in the deepwater Gulf of Mexico, World Oil, Vol. 226, </w:t>
      </w:r>
      <w:proofErr w:type="gramStart"/>
      <w:r w:rsidRPr="006273D5">
        <w:rPr>
          <w:rFonts w:ascii="Times New Roman" w:eastAsia="AGaramond-Regular" w:hAnsi="Times New Roman"/>
        </w:rPr>
        <w:t>No.5</w:t>
      </w:r>
      <w:proofErr w:type="gramEnd"/>
      <w:r w:rsidRPr="006273D5">
        <w:rPr>
          <w:rFonts w:ascii="Times New Roman" w:eastAsia="AGaramond-Regular" w:hAnsi="Times New Roman"/>
        </w:rPr>
        <w:t>.</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Mount, V. S., K. Dull, and S. Mentemeier, 2007, Structural style and evolution of traps in the Paleogene play, deepwater Gulf of Mexico, in L. Kennan, J. Pindell, and N. C. Rosen, eds., The Paleogene of the Gulf of Mexico and Caribbean basins: Processes, events, and petroleum systems: Proceedings of the SEPM Gulf Coast Section, 27th Annual Research Conference, Houston, Texas, p. 54–80.</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Pilcher, R.S., B. Kilsdonk, J. Trude, , 2011, Primary basins and their boundaries in the deep-water northern Gulf of Mexico: Origin, trap types, and petroleum system implications, AAPG Bulletin, V. 95, No. 2, P. 219–240.</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Pyles, D.R., J.P.M. Syvitski, R.M. Slatt, 2011, Defining the concept of stratigraphic grade and applying it to stratal (reservoir) architecture and evolution of the slope-to-basin profile: An outcrop perspective: Marine and Petroleum Geology, 28(3), p. 675-697.</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Sawyer, 2006, Seismic geomorphology, lithology, and evolution of the late Pleistocene Mars-Ursa turbidite region, Mississippi Canyon area, northern Gulf of Mexico, Master Thesis of the Pennsylvanian State University, pp. 1-200.</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proofErr w:type="gramStart"/>
      <w:r w:rsidRPr="006273D5">
        <w:rPr>
          <w:rFonts w:ascii="Times New Roman" w:eastAsia="AGaramond-Regular" w:hAnsi="Times New Roman"/>
        </w:rPr>
        <w:t>SEPM STRATA Website, Deepwater Element Architect, http://www.sepmstrata.org-/page.aspx?pageid=39.</w:t>
      </w:r>
      <w:proofErr w:type="gramEnd"/>
    </w:p>
    <w:p w:rsidR="00B16F7A" w:rsidRPr="006273D5" w:rsidRDefault="00B16F7A" w:rsidP="006273D5">
      <w:pPr>
        <w:autoSpaceDE w:val="0"/>
        <w:autoSpaceDN w:val="0"/>
        <w:adjustRightInd w:val="0"/>
        <w:ind w:left="720" w:hangingChars="300" w:hanging="720"/>
        <w:rPr>
          <w:rFonts w:ascii="Times New Roman" w:eastAsia="AGaramond-Regular" w:hAnsi="Times New Roman"/>
        </w:rPr>
      </w:pPr>
      <w:proofErr w:type="gramStart"/>
      <w:r w:rsidRPr="006273D5">
        <w:rPr>
          <w:rFonts w:ascii="Times New Roman" w:eastAsia="AGaramond-Regular" w:hAnsi="Times New Roman"/>
        </w:rPr>
        <w:lastRenderedPageBreak/>
        <w:t>Siegele, P., 2007, Deepwater Gulf of Mexico presentation in Merrill Lynch global energy conference, Chevron Corporation.</w:t>
      </w:r>
      <w:proofErr w:type="gramEnd"/>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Shaker, 2008, Dirty vs. clean salt: their impact on the subsalt Wilcox deepwater exploration plays, Gulf Coast Association of Geological Societies Transactions, v. 59, p. 689-696.</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 xml:space="preserve">Slatt, R.M., C.G. Stone, and P. Weimer, 2000, Characterization of slope and basin facies tracts, </w:t>
      </w:r>
      <w:r w:rsidRPr="006273D5">
        <w:rPr>
          <w:rFonts w:ascii="Times New Roman" w:eastAsia="AGaramond-Regular" w:hAnsi="Times New Roman"/>
        </w:rPr>
        <w:tab/>
        <w:t xml:space="preserve">Jackfork Group, Arkansas, with applications to deepwater (turbidite) reservoir management, in Weimer, P., Slatt, R.M., Coleman, J. L. Jr. and., Bouma, A.H (eds.),  Deep-water reservoirs of the world, Gulf Coast Sect. Soc. Econ. </w:t>
      </w:r>
      <w:proofErr w:type="gramStart"/>
      <w:r w:rsidRPr="006273D5">
        <w:rPr>
          <w:rFonts w:ascii="Times New Roman" w:eastAsia="AGaramond-Regular" w:hAnsi="Times New Roman"/>
        </w:rPr>
        <w:t>Paleon.</w:t>
      </w:r>
      <w:proofErr w:type="gramEnd"/>
      <w:r w:rsidRPr="006273D5">
        <w:rPr>
          <w:rFonts w:ascii="Times New Roman" w:eastAsia="AGaramond-Regular" w:hAnsi="Times New Roman"/>
        </w:rPr>
        <w:t xml:space="preserve"> </w:t>
      </w:r>
      <w:proofErr w:type="gramStart"/>
      <w:r w:rsidRPr="006273D5">
        <w:rPr>
          <w:rFonts w:ascii="Times New Roman" w:eastAsia="AGaramond-Regular" w:hAnsi="Times New Roman"/>
        </w:rPr>
        <w:t>&amp; Mineral.</w:t>
      </w:r>
      <w:proofErr w:type="gramEnd"/>
      <w:r w:rsidRPr="006273D5">
        <w:rPr>
          <w:rFonts w:ascii="Times New Roman" w:eastAsia="AGaramond-Regular" w:hAnsi="Times New Roman"/>
        </w:rPr>
        <w:t xml:space="preserve"> </w:t>
      </w:r>
      <w:r w:rsidRPr="006273D5">
        <w:rPr>
          <w:rFonts w:ascii="Times New Roman" w:eastAsia="AGaramond-Regular" w:hAnsi="Times New Roman"/>
        </w:rPr>
        <w:tab/>
        <w:t>Found. 20th Ann. B.F. Perkins Research Conference, p. 940-980.</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 xml:space="preserve">Sullivan, M. D., J. L. Foreman, D. C. Jennette, D. Stern, G. N. Jensen, and F. J. Goulding, 2004, </w:t>
      </w:r>
      <w:r w:rsidRPr="006273D5">
        <w:rPr>
          <w:rFonts w:ascii="Times New Roman" w:eastAsia="AGaramond-Regular" w:hAnsi="Times New Roman"/>
        </w:rPr>
        <w:tab/>
        <w:t xml:space="preserve">An integrated approach to characterization and modeling of deep-water reservoirs, Diana </w:t>
      </w:r>
      <w:r w:rsidRPr="006273D5">
        <w:rPr>
          <w:rFonts w:ascii="Times New Roman" w:eastAsia="AGaramond-Regular" w:hAnsi="Times New Roman"/>
        </w:rPr>
        <w:tab/>
        <w:t xml:space="preserve">field, western Gulf of Mexico, in Integration of outcrop and modern analogs in reservoir </w:t>
      </w:r>
      <w:r w:rsidRPr="006273D5">
        <w:rPr>
          <w:rFonts w:ascii="Times New Roman" w:eastAsia="AGaramond-Regular" w:hAnsi="Times New Roman"/>
        </w:rPr>
        <w:tab/>
        <w:t>modeling: AAPG Memoir 80, p. 215–234.</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Swanston, A. M., M. D. Mathias, and C. A. Barker, 2011, Subsalt Exploration and Development: Wide-azimuth TTI imaging at Tahiti: Reducing structural uncertainty of a major deepwater subsalt field, Geophysics, September, v. 76, p. WB67-WB78</w:t>
      </w:r>
    </w:p>
    <w:p w:rsidR="00B16F7A"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t xml:space="preserve">Thurston, S., 2011, Chevron Overview: OE, Global Upstream and Deepwater Gulf of Mexico, Citigroup Deepwater Houston Tour, </w:t>
      </w:r>
      <w:proofErr w:type="gramStart"/>
      <w:r w:rsidRPr="006273D5">
        <w:rPr>
          <w:rFonts w:ascii="Times New Roman" w:eastAsia="AGaramond-Regular" w:hAnsi="Times New Roman"/>
        </w:rPr>
        <w:t>Houston</w:t>
      </w:r>
      <w:proofErr w:type="gramEnd"/>
      <w:r w:rsidRPr="006273D5">
        <w:rPr>
          <w:rFonts w:ascii="Times New Roman" w:eastAsia="AGaramond-Regular" w:hAnsi="Times New Roman"/>
        </w:rPr>
        <w:t>, TX.</w:t>
      </w:r>
    </w:p>
    <w:p w:rsidR="004945A5" w:rsidRPr="006273D5" w:rsidRDefault="00B16F7A" w:rsidP="006273D5">
      <w:pPr>
        <w:autoSpaceDE w:val="0"/>
        <w:autoSpaceDN w:val="0"/>
        <w:adjustRightInd w:val="0"/>
        <w:ind w:left="720" w:hangingChars="300" w:hanging="720"/>
        <w:rPr>
          <w:rFonts w:ascii="Times New Roman" w:eastAsia="AGaramond-Regular" w:hAnsi="Times New Roman"/>
        </w:rPr>
      </w:pPr>
      <w:r w:rsidRPr="006273D5">
        <w:rPr>
          <w:rFonts w:ascii="Times New Roman" w:eastAsia="AGaramond-Regular" w:hAnsi="Times New Roman"/>
        </w:rPr>
        <w:lastRenderedPageBreak/>
        <w:t>Zou, F., R.M. Slatt, R. Bastidas, and B. Ramirez, 2012, Integrated outcrop reservoir characterization, modeling, and simulation of the Jackfork Group at the Baumgartner Quarry area, western Arkansas: Implications to Gulf of Mexico deep-water exploration and production, AAPG Bulletin, vol. 96, no. 8 (August 2012), pp. 1429-1448.</w:t>
      </w:r>
    </w:p>
    <w:p w:rsidR="004945A5" w:rsidRPr="006273D5" w:rsidRDefault="004945A5" w:rsidP="006273D5">
      <w:pPr>
        <w:autoSpaceDE w:val="0"/>
        <w:autoSpaceDN w:val="0"/>
        <w:adjustRightInd w:val="0"/>
        <w:ind w:left="720" w:hangingChars="300" w:hanging="720"/>
        <w:rPr>
          <w:rFonts w:ascii="Times New Roman" w:eastAsia="AGaramond-Regular" w:hAnsi="Times New Roman"/>
        </w:rPr>
      </w:pPr>
    </w:p>
    <w:p w:rsidR="00722CBD" w:rsidRPr="006273D5" w:rsidRDefault="00722CBD">
      <w:pPr>
        <w:spacing w:line="240" w:lineRule="auto"/>
        <w:rPr>
          <w:lang w:eastAsia="zh-CN"/>
        </w:rPr>
      </w:pPr>
    </w:p>
    <w:p w:rsidR="00B16F7A" w:rsidRPr="006273D5" w:rsidRDefault="00B16F7A">
      <w:pPr>
        <w:spacing w:line="240" w:lineRule="auto"/>
        <w:rPr>
          <w:lang w:eastAsia="zh-CN"/>
        </w:rPr>
      </w:pPr>
    </w:p>
    <w:p w:rsidR="00B16F7A" w:rsidRPr="006273D5" w:rsidRDefault="00B16F7A">
      <w:pPr>
        <w:spacing w:line="240" w:lineRule="auto"/>
        <w:rPr>
          <w:lang w:eastAsia="zh-CN"/>
        </w:rPr>
      </w:pPr>
      <w:r w:rsidRPr="006273D5">
        <w:rPr>
          <w:lang w:eastAsia="zh-CN"/>
        </w:rPr>
        <w:br w:type="page"/>
      </w:r>
    </w:p>
    <w:p w:rsidR="00932CD3" w:rsidRDefault="00226774" w:rsidP="00932CD3">
      <w:pPr>
        <w:jc w:val="center"/>
        <w:rPr>
          <w:rFonts w:ascii="Times New Roman" w:hAnsi="Times New Roman"/>
          <w:b/>
          <w:sz w:val="28"/>
          <w:szCs w:val="28"/>
        </w:rPr>
      </w:pPr>
      <w:r>
        <w:rPr>
          <w:rFonts w:ascii="Times New Roman" w:hAnsi="Times New Roman"/>
          <w:b/>
          <w:sz w:val="28"/>
          <w:szCs w:val="28"/>
        </w:rPr>
        <w:lastRenderedPageBreak/>
        <w:t>Chapter 4</w:t>
      </w:r>
      <w:r w:rsidR="00B040F9" w:rsidRPr="00653F74">
        <w:rPr>
          <w:b/>
          <w:sz w:val="28"/>
          <w:szCs w:val="28"/>
        </w:rPr>
        <w:t>:</w:t>
      </w:r>
      <w:r w:rsidR="00B040F9" w:rsidRPr="00370BBA">
        <w:rPr>
          <w:rFonts w:ascii="Times New Roman" w:hAnsi="Times New Roman"/>
          <w:b/>
          <w:sz w:val="28"/>
          <w:szCs w:val="28"/>
        </w:rPr>
        <w:t xml:space="preserve"> Relationship</w:t>
      </w:r>
      <w:r w:rsidR="00370BBA" w:rsidRPr="00370BBA">
        <w:rPr>
          <w:rFonts w:ascii="Times New Roman" w:hAnsi="Times New Roman"/>
          <w:b/>
          <w:sz w:val="28"/>
          <w:szCs w:val="28"/>
        </w:rPr>
        <w:t xml:space="preserve"> between Bioturbation, Microfacies and Chemostratigraphy, and Its Implication on the Sequence Stratigraphic Framework of the Woodford Shale, Oklahoma</w:t>
      </w:r>
      <w:r w:rsidR="001849E0">
        <w:rPr>
          <w:rFonts w:ascii="Times New Roman" w:hAnsi="Times New Roman"/>
          <w:b/>
          <w:sz w:val="28"/>
          <w:szCs w:val="28"/>
        </w:rPr>
        <w:t>*</w:t>
      </w:r>
    </w:p>
    <w:p w:rsidR="005607FB" w:rsidRDefault="005607FB" w:rsidP="00932CD3">
      <w:pPr>
        <w:jc w:val="center"/>
        <w:rPr>
          <w:rFonts w:ascii="Times New Roman" w:hAnsi="Times New Roman"/>
          <w:b/>
          <w:sz w:val="28"/>
          <w:szCs w:val="28"/>
        </w:rPr>
      </w:pPr>
    </w:p>
    <w:p w:rsidR="00370BBA" w:rsidRDefault="00370BBA" w:rsidP="00370BBA">
      <w:pPr>
        <w:autoSpaceDE w:val="0"/>
        <w:autoSpaceDN w:val="0"/>
        <w:adjustRightInd w:val="0"/>
        <w:snapToGrid w:val="0"/>
        <w:rPr>
          <w:rFonts w:ascii="Times New Roman" w:hAnsi="Times New Roman"/>
          <w:lang w:eastAsia="zh-CN"/>
        </w:rPr>
      </w:pPr>
      <w:r w:rsidRPr="006A26A5">
        <w:rPr>
          <w:rFonts w:ascii="Times New Roman" w:hAnsi="Times New Roman"/>
        </w:rPr>
        <w:t>Fuge Zou</w:t>
      </w:r>
      <w:r w:rsidRPr="004948F3">
        <w:rPr>
          <w:rFonts w:ascii="Times New Roman" w:hAnsi="Times New Roman"/>
          <w:vertAlign w:val="superscript"/>
        </w:rPr>
        <w:t>1</w:t>
      </w:r>
      <w:proofErr w:type="gramStart"/>
      <w:r>
        <w:rPr>
          <w:rFonts w:ascii="Times New Roman" w:hAnsi="Times New Roman"/>
          <w:vertAlign w:val="superscript"/>
        </w:rPr>
        <w:t>,2</w:t>
      </w:r>
      <w:proofErr w:type="gramEnd"/>
      <w:r>
        <w:rPr>
          <w:rFonts w:ascii="Times New Roman" w:hAnsi="Times New Roman"/>
        </w:rPr>
        <w:t>,</w:t>
      </w:r>
      <w:r w:rsidRPr="006A26A5">
        <w:rPr>
          <w:rFonts w:ascii="Times New Roman" w:hAnsi="Times New Roman"/>
        </w:rPr>
        <w:t xml:space="preserve"> Roger Slatt</w:t>
      </w:r>
      <w:r>
        <w:rPr>
          <w:rFonts w:ascii="Times New Roman" w:hAnsi="Times New Roman" w:hint="eastAsia"/>
          <w:vertAlign w:val="superscript"/>
          <w:lang w:eastAsia="zh-CN"/>
        </w:rPr>
        <w:t>1</w:t>
      </w:r>
    </w:p>
    <w:p w:rsidR="00370BBA" w:rsidRPr="004948F3" w:rsidRDefault="00370BBA" w:rsidP="00370BBA">
      <w:pPr>
        <w:autoSpaceDE w:val="0"/>
        <w:autoSpaceDN w:val="0"/>
        <w:adjustRightInd w:val="0"/>
        <w:snapToGrid w:val="0"/>
        <w:rPr>
          <w:rFonts w:ascii="Times New Roman" w:hAnsi="Times New Roman"/>
        </w:rPr>
      </w:pPr>
      <w:r w:rsidRPr="004948F3">
        <w:rPr>
          <w:rFonts w:ascii="Times New Roman" w:hAnsi="Times New Roman"/>
          <w:vertAlign w:val="superscript"/>
        </w:rPr>
        <w:t>1</w:t>
      </w:r>
      <w:r w:rsidRPr="004948F3">
        <w:rPr>
          <w:rFonts w:ascii="Times New Roman" w:hAnsi="Times New Roman"/>
        </w:rPr>
        <w:t xml:space="preserve">ConocoPhillips School of Geology and Geophysics, University of Oklahoma, Norman, Oklahoma </w:t>
      </w:r>
    </w:p>
    <w:p w:rsidR="00370BBA" w:rsidRDefault="00370BBA" w:rsidP="00370BBA">
      <w:pPr>
        <w:autoSpaceDE w:val="0"/>
        <w:autoSpaceDN w:val="0"/>
        <w:adjustRightInd w:val="0"/>
        <w:snapToGrid w:val="0"/>
        <w:rPr>
          <w:rFonts w:ascii="Times New Roman" w:hAnsi="Times New Roman"/>
        </w:rPr>
      </w:pPr>
      <w:r w:rsidRPr="004948F3">
        <w:rPr>
          <w:rFonts w:ascii="Times New Roman" w:hAnsi="Times New Roman"/>
          <w:vertAlign w:val="superscript"/>
        </w:rPr>
        <w:t>2</w:t>
      </w:r>
      <w:r w:rsidRPr="00176FC4">
        <w:rPr>
          <w:rFonts w:ascii="Times New Roman" w:hAnsi="Times New Roman"/>
        </w:rPr>
        <w:t xml:space="preserve">Marathon Oil Company, </w:t>
      </w:r>
      <w:r w:rsidR="005A5FD4">
        <w:rPr>
          <w:rFonts w:ascii="Times New Roman" w:hAnsi="Times New Roman" w:hint="eastAsia"/>
          <w:lang w:eastAsia="zh-CN"/>
        </w:rPr>
        <w:t xml:space="preserve">Oklahoma City, </w:t>
      </w:r>
      <w:r w:rsidR="005A5FD4">
        <w:rPr>
          <w:rFonts w:ascii="Times New Roman" w:hAnsi="Times New Roman"/>
          <w:lang w:eastAsia="zh-CN"/>
        </w:rPr>
        <w:t>Oklahoma</w:t>
      </w:r>
    </w:p>
    <w:p w:rsidR="001849E0" w:rsidRDefault="001849E0" w:rsidP="00370BBA">
      <w:pPr>
        <w:autoSpaceDE w:val="0"/>
        <w:autoSpaceDN w:val="0"/>
        <w:adjustRightInd w:val="0"/>
        <w:snapToGrid w:val="0"/>
        <w:rPr>
          <w:rFonts w:ascii="Times New Roman" w:hAnsi="Times New Roman"/>
        </w:rPr>
      </w:pPr>
    </w:p>
    <w:p w:rsidR="001849E0" w:rsidRDefault="001849E0" w:rsidP="001849E0">
      <w:pPr>
        <w:autoSpaceDE w:val="0"/>
        <w:autoSpaceDN w:val="0"/>
        <w:adjustRightInd w:val="0"/>
        <w:snapToGrid w:val="0"/>
        <w:rPr>
          <w:rFonts w:ascii="Times New Roman" w:hAnsi="Times New Roman"/>
          <w:i/>
          <w:sz w:val="22"/>
          <w:lang w:eastAsia="zh-CN"/>
        </w:rPr>
      </w:pPr>
      <w:r w:rsidRPr="00A63FBF">
        <w:rPr>
          <w:rFonts w:ascii="Times New Roman" w:hAnsi="Times New Roman"/>
          <w:i/>
          <w:sz w:val="22"/>
        </w:rPr>
        <w:t>*</w:t>
      </w:r>
      <w:r>
        <w:rPr>
          <w:rFonts w:ascii="Times New Roman" w:hAnsi="Times New Roman"/>
          <w:i/>
          <w:sz w:val="22"/>
        </w:rPr>
        <w:t>Part of this chapter</w:t>
      </w:r>
      <w:r w:rsidRPr="00A63FBF">
        <w:rPr>
          <w:rFonts w:ascii="Times New Roman" w:hAnsi="Times New Roman"/>
          <w:i/>
          <w:sz w:val="22"/>
        </w:rPr>
        <w:t xml:space="preserve"> has been </w:t>
      </w:r>
      <w:r w:rsidR="00827C55">
        <w:rPr>
          <w:rFonts w:ascii="Times New Roman" w:hAnsi="Times New Roman" w:hint="eastAsia"/>
          <w:i/>
          <w:sz w:val="22"/>
          <w:lang w:eastAsia="zh-CN"/>
        </w:rPr>
        <w:t>accepted by</w:t>
      </w:r>
      <w:r>
        <w:rPr>
          <w:rFonts w:ascii="Times New Roman" w:hAnsi="Times New Roman"/>
          <w:i/>
          <w:sz w:val="22"/>
          <w:lang w:eastAsia="zh-CN"/>
        </w:rPr>
        <w:t>:</w:t>
      </w:r>
    </w:p>
    <w:p w:rsidR="001849E0" w:rsidRDefault="001849E0" w:rsidP="001849E0">
      <w:pPr>
        <w:autoSpaceDE w:val="0"/>
        <w:autoSpaceDN w:val="0"/>
        <w:adjustRightInd w:val="0"/>
        <w:snapToGrid w:val="0"/>
        <w:rPr>
          <w:rFonts w:ascii="Times New Roman" w:hAnsi="Times New Roman"/>
          <w:b/>
          <w:i/>
          <w:sz w:val="22"/>
          <w:lang w:eastAsia="zh-CN"/>
        </w:rPr>
      </w:pPr>
      <w:r>
        <w:rPr>
          <w:rFonts w:ascii="Times New Roman" w:hAnsi="Times New Roman"/>
          <w:b/>
          <w:i/>
          <w:sz w:val="22"/>
          <w:lang w:eastAsia="zh-CN"/>
        </w:rPr>
        <w:t xml:space="preserve">Unconventional Resources Technology </w:t>
      </w:r>
      <w:proofErr w:type="gramStart"/>
      <w:r>
        <w:rPr>
          <w:rFonts w:ascii="Times New Roman" w:hAnsi="Times New Roman"/>
          <w:b/>
          <w:i/>
          <w:sz w:val="22"/>
          <w:lang w:eastAsia="zh-CN"/>
        </w:rPr>
        <w:t>Conference  (</w:t>
      </w:r>
      <w:proofErr w:type="gramEnd"/>
      <w:r>
        <w:rPr>
          <w:rFonts w:ascii="Times New Roman" w:hAnsi="Times New Roman"/>
          <w:b/>
          <w:i/>
          <w:sz w:val="22"/>
          <w:lang w:eastAsia="zh-CN"/>
        </w:rPr>
        <w:t>UrTEC) 2015,July 20-22, San Antonio, Texas.</w:t>
      </w:r>
    </w:p>
    <w:p w:rsidR="001849E0" w:rsidRPr="00F1517E" w:rsidRDefault="001849E0" w:rsidP="001849E0">
      <w:pPr>
        <w:autoSpaceDE w:val="0"/>
        <w:autoSpaceDN w:val="0"/>
        <w:adjustRightInd w:val="0"/>
        <w:snapToGrid w:val="0"/>
        <w:rPr>
          <w:rFonts w:ascii="Times New Roman" w:hAnsi="Times New Roman"/>
          <w:sz w:val="22"/>
        </w:rPr>
      </w:pPr>
      <w:r>
        <w:rPr>
          <w:rFonts w:ascii="Times New Roman" w:hAnsi="Times New Roman"/>
          <w:i/>
          <w:sz w:val="22"/>
          <w:lang w:eastAsia="zh-CN"/>
        </w:rPr>
        <w:t>This paper is also going to be submitted</w:t>
      </w:r>
      <w:r w:rsidR="00F1517E">
        <w:rPr>
          <w:rFonts w:ascii="Times New Roman" w:hAnsi="Times New Roman"/>
          <w:i/>
          <w:sz w:val="22"/>
          <w:lang w:eastAsia="zh-CN"/>
        </w:rPr>
        <w:t xml:space="preserve"> to </w:t>
      </w:r>
      <w:r>
        <w:rPr>
          <w:rFonts w:ascii="Times New Roman" w:hAnsi="Times New Roman"/>
          <w:b/>
          <w:i/>
          <w:sz w:val="22"/>
        </w:rPr>
        <w:t>AAPG Bulletin</w:t>
      </w:r>
      <w:r w:rsidR="00D058D2">
        <w:rPr>
          <w:rFonts w:ascii="Times New Roman" w:hAnsi="Times New Roman"/>
          <w:b/>
          <w:i/>
          <w:sz w:val="22"/>
        </w:rPr>
        <w:t xml:space="preserve"> </w:t>
      </w:r>
      <w:r w:rsidR="00F1517E">
        <w:rPr>
          <w:rFonts w:ascii="Times New Roman" w:hAnsi="Times New Roman"/>
          <w:i/>
          <w:sz w:val="22"/>
        </w:rPr>
        <w:t>after final editing and permission from Marathon Oil</w:t>
      </w:r>
    </w:p>
    <w:p w:rsidR="001849E0" w:rsidRDefault="001849E0" w:rsidP="00370BBA">
      <w:pPr>
        <w:autoSpaceDE w:val="0"/>
        <w:autoSpaceDN w:val="0"/>
        <w:adjustRightInd w:val="0"/>
        <w:snapToGrid w:val="0"/>
        <w:rPr>
          <w:rFonts w:ascii="Times New Roman" w:hAnsi="Times New Roman"/>
        </w:rPr>
      </w:pPr>
    </w:p>
    <w:p w:rsidR="00932CD3" w:rsidRPr="00B519AB" w:rsidRDefault="00932CD3" w:rsidP="00932CD3">
      <w:pPr>
        <w:jc w:val="center"/>
        <w:rPr>
          <w:rFonts w:ascii="Times New Roman" w:hAnsi="Times New Roman"/>
          <w:b/>
        </w:rPr>
      </w:pPr>
      <w:r>
        <w:rPr>
          <w:rFonts w:ascii="Times New Roman" w:hAnsi="Times New Roman"/>
          <w:b/>
        </w:rPr>
        <w:t>ABSTRACT</w:t>
      </w:r>
    </w:p>
    <w:p w:rsidR="0056663A" w:rsidRPr="00F74C3D" w:rsidRDefault="006020E6" w:rsidP="007443F4">
      <w:pPr>
        <w:rPr>
          <w:rFonts w:eastAsia="AdvEPSTIM"/>
          <w:lang w:eastAsia="zh-CN"/>
        </w:rPr>
      </w:pPr>
      <w:r>
        <w:rPr>
          <w:rFonts w:eastAsia="AdvEPSTIM"/>
          <w:lang w:eastAsia="zh-CN"/>
        </w:rPr>
        <w:tab/>
      </w:r>
      <w:r w:rsidR="0056663A" w:rsidRPr="00F74C3D">
        <w:rPr>
          <w:rFonts w:eastAsia="AdvEPSTIM" w:hint="eastAsia"/>
          <w:lang w:eastAsia="zh-CN"/>
        </w:rPr>
        <w:t xml:space="preserve">The </w:t>
      </w:r>
      <w:r w:rsidR="0056663A" w:rsidRPr="00F74C3D">
        <w:rPr>
          <w:rFonts w:eastAsia="AdvEPSTIM"/>
          <w:lang w:eastAsia="zh-CN"/>
        </w:rPr>
        <w:t>nanoscale</w:t>
      </w:r>
      <w:r w:rsidR="00841B6D">
        <w:rPr>
          <w:rFonts w:eastAsia="AdvEPSTIM" w:hint="eastAsia"/>
          <w:lang w:eastAsia="zh-CN"/>
        </w:rPr>
        <w:t xml:space="preserve"> porosit</w:t>
      </w:r>
      <w:r w:rsidR="00841B6D">
        <w:rPr>
          <w:rFonts w:eastAsia="AdvEPSTIM"/>
          <w:lang w:eastAsia="zh-CN"/>
        </w:rPr>
        <w:t>ies</w:t>
      </w:r>
      <w:r w:rsidR="0056663A" w:rsidRPr="00F74C3D">
        <w:rPr>
          <w:rFonts w:eastAsia="AdvEPSTIM" w:hint="eastAsia"/>
          <w:lang w:eastAsia="zh-CN"/>
        </w:rPr>
        <w:t xml:space="preserve"> in shales have been widely studied by industry with emphasis on</w:t>
      </w:r>
      <w:r w:rsidR="00D058D2">
        <w:rPr>
          <w:rFonts w:eastAsia="AdvEPSTIM"/>
          <w:lang w:eastAsia="zh-CN"/>
        </w:rPr>
        <w:t xml:space="preserve"> </w:t>
      </w:r>
      <w:r w:rsidR="007443F4" w:rsidRPr="00F74C3D">
        <w:rPr>
          <w:rFonts w:eastAsia="AdvEPSTIM"/>
          <w:lang w:eastAsia="zh-CN"/>
        </w:rPr>
        <w:t>organo-porosity</w:t>
      </w:r>
      <w:r w:rsidR="00D058D2">
        <w:rPr>
          <w:rFonts w:eastAsia="AdvEPSTIM"/>
          <w:lang w:eastAsia="zh-CN"/>
        </w:rPr>
        <w:t xml:space="preserve"> </w:t>
      </w:r>
      <w:r w:rsidR="0056663A" w:rsidRPr="00F74C3D">
        <w:rPr>
          <w:rFonts w:eastAsia="AdvEPSTIM"/>
          <w:lang w:eastAsia="zh-CN"/>
        </w:rPr>
        <w:t>and its significant in migration (and generation) of hydrocarbons.</w:t>
      </w:r>
      <w:r w:rsidR="0056663A" w:rsidRPr="00F74C3D">
        <w:rPr>
          <w:rFonts w:eastAsia="AdvEPSTIM" w:hint="eastAsia"/>
          <w:lang w:eastAsia="zh-CN"/>
        </w:rPr>
        <w:t xml:space="preserve"> However, </w:t>
      </w:r>
      <w:r w:rsidR="00314D32">
        <w:rPr>
          <w:rFonts w:eastAsia="AdvEPSTIM" w:hint="eastAsia"/>
          <w:lang w:eastAsia="zh-CN"/>
        </w:rPr>
        <w:t xml:space="preserve">less </w:t>
      </w:r>
      <w:r w:rsidR="0056663A" w:rsidRPr="00F74C3D">
        <w:rPr>
          <w:rFonts w:eastAsia="AdvEPSTIM"/>
          <w:lang w:eastAsia="zh-CN"/>
        </w:rPr>
        <w:t xml:space="preserve">attention is paid to the next scale up, which would include burrows to provide </w:t>
      </w:r>
      <w:r w:rsidR="0068436E" w:rsidRPr="00F74C3D">
        <w:rPr>
          <w:rFonts w:eastAsia="AdvEPSTIM" w:hint="eastAsia"/>
          <w:lang w:eastAsia="zh-CN"/>
        </w:rPr>
        <w:t xml:space="preserve">potential </w:t>
      </w:r>
      <w:r w:rsidR="0056663A" w:rsidRPr="00F74C3D">
        <w:rPr>
          <w:rFonts w:eastAsia="AdvEPSTIM"/>
          <w:lang w:eastAsia="zh-CN"/>
        </w:rPr>
        <w:t>migration</w:t>
      </w:r>
      <w:r w:rsidR="00D058D2">
        <w:rPr>
          <w:rFonts w:eastAsia="AdvEPSTIM"/>
          <w:lang w:eastAsia="zh-CN"/>
        </w:rPr>
        <w:t xml:space="preserve"> </w:t>
      </w:r>
      <w:r w:rsidR="0056663A" w:rsidRPr="00F74C3D">
        <w:rPr>
          <w:rFonts w:eastAsia="AdvEPSTIM"/>
          <w:lang w:eastAsia="zh-CN"/>
        </w:rPr>
        <w:t>pathways.</w:t>
      </w:r>
      <w:r w:rsidR="00D058D2">
        <w:rPr>
          <w:rFonts w:eastAsia="AdvEPSTIM"/>
          <w:lang w:eastAsia="zh-CN"/>
        </w:rPr>
        <w:t xml:space="preserve"> </w:t>
      </w:r>
      <w:r w:rsidR="0056663A" w:rsidRPr="00F74C3D">
        <w:rPr>
          <w:rFonts w:eastAsia="AdvEPSTIM"/>
          <w:lang w:eastAsia="zh-CN"/>
        </w:rPr>
        <w:t xml:space="preserve">The original intent of the work was to evaluate whether burrows were sufficiently abundant and interconnected to provide permeability pathways at the scale of </w:t>
      </w:r>
      <w:r w:rsidR="006429D7">
        <w:rPr>
          <w:rFonts w:eastAsia="AdvEPSTIM"/>
          <w:lang w:eastAsia="zh-CN"/>
        </w:rPr>
        <w:t xml:space="preserve">the burrows. </w:t>
      </w:r>
      <w:r w:rsidR="00A428C4">
        <w:rPr>
          <w:rFonts w:eastAsia="AdvEPSTIM"/>
          <w:lang w:eastAsia="zh-CN"/>
        </w:rPr>
        <w:t xml:space="preserve">The final goal turned out to be comparing all the bioturbation types and abundance </w:t>
      </w:r>
      <w:r w:rsidR="00C1374C">
        <w:rPr>
          <w:rFonts w:eastAsia="AdvEPSTIM"/>
          <w:lang w:eastAsia="zh-CN"/>
        </w:rPr>
        <w:t>to</w:t>
      </w:r>
      <w:r w:rsidR="00A428C4">
        <w:rPr>
          <w:rFonts w:eastAsia="AdvEPSTIM"/>
          <w:lang w:eastAsia="zh-CN"/>
        </w:rPr>
        <w:t xml:space="preserve"> reservoir properties.</w:t>
      </w:r>
    </w:p>
    <w:p w:rsidR="00BA292B" w:rsidRPr="00AF31FF" w:rsidRDefault="00BA292B" w:rsidP="00A428C4">
      <w:pPr>
        <w:ind w:firstLine="720"/>
        <w:rPr>
          <w:rFonts w:eastAsia="AdvEPSTIM"/>
        </w:rPr>
      </w:pPr>
      <w:r w:rsidRPr="00AF31FF">
        <w:rPr>
          <w:rFonts w:eastAsia="AdvEPSTIM"/>
        </w:rPr>
        <w:lastRenderedPageBreak/>
        <w:t xml:space="preserve">The </w:t>
      </w:r>
      <w:r w:rsidR="00F16273">
        <w:rPr>
          <w:rFonts w:hint="eastAsia"/>
          <w:lang w:eastAsia="zh-CN"/>
        </w:rPr>
        <w:t>Devonian-</w:t>
      </w:r>
      <w:r w:rsidR="00F16273">
        <w:rPr>
          <w:lang w:eastAsia="zh-CN"/>
        </w:rPr>
        <w:t>Mississippian</w:t>
      </w:r>
      <w:r w:rsidR="00D058D2">
        <w:rPr>
          <w:lang w:eastAsia="zh-CN"/>
        </w:rPr>
        <w:t xml:space="preserve"> </w:t>
      </w:r>
      <w:r w:rsidRPr="00AF31FF">
        <w:rPr>
          <w:rFonts w:eastAsia="AdvEPSTIM"/>
        </w:rPr>
        <w:t>Woodford Shale in the Anadarko basin, Oklahoma has been one of the major unconventional plays in the United States for nearly a decade. This research has utilized ultra-high-resolution (625 micron increment per slice) and advanced 3-D Micro-CT scan technology to quantitatively describe and analyze the ichnofacies and microfacies in selected Woodford cores. The results of bioturbation analysis were tied to related data (chemostrata, XRD, SEM, geochemical analysis, and well logs etc.) to build a detailed sequence stratigraphic framework to correlate to the most productive zones for unconventional resources potential.</w:t>
      </w:r>
    </w:p>
    <w:p w:rsidR="00BA292B" w:rsidRDefault="006020E6" w:rsidP="00BA292B">
      <w:pPr>
        <w:rPr>
          <w:rFonts w:eastAsia="AdvEPSTIM"/>
          <w:lang w:eastAsia="zh-CN"/>
        </w:rPr>
      </w:pPr>
      <w:r>
        <w:rPr>
          <w:rFonts w:eastAsia="AdvEPSTIM"/>
        </w:rPr>
        <w:tab/>
      </w:r>
      <w:r w:rsidR="00BA292B" w:rsidRPr="00AF31FF">
        <w:rPr>
          <w:rFonts w:eastAsia="AdvEPSTIM"/>
        </w:rPr>
        <w:t xml:space="preserve">The ichnofacies in the </w:t>
      </w:r>
      <w:r w:rsidR="00F93FD5">
        <w:rPr>
          <w:rFonts w:eastAsia="AdvEPSTIM"/>
        </w:rPr>
        <w:t>Woodford Shale</w:t>
      </w:r>
      <w:r w:rsidR="00BA292B" w:rsidRPr="00AF31FF">
        <w:rPr>
          <w:rFonts w:eastAsia="AdvEPSTIM"/>
        </w:rPr>
        <w:t xml:space="preserve"> cores has been categorized into short and long </w:t>
      </w:r>
      <w:r w:rsidR="00D4033E" w:rsidRPr="00D4033E">
        <w:rPr>
          <w:rFonts w:eastAsia="AdvEPSTIM"/>
          <w:i/>
        </w:rPr>
        <w:t>Chondrites</w:t>
      </w:r>
      <w:r w:rsidR="00BA292B" w:rsidRPr="00AF31FF">
        <w:rPr>
          <w:rFonts w:eastAsia="AdvEPSTIM"/>
        </w:rPr>
        <w:t xml:space="preserve">, </w:t>
      </w:r>
      <w:r w:rsidR="00BA292B" w:rsidRPr="008658B9">
        <w:rPr>
          <w:rFonts w:eastAsia="AdvEPSTIM"/>
          <w:i/>
        </w:rPr>
        <w:t>Paleodictyon</w:t>
      </w:r>
      <w:r w:rsidR="00BA292B" w:rsidRPr="00AF31FF">
        <w:rPr>
          <w:rFonts w:eastAsia="AdvEPSTIM"/>
        </w:rPr>
        <w:t>,</w:t>
      </w:r>
      <w:r w:rsidR="00D058D2">
        <w:rPr>
          <w:rFonts w:eastAsia="AdvEPSTIM"/>
        </w:rPr>
        <w:t xml:space="preserve"> </w:t>
      </w:r>
      <w:r w:rsidR="00A65F36" w:rsidRPr="00A65F36">
        <w:rPr>
          <w:rFonts w:eastAsia="AdvEPSTIM"/>
          <w:i/>
        </w:rPr>
        <w:t>Thalassinoides</w:t>
      </w:r>
      <w:r w:rsidR="00BA292B" w:rsidRPr="00AF31FF">
        <w:rPr>
          <w:rFonts w:eastAsia="AdvEPSTIM"/>
        </w:rPr>
        <w:t xml:space="preserve"> and </w:t>
      </w:r>
      <w:r w:rsidR="00D4033E" w:rsidRPr="00D4033E">
        <w:rPr>
          <w:rFonts w:eastAsia="AdvEPSTIM"/>
          <w:i/>
        </w:rPr>
        <w:t>Planolites</w:t>
      </w:r>
      <w:r w:rsidR="00BA292B" w:rsidRPr="00AF31FF">
        <w:rPr>
          <w:rFonts w:eastAsia="AdvEPSTIM"/>
        </w:rPr>
        <w:t>. The 3-D geometries, abundance, and diversity of ichnofacies have been quantitatively described using Avizo Fire software. Bioturbation Index (BI) was calculated from the sum of the abundance of all ichnofacies in each stratigraphic interval. The BI was then compared with XRF data (including AI, Si, Ti, Zr, Mo, and U), XRD data (including quartz, clay, feldspar, pyrite, and dolomite) and ge</w:t>
      </w:r>
      <w:r w:rsidR="00D63973">
        <w:rPr>
          <w:rFonts w:eastAsia="AdvEPSTIM"/>
        </w:rPr>
        <w:t xml:space="preserve">ochemistry data </w:t>
      </w:r>
      <w:r w:rsidR="00BA292B" w:rsidRPr="00AF31FF">
        <w:rPr>
          <w:rFonts w:eastAsia="AdvEPSTIM"/>
        </w:rPr>
        <w:t xml:space="preserve">to relate ichnofacies, paleo-redox environment, and sediment provenance. The stratigraphic distributions of these properties were found to be related to sea-level fluctuation, biostratigraphy from </w:t>
      </w:r>
      <w:r w:rsidR="00BA292B" w:rsidRPr="007A0F99">
        <w:rPr>
          <w:rFonts w:eastAsia="AdvEPSTIM"/>
          <w:i/>
        </w:rPr>
        <w:t>Conodonts</w:t>
      </w:r>
      <w:r w:rsidR="00BA292B" w:rsidRPr="00AF31FF">
        <w:rPr>
          <w:rFonts w:eastAsia="AdvEPSTIM"/>
        </w:rPr>
        <w:t>, and sequence stratigraphy.</w:t>
      </w:r>
    </w:p>
    <w:p w:rsidR="00BA292B" w:rsidRDefault="006020E6" w:rsidP="00BA292B">
      <w:pPr>
        <w:rPr>
          <w:rFonts w:eastAsia="AdvEPSTIM"/>
        </w:rPr>
      </w:pPr>
      <w:r>
        <w:rPr>
          <w:rFonts w:eastAsia="AdvEPSTIM"/>
          <w:lang w:eastAsia="zh-CN"/>
        </w:rPr>
        <w:tab/>
      </w:r>
      <w:r w:rsidR="00C4169B">
        <w:rPr>
          <w:rFonts w:eastAsia="AdvEPSTIM" w:hint="eastAsia"/>
          <w:lang w:eastAsia="zh-CN"/>
        </w:rPr>
        <w:t>Our</w:t>
      </w:r>
      <w:r w:rsidR="00BA292B" w:rsidRPr="00AF31FF">
        <w:rPr>
          <w:rFonts w:eastAsia="AdvEPSTIM"/>
        </w:rPr>
        <w:t xml:space="preserve"> results indicate that bioturbation and bio-activities are more common in </w:t>
      </w:r>
      <w:r w:rsidR="00F93FD5">
        <w:rPr>
          <w:rFonts w:eastAsia="AdvEPSTIM"/>
        </w:rPr>
        <w:t>Woodford Shale</w:t>
      </w:r>
      <w:r w:rsidR="00BA292B" w:rsidRPr="00AF31FF">
        <w:rPr>
          <w:rFonts w:eastAsia="AdvEPSTIM"/>
        </w:rPr>
        <w:t xml:space="preserve"> than previously thought.</w:t>
      </w:r>
      <w:r w:rsidR="00D058D2">
        <w:rPr>
          <w:rFonts w:eastAsia="AdvEPSTIM"/>
        </w:rPr>
        <w:t xml:space="preserve"> </w:t>
      </w:r>
      <w:r w:rsidR="00F74C3D" w:rsidRPr="00C4169B">
        <w:rPr>
          <w:rFonts w:eastAsia="AdvEPSTIM" w:hint="eastAsia"/>
          <w:lang w:eastAsia="zh-CN"/>
        </w:rPr>
        <w:t xml:space="preserve">But they are not </w:t>
      </w:r>
      <w:r w:rsidR="00F74C3D" w:rsidRPr="00C4169B">
        <w:rPr>
          <w:rFonts w:eastAsia="AdvEPSTIM"/>
          <w:lang w:eastAsia="zh-CN"/>
        </w:rPr>
        <w:t>sufficiently abundant and</w:t>
      </w:r>
      <w:r w:rsidR="00905620">
        <w:rPr>
          <w:rFonts w:eastAsia="AdvEPSTIM" w:hint="eastAsia"/>
          <w:lang w:eastAsia="zh-CN"/>
        </w:rPr>
        <w:t xml:space="preserve"> vertically</w:t>
      </w:r>
      <w:r w:rsidR="00F74C3D" w:rsidRPr="00C4169B">
        <w:rPr>
          <w:rFonts w:eastAsia="AdvEPSTIM"/>
          <w:lang w:eastAsia="zh-CN"/>
        </w:rPr>
        <w:t xml:space="preserve"> interconnected to provide permeability pathways at the scale of the burrows.</w:t>
      </w:r>
      <w:r w:rsidR="00D058D2">
        <w:rPr>
          <w:rFonts w:eastAsia="AdvEPSTIM"/>
          <w:lang w:eastAsia="zh-CN"/>
        </w:rPr>
        <w:t xml:space="preserve"> </w:t>
      </w:r>
      <w:r w:rsidR="007443F4" w:rsidRPr="00905620">
        <w:rPr>
          <w:rFonts w:eastAsia="AdvEPSTIM" w:hint="eastAsia"/>
          <w:lang w:eastAsia="zh-CN"/>
        </w:rPr>
        <w:t>However, i</w:t>
      </w:r>
      <w:r w:rsidR="007443F4" w:rsidRPr="00905620">
        <w:rPr>
          <w:rFonts w:eastAsia="AdvEPSTIM"/>
          <w:lang w:eastAsia="zh-CN"/>
        </w:rPr>
        <w:t>n some core sections</w:t>
      </w:r>
      <w:r w:rsidR="007443F4" w:rsidRPr="00905620">
        <w:rPr>
          <w:rFonts w:eastAsia="AdvEPSTIM" w:hint="eastAsia"/>
          <w:lang w:eastAsia="zh-CN"/>
        </w:rPr>
        <w:t>,</w:t>
      </w:r>
      <w:r w:rsidR="007443F4" w:rsidRPr="00905620">
        <w:rPr>
          <w:rFonts w:eastAsia="AdvEPSTIM"/>
          <w:lang w:eastAsia="zh-CN"/>
        </w:rPr>
        <w:t xml:space="preserve"> the horizontal burrows are sufficiently connected</w:t>
      </w:r>
      <w:r w:rsidR="007443F4" w:rsidRPr="00905620">
        <w:rPr>
          <w:rFonts w:eastAsia="AdvEPSTIM" w:hint="eastAsia"/>
          <w:lang w:eastAsia="zh-CN"/>
        </w:rPr>
        <w:t>.</w:t>
      </w:r>
      <w:r w:rsidR="00D058D2">
        <w:rPr>
          <w:rFonts w:eastAsia="AdvEPSTIM"/>
          <w:lang w:eastAsia="zh-CN"/>
        </w:rPr>
        <w:t xml:space="preserve"> </w:t>
      </w:r>
      <w:r w:rsidR="00905620" w:rsidRPr="00905620">
        <w:rPr>
          <w:rFonts w:eastAsia="AdvEPSTIM" w:hint="eastAsia"/>
          <w:lang w:eastAsia="zh-CN"/>
        </w:rPr>
        <w:t>T</w:t>
      </w:r>
      <w:r w:rsidR="007443F4" w:rsidRPr="00905620">
        <w:rPr>
          <w:rFonts w:eastAsia="AdvEPSTIM"/>
          <w:lang w:eastAsia="zh-CN"/>
        </w:rPr>
        <w:t xml:space="preserve">here is not much in the way of vertical connectivity of burrows, but along some </w:t>
      </w:r>
      <w:r w:rsidR="007443F4" w:rsidRPr="00905620">
        <w:rPr>
          <w:rFonts w:eastAsia="AdvEPSTIM"/>
          <w:lang w:eastAsia="zh-CN"/>
        </w:rPr>
        <w:lastRenderedPageBreak/>
        <w:t xml:space="preserve">bedding planes there </w:t>
      </w:r>
      <w:r w:rsidR="00C33CEB">
        <w:rPr>
          <w:rFonts w:eastAsia="AdvEPSTIM"/>
          <w:lang w:eastAsia="zh-CN"/>
        </w:rPr>
        <w:t>are</w:t>
      </w:r>
      <w:r w:rsidR="007443F4" w:rsidRPr="00905620">
        <w:rPr>
          <w:rFonts w:eastAsia="AdvEPSTIM"/>
          <w:lang w:eastAsia="zh-CN"/>
        </w:rPr>
        <w:t xml:space="preserve"> enough touching burrows to make a permeability pathway</w:t>
      </w:r>
      <w:r w:rsidR="007443F4" w:rsidRPr="00905620">
        <w:rPr>
          <w:rFonts w:eastAsia="AdvEPSTIM" w:hint="eastAsia"/>
          <w:lang w:eastAsia="zh-CN"/>
        </w:rPr>
        <w:t>.</w:t>
      </w:r>
      <w:r w:rsidR="00D058D2">
        <w:rPr>
          <w:rFonts w:eastAsia="AdvEPSTIM"/>
          <w:lang w:eastAsia="zh-CN"/>
        </w:rPr>
        <w:t xml:space="preserve"> </w:t>
      </w:r>
      <w:r w:rsidR="00BA292B" w:rsidRPr="00AF31FF">
        <w:rPr>
          <w:rFonts w:eastAsia="AdvEPSTIM"/>
        </w:rPr>
        <w:t xml:space="preserve">Although burrows frequently develop in highstand systems tracts, they also occur in presumably anoxic environments conducive to preservation of high TOC content and biogenic quartz. These relationships can aid in targeting the best horizontal landing zones in the </w:t>
      </w:r>
      <w:r w:rsidR="00F93FD5">
        <w:rPr>
          <w:rFonts w:eastAsia="AdvEPSTIM"/>
        </w:rPr>
        <w:t>Woodford Shale</w:t>
      </w:r>
      <w:r w:rsidR="00BA292B" w:rsidRPr="00AF31FF">
        <w:rPr>
          <w:rFonts w:eastAsia="AdvEPSTIM"/>
        </w:rPr>
        <w:t>.</w:t>
      </w:r>
    </w:p>
    <w:p w:rsidR="00875CFD" w:rsidRPr="00AF31FF" w:rsidRDefault="00875CFD" w:rsidP="00BA292B">
      <w:pPr>
        <w:rPr>
          <w:rFonts w:eastAsia="AdvEPSTIM"/>
        </w:rPr>
      </w:pPr>
    </w:p>
    <w:p w:rsidR="00932CD3" w:rsidRDefault="00932CD3" w:rsidP="00875CFD">
      <w:pPr>
        <w:spacing w:line="240" w:lineRule="auto"/>
        <w:rPr>
          <w:rFonts w:ascii="Times New Roman" w:hAnsi="Times New Roman"/>
          <w:b/>
        </w:rPr>
      </w:pPr>
      <w:r w:rsidRPr="00875CFD">
        <w:rPr>
          <w:rFonts w:ascii="Times New Roman" w:hAnsi="Times New Roman"/>
          <w:b/>
        </w:rPr>
        <w:t>INTRODUCTION</w:t>
      </w:r>
    </w:p>
    <w:p w:rsidR="00875CFD" w:rsidRPr="00875CFD" w:rsidRDefault="00875CFD" w:rsidP="00875CFD">
      <w:pPr>
        <w:spacing w:line="240" w:lineRule="auto"/>
        <w:rPr>
          <w:rFonts w:ascii="Times New Roman" w:hAnsi="Times New Roman"/>
          <w:b/>
        </w:rPr>
      </w:pPr>
    </w:p>
    <w:p w:rsidR="00D13813" w:rsidRPr="00F74C3D" w:rsidRDefault="008738D0" w:rsidP="00D13813">
      <w:pPr>
        <w:rPr>
          <w:rFonts w:eastAsia="AdvEPSTIM"/>
          <w:lang w:eastAsia="zh-CN"/>
        </w:rPr>
      </w:pPr>
      <w:r>
        <w:tab/>
      </w:r>
      <w:r w:rsidR="00D13813" w:rsidRPr="00F74C3D">
        <w:rPr>
          <w:rFonts w:eastAsia="AdvEPSTIM" w:hint="eastAsia"/>
          <w:lang w:eastAsia="zh-CN"/>
        </w:rPr>
        <w:t xml:space="preserve">The </w:t>
      </w:r>
      <w:r w:rsidR="00D13813" w:rsidRPr="00F74C3D">
        <w:rPr>
          <w:rFonts w:eastAsia="AdvEPSTIM"/>
          <w:lang w:eastAsia="zh-CN"/>
        </w:rPr>
        <w:t>nanoscale</w:t>
      </w:r>
      <w:r w:rsidR="006C1D87">
        <w:rPr>
          <w:rFonts w:eastAsia="AdvEPSTIM" w:hint="eastAsia"/>
          <w:lang w:eastAsia="zh-CN"/>
        </w:rPr>
        <w:t xml:space="preserve"> porosity in shales ha</w:t>
      </w:r>
      <w:r w:rsidR="006C1D87">
        <w:rPr>
          <w:rFonts w:eastAsia="AdvEPSTIM"/>
          <w:lang w:eastAsia="zh-CN"/>
        </w:rPr>
        <w:t>s</w:t>
      </w:r>
      <w:r w:rsidR="00D13813" w:rsidRPr="00F74C3D">
        <w:rPr>
          <w:rFonts w:eastAsia="AdvEPSTIM" w:hint="eastAsia"/>
          <w:lang w:eastAsia="zh-CN"/>
        </w:rPr>
        <w:t xml:space="preserve"> been widely studied by industry with emphasis on</w:t>
      </w:r>
      <w:r w:rsidR="00D13813" w:rsidRPr="00F74C3D">
        <w:rPr>
          <w:rFonts w:eastAsia="AdvEPSTIM"/>
          <w:lang w:eastAsia="zh-CN"/>
        </w:rPr>
        <w:t xml:space="preserve"> organo-porosity</w:t>
      </w:r>
      <w:r w:rsidR="00D058D2">
        <w:rPr>
          <w:rFonts w:eastAsia="AdvEPSTIM"/>
          <w:lang w:eastAsia="zh-CN"/>
        </w:rPr>
        <w:t xml:space="preserve"> </w:t>
      </w:r>
      <w:r w:rsidR="00D13813" w:rsidRPr="00F74C3D">
        <w:rPr>
          <w:rFonts w:eastAsia="AdvEPSTIM"/>
          <w:lang w:eastAsia="zh-CN"/>
        </w:rPr>
        <w:t>and its significant in migration (and generation) of hydrocarbons</w:t>
      </w:r>
      <w:r w:rsidR="001A349A">
        <w:rPr>
          <w:rFonts w:eastAsia="AdvEPSTIM"/>
          <w:lang w:eastAsia="zh-CN"/>
        </w:rPr>
        <w:t xml:space="preserve"> (</w:t>
      </w:r>
      <w:r w:rsidR="008A4FA7">
        <w:rPr>
          <w:rFonts w:eastAsia="AdvEPSTIM"/>
          <w:lang w:eastAsia="zh-CN"/>
        </w:rPr>
        <w:t xml:space="preserve">Loucks </w:t>
      </w:r>
      <w:r w:rsidR="00880C6B" w:rsidRPr="00880C6B">
        <w:rPr>
          <w:rFonts w:eastAsia="AdvEPSTIM"/>
          <w:i/>
          <w:lang w:eastAsia="zh-CN"/>
        </w:rPr>
        <w:t>et al.</w:t>
      </w:r>
      <w:r w:rsidR="008A4FA7">
        <w:rPr>
          <w:rFonts w:eastAsia="AdvEPSTIM"/>
          <w:lang w:eastAsia="zh-CN"/>
        </w:rPr>
        <w:t xml:space="preserve">, 2009; </w:t>
      </w:r>
      <w:r w:rsidR="001A349A" w:rsidRPr="001A349A">
        <w:rPr>
          <w:rFonts w:eastAsia="AdvEPSTIM"/>
          <w:lang w:eastAsia="zh-CN"/>
        </w:rPr>
        <w:t>Slattand O’Brien, 2011</w:t>
      </w:r>
      <w:r w:rsidR="001A349A">
        <w:rPr>
          <w:rFonts w:eastAsia="AdvEPSTIM"/>
          <w:lang w:eastAsia="zh-CN"/>
        </w:rPr>
        <w:t xml:space="preserve">; Slatt </w:t>
      </w:r>
      <w:r w:rsidR="00880C6B" w:rsidRPr="00880C6B">
        <w:rPr>
          <w:rFonts w:eastAsia="AdvEPSTIM"/>
          <w:i/>
          <w:lang w:eastAsia="zh-CN"/>
        </w:rPr>
        <w:t>et al.</w:t>
      </w:r>
      <w:r w:rsidR="001A349A">
        <w:rPr>
          <w:rFonts w:eastAsia="AdvEPSTIM"/>
          <w:lang w:eastAsia="zh-CN"/>
        </w:rPr>
        <w:t xml:space="preserve">, 2012; </w:t>
      </w:r>
      <w:r w:rsidR="001A349A" w:rsidRPr="001A349A">
        <w:rPr>
          <w:rFonts w:eastAsia="AdvEPSTIM"/>
          <w:lang w:eastAsia="zh-CN"/>
        </w:rPr>
        <w:t>Loucks</w:t>
      </w:r>
      <w:r w:rsidR="001A349A">
        <w:rPr>
          <w:rFonts w:eastAsia="AdvEPSTIM"/>
          <w:lang w:eastAsia="zh-CN"/>
        </w:rPr>
        <w:t xml:space="preserve"> </w:t>
      </w:r>
      <w:r w:rsidR="00880C6B" w:rsidRPr="00880C6B">
        <w:rPr>
          <w:rFonts w:eastAsia="AdvEPSTIM"/>
          <w:i/>
          <w:lang w:eastAsia="zh-CN"/>
        </w:rPr>
        <w:t>et al.</w:t>
      </w:r>
      <w:r w:rsidR="001A349A">
        <w:rPr>
          <w:rFonts w:eastAsia="AdvEPSTIM"/>
          <w:lang w:eastAsia="zh-CN"/>
        </w:rPr>
        <w:t xml:space="preserve">, 2012; </w:t>
      </w:r>
      <w:r w:rsidR="001A349A" w:rsidRPr="001A349A">
        <w:rPr>
          <w:rFonts w:eastAsia="AdvEPSTIM"/>
          <w:lang w:eastAsia="zh-CN"/>
        </w:rPr>
        <w:t>Erdman and Drenzek, 2013</w:t>
      </w:r>
      <w:r w:rsidR="001A349A">
        <w:rPr>
          <w:rFonts w:eastAsia="AdvEPSTIM"/>
          <w:lang w:eastAsia="zh-CN"/>
        </w:rPr>
        <w:t xml:space="preserve">; </w:t>
      </w:r>
      <w:r w:rsidR="00482F22" w:rsidRPr="001A349A">
        <w:rPr>
          <w:rFonts w:eastAsia="AdvEPSTIM"/>
          <w:lang w:eastAsia="zh-CN"/>
        </w:rPr>
        <w:t>Slattand O’Brien</w:t>
      </w:r>
      <w:r w:rsidR="001A349A">
        <w:rPr>
          <w:rFonts w:eastAsia="AdvEPSTIM"/>
          <w:lang w:eastAsia="zh-CN"/>
        </w:rPr>
        <w:t>, 2014)</w:t>
      </w:r>
      <w:r w:rsidR="00D13813" w:rsidRPr="00F74C3D">
        <w:rPr>
          <w:rFonts w:eastAsia="AdvEPSTIM"/>
          <w:lang w:eastAsia="zh-CN"/>
        </w:rPr>
        <w:t>.</w:t>
      </w:r>
      <w:r w:rsidR="00D13813" w:rsidRPr="00F74C3D">
        <w:rPr>
          <w:rFonts w:eastAsia="AdvEPSTIM" w:hint="eastAsia"/>
          <w:lang w:eastAsia="zh-CN"/>
        </w:rPr>
        <w:t xml:space="preserve"> However, </w:t>
      </w:r>
      <w:r w:rsidR="00314D32">
        <w:rPr>
          <w:rFonts w:eastAsia="AdvEPSTIM" w:hint="eastAsia"/>
          <w:lang w:eastAsia="zh-CN"/>
        </w:rPr>
        <w:t>less</w:t>
      </w:r>
      <w:r w:rsidR="00D13813" w:rsidRPr="00F74C3D">
        <w:rPr>
          <w:rFonts w:eastAsia="AdvEPSTIM"/>
          <w:lang w:eastAsia="zh-CN"/>
        </w:rPr>
        <w:t xml:space="preserve"> attention is paid to the next scale up</w:t>
      </w:r>
      <w:r w:rsidR="00E573A8">
        <w:rPr>
          <w:rFonts w:eastAsia="AdvEPSTIM"/>
          <w:lang w:eastAsia="zh-CN"/>
        </w:rPr>
        <w:t xml:space="preserve"> for unconventional shales</w:t>
      </w:r>
      <w:r w:rsidR="00D13813" w:rsidRPr="00F74C3D">
        <w:rPr>
          <w:rFonts w:eastAsia="AdvEPSTIM"/>
          <w:lang w:eastAsia="zh-CN"/>
        </w:rPr>
        <w:t xml:space="preserve">, which would include burrows to provide </w:t>
      </w:r>
      <w:r w:rsidR="00D13813" w:rsidRPr="00F74C3D">
        <w:rPr>
          <w:rFonts w:eastAsia="AdvEPSTIM" w:hint="eastAsia"/>
          <w:lang w:eastAsia="zh-CN"/>
        </w:rPr>
        <w:t xml:space="preserve">potential </w:t>
      </w:r>
      <w:r w:rsidR="00D13813" w:rsidRPr="00F74C3D">
        <w:rPr>
          <w:rFonts w:eastAsia="AdvEPSTIM"/>
          <w:lang w:eastAsia="zh-CN"/>
        </w:rPr>
        <w:t>migration pathways</w:t>
      </w:r>
      <w:r w:rsidR="00D13813" w:rsidRPr="00E04A4F">
        <w:rPr>
          <w:rFonts w:eastAsia="AdvEPSTIM"/>
          <w:lang w:eastAsia="zh-CN"/>
        </w:rPr>
        <w:t>.</w:t>
      </w:r>
      <w:r w:rsidR="00D058D2">
        <w:rPr>
          <w:rFonts w:eastAsia="AdvEPSTIM"/>
          <w:lang w:eastAsia="zh-CN"/>
        </w:rPr>
        <w:t xml:space="preserve"> </w:t>
      </w:r>
      <w:r w:rsidR="00E04A4F">
        <w:rPr>
          <w:rFonts w:eastAsia="AdvEPSTIM" w:hint="eastAsia"/>
          <w:lang w:eastAsia="zh-CN"/>
        </w:rPr>
        <w:t>In addition, t</w:t>
      </w:r>
      <w:r w:rsidR="00E04A4F" w:rsidRPr="00E04A4F">
        <w:rPr>
          <w:rFonts w:eastAsia="AdvEPSTIM"/>
          <w:lang w:eastAsia="zh-CN"/>
        </w:rPr>
        <w:t>he abundance of smaller fractures are lithology dependent (brittle chert vs. ductile clay-mudstone)</w:t>
      </w:r>
      <w:r w:rsidR="00E04A4F" w:rsidRPr="00E04A4F">
        <w:rPr>
          <w:rFonts w:eastAsia="AdvEPSTIM" w:hint="eastAsia"/>
          <w:lang w:eastAsia="zh-CN"/>
        </w:rPr>
        <w:t xml:space="preserve">, which </w:t>
      </w:r>
      <w:r w:rsidR="00481BDD" w:rsidRPr="00E04A4F">
        <w:rPr>
          <w:rFonts w:eastAsia="AdvEPSTIM"/>
          <w:lang w:eastAsia="zh-CN"/>
        </w:rPr>
        <w:t>would be the n</w:t>
      </w:r>
      <w:r w:rsidR="008F4AAC">
        <w:rPr>
          <w:rFonts w:eastAsia="AdvEPSTIM"/>
          <w:lang w:eastAsia="zh-CN"/>
        </w:rPr>
        <w:t xml:space="preserve">ext scale up from the burrows. </w:t>
      </w:r>
      <w:r w:rsidR="00481BDD" w:rsidRPr="00E04A4F">
        <w:rPr>
          <w:rFonts w:eastAsia="AdvEPSTIM"/>
          <w:lang w:eastAsia="zh-CN"/>
        </w:rPr>
        <w:t>This feature at the microscale h</w:t>
      </w:r>
      <w:r w:rsidR="00314D32">
        <w:rPr>
          <w:rFonts w:eastAsia="AdvEPSTIM"/>
          <w:lang w:eastAsia="zh-CN"/>
        </w:rPr>
        <w:t>as also been largely neglected</w:t>
      </w:r>
      <w:r w:rsidR="00314D32">
        <w:rPr>
          <w:rFonts w:eastAsia="AdvEPSTIM" w:hint="eastAsia"/>
          <w:lang w:eastAsia="zh-CN"/>
        </w:rPr>
        <w:t>.</w:t>
      </w:r>
      <w:r w:rsidR="009137A7" w:rsidRPr="00E04A4F">
        <w:rPr>
          <w:rFonts w:eastAsia="AdvEPSTIM"/>
          <w:lang w:eastAsia="zh-CN"/>
        </w:rPr>
        <w:t>The original intent of this</w:t>
      </w:r>
      <w:r w:rsidR="00D13813" w:rsidRPr="00E04A4F">
        <w:rPr>
          <w:rFonts w:eastAsia="AdvEPSTIM"/>
          <w:lang w:eastAsia="zh-CN"/>
        </w:rPr>
        <w:t xml:space="preserve"> work was to ev</w:t>
      </w:r>
      <w:r w:rsidR="00D13813" w:rsidRPr="00F74C3D">
        <w:rPr>
          <w:rFonts w:eastAsia="AdvEPSTIM"/>
          <w:lang w:eastAsia="zh-CN"/>
        </w:rPr>
        <w:t xml:space="preserve">aluate whether burrows were sufficiently abundant and interconnected to provide permeability pathways at the scale of the burrows. </w:t>
      </w:r>
    </w:p>
    <w:p w:rsidR="007D5F06" w:rsidRDefault="00D13813" w:rsidP="00BA292B">
      <w:pPr>
        <w:rPr>
          <w:lang w:eastAsia="zh-CN"/>
        </w:rPr>
      </w:pPr>
      <w:r>
        <w:rPr>
          <w:rFonts w:hint="eastAsia"/>
          <w:lang w:eastAsia="zh-CN"/>
        </w:rPr>
        <w:tab/>
      </w:r>
      <w:r w:rsidR="00BA292B" w:rsidRPr="00EC753A">
        <w:t xml:space="preserve">The </w:t>
      </w:r>
      <w:r w:rsidR="005A5FD4">
        <w:rPr>
          <w:rFonts w:hint="eastAsia"/>
          <w:lang w:eastAsia="zh-CN"/>
        </w:rPr>
        <w:t>Devonian-</w:t>
      </w:r>
      <w:r w:rsidR="005A5FD4">
        <w:rPr>
          <w:lang w:eastAsia="zh-CN"/>
        </w:rPr>
        <w:t>Mississippian</w:t>
      </w:r>
      <w:r w:rsidR="00D058D2">
        <w:rPr>
          <w:lang w:eastAsia="zh-CN"/>
        </w:rPr>
        <w:t xml:space="preserve"> </w:t>
      </w:r>
      <w:r w:rsidR="00BA292B" w:rsidRPr="00EC753A">
        <w:t xml:space="preserve">Woodford Shale in the Anadarko basin, Oklahoma has been one of the major unconventional plays in the United States for nearly a decade. To fully understand the distribution of the play and the best way to develop its remaining resources, a detailed sequence stratigraphic framework is needed from various disciplines. Methods such as routine core analysis, organic geochemistry, </w:t>
      </w:r>
      <w:r w:rsidR="00BA292B" w:rsidRPr="00EC753A">
        <w:lastRenderedPageBreak/>
        <w:t xml:space="preserve">chemostratigraphy, X-Ray Diffraction, SEM and Micro-CT scan </w:t>
      </w:r>
      <w:r w:rsidR="007D5F06">
        <w:rPr>
          <w:rFonts w:hint="eastAsia"/>
          <w:lang w:eastAsia="zh-CN"/>
        </w:rPr>
        <w:t>are</w:t>
      </w:r>
      <w:r w:rsidR="00BA292B" w:rsidRPr="00EC753A">
        <w:t xml:space="preserve"> quite popular today in the</w:t>
      </w:r>
      <w:r w:rsidR="007D5F06">
        <w:t xml:space="preserve"> unconventional energy industry</w:t>
      </w:r>
      <w:r w:rsidR="007D5F06">
        <w:rPr>
          <w:rFonts w:hint="eastAsia"/>
          <w:lang w:eastAsia="zh-CN"/>
        </w:rPr>
        <w:t>. And we use applied these technologies to study in Woodford cores.</w:t>
      </w:r>
    </w:p>
    <w:p w:rsidR="00BA292B" w:rsidRPr="00EC753A" w:rsidRDefault="00BA292B" w:rsidP="007D5F06">
      <w:pPr>
        <w:ind w:firstLine="720"/>
      </w:pPr>
      <w:r w:rsidRPr="00EC753A">
        <w:t>Since 2010, three key Woodford cores and numerous subsurface data (borehole images, well logs and 3-D seismic</w:t>
      </w:r>
      <w:r w:rsidR="00E567D6">
        <w:t>, Figure 4.1</w:t>
      </w:r>
      <w:r w:rsidRPr="00EC753A">
        <w:t>) have been collected by Marathon Oil Company that covered from</w:t>
      </w:r>
      <w:r w:rsidR="004477F7">
        <w:t xml:space="preserve"> proximal to distal parts </w:t>
      </w:r>
      <w:r w:rsidR="004477F7">
        <w:rPr>
          <w:rFonts w:hint="eastAsia"/>
          <w:lang w:eastAsia="zh-CN"/>
        </w:rPr>
        <w:t>across</w:t>
      </w:r>
      <w:r w:rsidRPr="00EC753A">
        <w:t xml:space="preserve"> Anadarko basin</w:t>
      </w:r>
      <w:r w:rsidR="00F43F05">
        <w:rPr>
          <w:rFonts w:hint="eastAsia"/>
          <w:lang w:eastAsia="zh-CN"/>
        </w:rPr>
        <w:t xml:space="preserve"> based on our interpretation</w:t>
      </w:r>
      <w:r w:rsidRPr="00EC753A">
        <w:t>. Based on these data, this study</w:t>
      </w:r>
      <w:r w:rsidR="006C1D87">
        <w:t xml:space="preserve"> is</w:t>
      </w:r>
      <w:r w:rsidRPr="00EC753A">
        <w:t xml:space="preserve"> focused on characterizing these cores with emphasis on chemostrata, bioturbation, and depositional environments. Quantitative analysis on the relationship between bioturbation, micro-fossils and chemostrata further constra</w:t>
      </w:r>
      <w:r w:rsidRPr="00987BF2">
        <w:t>ins the</w:t>
      </w:r>
      <w:r w:rsidRPr="00EC753A">
        <w:t xml:space="preserve"> sequence stratigraphic framework from conventional methods such as well log interpretation, geochemical analysis or core description. </w:t>
      </w:r>
    </w:p>
    <w:p w:rsidR="00BA292B" w:rsidRDefault="008738D0" w:rsidP="00BA292B">
      <w:r>
        <w:tab/>
      </w:r>
      <w:r w:rsidR="00BA292B" w:rsidRPr="00EC753A">
        <w:t xml:space="preserve">Chemostratigraphy, which has close connection to the depositional and paleoredox environment (aerobic, dysaerobic, and anoxic), has been widely used in the unconventional shale industry (Ratcliffe </w:t>
      </w:r>
      <w:r w:rsidR="00880C6B" w:rsidRPr="00880C6B">
        <w:rPr>
          <w:i/>
        </w:rPr>
        <w:t>et al.</w:t>
      </w:r>
      <w:r w:rsidR="00BA292B" w:rsidRPr="00EC753A">
        <w:t xml:space="preserve">, 2012; Mu </w:t>
      </w:r>
      <w:r w:rsidR="00880C6B" w:rsidRPr="00880C6B">
        <w:rPr>
          <w:i/>
        </w:rPr>
        <w:t>et al.</w:t>
      </w:r>
      <w:r w:rsidR="00BA292B" w:rsidRPr="00EC753A">
        <w:t>, 2013</w:t>
      </w:r>
      <w:r w:rsidR="00772D45">
        <w:t xml:space="preserve">; Slatt </w:t>
      </w:r>
      <w:r w:rsidR="00880C6B" w:rsidRPr="00880C6B">
        <w:rPr>
          <w:i/>
        </w:rPr>
        <w:t>et al.</w:t>
      </w:r>
      <w:r w:rsidR="00772D45">
        <w:t>, 2015</w:t>
      </w:r>
      <w:r w:rsidR="00BA292B" w:rsidRPr="00EC753A">
        <w:t xml:space="preserve">). Such a workflow </w:t>
      </w:r>
      <w:r w:rsidR="00E03071">
        <w:rPr>
          <w:rFonts w:hint="eastAsia"/>
          <w:lang w:eastAsia="zh-CN"/>
        </w:rPr>
        <w:t>has been</w:t>
      </w:r>
      <w:r w:rsidR="00E03071">
        <w:t xml:space="preserve"> prove</w:t>
      </w:r>
      <w:r w:rsidR="00E03071">
        <w:rPr>
          <w:rFonts w:hint="eastAsia"/>
          <w:lang w:eastAsia="zh-CN"/>
        </w:rPr>
        <w:t>n</w:t>
      </w:r>
      <w:r w:rsidR="00BA292B" w:rsidRPr="00EC753A">
        <w:t xml:space="preserve"> to be an effective way to correlate shale sequences over long distances and </w:t>
      </w:r>
      <w:r w:rsidR="00E03071">
        <w:rPr>
          <w:rFonts w:hint="eastAsia"/>
          <w:lang w:eastAsia="zh-CN"/>
        </w:rPr>
        <w:t xml:space="preserve">to </w:t>
      </w:r>
      <w:r w:rsidR="00BA292B" w:rsidRPr="00EC753A">
        <w:t>help geosteering of horizontal wells such as in</w:t>
      </w:r>
      <w:r w:rsidR="00D058D2">
        <w:t xml:space="preserve"> </w:t>
      </w:r>
      <w:r w:rsidR="00BA292B" w:rsidRPr="00987BF2">
        <w:t>the</w:t>
      </w:r>
      <w:r w:rsidR="00D058D2">
        <w:t xml:space="preserve"> </w:t>
      </w:r>
      <w:r w:rsidR="00BA292B" w:rsidRPr="00EC753A">
        <w:t xml:space="preserve">Eagle Ford play. Tribovillard </w:t>
      </w:r>
      <w:r w:rsidR="00880C6B" w:rsidRPr="00880C6B">
        <w:rPr>
          <w:i/>
        </w:rPr>
        <w:t>et al.</w:t>
      </w:r>
      <w:r w:rsidR="00BA292B" w:rsidRPr="00EC753A">
        <w:t xml:space="preserve"> (2006) and Mu </w:t>
      </w:r>
      <w:r w:rsidR="00880C6B" w:rsidRPr="00880C6B">
        <w:rPr>
          <w:i/>
        </w:rPr>
        <w:t>et al.</w:t>
      </w:r>
      <w:r w:rsidR="00BA292B" w:rsidRPr="00EC753A">
        <w:t xml:space="preserve"> (2013) summarized key elements and proxies used as paleoredox and productivity indicators. These proxies serve as a foundation of chemostrata analysis in shale. A few key elements, such as Mo, U, Th, Ni, Ti and V can indicate the paleo-environment of the (bottom) sea water, which has a major impact on bioactivities.</w:t>
      </w:r>
    </w:p>
    <w:p w:rsidR="00BA292B" w:rsidRPr="00EC753A" w:rsidRDefault="00BA292B" w:rsidP="00BA292B">
      <w:r w:rsidRPr="00EC753A">
        <w:tab/>
        <w:t xml:space="preserve">Trace fossils, or ichnofacies, are most commonly used to differentiate relative bottom-water oxygen levels and to discriminate anoxic, dysoxic, and oxic settings </w:t>
      </w:r>
      <w:r w:rsidRPr="00EC753A">
        <w:lastRenderedPageBreak/>
        <w:t xml:space="preserve">preserved in Phanerozoic strata (Boyer and Droser, 2011). Traditionally, to study the 3-D ichnofacies with 2-D thin-sections and core cuts </w:t>
      </w:r>
      <w:r w:rsidR="00E03071">
        <w:rPr>
          <w:rFonts w:hint="eastAsia"/>
          <w:lang w:eastAsia="zh-CN"/>
        </w:rPr>
        <w:t>was</w:t>
      </w:r>
      <w:r w:rsidRPr="00EC753A">
        <w:t xml:space="preserve"> always challenging. As more core data and advanced technology has become available in recent years, </w:t>
      </w:r>
      <w:r w:rsidR="00E03071">
        <w:rPr>
          <w:rFonts w:hint="eastAsia"/>
          <w:lang w:eastAsia="zh-CN"/>
        </w:rPr>
        <w:t xml:space="preserve">the study of </w:t>
      </w:r>
      <w:r w:rsidRPr="00EC753A">
        <w:t xml:space="preserve">bioturbation and ichnofacies </w:t>
      </w:r>
      <w:r w:rsidR="00E03071">
        <w:rPr>
          <w:rFonts w:hint="eastAsia"/>
          <w:lang w:eastAsia="zh-CN"/>
        </w:rPr>
        <w:t>has</w:t>
      </w:r>
      <w:r w:rsidRPr="00EC753A">
        <w:t xml:space="preserve"> gained more attention in unconventional shale research. La Croix </w:t>
      </w:r>
      <w:r w:rsidR="00880C6B" w:rsidRPr="00880C6B">
        <w:rPr>
          <w:i/>
        </w:rPr>
        <w:t>et al.</w:t>
      </w:r>
      <w:r w:rsidRPr="00EC753A">
        <w:t xml:space="preserve"> (2012) used conceptual 3-D flow models of different trace fossils</w:t>
      </w:r>
      <w:r w:rsidR="00B1592C">
        <w:rPr>
          <w:rFonts w:hint="eastAsia"/>
          <w:lang w:eastAsia="zh-CN"/>
        </w:rPr>
        <w:t>, which</w:t>
      </w:r>
      <w:r w:rsidRPr="00EC753A">
        <w:t xml:space="preserve"> indicate</w:t>
      </w:r>
      <w:r w:rsidR="00B1592C">
        <w:rPr>
          <w:rFonts w:hint="eastAsia"/>
          <w:lang w:eastAsia="zh-CN"/>
        </w:rPr>
        <w:t>d</w:t>
      </w:r>
      <w:r w:rsidRPr="00EC753A">
        <w:t xml:space="preserve"> that only 0-10% (volume) of bioturbation in a rock can greatly increase the horizontal and vertical connectivity. Bednarz and McIlroy (2012) used a serial grinding method to conduct a 3-D volume reconstruction of Phycosiphon-like burrows and </w:t>
      </w:r>
      <w:proofErr w:type="gramStart"/>
      <w:r w:rsidRPr="00EC753A">
        <w:t>investigates</w:t>
      </w:r>
      <w:proofErr w:type="gramEnd"/>
      <w:r w:rsidRPr="00EC753A">
        <w:t xml:space="preserve"> the possible fluid-flow paths caused by the ichnofabric. They concluded that t</w:t>
      </w:r>
      <w:r w:rsidRPr="00987BF2">
        <w:t>he</w:t>
      </w:r>
      <w:r w:rsidR="006B3B4B">
        <w:t xml:space="preserve"> increased</w:t>
      </w:r>
      <w:r w:rsidRPr="00987BF2">
        <w:t xml:space="preserve"> quartz content in burrows in thei</w:t>
      </w:r>
      <w:r w:rsidRPr="00EC753A">
        <w:t>r samples could increase the porosity and permeability by 13%-26%</w:t>
      </w:r>
      <w:r w:rsidR="006B3B4B">
        <w:t xml:space="preserve"> relative to undisturbed matrix</w:t>
      </w:r>
      <w:r w:rsidRPr="00EC753A">
        <w:t>.</w:t>
      </w:r>
      <w:r w:rsidR="00D058D2">
        <w:t xml:space="preserve"> </w:t>
      </w:r>
      <w:r w:rsidRPr="00EC753A">
        <w:t xml:space="preserve">LaCroix </w:t>
      </w:r>
      <w:r w:rsidR="00880C6B" w:rsidRPr="00880C6B">
        <w:rPr>
          <w:i/>
        </w:rPr>
        <w:t>et al.</w:t>
      </w:r>
      <w:r w:rsidRPr="00EC753A">
        <w:t xml:space="preserve"> (2013) applied the spot-minipermeameter and micro-CT methods to quantify the dual-porosity and </w:t>
      </w:r>
      <w:r w:rsidR="00554BB1">
        <w:t>its</w:t>
      </w:r>
      <w:r w:rsidRPr="00EC753A">
        <w:t xml:space="preserve"> relationship between bioturbation index and permeability. They further proved their model to support an arithmetic mean of ﬂow contributions between bioturbation and permeability. </w:t>
      </w:r>
      <w:r w:rsidR="00010866">
        <w:t xml:space="preserve">Despite their abundance, </w:t>
      </w:r>
      <w:r w:rsidRPr="00EC753A">
        <w:t>economic importance</w:t>
      </w:r>
      <w:r w:rsidR="00010866">
        <w:t xml:space="preserve"> and these recent studies</w:t>
      </w:r>
      <w:r w:rsidRPr="00EC753A">
        <w:t>,</w:t>
      </w:r>
      <w:r w:rsidR="00D058D2">
        <w:t xml:space="preserve"> </w:t>
      </w:r>
      <w:r w:rsidR="00010866" w:rsidRPr="00EC753A">
        <w:t xml:space="preserve">mudstones </w:t>
      </w:r>
      <w:r w:rsidR="00010866">
        <w:t xml:space="preserve">that </w:t>
      </w:r>
      <w:r w:rsidR="00647988">
        <w:rPr>
          <w:rFonts w:hint="eastAsia"/>
          <w:lang w:eastAsia="zh-CN"/>
        </w:rPr>
        <w:t xml:space="preserve">were </w:t>
      </w:r>
      <w:r w:rsidR="00010866" w:rsidRPr="00EC753A">
        <w:t>deposited under reduced bottom-water oxygen conditions</w:t>
      </w:r>
      <w:r w:rsidRPr="00EC753A">
        <w:t xml:space="preserve"> remain poorly understoo</w:t>
      </w:r>
      <w:r w:rsidRPr="00987BF2">
        <w:t>d (Boyer and Droser, 2011; Spaw, 2013).</w:t>
      </w:r>
    </w:p>
    <w:p w:rsidR="00BA292B" w:rsidRPr="00EC753A" w:rsidRDefault="00BA292B" w:rsidP="00BA292B">
      <w:r w:rsidRPr="00EC753A">
        <w:tab/>
      </w:r>
      <w:r w:rsidR="00B80CD4">
        <w:t>The</w:t>
      </w:r>
      <w:r w:rsidRPr="00EC753A">
        <w:t xml:space="preserve"> research </w:t>
      </w:r>
      <w:r w:rsidR="00B80CD4">
        <w:t xml:space="preserve">described in this paper has </w:t>
      </w:r>
      <w:r w:rsidRPr="00EC753A">
        <w:t xml:space="preserve">utilized ultra-high-resolution (625 micron increment per slice) and advanced 3-D segmentation and visualization technology to quantitatively describe and analyze the ichnofacies and microfacies in the </w:t>
      </w:r>
      <w:r w:rsidR="00E03071">
        <w:rPr>
          <w:rFonts w:hint="eastAsia"/>
          <w:lang w:eastAsia="zh-CN"/>
        </w:rPr>
        <w:t xml:space="preserve">Marathon Oil </w:t>
      </w:r>
      <w:r w:rsidRPr="00EC753A">
        <w:t xml:space="preserve">Woodford cores. </w:t>
      </w:r>
      <w:r w:rsidR="00CA31B6">
        <w:t>We</w:t>
      </w:r>
      <w:r w:rsidR="00D058D2">
        <w:t xml:space="preserve"> </w:t>
      </w:r>
      <w:r w:rsidR="00CA31B6">
        <w:t>t</w:t>
      </w:r>
      <w:r w:rsidR="00CA31B6" w:rsidRPr="00EC753A">
        <w:t xml:space="preserve">hen </w:t>
      </w:r>
      <w:r w:rsidRPr="00987BF2">
        <w:t>correlate</w:t>
      </w:r>
      <w:r w:rsidR="00CA31B6">
        <w:t>d</w:t>
      </w:r>
      <w:r w:rsidRPr="00EC753A">
        <w:t xml:space="preserve"> the results </w:t>
      </w:r>
      <w:r w:rsidR="00E03071">
        <w:rPr>
          <w:rFonts w:hint="eastAsia"/>
          <w:lang w:eastAsia="zh-CN"/>
        </w:rPr>
        <w:t>with</w:t>
      </w:r>
      <w:r w:rsidRPr="00EC753A">
        <w:t xml:space="preserve"> all other related sources of data (chemostrata, SEM, geochemical analysis, geomechanics and well logs </w:t>
      </w:r>
      <w:r w:rsidRPr="00EC753A">
        <w:lastRenderedPageBreak/>
        <w:t xml:space="preserve">etc.) to build a detailed sequence stratigraphic framework to better </w:t>
      </w:r>
      <w:r w:rsidR="00E03071">
        <w:rPr>
          <w:rFonts w:hint="eastAsia"/>
          <w:lang w:eastAsia="zh-CN"/>
        </w:rPr>
        <w:t>define</w:t>
      </w:r>
      <w:r w:rsidRPr="00EC753A">
        <w:t xml:space="preserve"> the most productive zones for unconventional resources potential.</w:t>
      </w:r>
    </w:p>
    <w:p w:rsidR="00BA292B" w:rsidRDefault="00BA292B" w:rsidP="00932CD3">
      <w:pPr>
        <w:jc w:val="center"/>
        <w:rPr>
          <w:rFonts w:ascii="Times New Roman" w:hAnsi="Times New Roman"/>
          <w:b/>
        </w:rPr>
      </w:pPr>
    </w:p>
    <w:p w:rsidR="007B32AD" w:rsidRPr="00EC753A" w:rsidRDefault="007B32AD" w:rsidP="007B32AD">
      <w:pPr>
        <w:rPr>
          <w:b/>
        </w:rPr>
      </w:pPr>
      <w:r w:rsidRPr="00EC753A">
        <w:rPr>
          <w:b/>
        </w:rPr>
        <w:t xml:space="preserve">THE WOODFORD </w:t>
      </w:r>
      <w:r>
        <w:rPr>
          <w:b/>
        </w:rPr>
        <w:t xml:space="preserve">SHALE </w:t>
      </w:r>
      <w:r w:rsidRPr="00EC753A">
        <w:rPr>
          <w:b/>
        </w:rPr>
        <w:t>BACKGROUND</w:t>
      </w:r>
    </w:p>
    <w:p w:rsidR="007B32AD" w:rsidRPr="00EC753A" w:rsidRDefault="005B31C8" w:rsidP="007B32AD">
      <w:r>
        <w:rPr>
          <w:rFonts w:hint="eastAsia"/>
          <w:lang w:eastAsia="zh-CN"/>
        </w:rPr>
        <w:tab/>
      </w:r>
      <w:r w:rsidR="003906E6">
        <w:t>There is an industry</w:t>
      </w:r>
      <w:r w:rsidR="007B32AD" w:rsidRPr="00EC753A">
        <w:t xml:space="preserve"> and academic consensus that the </w:t>
      </w:r>
      <w:r w:rsidR="00F93FD5">
        <w:t>Woodford Shale</w:t>
      </w:r>
      <w:r w:rsidR="00D058D2">
        <w:t xml:space="preserve"> </w:t>
      </w:r>
      <w:r w:rsidR="003906E6">
        <w:t>can be</w:t>
      </w:r>
      <w:r w:rsidR="007B32AD" w:rsidRPr="00EC753A">
        <w:t xml:space="preserve"> divided into three informal members referred to as the Upper, Middle and Lower Woodford (Slatt </w:t>
      </w:r>
      <w:r w:rsidR="00880C6B" w:rsidRPr="00880C6B">
        <w:rPr>
          <w:i/>
        </w:rPr>
        <w:t>et al.</w:t>
      </w:r>
      <w:r w:rsidR="007B32AD" w:rsidRPr="00EC753A">
        <w:t>, 2011</w:t>
      </w:r>
      <w:r w:rsidR="00E567D6">
        <w:t>, Figure 4.2</w:t>
      </w:r>
      <w:r w:rsidR="007B32AD" w:rsidRPr="00EC753A">
        <w:t>). The Lower Woodford member</w:t>
      </w:r>
      <w:r w:rsidR="003906E6">
        <w:t xml:space="preserve"> (0-</w:t>
      </w:r>
      <w:r w:rsidR="00662A4C">
        <w:t>15</w:t>
      </w:r>
      <w:r w:rsidR="003906E6">
        <w:t>0ft thick)</w:t>
      </w:r>
      <w:r w:rsidR="007B32AD" w:rsidRPr="00EC753A">
        <w:t xml:space="preserve"> is primarily a black and silty claystone deposited during the beginning of transgression (back-fill sequence), thus it has the least areal extent. The Middle Woodford </w:t>
      </w:r>
      <w:r w:rsidR="00662A4C">
        <w:t>(0-200 ft</w:t>
      </w:r>
      <w:r w:rsidR="00360768">
        <w:t xml:space="preserve"> </w:t>
      </w:r>
      <w:r w:rsidR="006C4ED8">
        <w:t>thick</w:t>
      </w:r>
      <w:r w:rsidR="00662A4C">
        <w:t xml:space="preserve">) </w:t>
      </w:r>
      <w:r w:rsidR="007B32AD" w:rsidRPr="00EC753A">
        <w:t xml:space="preserve">consists of a black, less silty claystone that has the highest overall </w:t>
      </w:r>
      <w:r w:rsidR="006C4ED8">
        <w:t>Total Organic Carbon (TOC)</w:t>
      </w:r>
      <w:r w:rsidR="007B32AD" w:rsidRPr="00EC753A">
        <w:t xml:space="preserve"> content. It was deposited as a condensed section </w:t>
      </w:r>
      <w:r w:rsidR="00FA460D">
        <w:t>and</w:t>
      </w:r>
      <w:r w:rsidR="007B32AD" w:rsidRPr="00EC753A">
        <w:t xml:space="preserve"> has the greatest aerial extent. The Upper Woodford </w:t>
      </w:r>
      <w:r w:rsidR="00FA460D">
        <w:t xml:space="preserve">(0-150 ft) </w:t>
      </w:r>
      <w:r w:rsidR="007B32AD" w:rsidRPr="00EC753A">
        <w:t>consists of a gray-black silty claystone with phosphate and calcareous nodules</w:t>
      </w:r>
      <w:r w:rsidR="007B32AD">
        <w:t xml:space="preserve"> (</w:t>
      </w:r>
      <w:r w:rsidR="000F6177">
        <w:t>Figure 4.2</w:t>
      </w:r>
      <w:r w:rsidR="007B32AD">
        <w:t>)</w:t>
      </w:r>
      <w:r w:rsidR="007B32AD" w:rsidRPr="00EC753A">
        <w:t>. It is interpreted to be a progradational highstand deposit during which the rate of deposition exceeded the rate of sea level rise, leading to</w:t>
      </w:r>
      <w:r w:rsidR="00FA460D">
        <w:t xml:space="preserve"> a</w:t>
      </w:r>
      <w:r w:rsidR="007B32AD" w:rsidRPr="00EC753A">
        <w:t xml:space="preserve"> shallowing of marine waters (Slatt and Abousleiman, 2011; Chain, 2012; Slatt,</w:t>
      </w:r>
      <w:r w:rsidR="001D2843">
        <w:rPr>
          <w:rFonts w:hint="eastAsia"/>
          <w:lang w:eastAsia="zh-CN"/>
        </w:rPr>
        <w:t xml:space="preserve"> </w:t>
      </w:r>
      <w:r w:rsidR="007B32AD" w:rsidRPr="00EC753A">
        <w:t>2013). However, such a generalized classification can be oversimplified such that: (1) log correlation may disagree with other data such as geochemistry, geomechanics, core</w:t>
      </w:r>
      <w:r w:rsidR="00C06D51">
        <w:t xml:space="preserve"> analysis</w:t>
      </w:r>
      <w:r w:rsidR="007B32AD" w:rsidRPr="00EC753A">
        <w:t xml:space="preserve">, and biostratigraphy; (2) the generalized </w:t>
      </w:r>
      <w:r w:rsidR="00C06D51">
        <w:t xml:space="preserve">members </w:t>
      </w:r>
      <w:r w:rsidR="007B32AD" w:rsidRPr="00EC753A">
        <w:t>boundaries may not follow time equivalent</w:t>
      </w:r>
      <w:r w:rsidR="00C06D51">
        <w:t xml:space="preserve"> (biostratigraphic)</w:t>
      </w:r>
      <w:r w:rsidR="007B32AD" w:rsidRPr="00EC753A">
        <w:t xml:space="preserve"> surfaces; </w:t>
      </w:r>
      <w:r w:rsidR="004759C0">
        <w:rPr>
          <w:rFonts w:hint="eastAsia"/>
          <w:lang w:eastAsia="zh-CN"/>
        </w:rPr>
        <w:t xml:space="preserve">and </w:t>
      </w:r>
      <w:r w:rsidR="007B32AD" w:rsidRPr="00EC753A">
        <w:t>(3) intervals with lateral heterogeneity, such as the discontinuous Lower Woodford, are hard to correlate across the Anadarko basin</w:t>
      </w:r>
      <w:r w:rsidR="007B32AD">
        <w:t xml:space="preserve"> (Spaw, 2013)</w:t>
      </w:r>
      <w:r w:rsidR="007B32AD" w:rsidRPr="00EC753A">
        <w:t xml:space="preserve">. Therefore, </w:t>
      </w:r>
      <w:r w:rsidR="00176C92" w:rsidRPr="00EC753A">
        <w:t>combinations of various data are</w:t>
      </w:r>
      <w:r w:rsidR="007B32AD" w:rsidRPr="00EC753A">
        <w:t xml:space="preserve"> needed in order to </w:t>
      </w:r>
      <w:r w:rsidR="007B32AD" w:rsidRPr="00987BF2">
        <w:t>develop</w:t>
      </w:r>
      <w:r w:rsidR="00D058D2">
        <w:t xml:space="preserve"> </w:t>
      </w:r>
      <w:r w:rsidR="007B32AD" w:rsidRPr="00EC753A">
        <w:t>a reasonable, accurate and applicable sequence stratigraphic framework.</w:t>
      </w:r>
    </w:p>
    <w:p w:rsidR="007B32AD" w:rsidRPr="00C059E6" w:rsidRDefault="007B32AD" w:rsidP="007B32AD">
      <w:r w:rsidRPr="00C059E6">
        <w:lastRenderedPageBreak/>
        <w:tab/>
        <w:t xml:space="preserve">Slatt (2013) proposed the sequence stratigraphic framework of the </w:t>
      </w:r>
      <w:r w:rsidR="00F93FD5">
        <w:t>Woodford Shale</w:t>
      </w:r>
      <w:r w:rsidRPr="00C059E6">
        <w:t>. The entire age of the Woodford covers a 29Ma time span from 388-359 million years ago, which is interpreted as a complete 2nd order depositional sequence. There are also several 3rd order sequences within the 2nd order sequence. The most significant transgression occurs at the Frasnian-Fa</w:t>
      </w:r>
      <w:r w:rsidR="00374D9F">
        <w:t>mennian boundary at about 372Ma.</w:t>
      </w:r>
      <w:r w:rsidR="004759C0">
        <w:rPr>
          <w:rFonts w:hint="eastAsia"/>
          <w:lang w:eastAsia="zh-CN"/>
        </w:rPr>
        <w:t xml:space="preserve"> </w:t>
      </w:r>
      <w:r w:rsidR="00374D9F">
        <w:t>I</w:t>
      </w:r>
      <w:r w:rsidRPr="00C059E6">
        <w:t xml:space="preserve">t is also defined as the </w:t>
      </w:r>
      <w:r>
        <w:t>lower part</w:t>
      </w:r>
      <w:r w:rsidRPr="00C059E6">
        <w:t xml:space="preserve"> of </w:t>
      </w:r>
      <w:r>
        <w:t xml:space="preserve">the </w:t>
      </w:r>
      <w:r w:rsidRPr="00C059E6">
        <w:t>Middle Woodford. Above this boundary, the Woodford sequence shifts from tran</w:t>
      </w:r>
      <w:r w:rsidR="00374D9F">
        <w:t>sgressive to regressive deposition,</w:t>
      </w:r>
      <w:r w:rsidRPr="00C059E6">
        <w:t xml:space="preserve"> resulting in the generally chert rich, nodular Upper Woodford regressive (highstand) interval. </w:t>
      </w:r>
    </w:p>
    <w:p w:rsidR="007B32AD" w:rsidRPr="00C059E6" w:rsidRDefault="007B32AD" w:rsidP="007B32AD">
      <w:r w:rsidRPr="00C059E6">
        <w:tab/>
        <w:t xml:space="preserve">Alternatively, Hemmesch </w:t>
      </w:r>
      <w:r w:rsidR="00880C6B" w:rsidRPr="00880C6B">
        <w:rPr>
          <w:i/>
        </w:rPr>
        <w:t>et al.</w:t>
      </w:r>
      <w:r w:rsidRPr="00C059E6">
        <w:t xml:space="preserve"> (2014) proposed t</w:t>
      </w:r>
      <w:r w:rsidRPr="00987BF2">
        <w:t>hat the entire Woodford is a second-order sea level fall with multiple third-level highstand shedding in</w:t>
      </w:r>
      <w:r w:rsidR="00374D9F">
        <w:t>to</w:t>
      </w:r>
      <w:r w:rsidRPr="00987BF2">
        <w:t xml:space="preserve"> the Permian Basin</w:t>
      </w:r>
      <w:proofErr w:type="gramStart"/>
      <w:r w:rsidRPr="00987BF2">
        <w:t>..</w:t>
      </w:r>
      <w:proofErr w:type="gramEnd"/>
      <w:r w:rsidRPr="00987BF2">
        <w:t xml:space="preserve"> The stratigraphic progression is from organic-rich</w:t>
      </w:r>
      <w:r w:rsidRPr="00C059E6">
        <w:t xml:space="preserve"> mudstone with no or little bioturbation, upward to heavily bioturbated, organic-poor mudstone. The </w:t>
      </w:r>
      <w:r w:rsidR="00374D9F">
        <w:t>paleo-</w:t>
      </w:r>
      <w:r w:rsidRPr="00C059E6">
        <w:t>environment shift</w:t>
      </w:r>
      <w:r w:rsidR="00374D9F">
        <w:t>ed</w:t>
      </w:r>
      <w:r w:rsidRPr="00C059E6">
        <w:t xml:space="preserve"> from a marine organic assemb</w:t>
      </w:r>
      <w:r w:rsidR="00374D9F">
        <w:t>lage in the L</w:t>
      </w:r>
      <w:r w:rsidRPr="00C059E6">
        <w:t>ower</w:t>
      </w:r>
      <w:r w:rsidR="00374D9F">
        <w:t xml:space="preserve"> Woodford</w:t>
      </w:r>
      <w:r w:rsidRPr="00C059E6">
        <w:t xml:space="preserve"> and most of the Middle Woodford to a terrigenous-rich assemblage in the up</w:t>
      </w:r>
      <w:r w:rsidRPr="00987BF2">
        <w:t xml:space="preserve">per part of the Middle Woodford and the Upper Woodford. Hemmesch </w:t>
      </w:r>
      <w:r w:rsidR="00880C6B" w:rsidRPr="00880C6B">
        <w:rPr>
          <w:i/>
        </w:rPr>
        <w:t>et al.</w:t>
      </w:r>
      <w:r w:rsidRPr="00987BF2">
        <w:t xml:space="preserve"> (2014) also claimed</w:t>
      </w:r>
      <w:r w:rsidR="00374D9F">
        <w:t xml:space="preserve"> to find</w:t>
      </w:r>
      <w:r w:rsidRPr="00987BF2">
        <w:t xml:space="preserve"> no</w:t>
      </w:r>
      <w:r w:rsidR="00374D9F">
        <w:t xml:space="preserve"> evidence of a</w:t>
      </w:r>
      <w:r w:rsidRPr="00987BF2">
        <w:t xml:space="preserve"> major transgression with high clay or organic matter input. The reason for the discrepancy between the Woodford sequence stratigraphy in the Permian Basin and Anadarko Basin is unanswered. Thus </w:t>
      </w:r>
      <w:r w:rsidR="00374D9F">
        <w:t xml:space="preserve">a </w:t>
      </w:r>
      <w:r w:rsidRPr="00987BF2">
        <w:t xml:space="preserve">multi-disciplinary analysis </w:t>
      </w:r>
      <w:r w:rsidR="00374D9F">
        <w:t>is</w:t>
      </w:r>
      <w:r w:rsidRPr="00987BF2">
        <w:t xml:space="preserve"> needed </w:t>
      </w:r>
      <w:r w:rsidR="00374D9F">
        <w:t>to study the similarities</w:t>
      </w:r>
      <w:r w:rsidRPr="00987BF2">
        <w:t xml:space="preserve"> and differences </w:t>
      </w:r>
      <w:r w:rsidR="00374D9F">
        <w:t>in</w:t>
      </w:r>
      <w:r w:rsidRPr="00987BF2">
        <w:t xml:space="preserve"> the Woodford </w:t>
      </w:r>
      <w:r w:rsidR="00334119">
        <w:t>deposited in</w:t>
      </w:r>
      <w:r w:rsidRPr="00987BF2">
        <w:t xml:space="preserve"> the</w:t>
      </w:r>
      <w:r w:rsidR="00334119">
        <w:t>se</w:t>
      </w:r>
      <w:r w:rsidRPr="00987BF2">
        <w:t xml:space="preserve"> two basins, as well as in other basins within Oklahoma.</w:t>
      </w:r>
    </w:p>
    <w:p w:rsidR="007B32AD" w:rsidRDefault="007B32AD" w:rsidP="007B32AD"/>
    <w:p w:rsidR="007B32AD" w:rsidRPr="00C059E6" w:rsidRDefault="007B32AD" w:rsidP="007B32AD">
      <w:pPr>
        <w:rPr>
          <w:b/>
        </w:rPr>
      </w:pPr>
      <w:r w:rsidRPr="00C059E6">
        <w:rPr>
          <w:b/>
        </w:rPr>
        <w:t>METHODS</w:t>
      </w:r>
      <w:r w:rsidR="00374D9F">
        <w:rPr>
          <w:b/>
        </w:rPr>
        <w:t xml:space="preserve"> OF STUDY</w:t>
      </w:r>
    </w:p>
    <w:p w:rsidR="007B32AD" w:rsidRPr="00C059E6" w:rsidRDefault="007B32AD" w:rsidP="007B32AD">
      <w:r w:rsidRPr="00C059E6">
        <w:lastRenderedPageBreak/>
        <w:tab/>
        <w:t>The new Micro-CT scan and true 3-D processing and visualization technology using Avizo F</w:t>
      </w:r>
      <w:r w:rsidRPr="00987BF2">
        <w:t>ire</w:t>
      </w:r>
      <w:r w:rsidRPr="00987BF2">
        <w:rPr>
          <w:vertAlign w:val="superscript"/>
        </w:rPr>
        <w:t>TM</w:t>
      </w:r>
      <w:r w:rsidRPr="00987BF2">
        <w:t xml:space="preserve"> provid</w:t>
      </w:r>
      <w:r w:rsidRPr="00C059E6">
        <w:t>ed a revolution</w:t>
      </w:r>
      <w:r w:rsidR="00776B2E">
        <w:t>ary tool to study the Woodford S</w:t>
      </w:r>
      <w:r w:rsidRPr="00C059E6">
        <w:t>hale. Through this technology we can conduct quantitative characterization and analysis on bioturbation and ichnofacies</w:t>
      </w:r>
      <w:r w:rsidR="00776B2E">
        <w:t xml:space="preserve"> distribution</w:t>
      </w:r>
      <w:r w:rsidRPr="00C059E6">
        <w:t xml:space="preserve">. It bridges the gap between nanometer-micrometer scale features </w:t>
      </w:r>
      <w:r w:rsidR="00776B2E">
        <w:t xml:space="preserve">measured </w:t>
      </w:r>
      <w:r w:rsidRPr="00C059E6">
        <w:t xml:space="preserve">from SEM and conventional thin sections to the scale of human eyes. In our case, a full 3-D scale of bio-activity and microfacies leads to a more accurate sequence stratigraphic framework and interpretations of paleo-environments than traditional core descriptions. The </w:t>
      </w:r>
      <w:r w:rsidRPr="00987BF2">
        <w:t xml:space="preserve">Micro-CT scan we use is </w:t>
      </w:r>
      <w:r w:rsidR="00B16027">
        <w:rPr>
          <w:rFonts w:hint="eastAsia"/>
          <w:lang w:eastAsia="zh-CN"/>
        </w:rPr>
        <w:t xml:space="preserve">a </w:t>
      </w:r>
      <w:r w:rsidRPr="00987BF2">
        <w:t xml:space="preserve">0.625 millimeter per vertical scan, which </w:t>
      </w:r>
      <w:proofErr w:type="gramStart"/>
      <w:r w:rsidRPr="00987BF2">
        <w:t>is</w:t>
      </w:r>
      <w:proofErr w:type="gramEnd"/>
      <w:r w:rsidRPr="00987BF2">
        <w:t xml:space="preserve"> 1600 scans per meter of core (or 488 scans per foot of core). The 3-D visualization and analysis on the Micro-CT sca</w:t>
      </w:r>
      <w:r w:rsidR="00B16027">
        <w:t xml:space="preserve">n data are to characterize: 1) </w:t>
      </w:r>
      <w:r w:rsidR="00B16027">
        <w:rPr>
          <w:rFonts w:hint="eastAsia"/>
          <w:lang w:eastAsia="zh-CN"/>
        </w:rPr>
        <w:t>i</w:t>
      </w:r>
      <w:r w:rsidRPr="00987BF2">
        <w:t xml:space="preserve">ntensity of bioturbation (or </w:t>
      </w:r>
      <w:r w:rsidR="00776B2E">
        <w:t>B</w:t>
      </w:r>
      <w:r w:rsidRPr="00987BF2">
        <w:t xml:space="preserve">ioturbation </w:t>
      </w:r>
      <w:r w:rsidR="00776B2E">
        <w:t>I</w:t>
      </w:r>
      <w:r w:rsidRPr="00987BF2">
        <w:t>ndex</w:t>
      </w:r>
      <w:r w:rsidR="00776B2E">
        <w:t>, BI</w:t>
      </w:r>
      <w:r w:rsidRPr="00987BF2">
        <w:t xml:space="preserve">), which is </w:t>
      </w:r>
      <w:r w:rsidR="00776B2E">
        <w:t>defined</w:t>
      </w:r>
      <w:r w:rsidRPr="00987BF2">
        <w:t xml:space="preserve"> by the abundance of all observed tra</w:t>
      </w:r>
      <w:r w:rsidRPr="00C059E6">
        <w:t>ce fo</w:t>
      </w:r>
      <w:r w:rsidR="00B16027">
        <w:t xml:space="preserve">ssils over the entire core; 2) </w:t>
      </w:r>
      <w:r w:rsidR="00B16027">
        <w:rPr>
          <w:rFonts w:hint="eastAsia"/>
          <w:lang w:eastAsia="zh-CN"/>
        </w:rPr>
        <w:t>d</w:t>
      </w:r>
      <w:r w:rsidRPr="00C059E6">
        <w:t>iv</w:t>
      </w:r>
      <w:r w:rsidR="00B16027">
        <w:t xml:space="preserve">ersity and facies variance; 3) </w:t>
      </w:r>
      <w:r w:rsidR="00B16027">
        <w:rPr>
          <w:rFonts w:hint="eastAsia"/>
          <w:lang w:eastAsia="zh-CN"/>
        </w:rPr>
        <w:t>r</w:t>
      </w:r>
      <w:r w:rsidRPr="00C059E6">
        <w:t xml:space="preserve">elative burrow diameter, length, geometry, density; and 4) </w:t>
      </w:r>
      <w:r w:rsidR="00B16027">
        <w:rPr>
          <w:rFonts w:hint="eastAsia"/>
          <w:lang w:eastAsia="zh-CN"/>
        </w:rPr>
        <w:t>s</w:t>
      </w:r>
      <w:r w:rsidRPr="00C059E6">
        <w:t xml:space="preserve">uccession of bioturbation colonization styles. </w:t>
      </w:r>
    </w:p>
    <w:p w:rsidR="007B32AD" w:rsidRPr="00C059E6" w:rsidRDefault="000A34E3" w:rsidP="007B32AD">
      <w:r>
        <w:tab/>
      </w:r>
      <w:r w:rsidR="00776B2E" w:rsidRPr="00C059E6">
        <w:t xml:space="preserve">Fluctuations in the dysaerobic or oxygen-minimum zone (by whatever mechanism) contribute to periodic introduction of oxygen into </w:t>
      </w:r>
      <w:r w:rsidR="00776B2E">
        <w:t>a</w:t>
      </w:r>
      <w:r w:rsidR="00776B2E" w:rsidRPr="00C059E6">
        <w:t xml:space="preserve"> basin (Jordan, 1985).</w:t>
      </w:r>
      <w:r w:rsidR="001C27CD">
        <w:t xml:space="preserve"> </w:t>
      </w:r>
      <w:r w:rsidR="00741476">
        <w:rPr>
          <w:rFonts w:hint="eastAsia"/>
          <w:lang w:eastAsia="zh-CN"/>
        </w:rPr>
        <w:t xml:space="preserve"> </w:t>
      </w:r>
      <w:r w:rsidR="007B32AD" w:rsidRPr="00C059E6">
        <w:t xml:space="preserve">Boyer and Droser (2011) studied the Devonian trace and body fossils in marine black shale using a high resolution 2-D approach directly on outcrops in New York State, USA. Their classification and analysis serve as a </w:t>
      </w:r>
      <w:r w:rsidR="00776B2E">
        <w:t>good</w:t>
      </w:r>
      <w:r w:rsidR="007B32AD" w:rsidRPr="00C059E6">
        <w:t xml:space="preserve"> analog for the Woodford. By describing the trace a</w:t>
      </w:r>
      <w:r w:rsidR="00776B2E">
        <w:t>nd body fossils in outcrops on a</w:t>
      </w:r>
      <w:r w:rsidR="007B32AD" w:rsidRPr="00C059E6">
        <w:t xml:space="preserve"> centimeter scale, they established the relationship between bottom water oxygen conditions and the relative amount of bioturbation, estimated as an ichnofabric index (ii), maximum burrow diameter measurements and body-fossil species diversity. One significant observation they made </w:t>
      </w:r>
      <w:r w:rsidR="007B32AD" w:rsidRPr="00C059E6">
        <w:lastRenderedPageBreak/>
        <w:t xml:space="preserve">is that the bottom-water oxygen levels, associated with trace fossils present, fluctuated considerably within a narrow stratigraphic range (on a centimeter scale). This observation coincides well with our observation in the Woodford, as micro CT-scan can further extend the scale into millimeters in 3-D. In addition, the source of the oxygen which allowed burrowing animals to thrive in the sediments was possibly short-lived turbidity currents (Griffith, 1977). </w:t>
      </w:r>
    </w:p>
    <w:p w:rsidR="007B32AD" w:rsidRDefault="007B32AD" w:rsidP="007B32AD">
      <w:r w:rsidRPr="00C059E6">
        <w:tab/>
        <w:t xml:space="preserve">Regionally in North America, the diversity of ichnofacies in Devonian black shales </w:t>
      </w:r>
      <w:r w:rsidR="00363B4E">
        <w:t>is</w:t>
      </w:r>
      <w:r w:rsidRPr="00C059E6">
        <w:t xml:space="preserve"> low </w:t>
      </w:r>
      <w:r w:rsidRPr="00987BF2">
        <w:t xml:space="preserve">(Jordan, 1985; Boyer and Droser, 2011; Spaw, 2013). Only </w:t>
      </w:r>
      <w:r w:rsidR="005E5E4A">
        <w:t>four</w:t>
      </w:r>
      <w:r w:rsidRPr="00987BF2">
        <w:t xml:space="preserve"> ichnofacies were identified in the studied cores with confidence: </w:t>
      </w:r>
      <w:r w:rsidR="00D4033E" w:rsidRPr="00D4033E">
        <w:rPr>
          <w:i/>
        </w:rPr>
        <w:t>Chondrites</w:t>
      </w:r>
      <w:r w:rsidRPr="00987BF2">
        <w:t xml:space="preserve">, </w:t>
      </w:r>
      <w:r w:rsidR="00D4033E" w:rsidRPr="00D4033E">
        <w:rPr>
          <w:i/>
        </w:rPr>
        <w:t>Planolites</w:t>
      </w:r>
      <w:r w:rsidRPr="00987BF2">
        <w:t xml:space="preserve">, </w:t>
      </w:r>
      <w:r w:rsidR="005E5E4A">
        <w:rPr>
          <w:i/>
        </w:rPr>
        <w:t>Paleodictyon</w:t>
      </w:r>
      <w:r w:rsidRPr="00987BF2">
        <w:t xml:space="preserve">, and </w:t>
      </w:r>
      <w:r w:rsidR="00A65F36" w:rsidRPr="00A65F36">
        <w:rPr>
          <w:i/>
        </w:rPr>
        <w:t>Thalassinoides</w:t>
      </w:r>
      <w:r w:rsidRPr="00987BF2">
        <w:t xml:space="preserve">. </w:t>
      </w:r>
      <w:r w:rsidR="00A5295B">
        <w:t xml:space="preserve">Using the three </w:t>
      </w:r>
      <w:r w:rsidRPr="00987BF2">
        <w:t xml:space="preserve">Woodford </w:t>
      </w:r>
      <w:r w:rsidR="00A5295B">
        <w:t xml:space="preserve">core </w:t>
      </w:r>
      <w:r w:rsidRPr="00987BF2">
        <w:t>micro-CT-Scan</w:t>
      </w:r>
      <w:r w:rsidR="00A5295B">
        <w:t>s</w:t>
      </w:r>
      <w:r w:rsidRPr="00987BF2">
        <w:t>, we described and classified the generalized ichnofacies into the following types:</w:t>
      </w:r>
    </w:p>
    <w:p w:rsidR="007B32AD" w:rsidRPr="00C059E6" w:rsidRDefault="007B32AD" w:rsidP="007B32AD"/>
    <w:p w:rsidR="007B32AD" w:rsidRPr="00674023" w:rsidRDefault="00D4033E" w:rsidP="007B32AD">
      <w:pPr>
        <w:rPr>
          <w:b/>
        </w:rPr>
      </w:pPr>
      <w:r w:rsidRPr="00D4033E">
        <w:rPr>
          <w:b/>
          <w:i/>
        </w:rPr>
        <w:t>Chondrites</w:t>
      </w:r>
    </w:p>
    <w:p w:rsidR="007B32AD" w:rsidRPr="00C059E6" w:rsidRDefault="007B32AD" w:rsidP="007B32AD">
      <w:r w:rsidRPr="00C059E6">
        <w:tab/>
      </w:r>
      <w:r w:rsidR="00D4033E" w:rsidRPr="00D4033E">
        <w:rPr>
          <w:i/>
        </w:rPr>
        <w:t>Chondrites</w:t>
      </w:r>
      <w:r w:rsidRPr="00C059E6">
        <w:t xml:space="preserve"> are root-like burrows, and one of the most common ichnofacies in the </w:t>
      </w:r>
      <w:r w:rsidR="00F93FD5">
        <w:t>Woodford Shale</w:t>
      </w:r>
      <w:r w:rsidR="00DC7682">
        <w:t xml:space="preserve"> (Figure 4.3</w:t>
      </w:r>
      <w:r w:rsidR="009160E8">
        <w:t xml:space="preserve"> and 4.4</w:t>
      </w:r>
      <w:r w:rsidR="00DC7682">
        <w:t>)</w:t>
      </w:r>
      <w:r w:rsidRPr="00C059E6">
        <w:t>.</w:t>
      </w:r>
      <w:r w:rsidR="00741476">
        <w:rPr>
          <w:rFonts w:hint="eastAsia"/>
          <w:lang w:eastAsia="zh-CN"/>
        </w:rPr>
        <w:t>I</w:t>
      </w:r>
      <w:r w:rsidRPr="00C059E6">
        <w:t xml:space="preserve">t consists of a horizontal to slightly inclined burrow system exhibiting branching (up to several orders) from a main stem (Jordan, 1985). It has been interpreted as the trace of a deposit-feeding sipunculid worm having a retractable proboscis which allowed </w:t>
      </w:r>
      <w:r w:rsidRPr="00987BF2">
        <w:t xml:space="preserve">the animal to work from a fixed point to efficiently mine the substrate for food (Simpson, 1956). In all cases </w:t>
      </w:r>
      <w:r w:rsidR="00D4033E" w:rsidRPr="00D4033E">
        <w:rPr>
          <w:i/>
        </w:rPr>
        <w:t>Chondrites</w:t>
      </w:r>
      <w:r w:rsidRPr="00987BF2">
        <w:t xml:space="preserve"> represents simple, shallow feeding burrows (Jordan, 1985).They </w:t>
      </w:r>
      <w:r w:rsidR="00F454C8">
        <w:t>were given different type designations</w:t>
      </w:r>
      <w:r w:rsidRPr="00987BF2">
        <w:t xml:space="preserve"> (A, B, C and D) depending on their sizes (Jordan, 1985). Often in the </w:t>
      </w:r>
      <w:r w:rsidR="00F93FD5">
        <w:t>Woodford Shale</w:t>
      </w:r>
      <w:r w:rsidRPr="00987BF2">
        <w:t xml:space="preserve">, </w:t>
      </w:r>
      <w:r w:rsidR="00D4033E" w:rsidRPr="00D4033E">
        <w:rPr>
          <w:i/>
        </w:rPr>
        <w:t>Chondrites</w:t>
      </w:r>
      <w:r w:rsidRPr="00987BF2">
        <w:t xml:space="preserve"> are relatively small (several millimeters to several centi</w:t>
      </w:r>
      <w:r w:rsidRPr="00C059E6">
        <w:t>meters long), and are typically 1 mm in diameter (ranging f</w:t>
      </w:r>
      <w:r w:rsidRPr="00987BF2">
        <w:t xml:space="preserve">rom 0.2 to 1.3 mm). </w:t>
      </w:r>
      <w:r w:rsidRPr="00987BF2">
        <w:lastRenderedPageBreak/>
        <w:t xml:space="preserve">Spaw (2013) classified them into short versus long </w:t>
      </w:r>
      <w:r w:rsidR="00D4033E" w:rsidRPr="00D4033E">
        <w:rPr>
          <w:i/>
        </w:rPr>
        <w:t>Chondrites</w:t>
      </w:r>
      <w:r w:rsidRPr="00987BF2">
        <w:t xml:space="preserve">. The burrow systems are filled with either mud similar to the surrounding sediment or silt without </w:t>
      </w:r>
      <w:r w:rsidR="0001110C" w:rsidRPr="00987BF2">
        <w:t>any</w:t>
      </w:r>
      <w:r w:rsidR="0001110C" w:rsidRPr="00C059E6">
        <w:t xml:space="preserve"> internal</w:t>
      </w:r>
      <w:r w:rsidRPr="00C059E6">
        <w:t xml:space="preserve"> structure. They are commonly associated with </w:t>
      </w:r>
      <w:r w:rsidR="00D4033E" w:rsidRPr="00D4033E">
        <w:rPr>
          <w:i/>
        </w:rPr>
        <w:t>Planolites</w:t>
      </w:r>
      <w:r w:rsidRPr="00C059E6">
        <w:t xml:space="preserve"> (Boyer and Droser, 2011). In some cases in the Woodford, its monospecific association is indicative of low oxygen conditions (Spaw, 2013).</w:t>
      </w:r>
    </w:p>
    <w:p w:rsidR="007B32AD" w:rsidRPr="0001110C" w:rsidRDefault="007B32AD" w:rsidP="007B32AD">
      <w:r>
        <w:tab/>
      </w:r>
      <w:r w:rsidRPr="00862E27">
        <w:t xml:space="preserve">Theoretically, the 3-D images of the </w:t>
      </w:r>
      <w:r w:rsidR="00D4033E" w:rsidRPr="00D4033E">
        <w:rPr>
          <w:i/>
        </w:rPr>
        <w:t>Chondrites</w:t>
      </w:r>
      <w:r w:rsidRPr="00862E27">
        <w:t xml:space="preserve"> are branched and root like pipes in different sizes. However, in the Woodford cores, the short </w:t>
      </w:r>
      <w:r w:rsidR="00D4033E" w:rsidRPr="00D4033E">
        <w:rPr>
          <w:i/>
        </w:rPr>
        <w:t>Chondrites</w:t>
      </w:r>
      <w:r w:rsidRPr="00862E27">
        <w:t xml:space="preserve"> (</w:t>
      </w:r>
      <w:r w:rsidR="000F6177">
        <w:t>Figure 4.3</w:t>
      </w:r>
      <w:r w:rsidRPr="00862E27">
        <w:t xml:space="preserve">) are the dominant ichnofacies. Often they are characterized by small (millimeter scale), irregular and isolated objects, which could be misidentified as radiolarian in cherts without knowing the context. Long </w:t>
      </w:r>
      <w:r w:rsidR="00D4033E" w:rsidRPr="00D4033E">
        <w:rPr>
          <w:i/>
        </w:rPr>
        <w:t>Chondrites</w:t>
      </w:r>
      <w:r w:rsidRPr="00862E27">
        <w:t xml:space="preserve"> (</w:t>
      </w:r>
      <w:r w:rsidR="000F6177">
        <w:t>Figure 4.3</w:t>
      </w:r>
      <w:r w:rsidRPr="00862E27">
        <w:t xml:space="preserve">) are much less frequent, and their size can reach up to 3-5cm. Sometimes it is difficult to differentiate Long </w:t>
      </w:r>
      <w:r w:rsidR="00D4033E" w:rsidRPr="00D4033E">
        <w:rPr>
          <w:i/>
        </w:rPr>
        <w:t>Chondrites</w:t>
      </w:r>
      <w:r w:rsidRPr="00862E27">
        <w:t xml:space="preserve"> from </w:t>
      </w:r>
      <w:r w:rsidR="00D4033E" w:rsidRPr="00D4033E">
        <w:rPr>
          <w:i/>
        </w:rPr>
        <w:t>Planolites</w:t>
      </w:r>
      <w:r w:rsidRPr="00862E27">
        <w:t>. The major difference of these two ichnofacies is whether they are branched and straight (</w:t>
      </w:r>
      <w:r w:rsidR="00D4033E" w:rsidRPr="00D4033E">
        <w:rPr>
          <w:i/>
        </w:rPr>
        <w:t>Chondrites</w:t>
      </w:r>
      <w:r w:rsidRPr="00862E27">
        <w:t>) or unbranched and curved (</w:t>
      </w:r>
      <w:r w:rsidR="00D4033E" w:rsidRPr="00D4033E">
        <w:rPr>
          <w:i/>
        </w:rPr>
        <w:t>Planolites</w:t>
      </w:r>
      <w:r w:rsidRPr="00862E27">
        <w:t>).</w:t>
      </w:r>
      <w:r w:rsidR="00741476">
        <w:rPr>
          <w:rFonts w:hint="eastAsia"/>
          <w:lang w:eastAsia="zh-CN"/>
        </w:rPr>
        <w:t xml:space="preserve"> </w:t>
      </w:r>
      <w:r w:rsidR="00195FB8">
        <w:t xml:space="preserve">In </w:t>
      </w:r>
      <w:r w:rsidR="00741476">
        <w:rPr>
          <w:rFonts w:hint="eastAsia"/>
          <w:lang w:eastAsia="zh-CN"/>
        </w:rPr>
        <w:t>a</w:t>
      </w:r>
      <w:r w:rsidR="00195FB8">
        <w:t xml:space="preserve">ddition, </w:t>
      </w:r>
      <w:r w:rsidR="0001110C">
        <w:rPr>
          <w:i/>
        </w:rPr>
        <w:t xml:space="preserve">Chondrites </w:t>
      </w:r>
      <w:r w:rsidR="0001110C">
        <w:t xml:space="preserve">are sometimes dimmed (lack of contrast between burrows and matrix) in the argillaceous matrix and may not be resolvable by 3-D micro scan. In order to better detect them, it is </w:t>
      </w:r>
      <w:r w:rsidR="00741476">
        <w:rPr>
          <w:rFonts w:hint="eastAsia"/>
          <w:lang w:eastAsia="zh-CN"/>
        </w:rPr>
        <w:t>needed</w:t>
      </w:r>
      <w:r w:rsidR="0001110C">
        <w:t xml:space="preserve"> to analyze on indirect evidence such as discrete laminations in thin sections (Figure 4.4).</w:t>
      </w:r>
    </w:p>
    <w:p w:rsidR="007B32AD" w:rsidRPr="00862E27" w:rsidRDefault="007B32AD" w:rsidP="007B32AD"/>
    <w:p w:rsidR="007B32AD" w:rsidRPr="00674023" w:rsidRDefault="007B32AD" w:rsidP="007B32AD">
      <w:pPr>
        <w:rPr>
          <w:b/>
        </w:rPr>
      </w:pPr>
      <w:r w:rsidRPr="008658B9">
        <w:rPr>
          <w:b/>
          <w:i/>
        </w:rPr>
        <w:t>Paleodictyon</w:t>
      </w:r>
      <w:r w:rsidRPr="00674023">
        <w:rPr>
          <w:b/>
        </w:rPr>
        <w:t>:</w:t>
      </w:r>
    </w:p>
    <w:p w:rsidR="007B32AD" w:rsidRPr="00862E27" w:rsidRDefault="007B32AD" w:rsidP="007B32AD">
      <w:r w:rsidRPr="00862E27">
        <w:tab/>
      </w:r>
      <w:r w:rsidR="008B6E77" w:rsidRPr="00D4033E">
        <w:rPr>
          <w:i/>
        </w:rPr>
        <w:t>Paleodictyon</w:t>
      </w:r>
      <w:r w:rsidR="00741476">
        <w:rPr>
          <w:rFonts w:hint="eastAsia"/>
          <w:i/>
          <w:lang w:eastAsia="zh-CN"/>
        </w:rPr>
        <w:t xml:space="preserve"> </w:t>
      </w:r>
      <w:r w:rsidR="008B6E77">
        <w:t xml:space="preserve">is </w:t>
      </w:r>
      <w:r w:rsidRPr="00987BF2">
        <w:t xml:space="preserve">one kind of grazing trace on bedding planes that often co-exists with short </w:t>
      </w:r>
      <w:r w:rsidR="00D4033E" w:rsidRPr="00D4033E">
        <w:rPr>
          <w:i/>
        </w:rPr>
        <w:t>Chondrites</w:t>
      </w:r>
      <w:r w:rsidRPr="00987BF2">
        <w:t xml:space="preserve"> in deep w</w:t>
      </w:r>
      <w:r w:rsidRPr="00862E27">
        <w:t xml:space="preserve">ater. By definition, it contains both an irregular and regular network </w:t>
      </w:r>
      <w:r w:rsidRPr="00987BF2">
        <w:t>of</w:t>
      </w:r>
      <w:r w:rsidRPr="00862E27">
        <w:t xml:space="preserve"> polygons resulting from systematic feeding along the bedding plane. In our analysis on micro-CT scan image (</w:t>
      </w:r>
      <w:r w:rsidR="000F6177">
        <w:t>Figure 4.</w:t>
      </w:r>
      <w:r w:rsidR="006224B1">
        <w:t>5</w:t>
      </w:r>
      <w:r w:rsidRPr="00862E27">
        <w:t xml:space="preserve">), the </w:t>
      </w:r>
      <w:r w:rsidRPr="008658B9">
        <w:rPr>
          <w:i/>
        </w:rPr>
        <w:t>Paleodictyon</w:t>
      </w:r>
      <w:r w:rsidRPr="00862E27">
        <w:t xml:space="preserve"> are "cookie" like </w:t>
      </w:r>
      <w:r w:rsidRPr="00862E27">
        <w:lastRenderedPageBreak/>
        <w:t xml:space="preserve">shaped bodies which usually have 2-3cm extension along the bedding planes. Most </w:t>
      </w:r>
      <w:r w:rsidRPr="008658B9">
        <w:rPr>
          <w:i/>
        </w:rPr>
        <w:t>Paleodictyon</w:t>
      </w:r>
      <w:r w:rsidRPr="00862E27">
        <w:t xml:space="preserve"> are irregular</w:t>
      </w:r>
      <w:r w:rsidR="00B43EC9">
        <w:t>ly</w:t>
      </w:r>
      <w:r w:rsidRPr="00862E27">
        <w:t xml:space="preserve"> shaped without a </w:t>
      </w:r>
      <w:r w:rsidR="00B43EC9" w:rsidRPr="00987BF2">
        <w:t>specific</w:t>
      </w:r>
      <w:r w:rsidR="00B43EC9" w:rsidRPr="00862E27">
        <w:t xml:space="preserve"> orientation</w:t>
      </w:r>
      <w:r w:rsidRPr="00862E27">
        <w:t xml:space="preserve">. Some of them are elongated, and some of them are more rounded. The aspect </w:t>
      </w:r>
      <w:proofErr w:type="gramStart"/>
      <w:r w:rsidRPr="00862E27">
        <w:t>ratio (length/width) of these shapes are</w:t>
      </w:r>
      <w:proofErr w:type="gramEnd"/>
      <w:r w:rsidRPr="00862E27">
        <w:t xml:space="preserve"> often less than 3:1.</w:t>
      </w:r>
    </w:p>
    <w:p w:rsidR="007B32AD" w:rsidRPr="00862E27" w:rsidRDefault="007B32AD" w:rsidP="007B32AD"/>
    <w:p w:rsidR="007B32AD" w:rsidRPr="00050010" w:rsidRDefault="00D4033E" w:rsidP="007B32AD">
      <w:pPr>
        <w:rPr>
          <w:b/>
        </w:rPr>
      </w:pPr>
      <w:r w:rsidRPr="00D4033E">
        <w:rPr>
          <w:b/>
          <w:i/>
        </w:rPr>
        <w:t>Planolites</w:t>
      </w:r>
    </w:p>
    <w:p w:rsidR="007B32AD" w:rsidRPr="00862E27" w:rsidRDefault="007B32AD" w:rsidP="007B32AD">
      <w:r w:rsidRPr="00862E27">
        <w:tab/>
      </w:r>
      <w:r w:rsidR="00D4033E" w:rsidRPr="00D4033E">
        <w:rPr>
          <w:i/>
        </w:rPr>
        <w:t>Planolites</w:t>
      </w:r>
      <w:r w:rsidRPr="00862E27">
        <w:t xml:space="preserve"> are also common in the Woodford </w:t>
      </w:r>
      <w:r w:rsidR="00B43EC9">
        <w:t>S</w:t>
      </w:r>
      <w:r w:rsidRPr="00862E27">
        <w:t xml:space="preserve">hale cores, but they are less common than </w:t>
      </w:r>
      <w:r w:rsidR="00D4033E" w:rsidRPr="00D4033E">
        <w:rPr>
          <w:i/>
        </w:rPr>
        <w:t>Chondrites</w:t>
      </w:r>
      <w:r w:rsidRPr="00862E27">
        <w:t xml:space="preserve"> and </w:t>
      </w:r>
      <w:r w:rsidRPr="008658B9">
        <w:rPr>
          <w:i/>
        </w:rPr>
        <w:t>Paleodictyon</w:t>
      </w:r>
      <w:r w:rsidRPr="00862E27">
        <w:t>. It consists of horizon</w:t>
      </w:r>
      <w:r w:rsidR="003373FE">
        <w:t>tal to sub-horizontal, meandering</w:t>
      </w:r>
      <w:r w:rsidRPr="00862E27">
        <w:t xml:space="preserve"> and unbranched tubes, which are circular in cross section where uncompacted. It has been interpreted as the burrow of deposit-feeding worms (Jordan, 1985). The length of </w:t>
      </w:r>
      <w:r w:rsidR="00D4033E" w:rsidRPr="00D4033E">
        <w:rPr>
          <w:i/>
        </w:rPr>
        <w:t>Planolites</w:t>
      </w:r>
      <w:r w:rsidRPr="00862E27">
        <w:t xml:space="preserve"> ranges from 1.25-17.5 cm and the diameter of burrows ranges between 0.25-1.25cm (Jordan, 1985).</w:t>
      </w:r>
      <w:r w:rsidR="009C39CB">
        <w:rPr>
          <w:rFonts w:hint="eastAsia"/>
          <w:lang w:eastAsia="zh-CN"/>
        </w:rPr>
        <w:t xml:space="preserve"> </w:t>
      </w:r>
      <w:r w:rsidRPr="00862E27">
        <w:t>Although they are present in association with and crosscut all other ichnofacies recognized in the</w:t>
      </w:r>
      <w:r w:rsidR="003373FE">
        <w:t xml:space="preserve"> Woodford</w:t>
      </w:r>
      <w:r w:rsidRPr="00862E27">
        <w:t xml:space="preserve"> units (Boyer and Droser, 2011).</w:t>
      </w:r>
      <w:r w:rsidR="009C39CB">
        <w:rPr>
          <w:rFonts w:hint="eastAsia"/>
          <w:lang w:eastAsia="zh-CN"/>
        </w:rPr>
        <w:t xml:space="preserve"> </w:t>
      </w:r>
      <w:r w:rsidR="00C825F9" w:rsidRPr="00862E27">
        <w:t xml:space="preserve">The </w:t>
      </w:r>
      <w:r w:rsidR="00C825F9" w:rsidRPr="00D4033E">
        <w:rPr>
          <w:i/>
        </w:rPr>
        <w:t>Planolites</w:t>
      </w:r>
      <w:r w:rsidR="00C825F9" w:rsidRPr="00862E27">
        <w:t xml:space="preserve"> tend to be monospecific, which indicate low oxygen conditions</w:t>
      </w:r>
      <w:r w:rsidR="00C825F9">
        <w:t xml:space="preserve"> (Spaw, 2013)</w:t>
      </w:r>
      <w:r w:rsidR="00C825F9" w:rsidRPr="00862E27">
        <w:t>.</w:t>
      </w:r>
    </w:p>
    <w:p w:rsidR="008607C3" w:rsidRDefault="007B32AD" w:rsidP="008607C3">
      <w:r>
        <w:tab/>
      </w:r>
      <w:r w:rsidR="006224B1">
        <w:t>Figure 4.6</w:t>
      </w:r>
      <w:r w:rsidR="009B4283">
        <w:rPr>
          <w:rFonts w:hint="eastAsia"/>
          <w:lang w:eastAsia="zh-CN"/>
        </w:rPr>
        <w:t xml:space="preserve"> </w:t>
      </w:r>
      <w:r w:rsidR="002F025A">
        <w:t>shows</w:t>
      </w:r>
      <w:r w:rsidRPr="00862E27">
        <w:t xml:space="preserve"> one example of </w:t>
      </w:r>
      <w:r w:rsidR="00D4033E" w:rsidRPr="00D4033E">
        <w:rPr>
          <w:i/>
        </w:rPr>
        <w:t>Planolites</w:t>
      </w:r>
      <w:r w:rsidRPr="00862E27">
        <w:t xml:space="preserve"> ichnofauna in</w:t>
      </w:r>
      <w:r w:rsidR="002F025A">
        <w:t xml:space="preserve"> a micro-CT-Scan at</w:t>
      </w:r>
      <w:r w:rsidR="009B4283">
        <w:rPr>
          <w:rFonts w:hint="eastAsia"/>
          <w:lang w:eastAsia="zh-CN"/>
        </w:rPr>
        <w:t xml:space="preserve"> </w:t>
      </w:r>
      <w:r w:rsidR="002F025A">
        <w:t xml:space="preserve">30-31 </w:t>
      </w:r>
      <w:r>
        <w:t>ft</w:t>
      </w:r>
      <w:r w:rsidR="009B4283">
        <w:rPr>
          <w:rFonts w:hint="eastAsia"/>
          <w:lang w:eastAsia="zh-CN"/>
        </w:rPr>
        <w:t xml:space="preserve"> </w:t>
      </w:r>
      <w:r w:rsidR="001131E0">
        <w:rPr>
          <w:rFonts w:hint="eastAsia"/>
          <w:lang w:eastAsia="zh-CN"/>
        </w:rPr>
        <w:t>(9.5</w:t>
      </w:r>
      <w:r w:rsidR="001131E0">
        <w:rPr>
          <w:lang w:eastAsia="zh-CN"/>
        </w:rPr>
        <w:t>m</w:t>
      </w:r>
      <w:r w:rsidR="001131E0">
        <w:rPr>
          <w:rFonts w:hint="eastAsia"/>
          <w:lang w:eastAsia="zh-CN"/>
        </w:rPr>
        <w:t xml:space="preserve">) </w:t>
      </w:r>
      <w:r w:rsidRPr="00862E27">
        <w:t xml:space="preserve">of </w:t>
      </w:r>
      <w:proofErr w:type="gramStart"/>
      <w:r w:rsidRPr="00862E27">
        <w:t>Well</w:t>
      </w:r>
      <w:proofErr w:type="gramEnd"/>
      <w:r w:rsidRPr="00862E27">
        <w:t xml:space="preserve"> A (</w:t>
      </w:r>
      <w:r w:rsidR="008607C3">
        <w:t xml:space="preserve">top of </w:t>
      </w:r>
      <w:r w:rsidR="008607C3" w:rsidRPr="00051575">
        <w:t>the</w:t>
      </w:r>
      <w:r w:rsidR="008607C3">
        <w:t xml:space="preserve"> Middle Woodford</w:t>
      </w:r>
      <w:r w:rsidRPr="00862E27">
        <w:t xml:space="preserve">). </w:t>
      </w:r>
      <w:r w:rsidR="00C825F9">
        <w:t xml:space="preserve">This example illustrates the advantage of 3-D imaging. One circular feature on the horizontal slice and several light gray dots on the vertical slice are seen with the 2-D images only (Figure 4.6, left). The 3-D images provide </w:t>
      </w:r>
      <w:r w:rsidR="00C825F9" w:rsidRPr="00051575">
        <w:t>more</w:t>
      </w:r>
      <w:r w:rsidR="00C825F9">
        <w:t xml:space="preserve"> detail of the </w:t>
      </w:r>
      <w:r w:rsidR="00C825F9" w:rsidRPr="00D4033E">
        <w:rPr>
          <w:i/>
        </w:rPr>
        <w:t>Planolites</w:t>
      </w:r>
      <w:r w:rsidR="00C825F9">
        <w:t xml:space="preserve"> including geometry, density and distribution. The </w:t>
      </w:r>
      <w:r w:rsidR="00C825F9" w:rsidRPr="00D4033E">
        <w:rPr>
          <w:i/>
        </w:rPr>
        <w:t>Planolites</w:t>
      </w:r>
      <w:r w:rsidR="00C825F9">
        <w:t xml:space="preserve"> are mostly horizontal burrows. </w:t>
      </w:r>
      <w:r w:rsidR="008607C3">
        <w:t>Figure 4.</w:t>
      </w:r>
      <w:r w:rsidR="00F70101">
        <w:t>7</w:t>
      </w:r>
      <w:r w:rsidR="008607C3" w:rsidRPr="007A3A18">
        <w:t xml:space="preserve"> is another example </w:t>
      </w:r>
      <w:r w:rsidR="008607C3">
        <w:t>from 222</w:t>
      </w:r>
      <w:r w:rsidR="008607C3" w:rsidRPr="007A3A18">
        <w:t>ft</w:t>
      </w:r>
      <w:r w:rsidR="00F70101">
        <w:t xml:space="preserve"> (67.5</w:t>
      </w:r>
      <w:r w:rsidR="008607C3">
        <w:t>m)</w:t>
      </w:r>
      <w:r w:rsidR="008607C3" w:rsidRPr="007A3A18">
        <w:t xml:space="preserve"> of Cor</w:t>
      </w:r>
      <w:r w:rsidR="008607C3">
        <w:t xml:space="preserve">e C. A major curved </w:t>
      </w:r>
      <w:r w:rsidR="008607C3" w:rsidRPr="00D4033E">
        <w:rPr>
          <w:i/>
        </w:rPr>
        <w:t>Planolites</w:t>
      </w:r>
      <w:r w:rsidR="008607C3">
        <w:t xml:space="preserve"> burrow is parallel to the bedding plane. Only a tiny piece of the burrow can be seen on 2-D vertical section </w:t>
      </w:r>
      <w:r w:rsidR="008607C3">
        <w:lastRenderedPageBreak/>
        <w:t>of the Mi</w:t>
      </w:r>
      <w:r w:rsidR="008607C3" w:rsidRPr="00051575">
        <w:t xml:space="preserve">cro-CT image, while the 3-D processing revealed the detail of the burrow associated with </w:t>
      </w:r>
      <w:r w:rsidR="00AD649A">
        <w:t>nearby barite and chert grains.</w:t>
      </w:r>
      <w:r w:rsidR="00AD649A">
        <w:rPr>
          <w:rFonts w:hint="eastAsia"/>
          <w:lang w:eastAsia="zh-CN"/>
        </w:rPr>
        <w:t xml:space="preserve"> </w:t>
      </w:r>
    </w:p>
    <w:p w:rsidR="008607C3" w:rsidRDefault="00F70101" w:rsidP="008607C3">
      <w:r>
        <w:tab/>
        <w:t>Figure 4.</w:t>
      </w:r>
      <w:r w:rsidR="0079131E">
        <w:t>8</w:t>
      </w:r>
      <w:r w:rsidR="008B40B4">
        <w:rPr>
          <w:rFonts w:hint="eastAsia"/>
          <w:lang w:eastAsia="zh-CN"/>
        </w:rPr>
        <w:t xml:space="preserve"> </w:t>
      </w:r>
      <w:r>
        <w:t>shows</w:t>
      </w:r>
      <w:r w:rsidRPr="00862E27">
        <w:t xml:space="preserve"> another example that </w:t>
      </w:r>
      <w:r w:rsidRPr="00D4033E">
        <w:rPr>
          <w:i/>
        </w:rPr>
        <w:t>Planolites</w:t>
      </w:r>
      <w:r w:rsidRPr="00862E27">
        <w:t xml:space="preserve"> co-developed with </w:t>
      </w:r>
      <w:r w:rsidR="00E11A44">
        <w:rPr>
          <w:i/>
        </w:rPr>
        <w:t>Grazing Trails</w:t>
      </w:r>
      <w:r w:rsidRPr="00862E27">
        <w:t xml:space="preserve"> (</w:t>
      </w:r>
      <w:r w:rsidRPr="008658B9">
        <w:rPr>
          <w:i/>
        </w:rPr>
        <w:t>Paleodictyon</w:t>
      </w:r>
      <w:r w:rsidRPr="00862E27">
        <w:t xml:space="preserve">) at </w:t>
      </w:r>
      <w:r>
        <w:t>181ft (55m)</w:t>
      </w:r>
      <w:r w:rsidRPr="00862E27">
        <w:t xml:space="preserve"> in Well C (Middle Woodford)</w:t>
      </w:r>
      <w:r w:rsidR="0079131E">
        <w:t xml:space="preserve"> (red arrow)</w:t>
      </w:r>
      <w:r w:rsidRPr="00862E27">
        <w:t>.</w:t>
      </w:r>
      <w:r w:rsidR="0079131E" w:rsidRPr="00862E27">
        <w:t xml:space="preserve"> </w:t>
      </w:r>
      <w:r w:rsidR="00C1667F" w:rsidRPr="003B6196">
        <w:t xml:space="preserve">The lower burrow (indicated by red arrow) shows a sub-vertical geometry which </w:t>
      </w:r>
      <w:proofErr w:type="gramStart"/>
      <w:r w:rsidR="00C1667F" w:rsidRPr="003B6196">
        <w:t>are</w:t>
      </w:r>
      <w:proofErr w:type="gramEnd"/>
      <w:r w:rsidR="00C1667F" w:rsidRPr="003B6196">
        <w:t xml:space="preserve"> crossing</w:t>
      </w:r>
      <w:r w:rsidR="008F7AE4">
        <w:rPr>
          <w:rFonts w:hint="eastAsia"/>
          <w:lang w:eastAsia="zh-CN"/>
        </w:rPr>
        <w:t xml:space="preserve"> a</w:t>
      </w:r>
      <w:r w:rsidR="00C1667F" w:rsidRPr="003B6196">
        <w:t xml:space="preserve"> bedding plane. This is the only interval with sub-vertical burrows observed in Woodford Cores. </w:t>
      </w:r>
      <w:r>
        <w:t xml:space="preserve">This interval has </w:t>
      </w:r>
      <w:r w:rsidR="008607C3">
        <w:t xml:space="preserve">very high quartz </w:t>
      </w:r>
      <w:r w:rsidR="008607C3" w:rsidRPr="00051575">
        <w:t>content (71wt</w:t>
      </w:r>
      <w:proofErr w:type="gramStart"/>
      <w:r w:rsidR="008607C3" w:rsidRPr="00051575">
        <w:t>.%</w:t>
      </w:r>
      <w:proofErr w:type="gramEnd"/>
      <w:r w:rsidR="008607C3" w:rsidRPr="00051575">
        <w:t>).</w:t>
      </w:r>
      <w:r w:rsidR="00402E64">
        <w:rPr>
          <w:rFonts w:hint="eastAsia"/>
          <w:lang w:eastAsia="zh-CN"/>
        </w:rPr>
        <w:t xml:space="preserve"> </w:t>
      </w:r>
      <w:r w:rsidR="008607C3" w:rsidRPr="003B6196">
        <w:t>High quartz co</w:t>
      </w:r>
      <w:r w:rsidR="008607C3">
        <w:t>ntent and su</w:t>
      </w:r>
      <w:r w:rsidR="008607C3" w:rsidRPr="003B6196">
        <w:t>b-vertical burrows may be the causes of high porosity (8.5%) and permeability (115,000 nd)</w:t>
      </w:r>
      <w:r w:rsidR="008607C3">
        <w:t xml:space="preserve"> measured</w:t>
      </w:r>
      <w:r w:rsidR="008607C3" w:rsidRPr="003B6196">
        <w:t xml:space="preserve"> for this interval. </w:t>
      </w:r>
      <w:r>
        <w:t>Another good</w:t>
      </w:r>
      <w:r w:rsidR="008607C3">
        <w:t xml:space="preserve"> example is a bioturbated interval at 98</w:t>
      </w:r>
      <w:r w:rsidR="008607C3" w:rsidRPr="007A3A18">
        <w:t>ft</w:t>
      </w:r>
      <w:r w:rsidR="008607C3">
        <w:t xml:space="preserve"> (</w:t>
      </w:r>
      <w:r w:rsidR="00F54E23">
        <w:t>30m</w:t>
      </w:r>
      <w:r w:rsidR="008607C3">
        <w:t>) in</w:t>
      </w:r>
      <w:r w:rsidR="008607C3" w:rsidRPr="007A3A18">
        <w:t xml:space="preserve"> Core</w:t>
      </w:r>
      <w:r w:rsidR="008607C3">
        <w:t xml:space="preserve"> C (Figure 4.</w:t>
      </w:r>
      <w:r w:rsidR="00F54E23">
        <w:t>9</w:t>
      </w:r>
      <w:r w:rsidR="008607C3">
        <w:t xml:space="preserve">), which is a dolo-mudstone interval </w:t>
      </w:r>
      <w:r w:rsidR="008607C3" w:rsidRPr="00C63B93">
        <w:t>(38 wt</w:t>
      </w:r>
      <w:proofErr w:type="gramStart"/>
      <w:r w:rsidR="008607C3" w:rsidRPr="00C63B93">
        <w:t>.%</w:t>
      </w:r>
      <w:proofErr w:type="gramEnd"/>
      <w:r w:rsidR="008607C3" w:rsidRPr="00C63B93">
        <w:t xml:space="preserve"> dolomite) near the base of the Middle Wo</w:t>
      </w:r>
      <w:r w:rsidR="008607C3">
        <w:t>odford. Both 2-D and 3-D im</w:t>
      </w:r>
      <w:r w:rsidR="008607C3" w:rsidRPr="00C63B93">
        <w:t>ages indicat</w:t>
      </w:r>
      <w:r w:rsidR="008607C3">
        <w:t xml:space="preserve">e a good straight </w:t>
      </w:r>
      <w:r w:rsidR="008607C3" w:rsidRPr="004A429B">
        <w:rPr>
          <w:i/>
        </w:rPr>
        <w:t>Planolite</w:t>
      </w:r>
      <w:r w:rsidR="005F0443">
        <w:rPr>
          <w:rFonts w:hint="eastAsia"/>
          <w:i/>
          <w:lang w:eastAsia="zh-CN"/>
        </w:rPr>
        <w:t xml:space="preserve">s </w:t>
      </w:r>
      <w:r w:rsidR="008607C3">
        <w:t>burrow. There are also 2-3cm thick chert beds above and below the burrow. This interval has low measured porosity (4.4%) and permeability (2990 nano-darcy). Organic content is also low. The interval is interpreted as the shallow</w:t>
      </w:r>
      <w:r w:rsidR="00D9090A">
        <w:t>er</w:t>
      </w:r>
      <w:r w:rsidR="008607C3">
        <w:t xml:space="preserve"> water environment right above Frasnian-Famennian Boundary.</w:t>
      </w:r>
    </w:p>
    <w:p w:rsidR="000D717C" w:rsidRDefault="000D717C" w:rsidP="008607C3"/>
    <w:p w:rsidR="000D717C" w:rsidRPr="000D717C" w:rsidRDefault="00A65F36" w:rsidP="008607C3">
      <w:pPr>
        <w:rPr>
          <w:b/>
        </w:rPr>
      </w:pPr>
      <w:r w:rsidRPr="00A65F36">
        <w:rPr>
          <w:rFonts w:ascii="Times New Roman" w:hAnsi="Times New Roman"/>
          <w:b/>
          <w:i/>
          <w:sz w:val="23"/>
          <w:szCs w:val="23"/>
        </w:rPr>
        <w:t>Thalassinoides</w:t>
      </w:r>
    </w:p>
    <w:p w:rsidR="007B32AD" w:rsidRPr="001435C1" w:rsidRDefault="000970EC" w:rsidP="007B32AD">
      <w:r>
        <w:rPr>
          <w:rFonts w:ascii="Times New Roman" w:hAnsi="Times New Roman"/>
          <w:i/>
          <w:sz w:val="23"/>
          <w:szCs w:val="23"/>
        </w:rPr>
        <w:tab/>
      </w:r>
      <w:r w:rsidR="00A65F36" w:rsidRPr="00A65F36">
        <w:rPr>
          <w:rFonts w:ascii="Times New Roman" w:hAnsi="Times New Roman"/>
          <w:i/>
          <w:sz w:val="23"/>
          <w:szCs w:val="23"/>
        </w:rPr>
        <w:t>Thalassinoides</w:t>
      </w:r>
      <w:r w:rsidR="00D058D2">
        <w:rPr>
          <w:rFonts w:ascii="Times New Roman" w:hAnsi="Times New Roman"/>
          <w:i/>
          <w:sz w:val="23"/>
          <w:szCs w:val="23"/>
        </w:rPr>
        <w:t xml:space="preserve"> </w:t>
      </w:r>
      <w:r>
        <w:rPr>
          <w:rFonts w:ascii="Times New Roman" w:hAnsi="Times New Roman"/>
          <w:sz w:val="23"/>
          <w:szCs w:val="23"/>
        </w:rPr>
        <w:t xml:space="preserve">belongs to </w:t>
      </w:r>
      <w:r w:rsidR="005F0443">
        <w:rPr>
          <w:rFonts w:ascii="Times New Roman" w:hAnsi="Times New Roman" w:hint="eastAsia"/>
          <w:sz w:val="23"/>
          <w:szCs w:val="23"/>
          <w:lang w:eastAsia="zh-CN"/>
        </w:rPr>
        <w:t xml:space="preserve">the </w:t>
      </w:r>
      <w:r>
        <w:rPr>
          <w:rFonts w:ascii="Times New Roman" w:hAnsi="Times New Roman"/>
          <w:sz w:val="23"/>
          <w:szCs w:val="23"/>
        </w:rPr>
        <w:t>C</w:t>
      </w:r>
      <w:r w:rsidRPr="000970EC">
        <w:rPr>
          <w:rFonts w:ascii="Times New Roman" w:hAnsi="Times New Roman"/>
          <w:i/>
          <w:sz w:val="23"/>
          <w:szCs w:val="23"/>
        </w:rPr>
        <w:t>ruziana</w:t>
      </w:r>
      <w:r w:rsidRPr="000970EC">
        <w:rPr>
          <w:rFonts w:ascii="Times New Roman" w:hAnsi="Times New Roman"/>
          <w:sz w:val="23"/>
          <w:szCs w:val="23"/>
        </w:rPr>
        <w:t xml:space="preserve"> ichnofacies</w:t>
      </w:r>
      <w:r>
        <w:rPr>
          <w:rFonts w:ascii="Times New Roman" w:hAnsi="Times New Roman"/>
          <w:sz w:val="23"/>
          <w:szCs w:val="23"/>
        </w:rPr>
        <w:t xml:space="preserve">. They are usually </w:t>
      </w:r>
      <w:r w:rsidR="005F0443">
        <w:rPr>
          <w:rFonts w:ascii="Times New Roman" w:hAnsi="Times New Roman" w:hint="eastAsia"/>
          <w:sz w:val="23"/>
          <w:szCs w:val="23"/>
          <w:lang w:eastAsia="zh-CN"/>
        </w:rPr>
        <w:t>found</w:t>
      </w:r>
      <w:r>
        <w:rPr>
          <w:rFonts w:ascii="Times New Roman" w:hAnsi="Times New Roman"/>
          <w:sz w:val="23"/>
          <w:szCs w:val="23"/>
        </w:rPr>
        <w:t xml:space="preserve"> in shallow marine</w:t>
      </w:r>
      <w:proofErr w:type="gramStart"/>
      <w:r>
        <w:rPr>
          <w:rFonts w:ascii="Times New Roman" w:hAnsi="Times New Roman"/>
          <w:sz w:val="23"/>
          <w:szCs w:val="23"/>
        </w:rPr>
        <w:t>,  sub</w:t>
      </w:r>
      <w:proofErr w:type="gramEnd"/>
      <w:r>
        <w:rPr>
          <w:rFonts w:ascii="Times New Roman" w:hAnsi="Times New Roman"/>
          <w:sz w:val="23"/>
          <w:szCs w:val="23"/>
        </w:rPr>
        <w:t xml:space="preserve">- to intertidal environments below wave base and above storm base. The presence of </w:t>
      </w:r>
      <w:r w:rsidR="00A65F36" w:rsidRPr="00A65F36">
        <w:rPr>
          <w:rFonts w:ascii="Times New Roman" w:hAnsi="Times New Roman"/>
          <w:i/>
          <w:sz w:val="23"/>
          <w:szCs w:val="23"/>
        </w:rPr>
        <w:t>Thalassinoides</w:t>
      </w:r>
      <w:r w:rsidR="007922A3">
        <w:rPr>
          <w:rFonts w:ascii="Times New Roman" w:hAnsi="Times New Roman"/>
          <w:i/>
          <w:sz w:val="23"/>
          <w:szCs w:val="23"/>
        </w:rPr>
        <w:t xml:space="preserve"> </w:t>
      </w:r>
      <w:r>
        <w:rPr>
          <w:rFonts w:ascii="Times New Roman" w:hAnsi="Times New Roman"/>
          <w:sz w:val="23"/>
          <w:szCs w:val="23"/>
        </w:rPr>
        <w:t>often indicate</w:t>
      </w:r>
      <w:r w:rsidR="00451B38">
        <w:rPr>
          <w:rFonts w:ascii="Times New Roman" w:hAnsi="Times New Roman"/>
          <w:sz w:val="23"/>
          <w:szCs w:val="23"/>
        </w:rPr>
        <w:t>s</w:t>
      </w:r>
      <w:r>
        <w:rPr>
          <w:rFonts w:ascii="Times New Roman" w:hAnsi="Times New Roman"/>
          <w:sz w:val="23"/>
          <w:szCs w:val="23"/>
        </w:rPr>
        <w:t xml:space="preserve"> quiet offshore environment with strong bioturbation activities. In Woodford Shale, the </w:t>
      </w:r>
      <w:r w:rsidR="00A65F36" w:rsidRPr="00A65F36">
        <w:rPr>
          <w:rFonts w:ascii="Times New Roman" w:hAnsi="Times New Roman"/>
          <w:i/>
          <w:sz w:val="23"/>
          <w:szCs w:val="23"/>
        </w:rPr>
        <w:t>Thalassinoides</w:t>
      </w:r>
      <w:r w:rsidR="007922A3">
        <w:rPr>
          <w:rFonts w:ascii="Times New Roman" w:hAnsi="Times New Roman"/>
          <w:i/>
          <w:sz w:val="23"/>
          <w:szCs w:val="23"/>
        </w:rPr>
        <w:t xml:space="preserve"> </w:t>
      </w:r>
      <w:r w:rsidR="005F0443">
        <w:rPr>
          <w:rFonts w:ascii="Times New Roman" w:hAnsi="Times New Roman"/>
          <w:sz w:val="23"/>
          <w:szCs w:val="23"/>
        </w:rPr>
        <w:t>are present</w:t>
      </w:r>
      <w:r>
        <w:rPr>
          <w:rFonts w:ascii="Times New Roman" w:hAnsi="Times New Roman"/>
          <w:sz w:val="23"/>
          <w:szCs w:val="23"/>
        </w:rPr>
        <w:t xml:space="preserve"> in the Lower Woodford, and they are well recognized in Core B and C.</w:t>
      </w:r>
      <w:r w:rsidR="00451B38">
        <w:rPr>
          <w:rFonts w:ascii="Times New Roman" w:hAnsi="Times New Roman"/>
          <w:sz w:val="23"/>
          <w:szCs w:val="23"/>
        </w:rPr>
        <w:t xml:space="preserve"> The geometries are characterized by</w:t>
      </w:r>
      <w:r w:rsidR="008B5BE6">
        <w:rPr>
          <w:rFonts w:ascii="Times New Roman" w:hAnsi="Times New Roman"/>
          <w:sz w:val="23"/>
          <w:szCs w:val="23"/>
        </w:rPr>
        <w:t xml:space="preserve"> sandglass shape with the vertical burrow from 2-5cm. The materials filled in the vertical burrows are coarser grained than</w:t>
      </w:r>
      <w:r w:rsidR="00F23004">
        <w:rPr>
          <w:rFonts w:ascii="Times New Roman" w:hAnsi="Times New Roman" w:hint="eastAsia"/>
          <w:sz w:val="23"/>
          <w:szCs w:val="23"/>
          <w:lang w:eastAsia="zh-CN"/>
        </w:rPr>
        <w:t xml:space="preserve"> the</w:t>
      </w:r>
      <w:r w:rsidR="008B5BE6">
        <w:rPr>
          <w:rFonts w:ascii="Times New Roman" w:hAnsi="Times New Roman"/>
          <w:sz w:val="23"/>
          <w:szCs w:val="23"/>
        </w:rPr>
        <w:t xml:space="preserve"> surrounding matrix, with occasionally pyritized </w:t>
      </w:r>
      <w:r w:rsidR="008B5BE6">
        <w:rPr>
          <w:rFonts w:ascii="Times New Roman" w:hAnsi="Times New Roman"/>
          <w:sz w:val="23"/>
          <w:szCs w:val="23"/>
        </w:rPr>
        <w:lastRenderedPageBreak/>
        <w:t xml:space="preserve">framboids (Figure 4.10). </w:t>
      </w:r>
      <w:r w:rsidR="001435C1">
        <w:rPr>
          <w:rFonts w:ascii="Times New Roman" w:hAnsi="Times New Roman"/>
          <w:sz w:val="23"/>
          <w:szCs w:val="23"/>
        </w:rPr>
        <w:t xml:space="preserve">No </w:t>
      </w:r>
      <w:r w:rsidR="00A65F36" w:rsidRPr="00A65F36">
        <w:rPr>
          <w:rFonts w:ascii="Times New Roman" w:hAnsi="Times New Roman"/>
          <w:i/>
          <w:sz w:val="23"/>
          <w:szCs w:val="23"/>
        </w:rPr>
        <w:t>Thalassinoides</w:t>
      </w:r>
      <w:r w:rsidR="007922A3">
        <w:rPr>
          <w:rFonts w:ascii="Times New Roman" w:hAnsi="Times New Roman"/>
          <w:i/>
          <w:sz w:val="23"/>
          <w:szCs w:val="23"/>
        </w:rPr>
        <w:t xml:space="preserve"> </w:t>
      </w:r>
      <w:r w:rsidR="001435C1">
        <w:rPr>
          <w:rFonts w:ascii="Times New Roman" w:hAnsi="Times New Roman"/>
          <w:sz w:val="23"/>
          <w:szCs w:val="23"/>
        </w:rPr>
        <w:t>has been found in Middle and Upper Woodford Shale, which imply that the Lower Woodford has unique shallower</w:t>
      </w:r>
      <w:r w:rsidR="009579DD">
        <w:rPr>
          <w:rFonts w:ascii="Times New Roman" w:hAnsi="Times New Roman"/>
          <w:sz w:val="23"/>
          <w:szCs w:val="23"/>
        </w:rPr>
        <w:t xml:space="preserve">-water </w:t>
      </w:r>
      <w:r w:rsidR="001435C1">
        <w:rPr>
          <w:rFonts w:ascii="Times New Roman" w:hAnsi="Times New Roman"/>
          <w:sz w:val="23"/>
          <w:szCs w:val="23"/>
        </w:rPr>
        <w:t>depositional environment.</w:t>
      </w:r>
    </w:p>
    <w:p w:rsidR="000D717C" w:rsidRPr="00862E27" w:rsidRDefault="000D717C" w:rsidP="007B32AD"/>
    <w:p w:rsidR="007B32AD" w:rsidRPr="00050010" w:rsidRDefault="007B32AD" w:rsidP="007B32AD">
      <w:pPr>
        <w:rPr>
          <w:b/>
        </w:rPr>
      </w:pPr>
      <w:r w:rsidRPr="006C482F">
        <w:rPr>
          <w:b/>
          <w:i/>
        </w:rPr>
        <w:t>Radiolarian</w:t>
      </w:r>
      <w:r w:rsidRPr="00050010">
        <w:rPr>
          <w:b/>
        </w:rPr>
        <w:t xml:space="preserve"> Chert and Fecal Pellets</w:t>
      </w:r>
    </w:p>
    <w:p w:rsidR="007B32AD" w:rsidRPr="00862E27" w:rsidRDefault="00A61ACA" w:rsidP="007B32AD">
      <w:r>
        <w:tab/>
      </w:r>
      <w:r w:rsidR="007B32AD" w:rsidRPr="00862E27">
        <w:t>Radiolaria in cherts can be easily seen in segmentation images of Micro CT-Scan data. They are dense, small and spherical objects of millimeter scale that are scattered in 3-D space (</w:t>
      </w:r>
      <w:r w:rsidR="000F6177">
        <w:t>Figure 4.</w:t>
      </w:r>
      <w:r>
        <w:t>11</w:t>
      </w:r>
      <w:r w:rsidR="007B32AD" w:rsidRPr="00862E27">
        <w:t xml:space="preserve">). </w:t>
      </w:r>
      <w:r>
        <w:t xml:space="preserve">They are often pyritized and can be easily recognized in core. </w:t>
      </w:r>
      <w:r w:rsidR="007B32AD" w:rsidRPr="00862E27">
        <w:t xml:space="preserve">The spherical geometry often helped to differentiate them from short </w:t>
      </w:r>
      <w:r w:rsidR="00D4033E" w:rsidRPr="00D4033E">
        <w:rPr>
          <w:i/>
        </w:rPr>
        <w:t>Chondrites</w:t>
      </w:r>
      <w:r w:rsidR="007B32AD" w:rsidRPr="00A30C7C">
        <w:t xml:space="preserve">. Fecal pellets are also important spherical features in the </w:t>
      </w:r>
      <w:r w:rsidR="00F93FD5">
        <w:t>Woodford Shale</w:t>
      </w:r>
      <w:r w:rsidR="007B32AD" w:rsidRPr="00A30C7C">
        <w:t xml:space="preserve"> (Slatt and </w:t>
      </w:r>
      <w:r w:rsidR="007B32AD">
        <w:t>O'Brien</w:t>
      </w:r>
      <w:r w:rsidR="007B32AD" w:rsidRPr="00A30C7C">
        <w:t>, 2011; Chain, 2012). However, they often are of smaller size than radiolaria in cherts. In general, they are less than 1mm, which are smaller than the detectable range of Mic</w:t>
      </w:r>
      <w:r w:rsidR="007B32AD" w:rsidRPr="00862E27">
        <w:t xml:space="preserve">ro CT-Scan. The fecal pellets are better resolved using SEM methods (Slatt </w:t>
      </w:r>
      <w:r w:rsidR="00880C6B" w:rsidRPr="00880C6B">
        <w:rPr>
          <w:i/>
        </w:rPr>
        <w:t>et al.</w:t>
      </w:r>
      <w:r w:rsidR="007B32AD" w:rsidRPr="00862E27">
        <w:t>, 2011; Chain, 2012).</w:t>
      </w:r>
    </w:p>
    <w:p w:rsidR="007B32AD" w:rsidRPr="00862E27" w:rsidRDefault="007B32AD" w:rsidP="007B32AD"/>
    <w:p w:rsidR="007B32AD" w:rsidRPr="00050010" w:rsidRDefault="007B32AD" w:rsidP="007B32AD">
      <w:pPr>
        <w:rPr>
          <w:b/>
        </w:rPr>
      </w:pPr>
      <w:r w:rsidRPr="00050010">
        <w:rPr>
          <w:b/>
        </w:rPr>
        <w:t>Nodules</w:t>
      </w:r>
    </w:p>
    <w:p w:rsidR="007B32AD" w:rsidRPr="00862E27" w:rsidRDefault="007B32AD" w:rsidP="007B32AD">
      <w:r w:rsidRPr="00862E27">
        <w:tab/>
        <w:t>Phosphate and chert nodules are common features in the Upper Woodford. Their 3-D geometry can also be thoroughly resolved using segmentation of Micro-CT scan. They are interpreted to represent very shallow, low energy environments in the shelf of the Anadarko basin. The segmentation of M</w:t>
      </w:r>
      <w:r w:rsidR="003078F3">
        <w:t>i</w:t>
      </w:r>
      <w:r w:rsidRPr="00862E27">
        <w:t>cro-CT scan can filter other noisy features</w:t>
      </w:r>
      <w:r w:rsidR="003A2381">
        <w:t xml:space="preserve"> such as artificially induced fractures, chips and cements</w:t>
      </w:r>
      <w:r w:rsidRPr="00862E27">
        <w:t>, leaving only the 3-D bodies of the nodules (</w:t>
      </w:r>
      <w:r w:rsidR="000F6177">
        <w:t>Figure 4.</w:t>
      </w:r>
      <w:r w:rsidR="00622F8F">
        <w:t>12</w:t>
      </w:r>
      <w:r w:rsidRPr="00862E27">
        <w:t>). The nodules represent the large sea-level drop at the Early Mississippian boundary.</w:t>
      </w:r>
    </w:p>
    <w:p w:rsidR="007B32AD" w:rsidRDefault="007B32AD" w:rsidP="007B32AD"/>
    <w:p w:rsidR="007B32AD" w:rsidRPr="00250DC6" w:rsidRDefault="007B32AD" w:rsidP="007B32AD">
      <w:pPr>
        <w:rPr>
          <w:b/>
        </w:rPr>
      </w:pPr>
      <w:r w:rsidRPr="00250DC6">
        <w:rPr>
          <w:b/>
        </w:rPr>
        <w:lastRenderedPageBreak/>
        <w:t>THE WOODFORD CORE STUDY</w:t>
      </w:r>
    </w:p>
    <w:p w:rsidR="007B32AD" w:rsidRPr="001D068F" w:rsidRDefault="007B32AD" w:rsidP="007B32AD">
      <w:r w:rsidRPr="001D068F">
        <w:tab/>
      </w:r>
      <w:r w:rsidR="003657BA">
        <w:t>The t</w:t>
      </w:r>
      <w:r w:rsidRPr="001D068F">
        <w:t xml:space="preserve">hree </w:t>
      </w:r>
      <w:r w:rsidR="00F93FD5">
        <w:t>Woodford Shale</w:t>
      </w:r>
      <w:r w:rsidRPr="001D068F">
        <w:t xml:space="preserve"> cores collected by Marathon Oil Corporation in the past five years </w:t>
      </w:r>
      <w:r w:rsidR="003657BA">
        <w:t>cover</w:t>
      </w:r>
      <w:r w:rsidRPr="001D068F">
        <w:t xml:space="preserve"> the proximal and distal parts of the </w:t>
      </w:r>
      <w:r w:rsidR="003657BA">
        <w:t xml:space="preserve">northern </w:t>
      </w:r>
      <w:r w:rsidRPr="001D068F">
        <w:t>Anadarko Basin in western central Oklahoma</w:t>
      </w:r>
      <w:r>
        <w:t xml:space="preserve"> (</w:t>
      </w:r>
      <w:r w:rsidR="000F6177">
        <w:t>Figure 4.1</w:t>
      </w:r>
      <w:r>
        <w:t>)</w:t>
      </w:r>
      <w:r w:rsidRPr="001D068F">
        <w:t xml:space="preserve">. Core A is located </w:t>
      </w:r>
      <w:r w:rsidR="003657BA">
        <w:t>on</w:t>
      </w:r>
      <w:r w:rsidRPr="001D068F">
        <w:t xml:space="preserve"> the proximal shelf of the Anadarko basin with </w:t>
      </w:r>
      <w:proofErr w:type="gramStart"/>
      <w:r w:rsidRPr="001D068F">
        <w:t>a</w:t>
      </w:r>
      <w:proofErr w:type="gramEnd"/>
      <w:r w:rsidR="00A65F36">
        <w:rPr>
          <w:rFonts w:hint="eastAsia"/>
          <w:lang w:eastAsia="zh-CN"/>
        </w:rPr>
        <w:t xml:space="preserve"> </w:t>
      </w:r>
      <w:r w:rsidR="003657BA">
        <w:t>82</w:t>
      </w:r>
      <w:r w:rsidRPr="001D068F">
        <w:t>ft</w:t>
      </w:r>
      <w:r w:rsidR="003657BA">
        <w:t xml:space="preserve"> (25m)</w:t>
      </w:r>
      <w:r w:rsidRPr="001D068F">
        <w:t xml:space="preserve"> thick Woodford section. Core B is located at the middle shelf with 20</w:t>
      </w:r>
      <w:r w:rsidR="003657BA">
        <w:t>2</w:t>
      </w:r>
      <w:r w:rsidRPr="001D068F">
        <w:t>ft</w:t>
      </w:r>
      <w:r w:rsidR="003657BA">
        <w:t xml:space="preserve"> (61.5m)</w:t>
      </w:r>
      <w:r w:rsidRPr="001D068F">
        <w:t xml:space="preserve"> of Woodford section. Core C is located </w:t>
      </w:r>
      <w:r w:rsidR="003657BA">
        <w:t>in the distal portion</w:t>
      </w:r>
      <w:r w:rsidRPr="001D068F">
        <w:t xml:space="preserve"> with 3</w:t>
      </w:r>
      <w:r w:rsidR="00DC7767">
        <w:t>72</w:t>
      </w:r>
      <w:r w:rsidRPr="001D068F">
        <w:t>ft</w:t>
      </w:r>
      <w:r w:rsidR="00DC7767">
        <w:t xml:space="preserve"> (113.5m)</w:t>
      </w:r>
      <w:r w:rsidRPr="001D068F">
        <w:t xml:space="preserve"> of Woodford section. Core A and B have been studie</w:t>
      </w:r>
      <w:r w:rsidRPr="00A30C7C">
        <w:t xml:space="preserve">d by Chain (2012) </w:t>
      </w:r>
      <w:r w:rsidR="00E730FE">
        <w:t>using</w:t>
      </w:r>
      <w:r w:rsidRPr="00A30C7C">
        <w:t xml:space="preserve"> conventional thin section, SEM and organic geochemistry analysis within a preliminary sequence stratigraphic framework. These three cores were also studied b</w:t>
      </w:r>
      <w:r w:rsidRPr="001D068F">
        <w:t xml:space="preserve">y Hlava (2013) with emphasis on sedimentary features and micro-facies. Spaw (2013) conducted a revolutionary study on of the three Woodford cores using the micro-CT scan technology. Four main types of ichnofacies were identified: </w:t>
      </w:r>
      <w:r w:rsidRPr="008658B9">
        <w:rPr>
          <w:i/>
        </w:rPr>
        <w:t>Paleodictyon</w:t>
      </w:r>
      <w:r w:rsidRPr="001D068F">
        <w:t xml:space="preserve">, </w:t>
      </w:r>
      <w:r w:rsidR="00D4033E" w:rsidRPr="00D4033E">
        <w:rPr>
          <w:i/>
        </w:rPr>
        <w:t>Chondrites</w:t>
      </w:r>
      <w:r w:rsidRPr="001D068F">
        <w:t xml:space="preserve">, </w:t>
      </w:r>
      <w:r w:rsidR="00D4033E" w:rsidRPr="00D4033E">
        <w:rPr>
          <w:i/>
        </w:rPr>
        <w:t>Planolites</w:t>
      </w:r>
      <w:r w:rsidRPr="001D068F">
        <w:t xml:space="preserve"> and </w:t>
      </w:r>
      <w:r w:rsidR="00A65F36" w:rsidRPr="00A65F36">
        <w:rPr>
          <w:i/>
        </w:rPr>
        <w:t>Thalassinoides</w:t>
      </w:r>
      <w:r w:rsidRPr="00A30C7C">
        <w:t xml:space="preserve">. Based on </w:t>
      </w:r>
      <w:r w:rsidR="003657BA">
        <w:t>this</w:t>
      </w:r>
      <w:r w:rsidRPr="00A30C7C">
        <w:t xml:space="preserve"> previous work, Micro-CT scan data were input into the Avizo Fire</w:t>
      </w:r>
      <w:r w:rsidRPr="00A30C7C">
        <w:rPr>
          <w:vertAlign w:val="superscript"/>
        </w:rPr>
        <w:t>TM</w:t>
      </w:r>
      <w:r w:rsidRPr="00A30C7C">
        <w:t xml:space="preserve"> software packages for 3-D processing, segmentation and rendering. Although such technology</w:t>
      </w:r>
      <w:r w:rsidRPr="001D068F">
        <w:t xml:space="preserve"> has been used in other basins, </w:t>
      </w:r>
      <w:r w:rsidR="007A1963">
        <w:t xml:space="preserve">its application to the data produced the first </w:t>
      </w:r>
      <w:r w:rsidRPr="001D068F">
        <w:t xml:space="preserve">clear and detailed, true 3-D geometry of the ichnofacies in the Woodford </w:t>
      </w:r>
      <w:r w:rsidR="00856A3C">
        <w:t>Shale of the Anadarko Basin.</w:t>
      </w:r>
    </w:p>
    <w:p w:rsidR="007B32AD" w:rsidRDefault="007B32AD" w:rsidP="007B32AD"/>
    <w:p w:rsidR="007B32AD" w:rsidRPr="00411108" w:rsidRDefault="007B32AD" w:rsidP="007B32AD">
      <w:pPr>
        <w:rPr>
          <w:b/>
        </w:rPr>
      </w:pPr>
      <w:r w:rsidRPr="00411108">
        <w:rPr>
          <w:b/>
        </w:rPr>
        <w:t>Lithofacies and Ichnofacies</w:t>
      </w:r>
      <w:r w:rsidR="00BB37A8">
        <w:rPr>
          <w:b/>
        </w:rPr>
        <w:t xml:space="preserve"> of the Woodford Shale</w:t>
      </w:r>
    </w:p>
    <w:p w:rsidR="00A918B1" w:rsidRDefault="00A27E4F" w:rsidP="007B32AD">
      <w:r>
        <w:tab/>
      </w:r>
      <w:r w:rsidR="007B32AD" w:rsidRPr="00411108">
        <w:t xml:space="preserve">The lithofacies of the Woodford cores have been defined by Slatt </w:t>
      </w:r>
      <w:r w:rsidR="00880C6B" w:rsidRPr="00880C6B">
        <w:rPr>
          <w:i/>
        </w:rPr>
        <w:t>et al.</w:t>
      </w:r>
      <w:r w:rsidR="007B32AD" w:rsidRPr="00411108">
        <w:t xml:space="preserve"> (2011); Chain (2012); Hlava (2013); Spaw (2013); Mann (2014) and Hemmesch </w:t>
      </w:r>
      <w:r w:rsidR="00880C6B" w:rsidRPr="00880C6B">
        <w:rPr>
          <w:i/>
        </w:rPr>
        <w:t>et al.</w:t>
      </w:r>
      <w:r w:rsidR="007B32AD" w:rsidRPr="00411108">
        <w:t xml:space="preserve"> (2014). Spaw (2013) pointed out that the lithofacies of the </w:t>
      </w:r>
      <w:r w:rsidR="00F93FD5">
        <w:t>Woodford Shale</w:t>
      </w:r>
      <w:r w:rsidR="007B32AD" w:rsidRPr="00411108">
        <w:t xml:space="preserve"> are difficult to be defined and classified with traditional core description because: 1) they are very dark; </w:t>
      </w:r>
      <w:r w:rsidR="007B32AD" w:rsidRPr="00411108">
        <w:lastRenderedPageBreak/>
        <w:t>2) they are difficult to sample due to fissility; 3) many features are beneath normal resolution of standard petrographic equipment;</w:t>
      </w:r>
      <w:r w:rsidR="00A65F36">
        <w:rPr>
          <w:rFonts w:hint="eastAsia"/>
          <w:lang w:eastAsia="zh-CN"/>
        </w:rPr>
        <w:t xml:space="preserve"> and</w:t>
      </w:r>
      <w:r w:rsidR="007B32AD" w:rsidRPr="00411108">
        <w:t xml:space="preserve"> 4) different scales of sedimentary features are mixed which often requires upscaling. The descriptive terminology such as “fissile”, “massive” or “laminated” are not diagnostic to differentiate different shales (Hemmesch </w:t>
      </w:r>
      <w:r w:rsidR="00880C6B" w:rsidRPr="00880C6B">
        <w:rPr>
          <w:i/>
        </w:rPr>
        <w:t>et al.</w:t>
      </w:r>
      <w:r w:rsidR="007B32AD" w:rsidRPr="00411108">
        <w:t xml:space="preserve">, 2014). </w:t>
      </w:r>
    </w:p>
    <w:p w:rsidR="00A27E4F" w:rsidRDefault="00A918B1" w:rsidP="007B32AD">
      <w:r>
        <w:tab/>
      </w:r>
      <w:r w:rsidR="007B32AD" w:rsidRPr="00411108">
        <w:t>Based on thin section petrology and X-ray diffraction data, there are 5 microfacies related lit</w:t>
      </w:r>
      <w:r w:rsidR="00580753">
        <w:t xml:space="preserve">hologies defined by Spaw (2013). These are: </w:t>
      </w:r>
      <w:r w:rsidR="007B32AD" w:rsidRPr="00411108">
        <w:t>(1) kerogen-rich, radiolarian-bearing, argillaceous chert; (2) agglutinated forams and transported debris-rich mudstone with laminae; (3) kerogen-rich, argillaceous, detrital silt-rich mudstone; (4) dolomitic, kerogen- rich, argillaceous, Tasmanites-rich mudstone; and (5) agglutinated foram mudstone.</w:t>
      </w:r>
    </w:p>
    <w:p w:rsidR="007B32AD" w:rsidRDefault="00A918B1" w:rsidP="007B32AD">
      <w:r>
        <w:tab/>
      </w:r>
      <w:r w:rsidRPr="00411108">
        <w:t xml:space="preserve">Hemmesch </w:t>
      </w:r>
      <w:r w:rsidR="00880C6B" w:rsidRPr="00880C6B">
        <w:rPr>
          <w:i/>
        </w:rPr>
        <w:t>et al.</w:t>
      </w:r>
      <w:r w:rsidRPr="00411108">
        <w:t xml:space="preserve"> (2014) simply classified the Woodford lithology into organic-rich mudstone, radiolarian-rich lamina, dolomite or limestone, and chert. </w:t>
      </w:r>
      <w:r w:rsidR="007B32AD" w:rsidRPr="00411108">
        <w:t xml:space="preserve">The </w:t>
      </w:r>
      <w:r w:rsidR="00F93FD5">
        <w:t>Woodford Shale</w:t>
      </w:r>
      <w:r w:rsidR="007B32AD" w:rsidRPr="00A30C7C">
        <w:t xml:space="preserve"> has a high quartz content ranging from 3</w:t>
      </w:r>
      <w:r w:rsidR="007B32AD" w:rsidRPr="00411108">
        <w:t xml:space="preserve">1-80% </w:t>
      </w:r>
      <w:r w:rsidR="007B32AD" w:rsidRPr="00A30C7C">
        <w:t>by</w:t>
      </w:r>
      <w:r w:rsidR="007B32AD" w:rsidRPr="00411108">
        <w:t xml:space="preserve"> volume, and the clay content varies from 6-32% </w:t>
      </w:r>
      <w:r w:rsidR="007B32AD" w:rsidRPr="00A30C7C">
        <w:t>by</w:t>
      </w:r>
      <w:r w:rsidR="007B32AD" w:rsidRPr="00411108">
        <w:t xml:space="preserve"> volume, with an average of</w:t>
      </w:r>
      <w:r w:rsidR="00560165">
        <w:rPr>
          <w:rFonts w:hint="eastAsia"/>
          <w:lang w:eastAsia="zh-CN"/>
        </w:rPr>
        <w:t xml:space="preserve"> </w:t>
      </w:r>
      <w:r w:rsidR="007B32AD" w:rsidRPr="00411108">
        <w:t>18% (Spaw, 2013).</w:t>
      </w:r>
      <w:r w:rsidR="00560165">
        <w:rPr>
          <w:rFonts w:hint="eastAsia"/>
          <w:lang w:eastAsia="zh-CN"/>
        </w:rPr>
        <w:t xml:space="preserve"> </w:t>
      </w:r>
      <w:r w:rsidR="007B32AD" w:rsidRPr="00411108">
        <w:t>There are 3 types of quartz based on thin s</w:t>
      </w:r>
      <w:r w:rsidR="007B32AD" w:rsidRPr="00A30C7C">
        <w:t>ections: (1) diagenetic chert (crystalline chert) dominates the Upper Woodford; (2) biogenic (radiolarian) q</w:t>
      </w:r>
      <w:r w:rsidR="007B32AD">
        <w:t>uartz</w:t>
      </w:r>
      <w:r w:rsidR="007B32AD" w:rsidRPr="00411108">
        <w:t xml:space="preserve"> mudstone dominates the Middle Woodford; and (3) extrabasinal detrital quartz </w:t>
      </w:r>
      <w:proofErr w:type="gramStart"/>
      <w:r w:rsidR="007B32AD" w:rsidRPr="00411108">
        <w:t>silt</w:t>
      </w:r>
      <w:proofErr w:type="gramEnd"/>
      <w:r w:rsidR="007B32AD" w:rsidRPr="00411108">
        <w:t xml:space="preserve"> that d</w:t>
      </w:r>
      <w:r w:rsidR="007B32AD" w:rsidRPr="00A30C7C">
        <w:t>ominates the L</w:t>
      </w:r>
      <w:r w:rsidR="007B32AD" w:rsidRPr="00411108">
        <w:t xml:space="preserve">ower Woodford (Spaw, 2013). </w:t>
      </w:r>
    </w:p>
    <w:p w:rsidR="00A27E4F" w:rsidRDefault="00A27E4F" w:rsidP="00A27E4F">
      <w:r>
        <w:rPr>
          <w:rFonts w:eastAsia="AGaramond-Regular"/>
        </w:rPr>
        <w:tab/>
      </w:r>
      <w:r w:rsidRPr="00411108">
        <w:t xml:space="preserve">The term mudstone covers a wide variety of rock components, fabrics and textures. It is the most common lithofacies in the </w:t>
      </w:r>
      <w:r>
        <w:t>Woodford Shale</w:t>
      </w:r>
      <w:r w:rsidRPr="00411108">
        <w:t xml:space="preserve"> (more than 85%). </w:t>
      </w:r>
      <w:r>
        <w:rPr>
          <w:rFonts w:eastAsia="AGaramond-Regular"/>
        </w:rPr>
        <w:t xml:space="preserve">Gamero-Diaz </w:t>
      </w:r>
      <w:r w:rsidR="00880C6B" w:rsidRPr="00880C6B">
        <w:rPr>
          <w:rFonts w:eastAsia="AGaramond-Regular"/>
          <w:i/>
        </w:rPr>
        <w:t>et al.</w:t>
      </w:r>
      <w:r>
        <w:rPr>
          <w:rFonts w:eastAsia="AGaramond-Regular"/>
        </w:rPr>
        <w:t xml:space="preserve"> (2012) proposed an effective classification scheme for organic mudstones based on bulk mineralogy (Figure 4.13). We plotted our XRD mineralogy </w:t>
      </w:r>
      <w:r>
        <w:rPr>
          <w:rFonts w:eastAsia="AGaramond-Regular"/>
        </w:rPr>
        <w:lastRenderedPageBreak/>
        <w:t xml:space="preserve">data from Core A, B and C on a Ternary diagram to show how Lower, Middle and Upper Woodford Shale </w:t>
      </w:r>
      <w:proofErr w:type="gramStart"/>
      <w:r>
        <w:rPr>
          <w:rFonts w:eastAsia="AGaramond-Regular"/>
        </w:rPr>
        <w:t>fall</w:t>
      </w:r>
      <w:proofErr w:type="gramEnd"/>
      <w:r>
        <w:rPr>
          <w:rFonts w:eastAsia="AGaramond-Regular"/>
        </w:rPr>
        <w:t xml:space="preserve"> into their categories. As the plot (Figure 4.13 Lower) indicates, most of the </w:t>
      </w:r>
      <w:r w:rsidR="005847B1">
        <w:rPr>
          <w:rFonts w:eastAsia="AGaramond-Regular"/>
        </w:rPr>
        <w:t xml:space="preserve">Woodford Shale </w:t>
      </w:r>
      <w:proofErr w:type="gramStart"/>
      <w:r w:rsidR="007002D6">
        <w:rPr>
          <w:rFonts w:eastAsia="AGaramond-Regular"/>
        </w:rPr>
        <w:t>are</w:t>
      </w:r>
      <w:proofErr w:type="gramEnd"/>
      <w:r w:rsidR="007002D6">
        <w:rPr>
          <w:rFonts w:eastAsia="AGaramond-Regular"/>
        </w:rPr>
        <w:t xml:space="preserve"> (mix</w:t>
      </w:r>
      <w:r w:rsidR="00BF57B7">
        <w:rPr>
          <w:rFonts w:eastAsia="AGaramond-Regular"/>
        </w:rPr>
        <w:t>ed</w:t>
      </w:r>
      <w:r w:rsidR="007002D6">
        <w:rPr>
          <w:rFonts w:eastAsia="AGaramond-Regular"/>
        </w:rPr>
        <w:t xml:space="preserve">) siliceous shale. Only a few samples are (mixed) carbonate shale and NONE of the mudstones are in argillaceous mudstone categories. </w:t>
      </w:r>
    </w:p>
    <w:p w:rsidR="007B32AD" w:rsidRPr="00411108" w:rsidRDefault="007B32AD" w:rsidP="007B32AD">
      <w:r w:rsidRPr="00411108">
        <w:tab/>
      </w:r>
      <w:r w:rsidR="00560165">
        <w:rPr>
          <w:rFonts w:hint="eastAsia"/>
          <w:lang w:eastAsia="zh-CN"/>
        </w:rPr>
        <w:t>For</w:t>
      </w:r>
      <w:r w:rsidRPr="00411108">
        <w:t xml:space="preserve"> the purpose of this study, the lithofacies are </w:t>
      </w:r>
      <w:r w:rsidR="00E730FE">
        <w:t>divided into six mudstone categories or facies unit</w:t>
      </w:r>
      <w:r w:rsidR="007922A3">
        <w:t xml:space="preserve"> </w:t>
      </w:r>
      <w:r w:rsidR="00E730FE">
        <w:t xml:space="preserve">and classified </w:t>
      </w:r>
      <w:r w:rsidRPr="00411108">
        <w:t>as:</w:t>
      </w:r>
      <w:r w:rsidRPr="00411108">
        <w:tab/>
      </w:r>
    </w:p>
    <w:p w:rsidR="007B32AD" w:rsidRPr="00411108" w:rsidRDefault="007B32AD" w:rsidP="007B32AD">
      <w:r>
        <w:tab/>
      </w:r>
      <w:r w:rsidR="00D32117">
        <w:t>1.</w:t>
      </w:r>
      <w:r w:rsidRPr="00411108">
        <w:t xml:space="preserve"> Organic-rich Mudstone</w:t>
      </w:r>
    </w:p>
    <w:p w:rsidR="007B32AD" w:rsidRPr="00411108" w:rsidRDefault="007B32AD" w:rsidP="007B32AD">
      <w:r w:rsidRPr="00411108">
        <w:tab/>
        <w:t>In core it is often dark to dark gray, lam</w:t>
      </w:r>
      <w:r w:rsidRPr="00A30C7C">
        <w:t>inated shales, that are s</w:t>
      </w:r>
      <w:r w:rsidRPr="00411108">
        <w:t>oft and contain very high TOC (often time</w:t>
      </w:r>
      <w:r w:rsidRPr="00A30C7C">
        <w:t>s &gt;6 weight %). Thin-sections often rev</w:t>
      </w:r>
      <w:r w:rsidRPr="00411108">
        <w:t xml:space="preserve">eal </w:t>
      </w:r>
      <w:r w:rsidR="00E730FE">
        <w:t xml:space="preserve">the presence of </w:t>
      </w:r>
      <w:r w:rsidRPr="00D32117">
        <w:rPr>
          <w:i/>
        </w:rPr>
        <w:t>Tasmanites</w:t>
      </w:r>
      <w:r w:rsidRPr="00411108">
        <w:t xml:space="preserve">. </w:t>
      </w:r>
    </w:p>
    <w:p w:rsidR="007B32AD" w:rsidRPr="00411108" w:rsidRDefault="007B32AD" w:rsidP="007B32AD">
      <w:r>
        <w:tab/>
      </w:r>
      <w:r w:rsidR="00D32117">
        <w:t>2.</w:t>
      </w:r>
      <w:r w:rsidRPr="00411108">
        <w:t xml:space="preserve"> Siliceous </w:t>
      </w:r>
      <w:r w:rsidR="00E730FE" w:rsidRPr="00411108">
        <w:t>Mudstone</w:t>
      </w:r>
    </w:p>
    <w:p w:rsidR="007B32AD" w:rsidRPr="00411108" w:rsidRDefault="007B32AD" w:rsidP="007B32AD">
      <w:r w:rsidRPr="00411108">
        <w:tab/>
      </w:r>
      <w:r w:rsidR="00E730FE">
        <w:t>The siliceous mudstone</w:t>
      </w:r>
      <w:r w:rsidR="007922A3">
        <w:t xml:space="preserve"> </w:t>
      </w:r>
      <w:r w:rsidR="00E730FE">
        <w:t xml:space="preserve">category is further divided into </w:t>
      </w:r>
      <w:r w:rsidRPr="00411108">
        <w:t xml:space="preserve">two types of </w:t>
      </w:r>
      <w:r w:rsidR="00E730FE">
        <w:t>mudstones</w:t>
      </w:r>
      <w:r w:rsidRPr="00411108">
        <w:t xml:space="preserve"> with high quartz content: radiolarian chert</w:t>
      </w:r>
      <w:r w:rsidR="00E730FE">
        <w:t>-rich</w:t>
      </w:r>
      <w:r w:rsidRPr="00411108">
        <w:t xml:space="preserve"> and detrital quartz</w:t>
      </w:r>
      <w:r w:rsidR="00E730FE">
        <w:t>-rich</w:t>
      </w:r>
      <w:r w:rsidRPr="00411108">
        <w:t xml:space="preserve">. The detrital quartz grains are more frequent in the Lower Woodford while the radiolarian cherts are more </w:t>
      </w:r>
      <w:r w:rsidRPr="00A30C7C">
        <w:t>common</w:t>
      </w:r>
      <w:r w:rsidRPr="00411108">
        <w:t xml:space="preserve"> in the Middle and Up</w:t>
      </w:r>
      <w:r w:rsidR="00560165">
        <w:t>per Woodford. Radiolarian chert</w:t>
      </w:r>
      <w:r w:rsidR="00E730FE">
        <w:t xml:space="preserve">-rich </w:t>
      </w:r>
      <w:proofErr w:type="gramStart"/>
      <w:r w:rsidR="00E730FE">
        <w:t>mudstone</w:t>
      </w:r>
      <w:r w:rsidRPr="00411108">
        <w:t xml:space="preserve"> tend</w:t>
      </w:r>
      <w:proofErr w:type="gramEnd"/>
      <w:r w:rsidRPr="00411108">
        <w:t xml:space="preserve"> to have the 2nd highest TOC content next to organic rich </w:t>
      </w:r>
      <w:r w:rsidR="00E730FE">
        <w:t>mudstone</w:t>
      </w:r>
      <w:r w:rsidRPr="00411108">
        <w:t>, and they are often interbedded with each other. Detrital quartz mudsto</w:t>
      </w:r>
      <w:r w:rsidRPr="00A30C7C">
        <w:t xml:space="preserve">ne, </w:t>
      </w:r>
      <w:r w:rsidR="00E730FE">
        <w:t xml:space="preserve">common in the Lower Woodford, often has lower TOC values due to the abundance of quartz grains diluting the concentration of organic matter. </w:t>
      </w:r>
    </w:p>
    <w:p w:rsidR="007B32AD" w:rsidRPr="00411108" w:rsidRDefault="007B32AD" w:rsidP="007B32AD">
      <w:r>
        <w:tab/>
      </w:r>
      <w:r w:rsidR="00D32117">
        <w:t>3.</w:t>
      </w:r>
      <w:r w:rsidRPr="00411108">
        <w:t xml:space="preserve"> Nodular Chert Mudstone</w:t>
      </w:r>
    </w:p>
    <w:p w:rsidR="007B32AD" w:rsidRPr="00411108" w:rsidRDefault="007B32AD" w:rsidP="007B32AD">
      <w:pPr>
        <w:rPr>
          <w:lang w:eastAsia="zh-CN"/>
        </w:rPr>
      </w:pPr>
      <w:r>
        <w:tab/>
      </w:r>
      <w:r w:rsidRPr="00411108">
        <w:t xml:space="preserve">The nodular chert mudstone consists of phosphate and chert nodules which usually occur in the Upper Woodford. </w:t>
      </w:r>
      <w:r w:rsidR="00E730FE">
        <w:t>T</w:t>
      </w:r>
      <w:r w:rsidRPr="00411108">
        <w:t xml:space="preserve">race fossils are mostly absent in this facies. </w:t>
      </w:r>
      <w:r w:rsidRPr="00411108">
        <w:lastRenderedPageBreak/>
        <w:t xml:space="preserve">Other micro-fossils and bioactivities are also rare or </w:t>
      </w:r>
      <w:r w:rsidR="00E730FE">
        <w:t>absent</w:t>
      </w:r>
      <w:r w:rsidRPr="00411108">
        <w:t xml:space="preserve"> when phosphate nodules are present. This facies </w:t>
      </w:r>
      <w:r w:rsidR="00E730FE">
        <w:t>possibly represents</w:t>
      </w:r>
      <w:r w:rsidR="00560165">
        <w:t xml:space="preserve"> a life-free zone, which is a typical character of the Upper Woodford.</w:t>
      </w:r>
    </w:p>
    <w:p w:rsidR="007B32AD" w:rsidRPr="00411108" w:rsidRDefault="007B32AD" w:rsidP="007B32AD">
      <w:r>
        <w:tab/>
      </w:r>
      <w:r w:rsidR="00D32117">
        <w:t>4.</w:t>
      </w:r>
      <w:r w:rsidRPr="00411108">
        <w:t xml:space="preserve"> Bioturbated Mudstone </w:t>
      </w:r>
    </w:p>
    <w:p w:rsidR="007B32AD" w:rsidRPr="00411108" w:rsidRDefault="007B32AD" w:rsidP="007B32AD">
      <w:r>
        <w:tab/>
      </w:r>
      <w:r w:rsidRPr="00411108">
        <w:t>In general, bioturbated mudstone often correlates to higher bottom water oxygen levels, lower TOC and lower reservoir quality (</w:t>
      </w:r>
      <w:r w:rsidR="00D32117">
        <w:t xml:space="preserve">lower </w:t>
      </w:r>
      <w:r w:rsidRPr="00411108">
        <w:t xml:space="preserve">porosity and permeability). However, in some cases in the Middle Woodford, bioturbation can be correlated to </w:t>
      </w:r>
      <w:r w:rsidR="00D32117">
        <w:t xml:space="preserve">the presence of </w:t>
      </w:r>
      <w:r w:rsidRPr="00411108">
        <w:t xml:space="preserve">higher TOC. </w:t>
      </w:r>
    </w:p>
    <w:p w:rsidR="007B32AD" w:rsidRPr="00411108" w:rsidRDefault="007B32AD" w:rsidP="007B32AD">
      <w:r w:rsidRPr="00411108">
        <w:tab/>
      </w:r>
      <w:r w:rsidR="00D32117">
        <w:t>5.</w:t>
      </w:r>
      <w:r w:rsidRPr="00411108">
        <w:t xml:space="preserve"> Silty Mudstone:</w:t>
      </w:r>
    </w:p>
    <w:p w:rsidR="007B32AD" w:rsidRPr="00411108" w:rsidRDefault="007B32AD" w:rsidP="007B32AD">
      <w:r w:rsidRPr="00411108">
        <w:tab/>
        <w:t>This facies is often present in the Lower Woodford with high detrital</w:t>
      </w:r>
      <w:r w:rsidR="00D32117">
        <w:t xml:space="preserve"> quartz</w:t>
      </w:r>
      <w:r w:rsidRPr="00411108">
        <w:t xml:space="preserve"> content.</w:t>
      </w:r>
    </w:p>
    <w:p w:rsidR="007B32AD" w:rsidRPr="00A30C7C" w:rsidRDefault="007B32AD" w:rsidP="007B32AD">
      <w:r w:rsidRPr="00411108">
        <w:tab/>
      </w:r>
      <w:r w:rsidR="00D32117">
        <w:t>6.</w:t>
      </w:r>
      <w:r w:rsidRPr="00A30C7C">
        <w:t xml:space="preserve"> Dolomitic Mudstone: </w:t>
      </w:r>
    </w:p>
    <w:p w:rsidR="007B32AD" w:rsidRPr="00411108" w:rsidRDefault="007B32AD" w:rsidP="007B32AD">
      <w:pPr>
        <w:rPr>
          <w:lang w:eastAsia="zh-CN"/>
        </w:rPr>
      </w:pPr>
      <w:r w:rsidRPr="00A30C7C">
        <w:tab/>
        <w:t>In the Middle and Upper</w:t>
      </w:r>
      <w:r w:rsidRPr="00411108">
        <w:t xml:space="preserve"> Woodford there are some dolomitic beds in the mudstone matrix as determined from X-ray diffraction </w:t>
      </w:r>
      <w:proofErr w:type="gramStart"/>
      <w:r w:rsidRPr="00411108">
        <w:t>data.</w:t>
      </w:r>
      <w:proofErr w:type="gramEnd"/>
      <w:r w:rsidR="00902516">
        <w:t xml:space="preserve"> The presence of</w:t>
      </w:r>
      <w:r w:rsidR="00D5108D">
        <w:t xml:space="preserve"> dolomitic materials in the mudstone can indicate a shallow water (sub-tidal) environment. The water depth of Woodford time is not as deep as we previously thought.</w:t>
      </w:r>
      <w:r w:rsidR="0089643F">
        <w:rPr>
          <w:rFonts w:hint="eastAsia"/>
          <w:lang w:eastAsia="zh-CN"/>
        </w:rPr>
        <w:t xml:space="preserve"> The dolomitic material is interpreted to be transported from the shelf during highstand (Spaw, 2013). </w:t>
      </w:r>
    </w:p>
    <w:p w:rsidR="007B32AD" w:rsidRPr="00411108" w:rsidRDefault="007B32AD" w:rsidP="007B32AD">
      <w:r w:rsidRPr="00411108">
        <w:tab/>
        <w:t xml:space="preserve">In addition to lithology, the </w:t>
      </w:r>
      <w:r w:rsidR="0089643F" w:rsidRPr="00411108">
        <w:t>relationship between the lithofacies and depositional environment has</w:t>
      </w:r>
      <w:r w:rsidRPr="00411108">
        <w:t xml:space="preserve"> been </w:t>
      </w:r>
      <w:r w:rsidR="00D5108D">
        <w:t>interpreted</w:t>
      </w:r>
      <w:r w:rsidRPr="00411108">
        <w:t xml:space="preserve"> by Hlava </w:t>
      </w:r>
      <w:r w:rsidR="00880C6B" w:rsidRPr="00880C6B">
        <w:rPr>
          <w:i/>
        </w:rPr>
        <w:t>et al.</w:t>
      </w:r>
      <w:r w:rsidRPr="00411108">
        <w:t xml:space="preserve"> (2013) a</w:t>
      </w:r>
      <w:r w:rsidR="00977AE9">
        <w:t>nd Spaw (2013)</w:t>
      </w:r>
      <w:r w:rsidRPr="00411108">
        <w:t xml:space="preserve">. </w:t>
      </w:r>
      <w:r w:rsidR="00977AE9">
        <w:t>Their work shows that f</w:t>
      </w:r>
      <w:r w:rsidRPr="00411108">
        <w:t>rom the proximal Anadarko shelf (northeast) to the distal Anadarko basin (southwest), both detrital sediment and bulk density decreases while the total organic carbon (TOC) and biogenic quartz increases. In an</w:t>
      </w:r>
      <w:r w:rsidR="00977AE9">
        <w:t xml:space="preserve"> offshore</w:t>
      </w:r>
      <w:r w:rsidRPr="00411108">
        <w:t xml:space="preserve"> shelf environment, </w:t>
      </w:r>
      <w:r w:rsidR="00977AE9">
        <w:t xml:space="preserve">the </w:t>
      </w:r>
      <w:r w:rsidRPr="00411108">
        <w:t>lithofacies are dominated by bioturbated siltstone, silty</w:t>
      </w:r>
      <w:r w:rsidR="00977AE9">
        <w:t>,</w:t>
      </w:r>
      <w:r w:rsidRPr="00411108">
        <w:t xml:space="preserve"> and siliceous mudstones. In </w:t>
      </w:r>
      <w:r w:rsidRPr="00411108">
        <w:lastRenderedPageBreak/>
        <w:t>hemi-pelagic slope environments,</w:t>
      </w:r>
      <w:r w:rsidR="00977AE9">
        <w:t xml:space="preserve"> the</w:t>
      </w:r>
      <w:r w:rsidRPr="00411108">
        <w:t xml:space="preserve"> lithofacies are dominated by bioclastic mudstone with agglutinated forams and medium radiolarian cherts. The most distal pelagic environment is dominated by laminated (banded), siliceous mudstone, with fewer forams but more radiolarian cherts with higher TOC. There also were bottom currents and minor turbidite flows associated with these lithofacies, resulting in cross beddings and ripples. </w:t>
      </w:r>
    </w:p>
    <w:p w:rsidR="007B32AD" w:rsidRPr="00411108" w:rsidRDefault="007B32AD" w:rsidP="007B32AD">
      <w:r w:rsidRPr="00411108">
        <w:tab/>
        <w:t xml:space="preserve">Based on an integrated study on the Woodford core, </w:t>
      </w:r>
      <w:r w:rsidR="00342CCB">
        <w:t>we</w:t>
      </w:r>
      <w:r w:rsidRPr="00411108">
        <w:t xml:space="preserve"> proposed a </w:t>
      </w:r>
      <w:r w:rsidRPr="00A30C7C">
        <w:t>slope-to-basin depositional</w:t>
      </w:r>
      <w:r>
        <w:t xml:space="preserve"> model</w:t>
      </w:r>
      <w:r w:rsidR="00342CCB">
        <w:t xml:space="preserve"> within a sequence stratigraphic framework (Figure 4.14)</w:t>
      </w:r>
      <w:r>
        <w:t>.</w:t>
      </w:r>
      <w:r w:rsidRPr="00411108">
        <w:t xml:space="preserve"> It captures the lateral facies variations and the processes that are active in different portions of the basin. </w:t>
      </w:r>
      <w:r w:rsidR="00CF31E4">
        <w:rPr>
          <w:rFonts w:hint="eastAsia"/>
          <w:lang w:eastAsia="zh-CN"/>
        </w:rPr>
        <w:t>T</w:t>
      </w:r>
      <w:r w:rsidR="00EB06EE">
        <w:t xml:space="preserve">hin-section photos </w:t>
      </w:r>
      <w:r w:rsidR="00B87B85">
        <w:rPr>
          <w:rFonts w:hint="eastAsia"/>
          <w:lang w:eastAsia="zh-CN"/>
        </w:rPr>
        <w:t>of</w:t>
      </w:r>
      <w:r w:rsidR="00EB06EE">
        <w:t xml:space="preserve"> representative lithofacies seen in the interval</w:t>
      </w:r>
      <w:r w:rsidR="00B87B85">
        <w:rPr>
          <w:rFonts w:hint="eastAsia"/>
          <w:lang w:eastAsia="zh-CN"/>
        </w:rPr>
        <w:t xml:space="preserve"> are shown in F</w:t>
      </w:r>
      <w:r w:rsidR="00611497">
        <w:rPr>
          <w:rFonts w:hint="eastAsia"/>
          <w:lang w:eastAsia="zh-CN"/>
        </w:rPr>
        <w:t>igure 4.14</w:t>
      </w:r>
      <w:r w:rsidR="00EB06EE">
        <w:t xml:space="preserve">. </w:t>
      </w:r>
      <w:r w:rsidRPr="00411108">
        <w:t xml:space="preserve">Each individual micro-facies and trace </w:t>
      </w:r>
      <w:proofErr w:type="gramStart"/>
      <w:r w:rsidRPr="00411108">
        <w:t>fossils</w:t>
      </w:r>
      <w:proofErr w:type="gramEnd"/>
      <w:r w:rsidRPr="00411108">
        <w:t xml:space="preserve"> (mainly </w:t>
      </w:r>
      <w:r w:rsidRPr="008658B9">
        <w:rPr>
          <w:i/>
        </w:rPr>
        <w:t>Paleodictyon</w:t>
      </w:r>
      <w:r w:rsidRPr="00411108">
        <w:t xml:space="preserve"> and </w:t>
      </w:r>
      <w:r w:rsidR="00D4033E" w:rsidRPr="00D4033E">
        <w:rPr>
          <w:i/>
        </w:rPr>
        <w:t>Chondrites</w:t>
      </w:r>
      <w:r w:rsidRPr="00411108">
        <w:t>) have been correlated to certain depositional environments, which helps to then develop an accurate sequence stratigraphic framework.</w:t>
      </w:r>
    </w:p>
    <w:p w:rsidR="007B32AD" w:rsidRDefault="007B32AD" w:rsidP="007B32AD">
      <w:r w:rsidRPr="00411108">
        <w:tab/>
      </w:r>
      <w:r w:rsidR="00C11F34">
        <w:t xml:space="preserve">In </w:t>
      </w:r>
      <w:r w:rsidR="003A68DD">
        <w:rPr>
          <w:rFonts w:hint="eastAsia"/>
          <w:lang w:eastAsia="zh-CN"/>
        </w:rPr>
        <w:t xml:space="preserve">the current study, </w:t>
      </w:r>
      <w:r w:rsidRPr="00411108">
        <w:t xml:space="preserve">3-D segmentation and processing of the Micro-CT scan images enable us to quantify the abundance of the burrows foot-by-foot. We created a 3-D image for each foot of core, and chose to display all the ichnofacies by adjusting and filtering </w:t>
      </w:r>
      <w:r w:rsidR="00C11F34">
        <w:t>to a balanced</w:t>
      </w:r>
      <w:r w:rsidRPr="00411108">
        <w:t xml:space="preserve"> color scale. There is background noise in these images such as fractures, mud plugs etc. </w:t>
      </w:r>
      <w:r w:rsidR="003A68DD">
        <w:rPr>
          <w:rFonts w:hint="eastAsia"/>
          <w:lang w:eastAsia="zh-CN"/>
        </w:rPr>
        <w:t>This noise</w:t>
      </w:r>
      <w:r w:rsidRPr="00411108">
        <w:t xml:space="preserve"> can be filtered using a certain color spectrum. In our analysis, each foot has 4 ichnofacies characterized: short </w:t>
      </w:r>
      <w:r w:rsidR="00D4033E" w:rsidRPr="00D4033E">
        <w:rPr>
          <w:i/>
        </w:rPr>
        <w:t>Chondrites</w:t>
      </w:r>
      <w:r w:rsidRPr="00411108">
        <w:t xml:space="preserve">; long </w:t>
      </w:r>
      <w:r w:rsidR="00D4033E" w:rsidRPr="00D4033E">
        <w:rPr>
          <w:i/>
        </w:rPr>
        <w:t>Chondrites</w:t>
      </w:r>
      <w:r w:rsidRPr="00411108">
        <w:t xml:space="preserve">; </w:t>
      </w:r>
      <w:r w:rsidRPr="008658B9">
        <w:rPr>
          <w:i/>
        </w:rPr>
        <w:t>Paleodictyon</w:t>
      </w:r>
      <w:r w:rsidRPr="00411108">
        <w:t xml:space="preserve"> and </w:t>
      </w:r>
      <w:r w:rsidR="00D4033E" w:rsidRPr="00D4033E">
        <w:rPr>
          <w:i/>
        </w:rPr>
        <w:t>Planolites</w:t>
      </w:r>
      <w:r w:rsidRPr="00411108">
        <w:t xml:space="preserve">, with abundance values </w:t>
      </w:r>
      <w:r w:rsidR="00261B1C">
        <w:t>scaled to:</w:t>
      </w:r>
      <w:r w:rsidRPr="00411108">
        <w:t xml:space="preserve"> 3 as abundant, 2 as common, 1 as sparse and 0 as absent</w:t>
      </w:r>
      <w:r>
        <w:t xml:space="preserve"> (</w:t>
      </w:r>
      <w:r w:rsidR="000F6177">
        <w:t>Figure 4.</w:t>
      </w:r>
      <w:r w:rsidR="00BF61DB">
        <w:t>15</w:t>
      </w:r>
      <w:r>
        <w:t>)</w:t>
      </w:r>
      <w:r w:rsidRPr="00411108">
        <w:t xml:space="preserve">. </w:t>
      </w:r>
      <w:r w:rsidR="00261B1C">
        <w:t xml:space="preserve">Following these measurements, </w:t>
      </w:r>
      <w:r w:rsidRPr="00411108">
        <w:t xml:space="preserve">all the values of the </w:t>
      </w:r>
      <w:r w:rsidR="00261B1C">
        <w:t xml:space="preserve">ichnofacies </w:t>
      </w:r>
      <w:r w:rsidRPr="00411108">
        <w:t xml:space="preserve">abundance </w:t>
      </w:r>
      <w:r w:rsidR="00261B1C">
        <w:t>for</w:t>
      </w:r>
      <w:r w:rsidRPr="00411108">
        <w:t xml:space="preserve"> each foot have been </w:t>
      </w:r>
      <w:r w:rsidRPr="00411108">
        <w:lastRenderedPageBreak/>
        <w:t xml:space="preserve">summed up as the total </w:t>
      </w:r>
      <w:r w:rsidR="00261B1C">
        <w:t>B</w:t>
      </w:r>
      <w:r w:rsidRPr="00411108">
        <w:t xml:space="preserve">ioturbation </w:t>
      </w:r>
      <w:r w:rsidR="00261B1C">
        <w:t>I</w:t>
      </w:r>
      <w:r w:rsidRPr="00411108">
        <w:t>ndex</w:t>
      </w:r>
      <w:r w:rsidR="00261B1C">
        <w:t xml:space="preserve"> (BI)</w:t>
      </w:r>
      <w:r w:rsidRPr="00411108">
        <w:t xml:space="preserve">. In addition, the radiolarian cherts, </w:t>
      </w:r>
      <w:r w:rsidR="00261B1C">
        <w:t xml:space="preserve">phosphate </w:t>
      </w:r>
      <w:r w:rsidRPr="00411108">
        <w:t xml:space="preserve">nodules and </w:t>
      </w:r>
      <w:r w:rsidRPr="00A1199E">
        <w:rPr>
          <w:i/>
        </w:rPr>
        <w:t>Tasmanites</w:t>
      </w:r>
      <w:r w:rsidR="00261B1C">
        <w:t xml:space="preserve"> are also marked as flags. The core footage is described in feet beginning at the base of Woodford Shale.</w:t>
      </w:r>
    </w:p>
    <w:p w:rsidR="007B32AD" w:rsidRPr="00411108" w:rsidRDefault="007B32AD" w:rsidP="007B32AD"/>
    <w:p w:rsidR="007B32AD" w:rsidRDefault="007B32AD" w:rsidP="007B32AD">
      <w:pPr>
        <w:rPr>
          <w:b/>
        </w:rPr>
      </w:pPr>
      <w:r w:rsidRPr="00411108">
        <w:rPr>
          <w:b/>
        </w:rPr>
        <w:t>Core A:</w:t>
      </w:r>
    </w:p>
    <w:p w:rsidR="00CD4A84" w:rsidRPr="00411108" w:rsidRDefault="00CD4A84" w:rsidP="007B32AD">
      <w:pPr>
        <w:rPr>
          <w:b/>
        </w:rPr>
      </w:pPr>
      <w:r>
        <w:rPr>
          <w:b/>
        </w:rPr>
        <w:t>Core Summary</w:t>
      </w:r>
    </w:p>
    <w:p w:rsidR="007B32AD" w:rsidRDefault="00B8475A" w:rsidP="007B32AD">
      <w:r>
        <w:tab/>
        <w:t xml:space="preserve">Core </w:t>
      </w:r>
      <w:proofErr w:type="gramStart"/>
      <w:r>
        <w:t>A</w:t>
      </w:r>
      <w:proofErr w:type="gramEnd"/>
      <w:r>
        <w:t xml:space="preserve"> cut</w:t>
      </w:r>
      <w:r w:rsidR="007B32AD" w:rsidRPr="00411108">
        <w:t xml:space="preserve"> 8</w:t>
      </w:r>
      <w:r>
        <w:t>2</w:t>
      </w:r>
      <w:r w:rsidR="007B32AD" w:rsidRPr="00411108">
        <w:t>ft</w:t>
      </w:r>
      <w:r>
        <w:t xml:space="preserve"> (25m)</w:t>
      </w:r>
      <w:r w:rsidR="007B32AD" w:rsidRPr="00411108">
        <w:t xml:space="preserve"> of the Woodford section at the most proximal setting</w:t>
      </w:r>
      <w:r w:rsidR="003A68DD">
        <w:rPr>
          <w:rFonts w:hint="eastAsia"/>
          <w:lang w:eastAsia="zh-CN"/>
        </w:rPr>
        <w:t xml:space="preserve"> in the basin</w:t>
      </w:r>
      <w:r w:rsidR="007B32AD" w:rsidRPr="00411108">
        <w:t xml:space="preserve"> </w:t>
      </w:r>
      <w:r>
        <w:t xml:space="preserve">and penetrated </w:t>
      </w:r>
      <w:r w:rsidR="007B32AD" w:rsidRPr="00411108">
        <w:t>the Upper Middle Woodford and the Upper Woodford</w:t>
      </w:r>
      <w:r w:rsidR="007B32AD">
        <w:t xml:space="preserve"> (</w:t>
      </w:r>
      <w:r w:rsidR="005C0AB1">
        <w:t>Figure 4.16</w:t>
      </w:r>
      <w:r w:rsidR="0017581D">
        <w:t>-4.19</w:t>
      </w:r>
      <w:r w:rsidR="007B32AD">
        <w:t>)</w:t>
      </w:r>
      <w:r w:rsidR="007B32AD" w:rsidRPr="00411108">
        <w:t xml:space="preserve">. All of the Lower Woodford and </w:t>
      </w:r>
      <w:r w:rsidR="00A10B3D">
        <w:t>l</w:t>
      </w:r>
      <w:r w:rsidR="007B32AD" w:rsidRPr="00411108">
        <w:t xml:space="preserve">ower </w:t>
      </w:r>
      <w:r w:rsidR="007B32AD" w:rsidRPr="00A30C7C">
        <w:t>part of the Middle Woo</w:t>
      </w:r>
      <w:r w:rsidR="007B32AD" w:rsidRPr="00411108">
        <w:t xml:space="preserve">dford </w:t>
      </w:r>
      <w:r w:rsidR="00107AAB">
        <w:t>are</w:t>
      </w:r>
      <w:r w:rsidR="007B32AD" w:rsidRPr="00411108">
        <w:t xml:space="preserve"> absent. </w:t>
      </w:r>
      <w:r w:rsidR="005C0AB1">
        <w:t xml:space="preserve">Petrophysical logs indicate that the best reservoir </w:t>
      </w:r>
      <w:r w:rsidR="00D0624D">
        <w:t>quality is near the "Upper Woodford Chert Base"</w:t>
      </w:r>
      <w:r w:rsidR="001C73C2">
        <w:t xml:space="preserve"> (Figure 4.16)</w:t>
      </w:r>
      <w:r w:rsidR="00D0624D">
        <w:t xml:space="preserve">. </w:t>
      </w:r>
      <w:r w:rsidR="007B32AD" w:rsidRPr="00411108">
        <w:t>The basal Woodford in this core</w:t>
      </w:r>
      <w:r w:rsidR="009A7A3E">
        <w:t xml:space="preserve"> (</w:t>
      </w:r>
      <w:r w:rsidR="008C53EA">
        <w:t xml:space="preserve">Upper </w:t>
      </w:r>
      <w:r w:rsidR="009A7A3E">
        <w:t>Middle Woodford)</w:t>
      </w:r>
      <w:r w:rsidR="007B32AD" w:rsidRPr="00411108">
        <w:t xml:space="preserve"> is mud-rich and lies on top of the Hunton Group with a major erosion</w:t>
      </w:r>
      <w:r w:rsidR="007B32AD" w:rsidRPr="00A30C7C">
        <w:t>al unconformity</w:t>
      </w:r>
      <w:r w:rsidR="007E217D">
        <w:t xml:space="preserve"> (Figure 4.17)</w:t>
      </w:r>
      <w:r w:rsidR="007B32AD" w:rsidRPr="00A30C7C">
        <w:t xml:space="preserve">. Biogenic quartz (radiolarian chert) </w:t>
      </w:r>
      <w:r w:rsidR="009A7A3E">
        <w:t>litho</w:t>
      </w:r>
      <w:r w:rsidR="007B32AD" w:rsidRPr="00A30C7C">
        <w:t>facies is prevalent whic</w:t>
      </w:r>
      <w:r w:rsidR="007B32AD" w:rsidRPr="00C5479E">
        <w:t>h has resulted in</w:t>
      </w:r>
      <w:r w:rsidR="009A7A3E">
        <w:t xml:space="preserve"> abundant</w:t>
      </w:r>
      <w:r w:rsidR="007B32AD" w:rsidRPr="00C5479E">
        <w:t xml:space="preserve"> interparticle and floccule porosity </w:t>
      </w:r>
      <w:r w:rsidR="009A7A3E">
        <w:t xml:space="preserve">development </w:t>
      </w:r>
      <w:r w:rsidR="007B32AD" w:rsidRPr="00C5479E">
        <w:t xml:space="preserve">(Slatt and </w:t>
      </w:r>
      <w:r w:rsidR="007B32AD">
        <w:t>O'Brien</w:t>
      </w:r>
      <w:r w:rsidR="007B32AD" w:rsidRPr="00C5479E">
        <w:t xml:space="preserve">, 2011) in the dark laminated shale lithofacies. Radiolarian chert increases upward to a maximum </w:t>
      </w:r>
      <w:r w:rsidR="009A7A3E">
        <w:t xml:space="preserve">concentration </w:t>
      </w:r>
      <w:r w:rsidR="007B32AD" w:rsidRPr="00C5479E">
        <w:t>at</w:t>
      </w:r>
      <w:r w:rsidR="009A7A3E">
        <w:t xml:space="preserve"> 42</w:t>
      </w:r>
      <w:r w:rsidR="007B32AD" w:rsidRPr="00C5479E">
        <w:t>ft</w:t>
      </w:r>
      <w:r w:rsidR="009A7A3E">
        <w:t xml:space="preserve"> (12.8m)</w:t>
      </w:r>
      <w:r w:rsidR="007B32AD" w:rsidRPr="00C5479E">
        <w:t xml:space="preserve"> indicating an upward deepening of water (i.e. transgression</w:t>
      </w:r>
      <w:r w:rsidR="008C53EA" w:rsidRPr="00C5479E">
        <w:t xml:space="preserve">). </w:t>
      </w:r>
      <w:r w:rsidR="007B32AD" w:rsidRPr="00C5479E">
        <w:t>Further up section, the radiolarian chert beds continue with additional high angle bedding, quartz-rich clasts and sl</w:t>
      </w:r>
      <w:r w:rsidR="007B32AD" w:rsidRPr="00411108">
        <w:t>ump beds</w:t>
      </w:r>
      <w:r w:rsidR="008C53EA">
        <w:t xml:space="preserve"> indicating detrital component of mudstones</w:t>
      </w:r>
      <w:r w:rsidR="007B32AD" w:rsidRPr="00411108">
        <w:t xml:space="preserve"> (Chain, 2012). Chert beds with phosphate nodules occu</w:t>
      </w:r>
      <w:r w:rsidR="007B32AD" w:rsidRPr="00A30C7C">
        <w:t>r near the top of the Upper Woodford. Pyrite is dispersed throughout the core in varying sizes.</w:t>
      </w:r>
    </w:p>
    <w:p w:rsidR="00CD4A84" w:rsidRPr="00CD4A84" w:rsidRDefault="00CD4A84" w:rsidP="007B32AD">
      <w:pPr>
        <w:rPr>
          <w:b/>
        </w:rPr>
      </w:pPr>
      <w:r>
        <w:rPr>
          <w:b/>
        </w:rPr>
        <w:t>Bioturbation Summary</w:t>
      </w:r>
    </w:p>
    <w:p w:rsidR="007B32AD" w:rsidRDefault="007B32AD" w:rsidP="007B32AD">
      <w:r w:rsidRPr="00A30C7C">
        <w:tab/>
        <w:t xml:space="preserve">From the traditional core description, thin-section analysis and 2-D CT-Scan interpretation, common- to- abundant </w:t>
      </w:r>
      <w:r w:rsidR="00D4033E" w:rsidRPr="00D4033E">
        <w:rPr>
          <w:i/>
        </w:rPr>
        <w:t>Chondrites</w:t>
      </w:r>
      <w:r w:rsidRPr="00411108">
        <w:t xml:space="preserve"> burrows and wide </w:t>
      </w:r>
      <w:r w:rsidR="008C53EA" w:rsidRPr="008C53EA">
        <w:rPr>
          <w:i/>
        </w:rPr>
        <w:t>G</w:t>
      </w:r>
      <w:r w:rsidRPr="008C53EA">
        <w:rPr>
          <w:i/>
        </w:rPr>
        <w:t xml:space="preserve">razing </w:t>
      </w:r>
      <w:r w:rsidR="008C53EA" w:rsidRPr="008C53EA">
        <w:rPr>
          <w:i/>
        </w:rPr>
        <w:t>T</w:t>
      </w:r>
      <w:r w:rsidRPr="008C53EA">
        <w:rPr>
          <w:i/>
        </w:rPr>
        <w:t>rails</w:t>
      </w:r>
      <w:r w:rsidRPr="00411108">
        <w:t xml:space="preserve"> </w:t>
      </w:r>
      <w:r w:rsidRPr="00411108">
        <w:lastRenderedPageBreak/>
        <w:t xml:space="preserve">occur throughout the core (Chain, 2012; Hlava </w:t>
      </w:r>
      <w:r w:rsidR="00880C6B" w:rsidRPr="00880C6B">
        <w:rPr>
          <w:i/>
        </w:rPr>
        <w:t>et al.</w:t>
      </w:r>
      <w:r w:rsidRPr="00411108">
        <w:t xml:space="preserve">, 2013 and Spaw, 2013, </w:t>
      </w:r>
      <w:r w:rsidR="000F6177">
        <w:t>Figure 4.</w:t>
      </w:r>
      <w:r w:rsidR="00F631CF">
        <w:t>17</w:t>
      </w:r>
      <w:r w:rsidRPr="00411108">
        <w:t xml:space="preserve">). From the base of the Woodford section, there </w:t>
      </w:r>
      <w:r w:rsidRPr="00A30C7C">
        <w:t xml:space="preserve">is 20 feet of </w:t>
      </w:r>
      <w:r w:rsidR="008C53EA">
        <w:t xml:space="preserve">section with abundant </w:t>
      </w:r>
      <w:r w:rsidR="00D4033E" w:rsidRPr="00D4033E">
        <w:rPr>
          <w:i/>
        </w:rPr>
        <w:t>Chondrites</w:t>
      </w:r>
      <w:r w:rsidR="008C53EA">
        <w:rPr>
          <w:i/>
        </w:rPr>
        <w:t>.</w:t>
      </w:r>
      <w:r w:rsidRPr="00A30C7C">
        <w:t xml:space="preserve"> The ichnofacies gradually shifts upward to smaller amounts of </w:t>
      </w:r>
      <w:r w:rsidRPr="00A30C7C">
        <w:rPr>
          <w:i/>
        </w:rPr>
        <w:t>Paleodictyon</w:t>
      </w:r>
      <w:r w:rsidRPr="00A30C7C">
        <w:t xml:space="preserve"> and A-Type </w:t>
      </w:r>
      <w:r w:rsidR="00D4033E" w:rsidRPr="00D4033E">
        <w:rPr>
          <w:i/>
        </w:rPr>
        <w:t>Chondrites</w:t>
      </w:r>
      <w:r w:rsidRPr="00A30C7C">
        <w:t xml:space="preserve"> to the top of the Middle Woodford. The Upper Woodford interval has a much lower concentration of ichnofacies, with only common-sparse </w:t>
      </w:r>
      <w:r w:rsidRPr="00A30C7C">
        <w:rPr>
          <w:i/>
        </w:rPr>
        <w:t>Paleodictyon</w:t>
      </w:r>
      <w:r w:rsidRPr="00A30C7C">
        <w:t xml:space="preserve"> and </w:t>
      </w:r>
      <w:r w:rsidR="00D24963">
        <w:t xml:space="preserve">short </w:t>
      </w:r>
      <w:r w:rsidR="00D4033E" w:rsidRPr="00D4033E">
        <w:rPr>
          <w:i/>
        </w:rPr>
        <w:t>Chondrites</w:t>
      </w:r>
      <w:r w:rsidR="007922A3">
        <w:rPr>
          <w:i/>
        </w:rPr>
        <w:t xml:space="preserve"> </w:t>
      </w:r>
      <w:r w:rsidRPr="00A30C7C">
        <w:t xml:space="preserve">sparsely </w:t>
      </w:r>
      <w:r w:rsidR="00D24963" w:rsidRPr="00A30C7C">
        <w:t>present.</w:t>
      </w:r>
      <w:r w:rsidR="00D24963" w:rsidRPr="00411108">
        <w:t xml:space="preserve"> In</w:t>
      </w:r>
      <w:r w:rsidRPr="00411108">
        <w:t xml:space="preserve"> general, the Middle Woodford is definitely more bioturbated than the Upper Woodford. The high</w:t>
      </w:r>
      <w:r w:rsidR="008C475C">
        <w:t>est bioturbation index is at 30ft (9.1m)</w:t>
      </w:r>
      <w:r w:rsidRPr="00411108">
        <w:t xml:space="preserve"> just below the top of the Middle Woodford. Most bioturbation occurs in the dark mudstone facies. Much less bioturbation occurs in the radiolarian chert facies. </w:t>
      </w:r>
    </w:p>
    <w:p w:rsidR="00C14A15" w:rsidRDefault="00C14A15" w:rsidP="00C14A15">
      <w:pPr>
        <w:rPr>
          <w:b/>
          <w:lang w:eastAsia="zh-CN"/>
        </w:rPr>
      </w:pPr>
      <w:r>
        <w:rPr>
          <w:b/>
        </w:rPr>
        <w:t>Integration to Other Core Data</w:t>
      </w:r>
    </w:p>
    <w:p w:rsidR="003A6291" w:rsidRDefault="003A6291" w:rsidP="00C14A15">
      <w:pPr>
        <w:rPr>
          <w:lang w:eastAsia="zh-CN"/>
        </w:rPr>
      </w:pPr>
      <w:r>
        <w:rPr>
          <w:rFonts w:hint="eastAsia"/>
          <w:lang w:eastAsia="zh-CN"/>
        </w:rPr>
        <w:tab/>
      </w:r>
      <w:r w:rsidR="00D46A2E">
        <w:rPr>
          <w:rFonts w:hint="eastAsia"/>
          <w:lang w:eastAsia="zh-CN"/>
        </w:rPr>
        <w:t xml:space="preserve">All core sample test results with Gas Research Institute (GRI) porosity and permeability, X-Ray Diffraction (XRD) and </w:t>
      </w:r>
      <w:r w:rsidR="00C63DEA">
        <w:rPr>
          <w:rFonts w:hint="eastAsia"/>
          <w:lang w:eastAsia="zh-CN"/>
        </w:rPr>
        <w:t>g</w:t>
      </w:r>
      <w:r w:rsidR="00D46A2E">
        <w:rPr>
          <w:rFonts w:hint="eastAsia"/>
          <w:lang w:eastAsia="zh-CN"/>
        </w:rPr>
        <w:t>eochemistry data are shown in Figure 4.18 to be compared to the results from bioturbation.</w:t>
      </w:r>
      <w:r w:rsidR="00D46A2E">
        <w:rPr>
          <w:lang w:eastAsia="zh-CN"/>
        </w:rPr>
        <w:t xml:space="preserve"> The preferred facies</w:t>
      </w:r>
      <w:r w:rsidR="0041795F">
        <w:rPr>
          <w:lang w:eastAsia="zh-CN"/>
        </w:rPr>
        <w:t xml:space="preserve"> for horizontal fracturing</w:t>
      </w:r>
      <w:r w:rsidR="00D46A2E">
        <w:rPr>
          <w:lang w:eastAsia="zh-CN"/>
        </w:rPr>
        <w:t xml:space="preserve"> in Core A </w:t>
      </w:r>
      <w:r w:rsidR="0041795F">
        <w:rPr>
          <w:lang w:eastAsia="zh-CN"/>
        </w:rPr>
        <w:t>is</w:t>
      </w:r>
      <w:r w:rsidR="007922A3">
        <w:rPr>
          <w:lang w:eastAsia="zh-CN"/>
        </w:rPr>
        <w:t xml:space="preserve"> </w:t>
      </w:r>
      <w:r w:rsidR="00AF2954">
        <w:rPr>
          <w:lang w:eastAsia="zh-CN"/>
        </w:rPr>
        <w:t>characterized by</w:t>
      </w:r>
      <w:r w:rsidR="00D46A2E">
        <w:rPr>
          <w:lang w:eastAsia="zh-CN"/>
        </w:rPr>
        <w:t xml:space="preserve"> high porosity, permeability and TOC </w:t>
      </w:r>
      <w:r w:rsidR="005016B3">
        <w:rPr>
          <w:lang w:eastAsia="zh-CN"/>
        </w:rPr>
        <w:t xml:space="preserve">that </w:t>
      </w:r>
      <w:r w:rsidR="00D46A2E">
        <w:rPr>
          <w:lang w:eastAsia="zh-CN"/>
        </w:rPr>
        <w:t>often correlate with BI&lt;=2 intervals in Upper Woodford, while the high BI in Middle Woodford correlates to medium reservoir quality. There is no clear trend</w:t>
      </w:r>
      <w:r w:rsidR="005016B3">
        <w:rPr>
          <w:lang w:eastAsia="zh-CN"/>
        </w:rPr>
        <w:t xml:space="preserve"> in this core</w:t>
      </w:r>
      <w:r w:rsidR="00D46A2E">
        <w:rPr>
          <w:lang w:eastAsia="zh-CN"/>
        </w:rPr>
        <w:t xml:space="preserve"> that high or low bioturbation would contribute to reservoir </w:t>
      </w:r>
      <w:proofErr w:type="gramStart"/>
      <w:r w:rsidR="00D46A2E">
        <w:rPr>
          <w:lang w:eastAsia="zh-CN"/>
        </w:rPr>
        <w:t>qualit</w:t>
      </w:r>
      <w:r w:rsidR="006E1BD6">
        <w:rPr>
          <w:lang w:eastAsia="zh-CN"/>
        </w:rPr>
        <w:t>y(</w:t>
      </w:r>
      <w:proofErr w:type="gramEnd"/>
      <w:r w:rsidR="006E1BD6">
        <w:rPr>
          <w:lang w:eastAsia="zh-CN"/>
        </w:rPr>
        <w:t>a</w:t>
      </w:r>
      <w:r w:rsidR="00D46A2E">
        <w:rPr>
          <w:lang w:eastAsia="zh-CN"/>
        </w:rPr>
        <w:t xml:space="preserve">t least </w:t>
      </w:r>
      <w:r w:rsidR="006E1BD6">
        <w:rPr>
          <w:lang w:eastAsia="zh-CN"/>
        </w:rPr>
        <w:t>bioturbation</w:t>
      </w:r>
      <w:r w:rsidR="00D46A2E">
        <w:rPr>
          <w:lang w:eastAsia="zh-CN"/>
        </w:rPr>
        <w:t xml:space="preserve"> is not a main control</w:t>
      </w:r>
      <w:r w:rsidR="006E1BD6">
        <w:rPr>
          <w:lang w:eastAsia="zh-CN"/>
        </w:rPr>
        <w:t>)</w:t>
      </w:r>
      <w:r w:rsidR="00D46A2E">
        <w:rPr>
          <w:lang w:eastAsia="zh-CN"/>
        </w:rPr>
        <w:t>.</w:t>
      </w:r>
    </w:p>
    <w:p w:rsidR="003A6291" w:rsidRDefault="003A6291" w:rsidP="00C14A15">
      <w:r>
        <w:rPr>
          <w:rFonts w:hint="eastAsia"/>
          <w:lang w:eastAsia="zh-CN"/>
        </w:rPr>
        <w:tab/>
      </w:r>
      <w:r>
        <w:t xml:space="preserve">In addition to </w:t>
      </w:r>
      <w:r>
        <w:rPr>
          <w:rFonts w:hint="eastAsia"/>
          <w:lang w:eastAsia="zh-CN"/>
        </w:rPr>
        <w:t>GRI, XRD and Geochemistry data</w:t>
      </w:r>
      <w:r w:rsidRPr="00C63B93">
        <w:t xml:space="preserve">, a high-resolution XRF </w:t>
      </w:r>
      <w:r w:rsidR="0041795F">
        <w:t xml:space="preserve">(X-ray </w:t>
      </w:r>
      <w:r w:rsidR="0041795F" w:rsidRPr="0041795F">
        <w:t>fluorescence</w:t>
      </w:r>
      <w:r w:rsidR="0041795F">
        <w:t xml:space="preserve">) </w:t>
      </w:r>
      <w:r w:rsidRPr="00C63B93">
        <w:t xml:space="preserve">analysis was completed on Core </w:t>
      </w:r>
      <w:r w:rsidR="00FA6A26">
        <w:t>A</w:t>
      </w:r>
      <w:r w:rsidRPr="00C63B93">
        <w:t xml:space="preserve"> at every 0.3ft (0.1m) throug</w:t>
      </w:r>
      <w:r>
        <w:t xml:space="preserve">hout the entire Woodford by Dr. Harry Rowe at University of Texas at Austin. </w:t>
      </w:r>
      <w:r w:rsidR="005420A5">
        <w:t>Based on his data, w</w:t>
      </w:r>
      <w:r>
        <w:t xml:space="preserve">e plotted key chemostrat </w:t>
      </w:r>
      <w:r w:rsidR="0092242B">
        <w:t>proxies</w:t>
      </w:r>
      <w:r>
        <w:t xml:space="preserve"> associated with description of lithofacies and </w:t>
      </w:r>
      <w:r>
        <w:lastRenderedPageBreak/>
        <w:t>trace fossils in Figure 4.1</w:t>
      </w:r>
      <w:r w:rsidR="007C690C">
        <w:t>9</w:t>
      </w:r>
      <w:r>
        <w:t xml:space="preserve">. The key paleo-redox elements and ratios have been discussed by Tribovillard </w:t>
      </w:r>
      <w:r w:rsidR="00880C6B" w:rsidRPr="00880C6B">
        <w:rPr>
          <w:i/>
        </w:rPr>
        <w:t>et al.</w:t>
      </w:r>
      <w:r>
        <w:t xml:space="preserve"> (2006), Ratcliffe </w:t>
      </w:r>
      <w:r w:rsidR="00880C6B" w:rsidRPr="00880C6B">
        <w:rPr>
          <w:i/>
        </w:rPr>
        <w:t>et al.</w:t>
      </w:r>
      <w:r>
        <w:t xml:space="preserve">, (2012), Turner and Slatt (2013) and Mu </w:t>
      </w:r>
      <w:r w:rsidR="00880C6B" w:rsidRPr="00880C6B">
        <w:rPr>
          <w:i/>
        </w:rPr>
        <w:t>et al.</w:t>
      </w:r>
      <w:r>
        <w:t xml:space="preserve"> (2013), so they are not repeated here in any detail.</w:t>
      </w:r>
    </w:p>
    <w:p w:rsidR="00591CA9" w:rsidRDefault="00580583" w:rsidP="007B32AD">
      <w:r>
        <w:tab/>
        <w:t xml:space="preserve">Figure 4.19 clearly indicates a reverse relationship between BI and Zr/Al ratio. The highly bioturbated intervals correlate </w:t>
      </w:r>
      <w:r w:rsidR="00355864">
        <w:t>to lower</w:t>
      </w:r>
      <w:r>
        <w:t xml:space="preserve"> Zr/Al ratio and vice versa. This can be explain by the fact that high detrital input into the basin would change the paleo-redox environment and disturb the bioturbation activities</w:t>
      </w:r>
      <w:r w:rsidR="001C7825">
        <w:t xml:space="preserve">, especially in Upper Woodford time. </w:t>
      </w:r>
      <w:r w:rsidR="00603C00">
        <w:t xml:space="preserve">Another detrital input indicator Ti/Al also reversely correlates to BI to some extent. </w:t>
      </w:r>
      <w:r w:rsidR="00591CA9">
        <w:t>Mo and U are proxies for redox environment</w:t>
      </w:r>
      <w:r w:rsidR="00355864">
        <w:t xml:space="preserve"> and sea-water </w:t>
      </w:r>
      <w:proofErr w:type="gramStart"/>
      <w:r w:rsidR="00355864">
        <w:t>depth</w:t>
      </w:r>
      <w:r w:rsidR="00591CA9">
        <w:t>,</w:t>
      </w:r>
      <w:proofErr w:type="gramEnd"/>
      <w:r w:rsidR="00591CA9">
        <w:t xml:space="preserve"> they are </w:t>
      </w:r>
      <w:r w:rsidR="00BF74A7">
        <w:t>related</w:t>
      </w:r>
      <w:r w:rsidR="00591CA9">
        <w:t xml:space="preserve"> to TOC and transgression events. </w:t>
      </w:r>
      <w:r w:rsidR="002A25D6">
        <w:t xml:space="preserve">Mo positively follows the </w:t>
      </w:r>
      <w:r w:rsidR="00355864">
        <w:t xml:space="preserve">general </w:t>
      </w:r>
      <w:r w:rsidR="002A25D6">
        <w:t xml:space="preserve">trend of BI. </w:t>
      </w:r>
    </w:p>
    <w:p w:rsidR="002A25D6" w:rsidRDefault="002A25D6" w:rsidP="007B32AD"/>
    <w:p w:rsidR="007B32AD" w:rsidRDefault="007B32AD" w:rsidP="007B32AD">
      <w:pPr>
        <w:rPr>
          <w:b/>
        </w:rPr>
      </w:pPr>
      <w:r w:rsidRPr="00411108">
        <w:rPr>
          <w:b/>
        </w:rPr>
        <w:t>Core B:</w:t>
      </w:r>
    </w:p>
    <w:p w:rsidR="00CD4A84" w:rsidRPr="00411108" w:rsidRDefault="00CD4A84" w:rsidP="00CD4A84">
      <w:pPr>
        <w:rPr>
          <w:b/>
        </w:rPr>
      </w:pPr>
      <w:r>
        <w:rPr>
          <w:b/>
        </w:rPr>
        <w:t>Core Summary</w:t>
      </w:r>
    </w:p>
    <w:p w:rsidR="007B32AD" w:rsidRDefault="007B32AD" w:rsidP="007B32AD">
      <w:r w:rsidRPr="00411108">
        <w:tab/>
        <w:t>Core B comprises 202ft</w:t>
      </w:r>
      <w:r w:rsidR="002F3FAE">
        <w:t xml:space="preserve"> (61.6m)</w:t>
      </w:r>
      <w:r w:rsidRPr="00411108">
        <w:t xml:space="preserve"> of the Woodford section, and includes the entire Lower, Middle and Upper Woodford</w:t>
      </w:r>
      <w:r>
        <w:t xml:space="preserve"> (</w:t>
      </w:r>
      <w:r w:rsidR="00324D06">
        <w:t>Figure 4.</w:t>
      </w:r>
      <w:r w:rsidR="002C4116">
        <w:t>20</w:t>
      </w:r>
      <w:r>
        <w:t>)</w:t>
      </w:r>
      <w:r w:rsidRPr="00411108">
        <w:t>. It is 18 miles</w:t>
      </w:r>
      <w:r w:rsidR="00BF5C5E">
        <w:t xml:space="preserve"> (28.8 kilometers)</w:t>
      </w:r>
      <w:r w:rsidRPr="00411108">
        <w:t xml:space="preserve"> southwest (depositionally downdip) of Core A. 40ft of the uppermost Upper Woodford </w:t>
      </w:r>
      <w:r w:rsidR="00DC2CDC">
        <w:t xml:space="preserve">core </w:t>
      </w:r>
      <w:r w:rsidRPr="00411108">
        <w:t>is absent</w:t>
      </w:r>
      <w:r w:rsidR="00DC2CDC">
        <w:t xml:space="preserve"> (failed to catch)</w:t>
      </w:r>
      <w:r w:rsidRPr="00411108">
        <w:t xml:space="preserve">. SEM analysis indicates </w:t>
      </w:r>
      <w:r w:rsidR="00531BA9">
        <w:t xml:space="preserve">that </w:t>
      </w:r>
      <w:r w:rsidRPr="00411108">
        <w:t xml:space="preserve">the porosity in the core is dominated by fecal pellets and micro-channel porosity in multiple lithofacies (Chain, 2012). The Woodford section in Core B also unconformably overlies the Hunton </w:t>
      </w:r>
      <w:r w:rsidR="00075174">
        <w:t>Group</w:t>
      </w:r>
      <w:r w:rsidRPr="00411108">
        <w:t xml:space="preserve">. The basal </w:t>
      </w:r>
      <w:r w:rsidR="00F93FD5">
        <w:t>Woodford Shale</w:t>
      </w:r>
      <w:r w:rsidRPr="00411108">
        <w:t xml:space="preserve"> shows a </w:t>
      </w:r>
      <w:r w:rsidRPr="00A30C7C">
        <w:t>higher</w:t>
      </w:r>
      <w:r w:rsidRPr="00411108">
        <w:t xml:space="preserve"> silt content than the underlying </w:t>
      </w:r>
      <w:r w:rsidR="00BF5C5E">
        <w:t>Hunton Group</w:t>
      </w:r>
      <w:r w:rsidRPr="00411108">
        <w:t>. Further up section, the Lower Woodford is mainly</w:t>
      </w:r>
      <w:r w:rsidR="00BF5C5E">
        <w:t xml:space="preserve"> silty</w:t>
      </w:r>
      <w:r w:rsidRPr="00411108">
        <w:t xml:space="preserve"> mu</w:t>
      </w:r>
      <w:r w:rsidRPr="00A30C7C">
        <w:t xml:space="preserve">dstone with organic shale interbeds. Radiolarian cherts and </w:t>
      </w:r>
      <w:r w:rsidRPr="00D85F44">
        <w:rPr>
          <w:i/>
        </w:rPr>
        <w:t>Tasmanites</w:t>
      </w:r>
      <w:r w:rsidRPr="00A30C7C">
        <w:t xml:space="preserve"> rich shale from </w:t>
      </w:r>
      <w:r w:rsidR="00BF5C5E">
        <w:t>27-37</w:t>
      </w:r>
      <w:r w:rsidRPr="00A30C7C">
        <w:t>ft</w:t>
      </w:r>
      <w:r w:rsidR="00BF5C5E">
        <w:t xml:space="preserve"> (8.5m)</w:t>
      </w:r>
      <w:r w:rsidRPr="00A30C7C">
        <w:t xml:space="preserve"> comprise a</w:t>
      </w:r>
      <w:r w:rsidRPr="00411108">
        <w:t xml:space="preserve"> major </w:t>
      </w:r>
      <w:r w:rsidR="007E7CC7">
        <w:t>condensed section with high TOC</w:t>
      </w:r>
      <w:r w:rsidRPr="00411108">
        <w:t>. The Frasnian-</w:t>
      </w:r>
      <w:r w:rsidRPr="00411108">
        <w:lastRenderedPageBreak/>
        <w:t xml:space="preserve">Famennian boundary </w:t>
      </w:r>
      <w:r w:rsidR="003F7178">
        <w:t xml:space="preserve">identified </w:t>
      </w:r>
      <w:r w:rsidRPr="00411108">
        <w:t>near the bottom of the M</w:t>
      </w:r>
      <w:r w:rsidRPr="00A30C7C">
        <w:t xml:space="preserve">iddle Woodford </w:t>
      </w:r>
      <w:r w:rsidR="003F7178">
        <w:t xml:space="preserve">at </w:t>
      </w:r>
      <w:r w:rsidR="00B9297D">
        <w:t>104</w:t>
      </w:r>
      <w:r w:rsidR="003F7178">
        <w:t>ft (</w:t>
      </w:r>
      <w:r w:rsidR="00B9297D">
        <w:t>31.7</w:t>
      </w:r>
      <w:r w:rsidR="003F7178">
        <w:t xml:space="preserve">m) in this core </w:t>
      </w:r>
      <w:r w:rsidRPr="00A30C7C">
        <w:t xml:space="preserve">is also characterized by a combination of organic rich shale associated with radiolarian cherts and </w:t>
      </w:r>
      <w:r w:rsidRPr="00712957">
        <w:rPr>
          <w:i/>
        </w:rPr>
        <w:t>Tasmanites</w:t>
      </w:r>
      <w:r w:rsidRPr="00A30C7C">
        <w:t>. The Middle Woodford has higher</w:t>
      </w:r>
      <w:r w:rsidR="003F7178">
        <w:t xml:space="preserve"> detrital</w:t>
      </w:r>
      <w:r w:rsidRPr="00A30C7C">
        <w:t xml:space="preserve"> quartz co</w:t>
      </w:r>
      <w:r w:rsidRPr="00411108">
        <w:t>ntent and TOC than the Lower Woodford. The last maj</w:t>
      </w:r>
      <w:r w:rsidR="003F7178">
        <w:t>or condensed section occurs at 167ft (51m)</w:t>
      </w:r>
      <w:r w:rsidRPr="00A30C7C">
        <w:t>, which also contains large amounts of radiolarian cherts. Cherty and radiolarian-rich b</w:t>
      </w:r>
      <w:r w:rsidRPr="00411108">
        <w:t>eds also appear with minor clasts present in the Upper Woodford. Pyrite is dispersed throughout the entire Woodford section ranging from microscopic in size to nodules &gt;2 inches in diameter.</w:t>
      </w:r>
    </w:p>
    <w:p w:rsidR="00CD4A84" w:rsidRPr="00CD4A84" w:rsidRDefault="00CD4A84" w:rsidP="00CD4A84">
      <w:pPr>
        <w:rPr>
          <w:b/>
        </w:rPr>
      </w:pPr>
      <w:r>
        <w:rPr>
          <w:b/>
        </w:rPr>
        <w:t>Bioturbation Summary</w:t>
      </w:r>
    </w:p>
    <w:p w:rsidR="007B32AD" w:rsidRPr="00411108" w:rsidRDefault="007B32AD" w:rsidP="007B32AD">
      <w:r w:rsidRPr="00411108">
        <w:tab/>
      </w:r>
      <w:r w:rsidRPr="008658B9">
        <w:rPr>
          <w:i/>
        </w:rPr>
        <w:t>Paleodictyon</w:t>
      </w:r>
      <w:r w:rsidRPr="00411108">
        <w:t xml:space="preserve"> and </w:t>
      </w:r>
      <w:r w:rsidR="00D4033E" w:rsidRPr="00D4033E">
        <w:rPr>
          <w:i/>
        </w:rPr>
        <w:t>Chondrites</w:t>
      </w:r>
      <w:r w:rsidRPr="00411108">
        <w:t xml:space="preserve"> are the dominant ichnofacies in Core B, they </w:t>
      </w:r>
      <w:r w:rsidR="00CE53BD">
        <w:t>represent</w:t>
      </w:r>
      <w:r w:rsidRPr="00411108">
        <w:t xml:space="preserve"> predominantly dysaerobic conditions with </w:t>
      </w:r>
      <w:r w:rsidRPr="00A30C7C">
        <w:t xml:space="preserve">minor to common resident or background assemblages interspersed with allochthonous (turbidite) deposits (Spaw, 2013). There </w:t>
      </w:r>
      <w:r w:rsidR="007648E7">
        <w:t>are</w:t>
      </w:r>
      <w:r w:rsidRPr="00A30C7C">
        <w:t xml:space="preserve"> clear reversed relationship</w:t>
      </w:r>
      <w:r w:rsidR="007648E7">
        <w:t>s</w:t>
      </w:r>
      <w:r w:rsidRPr="00A30C7C">
        <w:t xml:space="preserve"> at </w:t>
      </w:r>
      <w:r w:rsidR="00B9297D">
        <w:t>32</w:t>
      </w:r>
      <w:r w:rsidRPr="00A30C7C">
        <w:t>ft</w:t>
      </w:r>
      <w:r w:rsidR="00B9297D">
        <w:t xml:space="preserve"> (9.7m)</w:t>
      </w:r>
      <w:r w:rsidRPr="00A30C7C">
        <w:t xml:space="preserve"> (Condensed Section 1),</w:t>
      </w:r>
      <w:r w:rsidR="00AB74F2">
        <w:rPr>
          <w:rFonts w:hint="eastAsia"/>
          <w:lang w:eastAsia="zh-CN"/>
        </w:rPr>
        <w:t xml:space="preserve"> </w:t>
      </w:r>
      <w:r w:rsidR="00B9297D">
        <w:t>104</w:t>
      </w:r>
      <w:r w:rsidRPr="00A30C7C">
        <w:t>ft</w:t>
      </w:r>
      <w:r w:rsidR="00B9297D">
        <w:t xml:space="preserve"> (31.7m)</w:t>
      </w:r>
      <w:r w:rsidRPr="00A30C7C">
        <w:t xml:space="preserve"> (Fra</w:t>
      </w:r>
      <w:r w:rsidR="00B9297D">
        <w:t>snian-Famennian Boundary) and 167f</w:t>
      </w:r>
      <w:r w:rsidRPr="00A30C7C">
        <w:t>t</w:t>
      </w:r>
      <w:r w:rsidR="00AB74F2">
        <w:rPr>
          <w:rFonts w:hint="eastAsia"/>
          <w:lang w:eastAsia="zh-CN"/>
        </w:rPr>
        <w:t xml:space="preserve"> </w:t>
      </w:r>
      <w:r w:rsidR="00B9297D">
        <w:t>(51m)</w:t>
      </w:r>
      <w:r w:rsidRPr="00A30C7C">
        <w:t xml:space="preserve"> (Condensed Se</w:t>
      </w:r>
      <w:r w:rsidRPr="00411108">
        <w:t>ction 3)</w:t>
      </w:r>
      <w:r w:rsidR="00AB74F2">
        <w:rPr>
          <w:rFonts w:hint="eastAsia"/>
          <w:lang w:eastAsia="zh-CN"/>
        </w:rPr>
        <w:t xml:space="preserve"> </w:t>
      </w:r>
      <w:r w:rsidRPr="00411108">
        <w:t>that the TOC peak and organic</w:t>
      </w:r>
      <w:r w:rsidR="007648E7">
        <w:t>-rich shale correlate</w:t>
      </w:r>
      <w:r w:rsidRPr="00411108">
        <w:t xml:space="preserve"> to bioturbation-free</w:t>
      </w:r>
      <w:r w:rsidR="007922A3">
        <w:t xml:space="preserve"> </w:t>
      </w:r>
      <w:r w:rsidRPr="00411108">
        <w:t>zone</w:t>
      </w:r>
      <w:r w:rsidR="007648E7">
        <w:t>s</w:t>
      </w:r>
      <w:r w:rsidRPr="00411108">
        <w:t xml:space="preserve">. These three intervals with highest </w:t>
      </w:r>
      <w:r w:rsidR="00B9297D">
        <w:t>Gamma Ray (</w:t>
      </w:r>
      <w:r w:rsidRPr="00411108">
        <w:t>GR</w:t>
      </w:r>
      <w:r w:rsidR="00B9297D">
        <w:t>)</w:t>
      </w:r>
      <w:r w:rsidRPr="00411108">
        <w:t xml:space="preserve"> and TOC </w:t>
      </w:r>
      <w:r w:rsidR="00B9297D" w:rsidRPr="00411108">
        <w:t>are</w:t>
      </w:r>
      <w:r w:rsidR="007922A3">
        <w:t xml:space="preserve"> </w:t>
      </w:r>
      <w:r w:rsidR="00B9297D">
        <w:t xml:space="preserve">interpreted to be </w:t>
      </w:r>
      <w:r w:rsidR="00B9297D" w:rsidRPr="00A30C7C">
        <w:t>the</w:t>
      </w:r>
      <w:r w:rsidRPr="00411108">
        <w:t xml:space="preserve"> most important condensed sections in Core B. The intervals with a high bioturbation index are also noticeable. In theory, the highest bioturbation zones often correlate to the most oxic environment associated with t</w:t>
      </w:r>
      <w:r w:rsidRPr="00A30C7C">
        <w:t>he lowest sea-level. Sequence Boundaries 1, 2 and 4 (</w:t>
      </w:r>
      <w:r w:rsidR="00324D06">
        <w:t>Figure 4.</w:t>
      </w:r>
      <w:r w:rsidR="007648E7">
        <w:t>21</w:t>
      </w:r>
      <w:r w:rsidRPr="00A30C7C">
        <w:t>) are such examples. In the Middle Woodford, there are also distinct alternating intervals of high bioturba</w:t>
      </w:r>
      <w:r w:rsidR="00431F13">
        <w:t>tion and bioturbation-free beds</w:t>
      </w:r>
      <w:r w:rsidRPr="00A30C7C">
        <w:t xml:space="preserve"> from </w:t>
      </w:r>
      <w:r w:rsidR="00B9297D">
        <w:t>97-157</w:t>
      </w:r>
      <w:r w:rsidRPr="00A30C7C">
        <w:t>ft</w:t>
      </w:r>
      <w:r w:rsidR="00B9297D">
        <w:t xml:space="preserve"> (29.5-47.8m)</w:t>
      </w:r>
      <w:r w:rsidRPr="00A30C7C">
        <w:t>. In this zone, the lithofacies with high bioturbation index is mudstone wit</w:t>
      </w:r>
      <w:r w:rsidRPr="00411108">
        <w:t>h higher clay conte</w:t>
      </w:r>
      <w:r w:rsidRPr="00A30C7C">
        <w:t xml:space="preserve">nt and detrital quartz. The lithofacies with low bioturbation index is </w:t>
      </w:r>
      <w:r w:rsidRPr="00A30C7C">
        <w:lastRenderedPageBreak/>
        <w:t xml:space="preserve">mudstone with higher organic content, radiolarian cherts and a small amount of dolomite [dolomite is probably cement or </w:t>
      </w:r>
      <w:r w:rsidR="00431F13" w:rsidRPr="00431F13">
        <w:t xml:space="preserve">diagenesis </w:t>
      </w:r>
      <w:r w:rsidRPr="00A30C7C">
        <w:t>related (Caldwell, 2011)].</w:t>
      </w:r>
    </w:p>
    <w:p w:rsidR="003A6291" w:rsidRPr="00CD4A84" w:rsidRDefault="003A6291" w:rsidP="003A6291">
      <w:pPr>
        <w:rPr>
          <w:b/>
        </w:rPr>
      </w:pPr>
      <w:r>
        <w:rPr>
          <w:b/>
        </w:rPr>
        <w:t>Integration to Other Core Data</w:t>
      </w:r>
    </w:p>
    <w:p w:rsidR="007B32AD" w:rsidRDefault="0092092B" w:rsidP="007B32AD">
      <w:pPr>
        <w:rPr>
          <w:lang w:eastAsia="zh-CN"/>
        </w:rPr>
      </w:pPr>
      <w:r>
        <w:rPr>
          <w:lang w:eastAsia="zh-CN"/>
        </w:rPr>
        <w:t xml:space="preserve">Figure 4.22 and 23 are core and chemostrata data integrated with Core B. Figure 4.22 indicate </w:t>
      </w:r>
      <w:proofErr w:type="gramStart"/>
      <w:r>
        <w:rPr>
          <w:lang w:eastAsia="zh-CN"/>
        </w:rPr>
        <w:t>a</w:t>
      </w:r>
      <w:proofErr w:type="gramEnd"/>
      <w:r>
        <w:rPr>
          <w:lang w:eastAsia="zh-CN"/>
        </w:rPr>
        <w:t xml:space="preserve"> unevenly distributed sample frequencies with samples largely focused on high-TOC condensed sections. Reservoir intervals with highest quality (porosity, permeability, TOC, QFM, HI etc.) often correlate with low BI.</w:t>
      </w:r>
      <w:r w:rsidR="00025C6C">
        <w:rPr>
          <w:lang w:eastAsia="zh-CN"/>
        </w:rPr>
        <w:t xml:space="preserve"> As for chemostrata data, again, the reverse relationship between Zr/Al and BI is well recognized. Fe/Al ratio also </w:t>
      </w:r>
      <w:r w:rsidR="00FA66D8">
        <w:rPr>
          <w:lang w:eastAsia="zh-CN"/>
        </w:rPr>
        <w:t>reversely</w:t>
      </w:r>
      <w:r w:rsidR="00025C6C">
        <w:rPr>
          <w:lang w:eastAsia="zh-CN"/>
        </w:rPr>
        <w:t xml:space="preserve"> relate to BI. Redox indicators such as Mo, U correlate well with </w:t>
      </w:r>
      <w:proofErr w:type="gramStart"/>
      <w:r w:rsidR="00025C6C">
        <w:rPr>
          <w:lang w:eastAsia="zh-CN"/>
        </w:rPr>
        <w:t>TOC,</w:t>
      </w:r>
      <w:proofErr w:type="gramEnd"/>
      <w:r w:rsidR="00025C6C">
        <w:rPr>
          <w:lang w:eastAsia="zh-CN"/>
        </w:rPr>
        <w:t xml:space="preserve"> they are indicators of major condensed sections. </w:t>
      </w:r>
    </w:p>
    <w:p w:rsidR="003A6291" w:rsidRPr="003A6291" w:rsidRDefault="003A6291" w:rsidP="007B32AD">
      <w:pPr>
        <w:rPr>
          <w:lang w:eastAsia="zh-CN"/>
        </w:rPr>
      </w:pPr>
    </w:p>
    <w:p w:rsidR="007B32AD" w:rsidRDefault="007B32AD" w:rsidP="007B32AD">
      <w:pPr>
        <w:rPr>
          <w:b/>
        </w:rPr>
      </w:pPr>
      <w:r w:rsidRPr="00411108">
        <w:rPr>
          <w:b/>
        </w:rPr>
        <w:t>Core C:</w:t>
      </w:r>
    </w:p>
    <w:p w:rsidR="00CD4A84" w:rsidRPr="00411108" w:rsidRDefault="00CD4A84" w:rsidP="007B32AD">
      <w:pPr>
        <w:rPr>
          <w:b/>
        </w:rPr>
      </w:pPr>
      <w:r>
        <w:rPr>
          <w:b/>
        </w:rPr>
        <w:t>Core Summary</w:t>
      </w:r>
    </w:p>
    <w:p w:rsidR="007B32AD" w:rsidRDefault="007B32AD" w:rsidP="007B32AD">
      <w:r w:rsidRPr="00411108">
        <w:tab/>
        <w:t xml:space="preserve">Core C </w:t>
      </w:r>
      <w:r w:rsidR="007E3F45">
        <w:t>cut</w:t>
      </w:r>
      <w:r w:rsidRPr="00411108">
        <w:t xml:space="preserve"> 3</w:t>
      </w:r>
      <w:r w:rsidRPr="00A30C7C">
        <w:t>72ft (</w:t>
      </w:r>
      <w:r w:rsidR="007E3F45">
        <w:t>113.4m</w:t>
      </w:r>
      <w:r w:rsidRPr="00A30C7C">
        <w:t xml:space="preserve">) of the </w:t>
      </w:r>
      <w:r w:rsidR="00F93FD5">
        <w:t>Woodford Shale</w:t>
      </w:r>
      <w:r w:rsidRPr="00411108">
        <w:t xml:space="preserve"> interpreted to have been deposited in a distal setting</w:t>
      </w:r>
      <w:r>
        <w:t>.</w:t>
      </w:r>
      <w:r w:rsidRPr="00411108">
        <w:t xml:space="preserve"> It contains a complete Woodford section from bottom to top</w:t>
      </w:r>
      <w:r>
        <w:t xml:space="preserve"> (</w:t>
      </w:r>
      <w:r w:rsidR="00324D06">
        <w:t>Figure 4.</w:t>
      </w:r>
      <w:r w:rsidR="007161AF">
        <w:t>24-4.27</w:t>
      </w:r>
      <w:r>
        <w:t>)</w:t>
      </w:r>
      <w:r w:rsidR="007E3F45">
        <w:t>.</w:t>
      </w:r>
      <w:r w:rsidR="00CA5F26">
        <w:t xml:space="preserve"> Petrophysics indicate major thick reservoir presented in Middle and Upper Woodford (Figure 4.24).</w:t>
      </w:r>
      <w:r w:rsidR="007E3F45">
        <w:t xml:space="preserve"> Interbedded chert, siliceous</w:t>
      </w:r>
      <w:r w:rsidR="007922A3">
        <w:t xml:space="preserve"> </w:t>
      </w:r>
      <w:r w:rsidR="007E3F45">
        <w:t xml:space="preserve">and silty </w:t>
      </w:r>
      <w:r w:rsidRPr="00A30C7C">
        <w:t>mudstone are the dominant lithofacies from thin section analysis</w:t>
      </w:r>
      <w:r w:rsidR="009D7ACC">
        <w:t xml:space="preserve"> (Spaw, 2013; Hlava </w:t>
      </w:r>
      <w:r w:rsidR="00880C6B" w:rsidRPr="00880C6B">
        <w:rPr>
          <w:i/>
        </w:rPr>
        <w:t>et al.</w:t>
      </w:r>
      <w:r w:rsidR="009D7ACC">
        <w:t>, 2013)</w:t>
      </w:r>
      <w:r w:rsidRPr="00A30C7C">
        <w:t xml:space="preserve">. The lowermost part consists of bioturbated silty mudstone to interbedded chert and silty mudstone from </w:t>
      </w:r>
      <w:r w:rsidR="007E3F45">
        <w:t>0</w:t>
      </w:r>
      <w:r w:rsidRPr="00A30C7C">
        <w:t>ft (Top Hunton) to</w:t>
      </w:r>
      <w:r w:rsidR="00AB74F2">
        <w:rPr>
          <w:rFonts w:hint="eastAsia"/>
          <w:lang w:eastAsia="zh-CN"/>
        </w:rPr>
        <w:t xml:space="preserve"> </w:t>
      </w:r>
      <w:r w:rsidR="007E3F45">
        <w:t>93</w:t>
      </w:r>
      <w:r w:rsidRPr="00A30C7C">
        <w:t>ft</w:t>
      </w:r>
      <w:r w:rsidR="007E3F45">
        <w:t xml:space="preserve"> (28.3m)</w:t>
      </w:r>
      <w:r w:rsidRPr="00A30C7C">
        <w:t xml:space="preserve">. The silty mudstone is interpreted as part of the Misener sandstone sourced from the </w:t>
      </w:r>
      <w:r w:rsidR="0068449D">
        <w:t xml:space="preserve">northern </w:t>
      </w:r>
      <w:r w:rsidRPr="00A30C7C">
        <w:t xml:space="preserve">Anadarko shelf. From </w:t>
      </w:r>
      <w:r w:rsidR="0068449D">
        <w:t>93-320</w:t>
      </w:r>
      <w:r w:rsidRPr="00A30C7C">
        <w:t>ft</w:t>
      </w:r>
      <w:r w:rsidR="0068449D">
        <w:t xml:space="preserve"> (28.3-975m)</w:t>
      </w:r>
      <w:r w:rsidRPr="00A30C7C">
        <w:t>, the lithofacies are mainly interbedded chert and mudstones with some barite and occasionally dolomite. This interval has the best reservoir quality</w:t>
      </w:r>
      <w:r w:rsidR="0068449D">
        <w:t xml:space="preserve"> in the study </w:t>
      </w:r>
      <w:r w:rsidR="0068449D">
        <w:lastRenderedPageBreak/>
        <w:t>area</w:t>
      </w:r>
      <w:r w:rsidRPr="00A30C7C">
        <w:t xml:space="preserve">. The amount of chert increases upward into the Upper Woodford, with phosphate and chert nodules </w:t>
      </w:r>
      <w:r w:rsidR="0068449D">
        <w:t xml:space="preserve">becoming common </w:t>
      </w:r>
      <w:r w:rsidRPr="00A30C7C">
        <w:t xml:space="preserve">above </w:t>
      </w:r>
      <w:r w:rsidR="007161AF">
        <w:t>359</w:t>
      </w:r>
      <w:r w:rsidR="007161AF" w:rsidRPr="00A30C7C">
        <w:t>1ft</w:t>
      </w:r>
      <w:r w:rsidR="007161AF">
        <w:t xml:space="preserve"> (</w:t>
      </w:r>
      <w:r w:rsidR="0068449D">
        <w:t>109.4m)</w:t>
      </w:r>
      <w:r w:rsidRPr="00A30C7C">
        <w:t>.</w:t>
      </w:r>
    </w:p>
    <w:p w:rsidR="00CD4A84" w:rsidRPr="00CD4A84" w:rsidRDefault="00CD4A84" w:rsidP="007B32AD">
      <w:pPr>
        <w:rPr>
          <w:b/>
        </w:rPr>
      </w:pPr>
      <w:r>
        <w:rPr>
          <w:b/>
        </w:rPr>
        <w:t>Bioturbation Summary</w:t>
      </w:r>
    </w:p>
    <w:p w:rsidR="007B32AD" w:rsidRPr="00411108" w:rsidRDefault="007B32AD" w:rsidP="007B32AD">
      <w:r w:rsidRPr="00411108">
        <w:tab/>
      </w:r>
      <w:r w:rsidR="00D4033E" w:rsidRPr="00D4033E">
        <w:rPr>
          <w:i/>
        </w:rPr>
        <w:t>Chondrites</w:t>
      </w:r>
      <w:r w:rsidRPr="00411108">
        <w:t xml:space="preserve"> and </w:t>
      </w:r>
      <w:r w:rsidRPr="008658B9">
        <w:rPr>
          <w:i/>
        </w:rPr>
        <w:t>Paleodictyon</w:t>
      </w:r>
      <w:r w:rsidRPr="00411108">
        <w:t xml:space="preserve"> (</w:t>
      </w:r>
      <w:r w:rsidR="00E11A44">
        <w:rPr>
          <w:i/>
        </w:rPr>
        <w:t>Grazing Trails</w:t>
      </w:r>
      <w:r w:rsidRPr="00A30C7C">
        <w:t>) are the main ichnofacies, and other burrows (</w:t>
      </w:r>
      <w:r w:rsidR="00D4033E" w:rsidRPr="00D4033E">
        <w:rPr>
          <w:i/>
        </w:rPr>
        <w:t>Planolites</w:t>
      </w:r>
      <w:r w:rsidRPr="00A30C7C">
        <w:t xml:space="preserve"> etc.) are minor to moderate in abundance</w:t>
      </w:r>
      <w:r w:rsidR="00F97F61">
        <w:t xml:space="preserve"> throughout the core</w:t>
      </w:r>
      <w:r w:rsidR="00CA5F26">
        <w:t xml:space="preserve"> (Figure 4.25)</w:t>
      </w:r>
      <w:r w:rsidRPr="00A30C7C">
        <w:t xml:space="preserve">. </w:t>
      </w:r>
      <w:r w:rsidR="006B1D5E">
        <w:t>Paleo-redox c</w:t>
      </w:r>
      <w:r w:rsidRPr="00A30C7C">
        <w:t>onditions</w:t>
      </w:r>
      <w:r w:rsidR="00AB74F2">
        <w:rPr>
          <w:rFonts w:hint="eastAsia"/>
          <w:lang w:eastAsia="zh-CN"/>
        </w:rPr>
        <w:t xml:space="preserve"> </w:t>
      </w:r>
      <w:r w:rsidR="00F97F61">
        <w:t>are interpreted to have been</w:t>
      </w:r>
      <w:r w:rsidRPr="00411108">
        <w:t xml:space="preserve"> predominantly dysaerobic. The ichnofauna is characterized by </w:t>
      </w:r>
      <w:r w:rsidRPr="00051575">
        <w:t>resident or background assemblages with rare allochthonous deposits (Spaw, 2013). The silty interval in the lowermost Woodford (Misener) contains a moderate amount of trace fossils</w:t>
      </w:r>
      <w:r w:rsidR="00F74679">
        <w:t xml:space="preserve"> (e.g., </w:t>
      </w:r>
      <w:r w:rsidR="00A65F36" w:rsidRPr="00A65F36">
        <w:rPr>
          <w:i/>
        </w:rPr>
        <w:t>Thalassinoides</w:t>
      </w:r>
      <w:r w:rsidR="00F74679">
        <w:t>)</w:t>
      </w:r>
      <w:r w:rsidRPr="00051575">
        <w:t>. In the upper part of the Lower Woodford and the lower part of the Middle Wo</w:t>
      </w:r>
      <w:r w:rsidRPr="00411108">
        <w:t xml:space="preserve">odford </w:t>
      </w:r>
      <w:r w:rsidR="005F422F">
        <w:t>(</w:t>
      </w:r>
      <w:r w:rsidR="00F74679">
        <w:t>80-14</w:t>
      </w:r>
      <w:r>
        <w:t>0ft</w:t>
      </w:r>
      <w:r w:rsidR="00F74679">
        <w:t>, 24.4-42.7m</w:t>
      </w:r>
      <w:r w:rsidRPr="00411108">
        <w:t>),</w:t>
      </w:r>
      <w:r w:rsidR="008E3136">
        <w:rPr>
          <w:rFonts w:hint="eastAsia"/>
          <w:lang w:eastAsia="zh-CN"/>
        </w:rPr>
        <w:t xml:space="preserve"> </w:t>
      </w:r>
      <w:r w:rsidRPr="00411108">
        <w:t xml:space="preserve">the bioturbation index is low (0-1) which correlates to siliceous mudstone. There are large amounts of chert and barite in this interval with high TOC, indicating a distal oxygen-deficient deepwater environment. </w:t>
      </w:r>
    </w:p>
    <w:p w:rsidR="007B32AD" w:rsidRPr="00411108" w:rsidRDefault="007B32AD" w:rsidP="007B32AD">
      <w:r w:rsidRPr="00411108">
        <w:tab/>
      </w:r>
      <w:r w:rsidR="00C21E5D" w:rsidRPr="00411108">
        <w:t>The</w:t>
      </w:r>
      <w:r w:rsidR="00360768">
        <w:t xml:space="preserve"> </w:t>
      </w:r>
      <w:r w:rsidR="00F74679">
        <w:t>B</w:t>
      </w:r>
      <w:r w:rsidRPr="00411108">
        <w:t xml:space="preserve">ioturbation </w:t>
      </w:r>
      <w:r w:rsidR="00F74679">
        <w:t>I</w:t>
      </w:r>
      <w:r w:rsidRPr="00411108">
        <w:t>ndex</w:t>
      </w:r>
      <w:r w:rsidR="009E5074">
        <w:t xml:space="preserve"> (BI)</w:t>
      </w:r>
      <w:r w:rsidRPr="00411108">
        <w:t xml:space="preserve"> increases </w:t>
      </w:r>
      <w:r w:rsidR="00C21E5D" w:rsidRPr="00411108">
        <w:t>closer to and a</w:t>
      </w:r>
      <w:r w:rsidR="00C21E5D" w:rsidRPr="00051575">
        <w:t>bove the Frasnian-Fame</w:t>
      </w:r>
      <w:r w:rsidR="00C21E5D" w:rsidRPr="00411108">
        <w:t xml:space="preserve">nnian boundary (F-F boundary) </w:t>
      </w:r>
      <w:r w:rsidR="00C21E5D">
        <w:t>(</w:t>
      </w:r>
      <w:r w:rsidR="00F74679">
        <w:t>140-</w:t>
      </w:r>
      <w:r w:rsidR="00C21E5D">
        <w:t>220f</w:t>
      </w:r>
      <w:r w:rsidR="00C21E5D" w:rsidRPr="00051575">
        <w:t>t</w:t>
      </w:r>
      <w:r w:rsidR="00C21E5D">
        <w:t>, 42.7</w:t>
      </w:r>
      <w:r w:rsidR="00F74679">
        <w:t>-67m)</w:t>
      </w:r>
      <w:r w:rsidRPr="00051575">
        <w:t xml:space="preserve">. The lithofacies changes from chert and barite rich siliceous mudstone to bioturbated mudstones. The increase of bioturbation indicates a regression occurred above the F-F boundary. Above </w:t>
      </w:r>
      <w:r w:rsidR="00F74679">
        <w:t>220</w:t>
      </w:r>
      <w:r w:rsidRPr="00051575">
        <w:t>ft</w:t>
      </w:r>
      <w:r w:rsidR="00F74679">
        <w:t xml:space="preserve"> (67m)</w:t>
      </w:r>
      <w:r w:rsidRPr="00051575">
        <w:t xml:space="preserve">, the </w:t>
      </w:r>
      <w:r w:rsidR="00F74679">
        <w:t>BI</w:t>
      </w:r>
      <w:r w:rsidRPr="00051575">
        <w:t xml:space="preserve"> decreases </w:t>
      </w:r>
      <w:r w:rsidR="00F74679">
        <w:t xml:space="preserve">while </w:t>
      </w:r>
      <w:r w:rsidRPr="00051575">
        <w:t>TOC and Gamma Ray</w:t>
      </w:r>
      <w:r w:rsidR="00F74679">
        <w:t xml:space="preserve"> increase</w:t>
      </w:r>
      <w:r w:rsidRPr="00051575">
        <w:t>, indicating ano</w:t>
      </w:r>
      <w:r w:rsidRPr="00411108">
        <w:t xml:space="preserve">ther transgression. </w:t>
      </w:r>
      <w:r w:rsidR="00F74679">
        <w:t>A</w:t>
      </w:r>
      <w:r w:rsidRPr="00051575">
        <w:t xml:space="preserve"> condensed section is from </w:t>
      </w:r>
      <w:r w:rsidR="00F74679">
        <w:t>240</w:t>
      </w:r>
      <w:r w:rsidRPr="00051575">
        <w:t>-</w:t>
      </w:r>
      <w:r w:rsidR="00F74679">
        <w:t>26</w:t>
      </w:r>
      <w:r w:rsidRPr="00051575">
        <w:t>0ft</w:t>
      </w:r>
      <w:r w:rsidR="00F74679">
        <w:t xml:space="preserve"> (73.2-79.2m)</w:t>
      </w:r>
      <w:r w:rsidRPr="00051575">
        <w:t xml:space="preserve"> with bar</w:t>
      </w:r>
      <w:r w:rsidR="008E3136">
        <w:t>ite-rich mudstone beds present</w:t>
      </w:r>
      <w:r w:rsidRPr="00051575">
        <w:t>. The overlying Upper Woodford is similar to</w:t>
      </w:r>
      <w:r w:rsidR="00443C34">
        <w:t xml:space="preserve"> that in</w:t>
      </w:r>
      <w:r w:rsidRPr="00051575">
        <w:t xml:space="preserve"> Core B, </w:t>
      </w:r>
      <w:r w:rsidR="00443C34">
        <w:t>having</w:t>
      </w:r>
      <w:r w:rsidRPr="00051575">
        <w:t xml:space="preserve"> massive phosphate nodules and cherts at the uppermost Woodford</w:t>
      </w:r>
      <w:r w:rsidR="0072274E">
        <w:t xml:space="preserve"> without</w:t>
      </w:r>
      <w:r w:rsidRPr="00051575">
        <w:t xml:space="preserve"> bioturbation. Four sequence boundaries an</w:t>
      </w:r>
      <w:r w:rsidRPr="00411108">
        <w:t xml:space="preserve">d four condensed sections have been </w:t>
      </w:r>
      <w:r w:rsidRPr="00411108">
        <w:lastRenderedPageBreak/>
        <w:t xml:space="preserve">interpreted in Core C </w:t>
      </w:r>
      <w:r w:rsidR="00443C34">
        <w:t xml:space="preserve">shown </w:t>
      </w:r>
      <w:r w:rsidRPr="00411108">
        <w:t xml:space="preserve">in </w:t>
      </w:r>
      <w:r w:rsidR="00324D06">
        <w:t>Figure 4.11</w:t>
      </w:r>
      <w:r w:rsidRPr="00411108">
        <w:t xml:space="preserve">, with related transgression and regression cycles </w:t>
      </w:r>
      <w:r w:rsidRPr="00051575">
        <w:t>supported</w:t>
      </w:r>
      <w:r w:rsidRPr="00411108">
        <w:t xml:space="preserve"> by </w:t>
      </w:r>
      <w:r w:rsidR="008E3136">
        <w:rPr>
          <w:rFonts w:hint="eastAsia"/>
          <w:lang w:eastAsia="zh-CN"/>
        </w:rPr>
        <w:t>the</w:t>
      </w:r>
      <w:r w:rsidRPr="00411108">
        <w:t xml:space="preserve"> bioturbation analysis.</w:t>
      </w:r>
    </w:p>
    <w:p w:rsidR="003A6291" w:rsidRPr="00CD4A84" w:rsidRDefault="003A6291" w:rsidP="003A6291">
      <w:pPr>
        <w:rPr>
          <w:b/>
        </w:rPr>
      </w:pPr>
      <w:r>
        <w:rPr>
          <w:b/>
        </w:rPr>
        <w:t>Integration to Other Core Data</w:t>
      </w:r>
    </w:p>
    <w:p w:rsidR="003A6291" w:rsidRPr="00C63B93" w:rsidRDefault="00CA5F26" w:rsidP="00CA5F26">
      <w:r>
        <w:rPr>
          <w:lang w:eastAsia="zh-CN"/>
        </w:rPr>
        <w:tab/>
        <w:t>There is no clear and unique relationship between reservoir quality and BI</w:t>
      </w:r>
      <w:r w:rsidR="00E259D7">
        <w:rPr>
          <w:lang w:eastAsia="zh-CN"/>
        </w:rPr>
        <w:t xml:space="preserve"> (Figure 4.26)</w:t>
      </w:r>
      <w:r>
        <w:rPr>
          <w:lang w:eastAsia="zh-CN"/>
        </w:rPr>
        <w:t xml:space="preserve">. </w:t>
      </w:r>
      <w:r w:rsidR="00A84A28">
        <w:rPr>
          <w:lang w:eastAsia="zh-CN"/>
        </w:rPr>
        <w:t>As for XRF data: f</w:t>
      </w:r>
      <w:r w:rsidR="003A6291">
        <w:t>rom the base of the Wo</w:t>
      </w:r>
      <w:r w:rsidR="003A6291" w:rsidRPr="00C63B93">
        <w:t xml:space="preserve">odford, the Misener detrital </w:t>
      </w:r>
      <w:r w:rsidR="00E259D7" w:rsidRPr="00C63B93">
        <w:t>deposits show</w:t>
      </w:r>
      <w:r w:rsidR="003A6291" w:rsidRPr="00C63B93">
        <w:t xml:space="preserve"> very high Th/U---an indicator of significant detrital input during lowstand time. The transition from the Misener to the Lower Woodford is characterized by higher Mo, Si/Al, Zr/Al and U, indicating both a transgressional sequence and a large amount of detrital input into the system. Pyrites and radiolarian cherts are not common in this interval, resulting in lower Fe/Al</w:t>
      </w:r>
      <w:r w:rsidR="003A6291">
        <w:t xml:space="preserve"> measurements</w:t>
      </w:r>
      <w:r w:rsidR="00E259D7">
        <w:t xml:space="preserve"> (Figure 4.27)</w:t>
      </w:r>
      <w:r w:rsidR="003A6291" w:rsidRPr="00C63B93">
        <w:t xml:space="preserve">. </w:t>
      </w:r>
    </w:p>
    <w:p w:rsidR="003A6291" w:rsidRDefault="003A6291" w:rsidP="003A6291">
      <w:pPr>
        <w:tabs>
          <w:tab w:val="left" w:pos="990"/>
        </w:tabs>
        <w:ind w:firstLine="420"/>
      </w:pPr>
      <w:r w:rsidRPr="00C63B93">
        <w:t xml:space="preserve">In the Middle Woodford, the </w:t>
      </w:r>
      <w:r>
        <w:t xml:space="preserve">geochemical </w:t>
      </w:r>
      <w:r w:rsidRPr="00C63B93">
        <w:t xml:space="preserve">detrital indicator such as Th/U, Zr/Al and Ti/Al are significantly lower than in the underlying Lower Woodford, indicating a lack of detrital </w:t>
      </w:r>
      <w:r>
        <w:t>input. Fe/Al and Mn peaks from 120-160</w:t>
      </w:r>
      <w:r w:rsidRPr="00C63B93">
        <w:t>ft</w:t>
      </w:r>
      <w:r>
        <w:t xml:space="preserve"> (36.6-48.8m) in Core C</w:t>
      </w:r>
      <w:r w:rsidRPr="00C63B93">
        <w:t xml:space="preserve"> correlates to high amounts of radiolarian cherts and pyrite in a</w:t>
      </w:r>
      <w:r>
        <w:t>n interpreted</w:t>
      </w:r>
      <w:r w:rsidRPr="00C63B93">
        <w:t xml:space="preserve"> super-anoxic and deepwater </w:t>
      </w:r>
      <w:r>
        <w:t>marine</w:t>
      </w:r>
      <w:r w:rsidRPr="00C63B93">
        <w:t xml:space="preserve"> bottom environment. This anomaly</w:t>
      </w:r>
      <w:r>
        <w:t>, which</w:t>
      </w:r>
      <w:r w:rsidRPr="00C63B93">
        <w:t xml:space="preserve"> occurs right above the Frasnian-Famennian boundary, is interpreted </w:t>
      </w:r>
      <w:r>
        <w:t>to be</w:t>
      </w:r>
      <w:r w:rsidRPr="00C63B93">
        <w:t xml:space="preserve"> a consequence of the Kellwassere extinction event. During the event, over 30% of all</w:t>
      </w:r>
      <w:r>
        <w:t xml:space="preserve"> species disappeared due to multiple ca</w:t>
      </w:r>
      <w:r w:rsidRPr="00C63B93">
        <w:t xml:space="preserve">uses including global cooling, carbon dioxide decrease and anoxic </w:t>
      </w:r>
      <w:r>
        <w:t xml:space="preserve">marine </w:t>
      </w:r>
      <w:r w:rsidRPr="00C63B93">
        <w:t xml:space="preserve">environments. The general decrease of Mo from the base to the top of the Middle Woodford indicates the shallowing of sea water, which correlates to the global cooling and </w:t>
      </w:r>
      <w:r>
        <w:t>glacial</w:t>
      </w:r>
      <w:r w:rsidRPr="00C63B93">
        <w:t xml:space="preserve"> event during Late Devonian time. A decrease in radiolarian cherts and increase in trace fossils in the Upper Middle Woodford indicate a shallowing of sea water, where more large organisms thrived after the Kellwasser mass extinction. The </w:t>
      </w:r>
      <w:r w:rsidRPr="00C63B93">
        <w:lastRenderedPageBreak/>
        <w:t xml:space="preserve">radiolarians </w:t>
      </w:r>
      <w:r>
        <w:t>were</w:t>
      </w:r>
      <w:r w:rsidRPr="00C63B93">
        <w:t xml:space="preserve"> food sources for many large organisms which build</w:t>
      </w:r>
      <w:r>
        <w:t xml:space="preserve"> burrows, thus ichnofacies and radiolarians can co-exist in </w:t>
      </w:r>
      <w:r w:rsidRPr="00C5479E">
        <w:t>Upper Middle Woodford strata. In addition, a calcium spike correlates to the lower gamma ray</w:t>
      </w:r>
      <w:r>
        <w:t xml:space="preserve"> measurements</w:t>
      </w:r>
      <w:r w:rsidRPr="00C5479E">
        <w:t>, indicating that the lowest sea-level during HST may have received some carbonate input either from external transport or in situ precipitation. The decrease of silica-replaced fossils (cherts) upward in the Middle Woodford might also be an effect of the Late Devonian extinctions (Kidder and Erwin, 2001). In summary, the chemostrat and bioturbation da</w:t>
      </w:r>
      <w:r>
        <w:t xml:space="preserve">ta enhanced the biostratigraphic interpretation from </w:t>
      </w:r>
      <w:r w:rsidRPr="00C500D7">
        <w:rPr>
          <w:i/>
        </w:rPr>
        <w:t>Conodonts</w:t>
      </w:r>
      <w:r>
        <w:rPr>
          <w:i/>
        </w:rPr>
        <w:t xml:space="preserve">. </w:t>
      </w:r>
      <w:r>
        <w:t xml:space="preserve">Anomalies from Fe/Al, Mo and Mn with a cyclic bioturbation behavior all support the </w:t>
      </w:r>
      <w:r w:rsidRPr="00050A3C">
        <w:t>Kellwasser</w:t>
      </w:r>
      <w:r>
        <w:t xml:space="preserve"> extinction events in Late Devonian time peaked from 100-120ft (30.4-36.6m).</w:t>
      </w:r>
    </w:p>
    <w:p w:rsidR="003A6291" w:rsidRDefault="003A6291" w:rsidP="003A6291">
      <w:pPr>
        <w:tabs>
          <w:tab w:val="left" w:pos="990"/>
        </w:tabs>
        <w:ind w:firstLine="420"/>
      </w:pPr>
      <w:r>
        <w:t xml:space="preserve">The Upper Woodford contains the boundary between Devonian and Mississippian </w:t>
      </w:r>
      <w:r w:rsidRPr="00C63B93">
        <w:t>strata</w:t>
      </w:r>
      <w:r>
        <w:t>. Another important extinction event (</w:t>
      </w:r>
      <w:r w:rsidRPr="00662C69">
        <w:t>Hangenberg</w:t>
      </w:r>
      <w:r>
        <w:t xml:space="preserve">) is </w:t>
      </w:r>
      <w:r w:rsidRPr="00C63B93">
        <w:t xml:space="preserve">located at this boundary. From the chemostrat chart, the Mo, Fe/Al, U and Ca peaks </w:t>
      </w:r>
      <w:r>
        <w:t>can</w:t>
      </w:r>
      <w:r w:rsidRPr="00C63B93">
        <w:t xml:space="preserve"> all be correlat</w:t>
      </w:r>
      <w:r>
        <w:t>ed to an interval with high gamma ray readings from 290-</w:t>
      </w:r>
      <w:r w:rsidR="00E259D7">
        <w:t>330ft (</w:t>
      </w:r>
      <w:r>
        <w:t xml:space="preserve">88.4-100.6m). This implies that 1) this interval belongs to a super-anoxic interval from Fe/Al, U and Gamma ray; 2) a bump in the Mo values indicate deepwater marine environment; 3) </w:t>
      </w:r>
      <w:r w:rsidR="008E3136">
        <w:rPr>
          <w:rFonts w:hint="eastAsia"/>
          <w:lang w:eastAsia="zh-CN"/>
        </w:rPr>
        <w:t>a</w:t>
      </w:r>
      <w:r>
        <w:t xml:space="preserve"> sudden decrease of gamma ray above 330ft(100.6m) and an increase of Si/Al and Th/U indicate a </w:t>
      </w:r>
      <w:r w:rsidRPr="009E7445">
        <w:t xml:space="preserve">siliciclastic </w:t>
      </w:r>
      <w:r>
        <w:t xml:space="preserve">input caused by relative sea-level drop; 4) </w:t>
      </w:r>
      <w:r w:rsidR="008E3136">
        <w:rPr>
          <w:rFonts w:hint="eastAsia"/>
          <w:lang w:eastAsia="zh-CN"/>
        </w:rPr>
        <w:t>a</w:t>
      </w:r>
      <w:r>
        <w:t xml:space="preserve"> lack of trace fossils further supports that the </w:t>
      </w:r>
      <w:r w:rsidRPr="00662C69">
        <w:t>Hangenberg</w:t>
      </w:r>
      <w:r>
        <w:t xml:space="preserve"> extinction event has resulted in a life-free zone from 290-330ft(88.4-100.6m) where there are neither evidence of bio-activities nor trace fossils;</w:t>
      </w:r>
      <w:r w:rsidR="008E3136">
        <w:rPr>
          <w:rFonts w:hint="eastAsia"/>
          <w:lang w:eastAsia="zh-CN"/>
        </w:rPr>
        <w:t xml:space="preserve"> and </w:t>
      </w:r>
      <w:r w:rsidRPr="00C63B93">
        <w:t xml:space="preserve">5) </w:t>
      </w:r>
      <w:r w:rsidR="008E3136">
        <w:rPr>
          <w:rFonts w:hint="eastAsia"/>
          <w:lang w:eastAsia="zh-CN"/>
        </w:rPr>
        <w:t>a</w:t>
      </w:r>
      <w:r w:rsidRPr="00C63B93">
        <w:t xml:space="preserve"> large amount of ph</w:t>
      </w:r>
      <w:r>
        <w:t>osphate nodules and calcium indicate that the system is transforming into a stable carbonate shelf environment.</w:t>
      </w:r>
    </w:p>
    <w:p w:rsidR="006E1A50" w:rsidRDefault="006E1A50" w:rsidP="003A6291">
      <w:pPr>
        <w:tabs>
          <w:tab w:val="left" w:pos="990"/>
        </w:tabs>
        <w:ind w:firstLine="420"/>
      </w:pPr>
    </w:p>
    <w:p w:rsidR="006E1A50" w:rsidRPr="00CD4A84" w:rsidRDefault="006E1A50" w:rsidP="006E1A50">
      <w:pPr>
        <w:rPr>
          <w:b/>
        </w:rPr>
      </w:pPr>
      <w:r>
        <w:rPr>
          <w:b/>
        </w:rPr>
        <w:lastRenderedPageBreak/>
        <w:t xml:space="preserve">Cross-plotting of </w:t>
      </w:r>
      <w:r w:rsidR="00931D3F">
        <w:rPr>
          <w:b/>
        </w:rPr>
        <w:t>All</w:t>
      </w:r>
      <w:r>
        <w:rPr>
          <w:b/>
        </w:rPr>
        <w:t xml:space="preserve"> Results</w:t>
      </w:r>
    </w:p>
    <w:p w:rsidR="007B32AD" w:rsidRPr="00E259D7" w:rsidRDefault="007B32AD" w:rsidP="007B32AD">
      <w:pPr>
        <w:rPr>
          <w:i/>
        </w:rPr>
      </w:pPr>
      <w:r w:rsidRPr="006764B0">
        <w:tab/>
      </w:r>
      <w:r w:rsidR="00324D06">
        <w:t>Figure 4.</w:t>
      </w:r>
      <w:r w:rsidR="00A84A28">
        <w:t>28</w:t>
      </w:r>
      <w:r w:rsidR="00483C1A">
        <w:rPr>
          <w:rFonts w:hint="eastAsia"/>
          <w:lang w:eastAsia="zh-CN"/>
        </w:rPr>
        <w:t xml:space="preserve"> </w:t>
      </w:r>
      <w:r w:rsidR="008531B2">
        <w:t>shows</w:t>
      </w:r>
      <w:r w:rsidRPr="006764B0">
        <w:t xml:space="preserve"> the results integrating reservoir quality, lithofacies and bioturbation. In </w:t>
      </w:r>
      <w:r w:rsidR="008531B2">
        <w:t>these cross</w:t>
      </w:r>
      <w:r w:rsidRPr="006764B0">
        <w:t xml:space="preserve"> plot, the total </w:t>
      </w:r>
      <w:r w:rsidR="008531B2">
        <w:t>B</w:t>
      </w:r>
      <w:r w:rsidRPr="006764B0">
        <w:t xml:space="preserve">ioturbation </w:t>
      </w:r>
      <w:r w:rsidR="008531B2">
        <w:t>I</w:t>
      </w:r>
      <w:r w:rsidRPr="006764B0">
        <w:t>ndex (</w:t>
      </w:r>
      <w:r w:rsidRPr="00C63B93">
        <w:t>BI, which ranges from 0-10)</w:t>
      </w:r>
      <w:r w:rsidRPr="006764B0">
        <w:t xml:space="preserve"> was divided into: unbioturbated (BI=0), bioturbated (0&lt;BI&lt;4), and heavily bioturbated (BI&gt;4). Data points of permeability (in nano </w:t>
      </w:r>
      <w:proofErr w:type="gramStart"/>
      <w:r w:rsidRPr="006764B0">
        <w:t>darcy</w:t>
      </w:r>
      <w:proofErr w:type="gramEnd"/>
      <w:r w:rsidRPr="006764B0">
        <w:t xml:space="preserve">, nd) </w:t>
      </w:r>
      <w:r w:rsidR="008531B2">
        <w:t xml:space="preserve">from core plugs </w:t>
      </w:r>
      <w:r w:rsidRPr="006764B0">
        <w:t xml:space="preserve">and </w:t>
      </w:r>
      <w:r w:rsidR="008531B2">
        <w:t xml:space="preserve">measured </w:t>
      </w:r>
      <w:r w:rsidRPr="006764B0">
        <w:t xml:space="preserve">gas-filled porosity (in %) have been plotted using these bioturbation categories. The plot results indicate that 1) </w:t>
      </w:r>
      <w:r w:rsidR="008E3136">
        <w:rPr>
          <w:rFonts w:hint="eastAsia"/>
          <w:lang w:eastAsia="zh-CN"/>
        </w:rPr>
        <w:t>t</w:t>
      </w:r>
      <w:r w:rsidRPr="006764B0">
        <w:t>he heavily bioturbated group often have &lt;100,000 nd permeability while the porosity covers a wider range from 2-</w:t>
      </w:r>
      <w:r w:rsidR="008E3136">
        <w:t>9%</w:t>
      </w:r>
      <w:r w:rsidR="008E3136">
        <w:rPr>
          <w:rFonts w:hint="eastAsia"/>
          <w:lang w:eastAsia="zh-CN"/>
        </w:rPr>
        <w:t xml:space="preserve"> and</w:t>
      </w:r>
      <w:r w:rsidRPr="006764B0">
        <w:t xml:space="preserve"> 2) bioturbated and unbioturbated results all cover wide ranges of porosity and permeability. </w:t>
      </w:r>
      <w:r w:rsidR="008531B2">
        <w:t>These</w:t>
      </w:r>
      <w:r w:rsidRPr="006764B0">
        <w:t xml:space="preserve"> plot</w:t>
      </w:r>
      <w:r w:rsidR="008531B2">
        <w:t>s</w:t>
      </w:r>
      <w:r w:rsidRPr="006764B0">
        <w:t xml:space="preserve"> indicate</w:t>
      </w:r>
      <w:r w:rsidRPr="00C63B93">
        <w:t xml:space="preserve"> that heavy bioturbation in the most oxic environments would cause a decrease of reservoir quality due to bio-mixing and homogenization. The</w:t>
      </w:r>
      <w:r w:rsidR="00E259D7">
        <w:t xml:space="preserve"> upper</w:t>
      </w:r>
      <w:r w:rsidRPr="00C63B93">
        <w:t xml:space="preserve"> right figure indicates the lithofacies of the data points, with m</w:t>
      </w:r>
      <w:r w:rsidRPr="006764B0">
        <w:t xml:space="preserve">ost </w:t>
      </w:r>
      <w:r w:rsidR="008531B2">
        <w:t xml:space="preserve">of the </w:t>
      </w:r>
      <w:r w:rsidRPr="006764B0">
        <w:t>higher porosity and permeability rocks being mudstone and radiolarian chert. Silty mudstones and nodular shale all have low porosity, low permeability and low bioturbation index because: 1) silty mudstones recei</w:t>
      </w:r>
      <w:r w:rsidRPr="00C63B93">
        <w:t xml:space="preserve">ved muddy and detrital (turbidite) input from the shelf, which diluted both organic material and </w:t>
      </w:r>
      <w:r w:rsidR="008F2A7A">
        <w:t xml:space="preserve">suppressed </w:t>
      </w:r>
      <w:r w:rsidRPr="00C63B93">
        <w:t>bio-activity (Spaw</w:t>
      </w:r>
      <w:r w:rsidRPr="006764B0">
        <w:t>, 2013)</w:t>
      </w:r>
      <w:r w:rsidR="008E3136">
        <w:rPr>
          <w:rFonts w:hint="eastAsia"/>
          <w:lang w:eastAsia="zh-CN"/>
        </w:rPr>
        <w:t xml:space="preserve"> and</w:t>
      </w:r>
      <w:r w:rsidRPr="006764B0">
        <w:t xml:space="preserve"> 2) phosphate nodules are indicators of bioactivity and organic material free zones from chemostrat studies (Turner, 2013).</w:t>
      </w:r>
      <w:r w:rsidR="00E259D7">
        <w:t xml:space="preserve"> The lower figure is the porosity vs. permeability plot colored by bioturbation types. </w:t>
      </w:r>
      <w:r w:rsidR="00E259D7">
        <w:rPr>
          <w:i/>
        </w:rPr>
        <w:t>Chondrites</w:t>
      </w:r>
      <w:r w:rsidR="00E259D7">
        <w:t xml:space="preserve"> and </w:t>
      </w:r>
      <w:r w:rsidR="00E259D7">
        <w:rPr>
          <w:i/>
        </w:rPr>
        <w:t xml:space="preserve">Grazing Trails (Paleodictyon) </w:t>
      </w:r>
      <w:r w:rsidR="00E259D7">
        <w:t xml:space="preserve">both have moderate reservoir quality, while </w:t>
      </w:r>
      <w:r w:rsidR="00A65F36" w:rsidRPr="00A65F36">
        <w:rPr>
          <w:i/>
        </w:rPr>
        <w:t>Thalassinoides</w:t>
      </w:r>
      <w:r w:rsidR="00E259D7">
        <w:t xml:space="preserve"> has poor reservoir quality. Non-bioturbated intervals have wide range of reservoir quality.</w:t>
      </w:r>
      <w:r w:rsidR="003C20FD">
        <w:t xml:space="preserve"> All the relationships between bioturbation and reservoir parameters are summarized in Table 4.1.</w:t>
      </w:r>
    </w:p>
    <w:p w:rsidR="007B32AD" w:rsidRPr="00DA2A21" w:rsidRDefault="007B32AD" w:rsidP="007B32AD"/>
    <w:p w:rsidR="007B32AD" w:rsidRPr="00782A27" w:rsidRDefault="00860238" w:rsidP="007B32AD">
      <w:pPr>
        <w:rPr>
          <w:b/>
        </w:rPr>
      </w:pPr>
      <w:r w:rsidRPr="00782A27">
        <w:rPr>
          <w:b/>
        </w:rPr>
        <w:t>SEQUENCE STRATIGRAPHIC FRAMEWORK</w:t>
      </w:r>
    </w:p>
    <w:p w:rsidR="007B32AD" w:rsidRDefault="007B32AD" w:rsidP="007B32AD">
      <w:pPr>
        <w:ind w:firstLine="420"/>
      </w:pPr>
      <w:r w:rsidRPr="00C63B93">
        <w:t>After a thorough interpretation of the three Woodford cores, a detailed sequence stratigraphic framework has been built by combining core results with the massive amount of subsurface well log data</w:t>
      </w:r>
      <w:r w:rsidR="008F2A7A">
        <w:t xml:space="preserve"> (500+ wells)</w:t>
      </w:r>
      <w:r w:rsidRPr="00C63B93">
        <w:t xml:space="preserve"> in the Anadarko Basin</w:t>
      </w:r>
      <w:r w:rsidR="003039BB">
        <w:t xml:space="preserve"> (Figure 4.29)</w:t>
      </w:r>
      <w:r w:rsidRPr="00C63B93">
        <w:t xml:space="preserve">. In the well logs, the entire Woodford </w:t>
      </w:r>
      <w:r w:rsidR="008F2A7A">
        <w:t>was</w:t>
      </w:r>
      <w:r w:rsidRPr="00C63B93">
        <w:t xml:space="preserve"> divided into 10 intervals from bottom to top as: Hunton</w:t>
      </w:r>
      <w:r w:rsidR="008F2A7A">
        <w:t xml:space="preserve"> Group</w:t>
      </w:r>
      <w:r w:rsidRPr="00C63B93">
        <w:t xml:space="preserve">, Misener, Lower Woodford, Frasnian-Famennian Boundary, Lower Famennian TST, Upper </w:t>
      </w:r>
      <w:r w:rsidRPr="007139A5">
        <w:rPr>
          <w:i/>
        </w:rPr>
        <w:t>Crepida</w:t>
      </w:r>
      <w:r w:rsidRPr="00C63B93">
        <w:t xml:space="preserve"> Zone</w:t>
      </w:r>
      <w:r w:rsidR="007139A5">
        <w:t xml:space="preserve"> (</w:t>
      </w:r>
      <w:r w:rsidR="007139A5" w:rsidRPr="007139A5">
        <w:rPr>
          <w:i/>
        </w:rPr>
        <w:t>Conodonts</w:t>
      </w:r>
      <w:r w:rsidR="007139A5">
        <w:t xml:space="preserve"> defined)</w:t>
      </w:r>
      <w:r w:rsidRPr="00C63B93">
        <w:t xml:space="preserve">, Middle Woodford, Upper Woodford Chert, Top Woodford and Mississippian Limestone. Each well top </w:t>
      </w:r>
      <w:r w:rsidR="008F2A7A">
        <w:t>was chosen because it has</w:t>
      </w:r>
      <w:r w:rsidRPr="00C63B93">
        <w:t xml:space="preserve"> significant meanings for sequence stratigraphic correlation. </w:t>
      </w:r>
      <w:r w:rsidR="00E05DED">
        <w:t>A N</w:t>
      </w:r>
      <w:r w:rsidR="00B24CB8">
        <w:t>orth</w:t>
      </w:r>
      <w:r w:rsidR="00E05DED">
        <w:t>-S</w:t>
      </w:r>
      <w:r w:rsidR="00B24CB8">
        <w:t>outh</w:t>
      </w:r>
      <w:r w:rsidR="00E05DED">
        <w:t xml:space="preserve"> stratigraphic cross section including the three Woodford cores is shown in </w:t>
      </w:r>
      <w:r w:rsidRPr="00C63B93">
        <w:t xml:space="preserve">Figure </w:t>
      </w:r>
      <w:r w:rsidR="00A603BF">
        <w:t>4.18</w:t>
      </w:r>
      <w:r w:rsidR="00E05DED">
        <w:t xml:space="preserve">. The section was </w:t>
      </w:r>
      <w:r w:rsidRPr="00C63B93">
        <w:t>flattened on the top of key time horizons in time order.</w:t>
      </w:r>
    </w:p>
    <w:p w:rsidR="007B32AD" w:rsidRDefault="007B32AD" w:rsidP="007B32AD">
      <w:pPr>
        <w:ind w:firstLine="420"/>
      </w:pPr>
      <w:r>
        <w:t xml:space="preserve">At the first stage of deposition, the Lower Woodford consists of </w:t>
      </w:r>
      <w:r w:rsidRPr="00C63B93">
        <w:t>the</w:t>
      </w:r>
      <w:r>
        <w:t xml:space="preserve"> Misener Sandstone unit, which is a low-stand incised valley fill (IVF) deposit, and a TST (Transg</w:t>
      </w:r>
      <w:r w:rsidRPr="00C63B93">
        <w:t>ressive System Tract) with back-filled deposits above. The thickness of the Lower Woodford ranges from 0-150ft (0-45m) depending</w:t>
      </w:r>
      <w:r>
        <w:t xml:space="preserve"> on the sea floor topography </w:t>
      </w:r>
      <w:r w:rsidR="00AB7783">
        <w:t xml:space="preserve">and tectonically </w:t>
      </w:r>
      <w:r>
        <w:t>co</w:t>
      </w:r>
      <w:r w:rsidRPr="00C63B93">
        <w:t xml:space="preserve">ntrolled by the distribution of Hunton Group and the pre-Woodford erosional events </w:t>
      </w:r>
      <w:r w:rsidRPr="009B5891">
        <w:t xml:space="preserve">(Slatt </w:t>
      </w:r>
      <w:r w:rsidR="00880C6B" w:rsidRPr="00880C6B">
        <w:rPr>
          <w:i/>
        </w:rPr>
        <w:t>et al.</w:t>
      </w:r>
      <w:r w:rsidRPr="009B5891">
        <w:t>, 2014). It is</w:t>
      </w:r>
      <w:r w:rsidRPr="00C63B93">
        <w:t xml:space="preserve"> c</w:t>
      </w:r>
      <w:r>
        <w:t xml:space="preserve">ommonly agreed that </w:t>
      </w:r>
      <w:r w:rsidRPr="00C63B93">
        <w:t>where the underlying Hunton is t</w:t>
      </w:r>
      <w:r>
        <w:t xml:space="preserve">hick, the </w:t>
      </w:r>
      <w:r w:rsidR="008E3136">
        <w:t>overlying Woodford is thin</w:t>
      </w:r>
      <w:r w:rsidR="008E3136">
        <w:rPr>
          <w:rFonts w:hint="eastAsia"/>
          <w:lang w:eastAsia="zh-CN"/>
        </w:rPr>
        <w:t>. This is</w:t>
      </w:r>
      <w:r w:rsidRPr="00C63B93">
        <w:t xml:space="preserve"> due to </w:t>
      </w:r>
      <w:r w:rsidR="008E3136">
        <w:rPr>
          <w:rFonts w:hint="eastAsia"/>
          <w:lang w:eastAsia="zh-CN"/>
        </w:rPr>
        <w:t xml:space="preserve">the </w:t>
      </w:r>
      <w:r w:rsidRPr="00C63B93">
        <w:t>down-cutting at t</w:t>
      </w:r>
      <w:r w:rsidR="008E3136">
        <w:t>he pre-Woodford erosional event</w:t>
      </w:r>
      <w:r w:rsidR="008E3136">
        <w:rPr>
          <w:rFonts w:hint="eastAsia"/>
          <w:lang w:eastAsia="zh-CN"/>
        </w:rPr>
        <w:t>. The</w:t>
      </w:r>
      <w:r w:rsidRPr="00C63B93">
        <w:t xml:space="preserve"> thick</w:t>
      </w:r>
      <w:r w:rsidR="008E3136">
        <w:rPr>
          <w:rFonts w:hint="eastAsia"/>
          <w:lang w:eastAsia="zh-CN"/>
        </w:rPr>
        <w:t xml:space="preserve"> lower</w:t>
      </w:r>
      <w:r w:rsidRPr="00C63B93">
        <w:t xml:space="preserve"> Woodford </w:t>
      </w:r>
      <w:r w:rsidR="004A1FC3">
        <w:rPr>
          <w:rFonts w:hint="eastAsia"/>
          <w:lang w:eastAsia="zh-CN"/>
        </w:rPr>
        <w:t xml:space="preserve">shale </w:t>
      </w:r>
      <w:r w:rsidRPr="00C63B93">
        <w:t>is</w:t>
      </w:r>
      <w:r w:rsidR="008E3136">
        <w:rPr>
          <w:rFonts w:hint="eastAsia"/>
          <w:lang w:eastAsia="zh-CN"/>
        </w:rPr>
        <w:t xml:space="preserve"> where</w:t>
      </w:r>
      <w:r w:rsidRPr="00C63B93">
        <w:t xml:space="preserve"> </w:t>
      </w:r>
      <w:r w:rsidR="00921A07">
        <w:rPr>
          <w:rFonts w:hint="eastAsia"/>
          <w:lang w:eastAsia="zh-CN"/>
        </w:rPr>
        <w:t xml:space="preserve">the </w:t>
      </w:r>
      <w:r w:rsidRPr="00C63B93">
        <w:t>incised valley fill</w:t>
      </w:r>
      <w:r w:rsidR="008E3136">
        <w:rPr>
          <w:rFonts w:hint="eastAsia"/>
          <w:lang w:eastAsia="zh-CN"/>
        </w:rPr>
        <w:t xml:space="preserve"> developed</w:t>
      </w:r>
      <w:r w:rsidRPr="00C63B93">
        <w:t>. Bioturbation and bio-activities in this interval are low</w:t>
      </w:r>
      <w:r>
        <w:t>.</w:t>
      </w:r>
    </w:p>
    <w:p w:rsidR="007B32AD" w:rsidRDefault="007B32AD" w:rsidP="007B32AD">
      <w:pPr>
        <w:ind w:firstLine="420"/>
      </w:pPr>
      <w:r>
        <w:t>The second stage i</w:t>
      </w:r>
      <w:r w:rsidRPr="00C63B93">
        <w:t xml:space="preserve">ncludes intervals from the Top of the Lower Woodford to the Lower Famennian TST. It also corresponds with the lower portion of the Middle </w:t>
      </w:r>
      <w:r w:rsidRPr="00C63B93">
        <w:lastRenderedPageBreak/>
        <w:t xml:space="preserve">Woodford. This stage has significant importance that is related to the Frasnian-Famennian Boundary and the Late Devonian Mass Extinction (Kellwasser </w:t>
      </w:r>
      <w:r w:rsidRPr="007F7195">
        <w:t xml:space="preserve">Event). The deposition was continuous hemipelagic "rain" or hyperpycnal flows (Scheibere </w:t>
      </w:r>
      <w:r w:rsidR="00880C6B" w:rsidRPr="00880C6B">
        <w:rPr>
          <w:i/>
        </w:rPr>
        <w:t>et al.</w:t>
      </w:r>
      <w:r w:rsidRPr="007F7195">
        <w:t xml:space="preserve">, </w:t>
      </w:r>
      <w:r w:rsidR="001B3AEF" w:rsidRPr="007F7195">
        <w:t>2010)</w:t>
      </w:r>
      <w:r w:rsidRPr="007F7195">
        <w:t xml:space="preserve"> which follo</w:t>
      </w:r>
      <w:r>
        <w:t>ws sea-floor topography. Bioturbation and bio-activities in this interval is low to absent b</w:t>
      </w:r>
      <w:r w:rsidRPr="00C63B93">
        <w:t xml:space="preserve">ecause of the confined, super-anoxic environment during </w:t>
      </w:r>
      <w:r w:rsidR="00AB7783">
        <w:t xml:space="preserve">Late LST and Early TST </w:t>
      </w:r>
      <w:r w:rsidRPr="00C63B93">
        <w:t>filling.</w:t>
      </w:r>
    </w:p>
    <w:p w:rsidR="007B32AD" w:rsidRPr="00C63B93" w:rsidRDefault="007B32AD" w:rsidP="007B32AD">
      <w:pPr>
        <w:ind w:firstLine="420"/>
      </w:pPr>
      <w:r>
        <w:t xml:space="preserve">During the third stage, bioturbation abundance is medium to high with all </w:t>
      </w:r>
      <w:r w:rsidR="00D4033E" w:rsidRPr="00D4033E">
        <w:rPr>
          <w:i/>
        </w:rPr>
        <w:t>Chondrites</w:t>
      </w:r>
      <w:r>
        <w:rPr>
          <w:i/>
        </w:rPr>
        <w:t xml:space="preserve">, Paleodictyon </w:t>
      </w:r>
      <w:r>
        <w:t xml:space="preserve">and </w:t>
      </w:r>
      <w:r w:rsidR="00D4033E" w:rsidRPr="00D4033E">
        <w:rPr>
          <w:i/>
        </w:rPr>
        <w:t>Planolites</w:t>
      </w:r>
      <w:r>
        <w:t xml:space="preserve"> present in the cores. These are the "s</w:t>
      </w:r>
      <w:r w:rsidRPr="00C63B93">
        <w:t xml:space="preserve">urvivors" from the Kellwasser mass extinction. The environment is dysoxic with medium TOC content. Deposition rate is also very low, following a similar pattern as stage 2 without major thickness variations. The highest abundance of trace fossils have been found consistently from the top of the "Lower Famennian TST" to the top of the "Upper </w:t>
      </w:r>
      <w:r w:rsidRPr="00CA2C05">
        <w:rPr>
          <w:i/>
        </w:rPr>
        <w:t>Crepida</w:t>
      </w:r>
      <w:r w:rsidRPr="00C63B93">
        <w:t xml:space="preserve">" zone. </w:t>
      </w:r>
    </w:p>
    <w:p w:rsidR="007B32AD" w:rsidRPr="000432A8" w:rsidRDefault="007B32AD" w:rsidP="007B32AD">
      <w:r w:rsidRPr="00C63B93">
        <w:tab/>
        <w:t>The fourth stage (Upper Woodford) is where</w:t>
      </w:r>
      <w:r w:rsidR="001330FE">
        <w:t xml:space="preserve"> relative</w:t>
      </w:r>
      <w:r w:rsidRPr="00C63B93">
        <w:t xml:space="preserve"> sea-level drops significantly </w:t>
      </w:r>
      <w:r w:rsidR="001330FE">
        <w:t xml:space="preserve">and the </w:t>
      </w:r>
      <w:r w:rsidRPr="00C63B93">
        <w:t>Hangenberg extinction event</w:t>
      </w:r>
      <w:r w:rsidR="001330FE">
        <w:t xml:space="preserve"> occurs</w:t>
      </w:r>
      <w:r w:rsidRPr="00C63B93">
        <w:t>. Phosphate nodules and cherts are the dominate lithologies with no trace fossils found. The one TST above the Middle Woodford is correlated to the beginning of the Hangenberg extinction event, when sea-level drop</w:t>
      </w:r>
      <w:r w:rsidR="0069116C">
        <w:t>ped significantly</w:t>
      </w:r>
      <w:r w:rsidR="0069116C">
        <w:rPr>
          <w:rFonts w:hint="eastAsia"/>
          <w:lang w:eastAsia="zh-CN"/>
        </w:rPr>
        <w:t xml:space="preserve"> and </w:t>
      </w:r>
      <w:r w:rsidRPr="00C63B93">
        <w:t>this is interpreted as the transition from Devonian shale to Mississippian Limestone deposition.</w:t>
      </w:r>
    </w:p>
    <w:p w:rsidR="007B32AD" w:rsidRDefault="007B32AD" w:rsidP="00037134">
      <w:pPr>
        <w:rPr>
          <w:lang w:eastAsia="zh-CN"/>
        </w:rPr>
      </w:pPr>
      <w:r>
        <w:tab/>
        <w:t>The derived Woodfo</w:t>
      </w:r>
      <w:r w:rsidRPr="00C63B93">
        <w:t xml:space="preserve">rd sequence stratigraphic framework can be correlated to the global sea-level curve (Haq and Shutter, 2008). Within that interval there are 8 medium-major sea-level changes from the Upper Frasnian to the Upper Famennian. This is similar to what </w:t>
      </w:r>
      <w:r w:rsidR="0069116C">
        <w:rPr>
          <w:rFonts w:hint="eastAsia"/>
          <w:lang w:eastAsia="zh-CN"/>
        </w:rPr>
        <w:t>has been</w:t>
      </w:r>
      <w:r w:rsidRPr="00C63B93">
        <w:t xml:space="preserve"> derived from our data. By matching the key markers </w:t>
      </w:r>
      <w:r w:rsidRPr="00C63B93">
        <w:lastRenderedPageBreak/>
        <w:t>including the Frasnian-Famennian Boundary and the Devonian-Mississippian boundary, we can confidently correlate to the global sea level curve.</w:t>
      </w:r>
      <w:r w:rsidR="00037134" w:rsidRPr="00037134">
        <w:t xml:space="preserve"> </w:t>
      </w:r>
      <w:r w:rsidR="00037134">
        <w:t>Figure 4.30 is the g</w:t>
      </w:r>
      <w:r w:rsidR="00037134" w:rsidRPr="00037134">
        <w:rPr>
          <w:lang w:eastAsia="zh-CN"/>
        </w:rPr>
        <w:t>ross isochore maps of Lower Middle and Upper Woodford Shale, showing the transition of more restricted deposition in Lower Woodford to more extended deposition in Upper Woodford.</w:t>
      </w:r>
    </w:p>
    <w:p w:rsidR="00037134" w:rsidRDefault="00037134" w:rsidP="00037134">
      <w:pPr>
        <w:rPr>
          <w:lang w:eastAsia="zh-CN"/>
        </w:rPr>
      </w:pPr>
    </w:p>
    <w:p w:rsidR="00CA10FC" w:rsidRDefault="00CA10FC" w:rsidP="007B32AD">
      <w:pPr>
        <w:rPr>
          <w:b/>
          <w:lang w:eastAsia="zh-CN"/>
        </w:rPr>
      </w:pPr>
      <w:r w:rsidRPr="00CA10FC">
        <w:rPr>
          <w:b/>
          <w:lang w:eastAsia="zh-CN"/>
        </w:rPr>
        <w:t>Correlati</w:t>
      </w:r>
      <w:r w:rsidR="00371769">
        <w:rPr>
          <w:b/>
          <w:lang w:eastAsia="zh-CN"/>
        </w:rPr>
        <w:t>on in Anadarko Basin</w:t>
      </w:r>
    </w:p>
    <w:p w:rsidR="00371769" w:rsidRDefault="00110FF9" w:rsidP="007B32AD">
      <w:pPr>
        <w:rPr>
          <w:lang w:eastAsia="zh-CN"/>
        </w:rPr>
      </w:pPr>
      <w:r>
        <w:rPr>
          <w:b/>
          <w:lang w:eastAsia="zh-CN"/>
        </w:rPr>
        <w:tab/>
      </w:r>
      <w:r>
        <w:rPr>
          <w:lang w:eastAsia="zh-CN"/>
        </w:rPr>
        <w:t>The established sequence stratigraphic framework of Woodford Shale can be extended to other parts of the basin. Figure 4</w:t>
      </w:r>
      <w:r w:rsidR="00DC6676">
        <w:rPr>
          <w:rFonts w:hint="eastAsia"/>
          <w:lang w:eastAsia="zh-CN"/>
        </w:rPr>
        <w:t>.</w:t>
      </w:r>
      <w:r>
        <w:rPr>
          <w:lang w:eastAsia="zh-CN"/>
        </w:rPr>
        <w:t xml:space="preserve">31 shows an effort to correlate Core C to Hunton Anticline Quarry (measured by Bryan and Slatt, 2013) that is 25 miles (40km) southeast to Core C. </w:t>
      </w:r>
      <w:r w:rsidR="004D4C06">
        <w:rPr>
          <w:lang w:eastAsia="zh-CN"/>
        </w:rPr>
        <w:t>In this correlation, note that the two location</w:t>
      </w:r>
      <w:r w:rsidR="00DC6676">
        <w:rPr>
          <w:rFonts w:hint="eastAsia"/>
          <w:lang w:eastAsia="zh-CN"/>
        </w:rPr>
        <w:t>s contain</w:t>
      </w:r>
      <w:r w:rsidR="004D4C06">
        <w:rPr>
          <w:lang w:eastAsia="zh-CN"/>
        </w:rPr>
        <w:t xml:space="preserve"> the most similar gamma ray patterns to match. </w:t>
      </w:r>
      <w:r w:rsidR="00AF2A56">
        <w:rPr>
          <w:lang w:eastAsia="zh-CN"/>
        </w:rPr>
        <w:t xml:space="preserve">This correlation is </w:t>
      </w:r>
      <w:r w:rsidR="00085BC3">
        <w:rPr>
          <w:rFonts w:hint="eastAsia"/>
          <w:lang w:eastAsia="zh-CN"/>
        </w:rPr>
        <w:t>confirmed</w:t>
      </w:r>
      <w:r w:rsidR="00AF2A56">
        <w:rPr>
          <w:lang w:eastAsia="zh-CN"/>
        </w:rPr>
        <w:t xml:space="preserve"> with examination </w:t>
      </w:r>
      <w:r w:rsidR="00085BC3">
        <w:rPr>
          <w:rFonts w:hint="eastAsia"/>
          <w:lang w:eastAsia="zh-CN"/>
        </w:rPr>
        <w:t>on</w:t>
      </w:r>
      <w:r w:rsidR="00AF2A56">
        <w:rPr>
          <w:lang w:eastAsia="zh-CN"/>
        </w:rPr>
        <w:t xml:space="preserve"> wells drilled in between these two locations. All the key horizons, including top of Middle Woodford, F-F Boundaries, Lower Woodford transgression etc. are shown. </w:t>
      </w:r>
      <w:r w:rsidR="0022257F">
        <w:rPr>
          <w:lang w:eastAsia="zh-CN"/>
        </w:rPr>
        <w:t xml:space="preserve">The bioturbation activities are focused in between top of Middle Woodford and F-F boundaries. Although we did not check the bioturbation in the Hunton Anticline Quarry section, we can predict that the time equivalent interval in that section </w:t>
      </w:r>
      <w:r w:rsidR="00085BC3">
        <w:rPr>
          <w:rFonts w:hint="eastAsia"/>
          <w:lang w:eastAsia="zh-CN"/>
        </w:rPr>
        <w:t>also</w:t>
      </w:r>
      <w:r w:rsidR="0022257F">
        <w:rPr>
          <w:lang w:eastAsia="zh-CN"/>
        </w:rPr>
        <w:t xml:space="preserve"> have the highest bioturbation index. </w:t>
      </w:r>
      <w:r w:rsidR="00D34997">
        <w:rPr>
          <w:lang w:eastAsia="zh-CN"/>
        </w:rPr>
        <w:t xml:space="preserve">Other parameters such as Mo, Ti, Si/Al and Zr all follow similar patterns. </w:t>
      </w:r>
    </w:p>
    <w:p w:rsidR="00D34997" w:rsidRPr="00110FF9" w:rsidRDefault="00D34997" w:rsidP="007B32AD">
      <w:pPr>
        <w:rPr>
          <w:lang w:eastAsia="zh-CN"/>
        </w:rPr>
      </w:pPr>
      <w:r>
        <w:rPr>
          <w:lang w:eastAsia="zh-CN"/>
        </w:rPr>
        <w:tab/>
        <w:t xml:space="preserve">Another example is from the measurements of Hall 2B core </w:t>
      </w:r>
      <w:r w:rsidR="00C97563">
        <w:rPr>
          <w:lang w:eastAsia="zh-CN"/>
        </w:rPr>
        <w:t xml:space="preserve">(Bryan and Slatt, 2013) </w:t>
      </w:r>
      <w:r>
        <w:rPr>
          <w:lang w:eastAsia="zh-CN"/>
        </w:rPr>
        <w:t>which is 30 miles (48km) southwest from Core B.</w:t>
      </w:r>
      <w:r w:rsidR="00C97563">
        <w:rPr>
          <w:lang w:eastAsia="zh-CN"/>
        </w:rPr>
        <w:t xml:space="preserve"> Hall 2B only penetrated the </w:t>
      </w:r>
      <w:r w:rsidR="00085BC3">
        <w:rPr>
          <w:lang w:eastAsia="zh-CN"/>
        </w:rPr>
        <w:t>Upper and Upper Middle Woodford</w:t>
      </w:r>
      <w:r w:rsidR="00085BC3">
        <w:rPr>
          <w:rFonts w:hint="eastAsia"/>
          <w:lang w:eastAsia="zh-CN"/>
        </w:rPr>
        <w:t>,</w:t>
      </w:r>
      <w:r w:rsidR="00C97563">
        <w:rPr>
          <w:lang w:eastAsia="zh-CN"/>
        </w:rPr>
        <w:t xml:space="preserve"> </w:t>
      </w:r>
      <w:r w:rsidR="00085BC3">
        <w:rPr>
          <w:rFonts w:hint="eastAsia"/>
          <w:lang w:eastAsia="zh-CN"/>
        </w:rPr>
        <w:t>h</w:t>
      </w:r>
      <w:r w:rsidR="00C97563">
        <w:rPr>
          <w:lang w:eastAsia="zh-CN"/>
        </w:rPr>
        <w:t xml:space="preserve">owever, the correlation can  give us valuable information on how the chemostrata and sequence  change towards the  basin. </w:t>
      </w:r>
      <w:r w:rsidR="00BF2FED">
        <w:rPr>
          <w:lang w:eastAsia="zh-CN"/>
        </w:rPr>
        <w:t xml:space="preserve">Unlike </w:t>
      </w:r>
      <w:r w:rsidR="00BF2FED">
        <w:rPr>
          <w:lang w:eastAsia="zh-CN"/>
        </w:rPr>
        <w:lastRenderedPageBreak/>
        <w:t xml:space="preserve">Core C and Hunton Anticline Quarry, the gamma ray curves do not match very well. However, comparing all trace and major elements can help better correlate time equivalent intervals. </w:t>
      </w:r>
      <w:r w:rsidR="00035022">
        <w:rPr>
          <w:lang w:eastAsia="zh-CN"/>
        </w:rPr>
        <w:t>Si/Al increase</w:t>
      </w:r>
      <w:r w:rsidR="006429D7">
        <w:rPr>
          <w:lang w:eastAsia="zh-CN"/>
        </w:rPr>
        <w:t xml:space="preserve">d upward from </w:t>
      </w:r>
      <w:r w:rsidR="00035022">
        <w:rPr>
          <w:lang w:eastAsia="zh-CN"/>
        </w:rPr>
        <w:t>both location</w:t>
      </w:r>
      <w:r w:rsidR="006429D7">
        <w:rPr>
          <w:rFonts w:hint="eastAsia"/>
          <w:lang w:eastAsia="zh-CN"/>
        </w:rPr>
        <w:t>s</w:t>
      </w:r>
      <w:r w:rsidR="00035022">
        <w:rPr>
          <w:lang w:eastAsia="zh-CN"/>
        </w:rPr>
        <w:t xml:space="preserve"> indicate a</w:t>
      </w:r>
      <w:r w:rsidR="006429D7">
        <w:rPr>
          <w:rFonts w:hint="eastAsia"/>
          <w:lang w:eastAsia="zh-CN"/>
        </w:rPr>
        <w:t>n</w:t>
      </w:r>
      <w:r w:rsidR="00035022">
        <w:rPr>
          <w:lang w:eastAsia="zh-CN"/>
        </w:rPr>
        <w:t xml:space="preserve"> increase </w:t>
      </w:r>
      <w:proofErr w:type="gramStart"/>
      <w:r w:rsidR="00035022">
        <w:rPr>
          <w:lang w:eastAsia="zh-CN"/>
        </w:rPr>
        <w:t>in  chert</w:t>
      </w:r>
      <w:proofErr w:type="gramEnd"/>
      <w:r w:rsidR="00035022">
        <w:rPr>
          <w:lang w:eastAsia="zh-CN"/>
        </w:rPr>
        <w:t xml:space="preserve">. </w:t>
      </w:r>
    </w:p>
    <w:p w:rsidR="00371769" w:rsidRDefault="00371769" w:rsidP="007B32AD">
      <w:pPr>
        <w:rPr>
          <w:b/>
          <w:lang w:eastAsia="zh-CN"/>
        </w:rPr>
      </w:pPr>
    </w:p>
    <w:p w:rsidR="00371769" w:rsidRPr="00CA10FC" w:rsidRDefault="00371769" w:rsidP="007B32AD">
      <w:pPr>
        <w:rPr>
          <w:b/>
          <w:lang w:eastAsia="zh-CN"/>
        </w:rPr>
      </w:pPr>
      <w:r>
        <w:rPr>
          <w:b/>
          <w:lang w:eastAsia="zh-CN"/>
        </w:rPr>
        <w:t>Correlation with Woodford Shale in Permian Basin</w:t>
      </w:r>
    </w:p>
    <w:p w:rsidR="00CA10FC" w:rsidRDefault="00464386" w:rsidP="007B32AD">
      <w:pPr>
        <w:rPr>
          <w:lang w:eastAsia="zh-CN"/>
        </w:rPr>
      </w:pPr>
      <w:r>
        <w:rPr>
          <w:lang w:eastAsia="zh-CN"/>
        </w:rPr>
        <w:tab/>
      </w:r>
      <w:r w:rsidRPr="00464386">
        <w:rPr>
          <w:lang w:eastAsia="zh-CN"/>
        </w:rPr>
        <w:t>Hemmesch</w:t>
      </w:r>
      <w:r>
        <w:rPr>
          <w:lang w:eastAsia="zh-CN"/>
        </w:rPr>
        <w:t xml:space="preserve"> </w:t>
      </w:r>
      <w:r w:rsidR="00880C6B" w:rsidRPr="00880C6B">
        <w:rPr>
          <w:i/>
          <w:lang w:eastAsia="zh-CN"/>
        </w:rPr>
        <w:t>et al.</w:t>
      </w:r>
      <w:r>
        <w:rPr>
          <w:lang w:eastAsia="zh-CN"/>
        </w:rPr>
        <w:t xml:space="preserve"> (2014) proposed that the entire Woodford Shale belongs to a 2nd-order sea-level drop </w:t>
      </w:r>
      <w:r w:rsidR="00B668DE">
        <w:rPr>
          <w:lang w:eastAsia="zh-CN"/>
        </w:rPr>
        <w:t xml:space="preserve">and 10+ 3rd sea-level fluctuations </w:t>
      </w:r>
      <w:r>
        <w:rPr>
          <w:lang w:eastAsia="zh-CN"/>
        </w:rPr>
        <w:t xml:space="preserve">which </w:t>
      </w:r>
      <w:proofErr w:type="gramStart"/>
      <w:r>
        <w:rPr>
          <w:lang w:eastAsia="zh-CN"/>
        </w:rPr>
        <w:t>coincide</w:t>
      </w:r>
      <w:r w:rsidR="00C33417">
        <w:rPr>
          <w:lang w:eastAsia="zh-CN"/>
        </w:rPr>
        <w:t>s</w:t>
      </w:r>
      <w:proofErr w:type="gramEnd"/>
      <w:r>
        <w:rPr>
          <w:lang w:eastAsia="zh-CN"/>
        </w:rPr>
        <w:t xml:space="preserve"> with Haq and </w:t>
      </w:r>
      <w:r w:rsidRPr="00464386">
        <w:rPr>
          <w:lang w:eastAsia="zh-CN"/>
        </w:rPr>
        <w:t>Schutter</w:t>
      </w:r>
      <w:r w:rsidR="006429D7">
        <w:rPr>
          <w:rFonts w:hint="eastAsia"/>
          <w:lang w:eastAsia="zh-CN"/>
        </w:rPr>
        <w:t xml:space="preserve"> (</w:t>
      </w:r>
      <w:r>
        <w:rPr>
          <w:lang w:eastAsia="zh-CN"/>
        </w:rPr>
        <w:t xml:space="preserve">2008). </w:t>
      </w:r>
      <w:r w:rsidR="00674B1C">
        <w:rPr>
          <w:lang w:eastAsia="zh-CN"/>
        </w:rPr>
        <w:t xml:space="preserve">We </w:t>
      </w:r>
      <w:r w:rsidR="006429D7">
        <w:rPr>
          <w:lang w:eastAsia="zh-CN"/>
        </w:rPr>
        <w:t>generally</w:t>
      </w:r>
      <w:r w:rsidR="00674B1C">
        <w:rPr>
          <w:lang w:eastAsia="zh-CN"/>
        </w:rPr>
        <w:t xml:space="preserve"> agree with this conclusion </w:t>
      </w:r>
      <w:r w:rsidR="00C33417">
        <w:rPr>
          <w:lang w:eastAsia="zh-CN"/>
        </w:rPr>
        <w:t xml:space="preserve">based on </w:t>
      </w:r>
      <w:r w:rsidR="00C527A6">
        <w:rPr>
          <w:lang w:eastAsia="zh-CN"/>
        </w:rPr>
        <w:t xml:space="preserve">the fact that the </w:t>
      </w:r>
      <w:r w:rsidR="00EE08C4">
        <w:rPr>
          <w:lang w:eastAsia="zh-CN"/>
        </w:rPr>
        <w:t xml:space="preserve">lithology eventually changed from </w:t>
      </w:r>
      <w:r w:rsidR="00674B1C">
        <w:rPr>
          <w:lang w:eastAsia="zh-CN"/>
        </w:rPr>
        <w:t>Woodford</w:t>
      </w:r>
      <w:r w:rsidR="00F94903">
        <w:rPr>
          <w:lang w:eastAsia="zh-CN"/>
        </w:rPr>
        <w:t xml:space="preserve"> </w:t>
      </w:r>
      <w:r w:rsidR="00EE08C4">
        <w:rPr>
          <w:lang w:eastAsia="zh-CN"/>
        </w:rPr>
        <w:t>Shale</w:t>
      </w:r>
      <w:r w:rsidR="00F94903">
        <w:rPr>
          <w:lang w:eastAsia="zh-CN"/>
        </w:rPr>
        <w:t xml:space="preserve"> </w:t>
      </w:r>
      <w:r w:rsidR="00C33417">
        <w:rPr>
          <w:lang w:eastAsia="zh-CN"/>
        </w:rPr>
        <w:t>into Mississippian Limestone.</w:t>
      </w:r>
      <w:r w:rsidR="00674B1C">
        <w:rPr>
          <w:lang w:eastAsia="zh-CN"/>
        </w:rPr>
        <w:t xml:space="preserve"> However</w:t>
      </w:r>
      <w:proofErr w:type="gramStart"/>
      <w:r w:rsidR="00674B1C">
        <w:rPr>
          <w:lang w:eastAsia="zh-CN"/>
        </w:rPr>
        <w:t>,  we</w:t>
      </w:r>
      <w:proofErr w:type="gramEnd"/>
      <w:r w:rsidR="00674B1C">
        <w:rPr>
          <w:lang w:eastAsia="zh-CN"/>
        </w:rPr>
        <w:t xml:space="preserve"> would also  argue that during Lower and Middle Woodford, there are  significant transgression</w:t>
      </w:r>
      <w:r w:rsidR="006429D7">
        <w:rPr>
          <w:rFonts w:hint="eastAsia"/>
          <w:lang w:eastAsia="zh-CN"/>
        </w:rPr>
        <w:t>s</w:t>
      </w:r>
      <w:r w:rsidR="00674B1C">
        <w:rPr>
          <w:lang w:eastAsia="zh-CN"/>
        </w:rPr>
        <w:t xml:space="preserve"> such as F-F boundary, </w:t>
      </w:r>
      <w:r w:rsidR="006429D7">
        <w:rPr>
          <w:rFonts w:hint="eastAsia"/>
          <w:lang w:eastAsia="zh-CN"/>
        </w:rPr>
        <w:t xml:space="preserve">and </w:t>
      </w:r>
      <w:r w:rsidR="006429D7">
        <w:rPr>
          <w:lang w:eastAsia="zh-CN"/>
        </w:rPr>
        <w:t xml:space="preserve">top Middle </w:t>
      </w:r>
      <w:r w:rsidR="00674B1C">
        <w:rPr>
          <w:lang w:eastAsia="zh-CN"/>
        </w:rPr>
        <w:t xml:space="preserve">Woodford that can cause a significant rise in sea-level. </w:t>
      </w:r>
      <w:r w:rsidR="00EE08C4">
        <w:rPr>
          <w:lang w:eastAsia="zh-CN"/>
        </w:rPr>
        <w:t xml:space="preserve">The </w:t>
      </w:r>
      <w:proofErr w:type="gramStart"/>
      <w:r w:rsidR="00EE08C4">
        <w:rPr>
          <w:lang w:eastAsia="zh-CN"/>
        </w:rPr>
        <w:t>rising  sea</w:t>
      </w:r>
      <w:proofErr w:type="gramEnd"/>
      <w:r w:rsidR="00EE08C4">
        <w:rPr>
          <w:lang w:eastAsia="zh-CN"/>
        </w:rPr>
        <w:t xml:space="preserve">-level is also backed by the bioturbation and chemostrata analysis. </w:t>
      </w:r>
      <w:r w:rsidR="001A6E6D">
        <w:rPr>
          <w:lang w:eastAsia="zh-CN"/>
        </w:rPr>
        <w:t>These transgression</w:t>
      </w:r>
      <w:r w:rsidR="006429D7">
        <w:rPr>
          <w:rFonts w:hint="eastAsia"/>
          <w:lang w:eastAsia="zh-CN"/>
        </w:rPr>
        <w:t>s</w:t>
      </w:r>
      <w:r w:rsidR="001A6E6D">
        <w:rPr>
          <w:lang w:eastAsia="zh-CN"/>
        </w:rPr>
        <w:t xml:space="preserve"> cannot be emphasis enough that they are closely related</w:t>
      </w:r>
      <w:r w:rsidR="006429D7">
        <w:rPr>
          <w:rFonts w:hint="eastAsia"/>
          <w:lang w:eastAsia="zh-CN"/>
        </w:rPr>
        <w:t xml:space="preserve"> to</w:t>
      </w:r>
      <w:r w:rsidR="001A6E6D">
        <w:rPr>
          <w:lang w:eastAsia="zh-CN"/>
        </w:rPr>
        <w:t xml:space="preserve"> the </w:t>
      </w:r>
      <w:proofErr w:type="gramStart"/>
      <w:r w:rsidR="001A6E6D">
        <w:rPr>
          <w:lang w:eastAsia="zh-CN"/>
        </w:rPr>
        <w:t xml:space="preserve">unconventional  </w:t>
      </w:r>
      <w:r w:rsidR="005A5C0E">
        <w:rPr>
          <w:lang w:eastAsia="zh-CN"/>
        </w:rPr>
        <w:t>resources</w:t>
      </w:r>
      <w:proofErr w:type="gramEnd"/>
      <w:r w:rsidR="001A6E6D">
        <w:rPr>
          <w:lang w:eastAsia="zh-CN"/>
        </w:rPr>
        <w:t>.</w:t>
      </w:r>
      <w:r w:rsidR="005A5C0E">
        <w:rPr>
          <w:lang w:eastAsia="zh-CN"/>
        </w:rPr>
        <w:t xml:space="preserve"> We disagree with the claim that </w:t>
      </w:r>
      <w:r w:rsidR="005A5C0E" w:rsidRPr="00464386">
        <w:rPr>
          <w:lang w:eastAsia="zh-CN"/>
        </w:rPr>
        <w:t>Hemmesch</w:t>
      </w:r>
      <w:r w:rsidR="005A5C0E">
        <w:rPr>
          <w:lang w:eastAsia="zh-CN"/>
        </w:rPr>
        <w:t xml:space="preserve"> made that "the high TOC zones are </w:t>
      </w:r>
      <w:proofErr w:type="gramStart"/>
      <w:r w:rsidR="005A5C0E">
        <w:rPr>
          <w:lang w:eastAsia="zh-CN"/>
        </w:rPr>
        <w:t>regression  and</w:t>
      </w:r>
      <w:proofErr w:type="gramEnd"/>
      <w:r w:rsidR="005A5C0E">
        <w:rPr>
          <w:lang w:eastAsia="zh-CN"/>
        </w:rPr>
        <w:t xml:space="preserve">  no major transgression have been found" because they used insufficient data to draw the conclusion. These transgression</w:t>
      </w:r>
      <w:r w:rsidR="006429D7">
        <w:rPr>
          <w:rFonts w:hint="eastAsia"/>
          <w:lang w:eastAsia="zh-CN"/>
        </w:rPr>
        <w:t>s</w:t>
      </w:r>
      <w:r w:rsidR="005A5C0E">
        <w:rPr>
          <w:lang w:eastAsia="zh-CN"/>
        </w:rPr>
        <w:t xml:space="preserve"> in Woodford Shale have been backed-up by our core analysis, bioturbation studies, biostratigraphy and chemostrata work. </w:t>
      </w:r>
    </w:p>
    <w:p w:rsidR="00464386" w:rsidRDefault="00464386" w:rsidP="007B32AD">
      <w:pPr>
        <w:rPr>
          <w:lang w:eastAsia="zh-CN"/>
        </w:rPr>
      </w:pPr>
    </w:p>
    <w:p w:rsidR="007B32AD" w:rsidRPr="00323427" w:rsidRDefault="007B32AD" w:rsidP="007B32AD">
      <w:pPr>
        <w:rPr>
          <w:b/>
        </w:rPr>
      </w:pPr>
      <w:r w:rsidRPr="00323427">
        <w:rPr>
          <w:b/>
        </w:rPr>
        <w:t>CONCLUSION</w:t>
      </w:r>
    </w:p>
    <w:p w:rsidR="007B32AD" w:rsidRPr="00C5479E" w:rsidRDefault="007B32AD" w:rsidP="007B32AD">
      <w:pPr>
        <w:rPr>
          <w:rFonts w:eastAsia="AdvEPSTIM"/>
        </w:rPr>
      </w:pPr>
      <w:r>
        <w:rPr>
          <w:rFonts w:eastAsia="AdvEPSTIM" w:hint="eastAsia"/>
        </w:rPr>
        <w:tab/>
      </w:r>
      <w:r w:rsidRPr="00533157">
        <w:rPr>
          <w:rFonts w:eastAsia="AdvEPSTIM"/>
        </w:rPr>
        <w:t xml:space="preserve">The Woodford Shale in the Anadarko basin, Oklahoma has been one of the major unconventional plays in the United States for nearly a decade. To fully </w:t>
      </w:r>
      <w:r w:rsidRPr="00533157">
        <w:rPr>
          <w:rFonts w:eastAsia="AdvEPSTIM"/>
        </w:rPr>
        <w:lastRenderedPageBreak/>
        <w:t xml:space="preserve">understand the lateral and vertical heterogeneity of the play and the best way to develop its remaining resources, a detailed sequence stratigraphic framework </w:t>
      </w:r>
      <w:r w:rsidR="001330FE">
        <w:rPr>
          <w:rFonts w:eastAsia="AdvEPSTIM"/>
        </w:rPr>
        <w:t>derived</w:t>
      </w:r>
      <w:r w:rsidRPr="00533157">
        <w:rPr>
          <w:rFonts w:eastAsia="AdvEPSTIM"/>
        </w:rPr>
        <w:t xml:space="preserve"> from various disciplines</w:t>
      </w:r>
      <w:r w:rsidR="001330FE">
        <w:rPr>
          <w:rFonts w:eastAsia="AdvEPSTIM"/>
        </w:rPr>
        <w:t xml:space="preserve"> is needed</w:t>
      </w:r>
      <w:r w:rsidRPr="00533157">
        <w:rPr>
          <w:rFonts w:eastAsia="AdvEPSTIM"/>
        </w:rPr>
        <w:t>. This research has fully utilized ultra-high-resolution (625 micron increment per slice) and advanced 3-D Micro-CT scan technology to quantitati</w:t>
      </w:r>
      <w:r w:rsidRPr="00C5479E">
        <w:rPr>
          <w:rFonts w:eastAsia="AdvEPSTIM"/>
        </w:rPr>
        <w:t xml:space="preserve">vely describe and analyze the ichnofacies and microfacies in selected Woodford cores. The results of trace fossil analysis were related to chemostrata, XRD, SEM, geochemical analysis, </w:t>
      </w:r>
      <w:r w:rsidR="001330FE">
        <w:rPr>
          <w:rFonts w:eastAsia="AdvEPSTIM"/>
        </w:rPr>
        <w:t>and well logs etc.</w:t>
      </w:r>
      <w:r w:rsidRPr="00C5479E">
        <w:rPr>
          <w:rFonts w:eastAsia="AdvEPSTIM"/>
        </w:rPr>
        <w:t xml:space="preserve"> to build a detailed sequence stratigraphic framework in order to better correlate to the most productive zones for unconventional resources potential.</w:t>
      </w:r>
    </w:p>
    <w:p w:rsidR="007B32AD" w:rsidRPr="00533157" w:rsidRDefault="007B32AD" w:rsidP="007B32AD">
      <w:pPr>
        <w:ind w:firstLine="420"/>
        <w:rPr>
          <w:rFonts w:eastAsia="AdvEPSTIM"/>
        </w:rPr>
      </w:pPr>
      <w:r w:rsidRPr="00C5479E">
        <w:rPr>
          <w:rFonts w:eastAsia="AdvEPSTIM"/>
        </w:rPr>
        <w:t xml:space="preserve">The ichnofacies in the </w:t>
      </w:r>
      <w:r w:rsidR="00F93FD5">
        <w:rPr>
          <w:rFonts w:eastAsia="AdvEPSTIM"/>
        </w:rPr>
        <w:t>Woodford Shale</w:t>
      </w:r>
      <w:r w:rsidRPr="00C5479E">
        <w:rPr>
          <w:rFonts w:eastAsia="AdvEPSTIM"/>
        </w:rPr>
        <w:t xml:space="preserve"> cores have been categorized into short and long </w:t>
      </w:r>
      <w:r w:rsidR="00D4033E" w:rsidRPr="00D4033E">
        <w:rPr>
          <w:rFonts w:eastAsia="AdvEPSTIM"/>
          <w:i/>
        </w:rPr>
        <w:t>Chondrites</w:t>
      </w:r>
      <w:r w:rsidRPr="00C5479E">
        <w:rPr>
          <w:rFonts w:eastAsia="AdvEPSTIM"/>
        </w:rPr>
        <w:t xml:space="preserve">, </w:t>
      </w:r>
      <w:r w:rsidRPr="00C5479E">
        <w:rPr>
          <w:rFonts w:eastAsia="AdvEPSTIM"/>
          <w:i/>
        </w:rPr>
        <w:t>Paleodictyon</w:t>
      </w:r>
      <w:r w:rsidRPr="00C5479E">
        <w:rPr>
          <w:rFonts w:eastAsia="AdvEPSTIM"/>
        </w:rPr>
        <w:t xml:space="preserve">, and </w:t>
      </w:r>
      <w:r w:rsidR="00D4033E" w:rsidRPr="00D4033E">
        <w:rPr>
          <w:rFonts w:eastAsia="AdvEPSTIM"/>
          <w:i/>
        </w:rPr>
        <w:t>Planolites</w:t>
      </w:r>
      <w:r w:rsidRPr="00C5479E">
        <w:rPr>
          <w:rFonts w:eastAsia="AdvEPSTIM"/>
        </w:rPr>
        <w:t>. The 3-D geometries, abundance, and diversity of ichnofacies have been quantitatively described using Avizo Fire</w:t>
      </w:r>
      <w:r w:rsidRPr="00C5479E">
        <w:rPr>
          <w:rFonts w:eastAsia="AdvEPSTIM"/>
          <w:vertAlign w:val="superscript"/>
        </w:rPr>
        <w:t>TM</w:t>
      </w:r>
      <w:r w:rsidRPr="00C5479E">
        <w:rPr>
          <w:rFonts w:eastAsia="AdvEPSTIM"/>
        </w:rPr>
        <w:t xml:space="preserve"> software</w:t>
      </w:r>
      <w:r w:rsidRPr="00533157">
        <w:rPr>
          <w:rFonts w:eastAsia="AdvEPSTIM"/>
        </w:rPr>
        <w:t>. Bioturbation Index (BI) was calculated from the sum of the abundance of all ichnofacies in each stratigraphic interval. The BI was then compared with XRF data (including AI, Si, Ti, Zr, Mo, and U), XRD data (including quartz, clay, feldspar, pyrite, and dolomite) and ge</w:t>
      </w:r>
      <w:r w:rsidR="0083701D">
        <w:rPr>
          <w:rFonts w:eastAsia="AdvEPSTIM"/>
        </w:rPr>
        <w:t>ochemistry data (including TOC)</w:t>
      </w:r>
      <w:r w:rsidR="006429D7">
        <w:rPr>
          <w:rFonts w:eastAsia="AdvEPSTIM" w:hint="eastAsia"/>
          <w:lang w:eastAsia="zh-CN"/>
        </w:rPr>
        <w:t xml:space="preserve"> </w:t>
      </w:r>
      <w:r w:rsidRPr="00533157">
        <w:rPr>
          <w:rFonts w:eastAsia="AdvEPSTIM"/>
        </w:rPr>
        <w:t>to relate ichno</w:t>
      </w:r>
      <w:r w:rsidR="0083701D">
        <w:rPr>
          <w:rFonts w:eastAsia="AdvEPSTIM"/>
        </w:rPr>
        <w:t>facies and paleo-redox environment.</w:t>
      </w:r>
      <w:r w:rsidRPr="00533157">
        <w:rPr>
          <w:rFonts w:eastAsia="AdvEPSTIM"/>
        </w:rPr>
        <w:t xml:space="preserve"> The stratigraphic distributions of these properties were found to be related to sea-lev</w:t>
      </w:r>
      <w:r w:rsidR="0083701D">
        <w:rPr>
          <w:rFonts w:eastAsia="AdvEPSTIM"/>
        </w:rPr>
        <w:t>el fluctuation. A new sequence stratigraphic framework was built using these data with Conodonts biostratigraphy.</w:t>
      </w:r>
    </w:p>
    <w:p w:rsidR="007B32AD" w:rsidRPr="00323427" w:rsidRDefault="007B32AD" w:rsidP="007B32AD">
      <w:r>
        <w:rPr>
          <w:rFonts w:eastAsia="AdvEPSTIM" w:hint="eastAsia"/>
        </w:rPr>
        <w:tab/>
      </w:r>
      <w:r w:rsidRPr="00533157">
        <w:rPr>
          <w:rFonts w:eastAsia="AdvEPSTIM"/>
        </w:rPr>
        <w:t xml:space="preserve">To our knowledge, this research is the first published effort to quantitatively study the detailed ichnofacies in the </w:t>
      </w:r>
      <w:r w:rsidR="00F93FD5">
        <w:rPr>
          <w:rFonts w:eastAsia="AdvEPSTIM"/>
        </w:rPr>
        <w:t>Woodford Shale</w:t>
      </w:r>
      <w:r w:rsidRPr="00533157">
        <w:rPr>
          <w:rFonts w:eastAsia="AdvEPSTIM"/>
        </w:rPr>
        <w:t xml:space="preserve"> using advanced 3-D Micro-CT scan techn</w:t>
      </w:r>
      <w:r w:rsidRPr="00C93F98">
        <w:rPr>
          <w:rFonts w:eastAsia="AdvEPSTIM"/>
        </w:rPr>
        <w:t xml:space="preserve">ology. The results indicate that bioturbation and bio-activities are more common in the </w:t>
      </w:r>
      <w:r w:rsidR="00F93FD5">
        <w:rPr>
          <w:rFonts w:eastAsia="AdvEPSTIM"/>
        </w:rPr>
        <w:t>Woodford Shale</w:t>
      </w:r>
      <w:r w:rsidRPr="00C93F98">
        <w:rPr>
          <w:rFonts w:eastAsia="AdvEPSTIM"/>
        </w:rPr>
        <w:t xml:space="preserve"> than previously thought. Although burrows frequently </w:t>
      </w:r>
      <w:r w:rsidRPr="00C93F98">
        <w:rPr>
          <w:rFonts w:eastAsia="AdvEPSTIM"/>
        </w:rPr>
        <w:lastRenderedPageBreak/>
        <w:t xml:space="preserve">develop in highstand systems tracts, they also occur in presumably anoxic environments conducive to </w:t>
      </w:r>
      <w:r w:rsidR="007922A3" w:rsidRPr="00C93F98">
        <w:rPr>
          <w:rFonts w:eastAsia="AdvEPSTIM"/>
        </w:rPr>
        <w:t>preservation</w:t>
      </w:r>
      <w:r w:rsidRPr="00533157">
        <w:rPr>
          <w:rFonts w:eastAsia="AdvEPSTIM"/>
        </w:rPr>
        <w:t xml:space="preserve"> of high TOC content and biogenic quartz. These relationships can aid in targeting the best horizontal landing zones in the </w:t>
      </w:r>
      <w:r w:rsidR="00F93FD5">
        <w:rPr>
          <w:rFonts w:eastAsia="AdvEPSTIM"/>
        </w:rPr>
        <w:t>Woodford Shale</w:t>
      </w:r>
      <w:r w:rsidRPr="00533157">
        <w:rPr>
          <w:rFonts w:eastAsia="AdvEPSTIM"/>
        </w:rPr>
        <w:t>.</w:t>
      </w:r>
    </w:p>
    <w:p w:rsidR="00932CD3" w:rsidRDefault="00932CD3" w:rsidP="00932CD3">
      <w:pPr>
        <w:jc w:val="both"/>
        <w:rPr>
          <w:rFonts w:ascii="Times New Roman" w:hAnsi="Times New Roman"/>
        </w:rPr>
      </w:pPr>
    </w:p>
    <w:p w:rsidR="00932CD3" w:rsidRDefault="00932CD3" w:rsidP="00932CD3">
      <w:pPr>
        <w:jc w:val="both"/>
        <w:rPr>
          <w:rFonts w:ascii="Times New Roman" w:hAnsi="Times New Roman"/>
        </w:rPr>
      </w:pPr>
    </w:p>
    <w:p w:rsidR="00932CD3" w:rsidRDefault="00932CD3" w:rsidP="00932CD3">
      <w:pPr>
        <w:jc w:val="both"/>
        <w:rPr>
          <w:rFonts w:ascii="Times New Roman" w:hAnsi="Times New Roman"/>
        </w:rPr>
      </w:pPr>
    </w:p>
    <w:p w:rsidR="00932CD3" w:rsidRDefault="00932CD3" w:rsidP="00932CD3">
      <w:pPr>
        <w:jc w:val="both"/>
        <w:rPr>
          <w:rFonts w:ascii="Times New Roman" w:hAnsi="Times New Roman"/>
        </w:rPr>
      </w:pPr>
    </w:p>
    <w:p w:rsidR="00932CD3" w:rsidRDefault="00932CD3" w:rsidP="00932CD3">
      <w:pPr>
        <w:jc w:val="both"/>
        <w:rPr>
          <w:rFonts w:ascii="Times New Roman" w:hAnsi="Times New Roman"/>
        </w:rPr>
      </w:pPr>
    </w:p>
    <w:p w:rsidR="00932CD3" w:rsidRDefault="00932CD3" w:rsidP="00932CD3">
      <w:pPr>
        <w:jc w:val="both"/>
        <w:rPr>
          <w:rFonts w:ascii="Times New Roman" w:hAnsi="Times New Roman"/>
        </w:rPr>
      </w:pPr>
    </w:p>
    <w:p w:rsidR="003E37C9" w:rsidRPr="00750906" w:rsidRDefault="006D1A14" w:rsidP="003E37C9">
      <w:pPr>
        <w:pStyle w:val="Heading1"/>
        <w:rPr>
          <w:rFonts w:ascii="Times New Roman" w:hAnsi="Times New Roman"/>
          <w:sz w:val="21"/>
          <w:szCs w:val="21"/>
        </w:rPr>
      </w:pPr>
      <w:r>
        <w:br w:type="page"/>
      </w:r>
      <w:r w:rsidR="003E37C9" w:rsidRPr="00750906">
        <w:rPr>
          <w:rFonts w:ascii="Times New Roman" w:hAnsi="Times New Roman"/>
          <w:sz w:val="21"/>
          <w:szCs w:val="21"/>
        </w:rPr>
        <w:lastRenderedPageBreak/>
        <w:t>LIST OF FIGURES</w:t>
      </w:r>
    </w:p>
    <w:p w:rsidR="003E37C9" w:rsidRPr="00750906" w:rsidRDefault="003448E7" w:rsidP="0013699B">
      <w:pPr>
        <w:keepNext/>
        <w:jc w:val="center"/>
        <w:rPr>
          <w:rFonts w:ascii="Times New Roman" w:hAnsi="Times New Roman"/>
          <w:sz w:val="21"/>
          <w:szCs w:val="21"/>
        </w:rPr>
      </w:pPr>
      <w:r>
        <w:rPr>
          <w:rFonts w:ascii="Times New Roman" w:hAnsi="Times New Roman"/>
          <w:noProof/>
          <w:sz w:val="21"/>
          <w:szCs w:val="21"/>
          <w:lang w:bidi="ar-SA"/>
        </w:rPr>
        <w:drawing>
          <wp:inline distT="0" distB="0" distL="0" distR="0" wp14:anchorId="7EB165CA">
            <wp:extent cx="4701540" cy="6553200"/>
            <wp:effectExtent l="0" t="0" r="3810"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701540" cy="6553200"/>
                    </a:xfrm>
                    <a:prstGeom prst="rect">
                      <a:avLst/>
                    </a:prstGeom>
                    <a:noFill/>
                  </pic:spPr>
                </pic:pic>
              </a:graphicData>
            </a:graphic>
          </wp:inline>
        </w:drawing>
      </w:r>
    </w:p>
    <w:p w:rsidR="003E37C9" w:rsidRPr="00750906" w:rsidRDefault="003E37C9" w:rsidP="003E37C9">
      <w:pPr>
        <w:pStyle w:val="Caption"/>
        <w:rPr>
          <w:rFonts w:ascii="Times New Roman" w:hAnsi="Times New Roman"/>
          <w:sz w:val="21"/>
          <w:szCs w:val="21"/>
        </w:rPr>
      </w:pPr>
      <w:bookmarkStart w:id="91" w:name="_Toc400010243"/>
      <w:bookmarkStart w:id="92" w:name="_Toc418790862"/>
      <w:bookmarkStart w:id="93" w:name="_Toc418792514"/>
      <w:bookmarkStart w:id="94" w:name="_Toc418793048"/>
      <w:r w:rsidRPr="00750906">
        <w:rPr>
          <w:rFonts w:ascii="Times New Roman" w:hAnsi="Times New Roman"/>
          <w:sz w:val="21"/>
          <w:szCs w:val="21"/>
        </w:rPr>
        <w:t>Figure 4.</w:t>
      </w:r>
      <w:bookmarkEnd w:id="91"/>
      <w:r w:rsidR="003448E7">
        <w:rPr>
          <w:rFonts w:ascii="Times New Roman" w:hAnsi="Times New Roman"/>
          <w:sz w:val="21"/>
          <w:szCs w:val="21"/>
        </w:rPr>
        <w:t>1.</w:t>
      </w:r>
      <w:r w:rsidRPr="00750906">
        <w:rPr>
          <w:rFonts w:ascii="Times New Roman" w:hAnsi="Times New Roman"/>
          <w:sz w:val="21"/>
          <w:szCs w:val="21"/>
        </w:rPr>
        <w:t>Gross isochore thickness map from top Woodford Shale to top Hunton Group in the study area (in feet, 100ft = 30m), with three well locations marked as A, B and C.</w:t>
      </w:r>
      <w:bookmarkEnd w:id="92"/>
      <w:bookmarkEnd w:id="93"/>
      <w:bookmarkEnd w:id="94"/>
    </w:p>
    <w:p w:rsidR="003E37C9" w:rsidRPr="00750906" w:rsidRDefault="003E37C9" w:rsidP="003E37C9">
      <w:pPr>
        <w:pStyle w:val="Caption"/>
        <w:jc w:val="both"/>
        <w:rPr>
          <w:rFonts w:ascii="Times New Roman" w:hAnsi="Times New Roman"/>
          <w:sz w:val="21"/>
          <w:szCs w:val="21"/>
        </w:rPr>
      </w:pPr>
    </w:p>
    <w:p w:rsidR="003E37C9" w:rsidRPr="00750906" w:rsidRDefault="003E37C9" w:rsidP="003E37C9">
      <w:pPr>
        <w:rPr>
          <w:rFonts w:ascii="Times New Roman" w:hAnsi="Times New Roman"/>
          <w:sz w:val="21"/>
          <w:szCs w:val="21"/>
        </w:rPr>
      </w:pPr>
    </w:p>
    <w:p w:rsidR="003E37C9" w:rsidRPr="00750906" w:rsidRDefault="003E37C9" w:rsidP="0013699B">
      <w:pPr>
        <w:keepNext/>
        <w:jc w:val="center"/>
        <w:rPr>
          <w:rFonts w:ascii="Times New Roman" w:hAnsi="Times New Roman"/>
          <w:sz w:val="21"/>
          <w:szCs w:val="21"/>
        </w:rPr>
      </w:pPr>
      <w:r w:rsidRPr="00750906">
        <w:rPr>
          <w:rFonts w:ascii="Times New Roman" w:hAnsi="Times New Roman"/>
          <w:noProof/>
          <w:sz w:val="21"/>
          <w:szCs w:val="21"/>
          <w:lang w:bidi="ar-SA"/>
        </w:rPr>
        <w:lastRenderedPageBreak/>
        <w:drawing>
          <wp:inline distT="0" distB="0" distL="0" distR="0" wp14:anchorId="434919D3" wp14:editId="66709847">
            <wp:extent cx="4832593" cy="6648450"/>
            <wp:effectExtent l="19050" t="19050" r="25157" b="19050"/>
            <wp:docPr id="6" name="图片 3" descr="C:\Users\CynthiaPC\Desktop\Figure 1. StratigraphicColome Type log_v8_Ro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ynthiaPC\Desktop\Figure 1. StratigraphicColome Type log_v8_Rotate.jpg"/>
                    <pic:cNvPicPr>
                      <a:picLocks noChangeAspect="1" noChangeArrowheads="1"/>
                    </pic:cNvPicPr>
                  </pic:nvPicPr>
                  <pic:blipFill>
                    <a:blip r:embed="rId177" cstate="print"/>
                    <a:srcRect/>
                    <a:stretch>
                      <a:fillRect/>
                    </a:stretch>
                  </pic:blipFill>
                  <pic:spPr bwMode="auto">
                    <a:xfrm>
                      <a:off x="0" y="0"/>
                      <a:ext cx="4834780" cy="6651459"/>
                    </a:xfrm>
                    <a:prstGeom prst="rect">
                      <a:avLst/>
                    </a:prstGeom>
                    <a:noFill/>
                    <a:ln w="9525">
                      <a:solidFill>
                        <a:schemeClr val="tx1"/>
                      </a:solidFill>
                      <a:miter lim="800000"/>
                      <a:headEnd/>
                      <a:tailEnd/>
                    </a:ln>
                  </pic:spPr>
                </pic:pic>
              </a:graphicData>
            </a:graphic>
          </wp:inline>
        </w:drawing>
      </w:r>
    </w:p>
    <w:p w:rsidR="003E37C9" w:rsidRPr="00750906" w:rsidRDefault="003E37C9" w:rsidP="003E37C9">
      <w:pPr>
        <w:pStyle w:val="Caption"/>
        <w:rPr>
          <w:rFonts w:ascii="Times New Roman" w:hAnsi="Times New Roman"/>
          <w:sz w:val="21"/>
          <w:szCs w:val="21"/>
        </w:rPr>
      </w:pPr>
      <w:bookmarkStart w:id="95" w:name="_Toc400010244"/>
      <w:bookmarkStart w:id="96" w:name="_Toc418790863"/>
      <w:bookmarkStart w:id="97" w:name="_Toc418792515"/>
      <w:bookmarkStart w:id="98" w:name="_Toc418793049"/>
      <w:r w:rsidRPr="00750906">
        <w:rPr>
          <w:rFonts w:ascii="Times New Roman" w:hAnsi="Times New Roman"/>
          <w:sz w:val="21"/>
          <w:szCs w:val="21"/>
        </w:rPr>
        <w:t>Figure 4.</w:t>
      </w:r>
      <w:r w:rsidR="003448E7">
        <w:rPr>
          <w:rFonts w:ascii="Times New Roman" w:hAnsi="Times New Roman"/>
          <w:sz w:val="21"/>
          <w:szCs w:val="21"/>
        </w:rPr>
        <w:t>2</w:t>
      </w:r>
      <w:r w:rsidRPr="00750906">
        <w:rPr>
          <w:rFonts w:ascii="Times New Roman" w:hAnsi="Times New Roman"/>
          <w:sz w:val="21"/>
          <w:szCs w:val="21"/>
        </w:rPr>
        <w:t>.</w:t>
      </w:r>
      <w:bookmarkEnd w:id="95"/>
      <w:r w:rsidRPr="00750906">
        <w:rPr>
          <w:rFonts w:ascii="Times New Roman" w:eastAsia="AGaramond-Regular" w:hAnsi="Times New Roman"/>
          <w:sz w:val="21"/>
          <w:szCs w:val="21"/>
        </w:rPr>
        <w:t xml:space="preserve">Stratigraphic column of the Woodford Shale based on global sea-level (Johnson </w:t>
      </w:r>
      <w:r w:rsidR="00880C6B" w:rsidRPr="00880C6B">
        <w:rPr>
          <w:rFonts w:ascii="Times New Roman" w:eastAsia="AGaramond-Regular" w:hAnsi="Times New Roman"/>
          <w:i/>
          <w:sz w:val="21"/>
          <w:szCs w:val="21"/>
        </w:rPr>
        <w:t>et al.</w:t>
      </w:r>
      <w:r w:rsidRPr="00750906">
        <w:rPr>
          <w:rFonts w:ascii="Times New Roman" w:eastAsia="AGaramond-Regular" w:hAnsi="Times New Roman"/>
          <w:sz w:val="21"/>
          <w:szCs w:val="21"/>
        </w:rPr>
        <w:t xml:space="preserve"> (1985), Slatt</w:t>
      </w:r>
      <w:r w:rsidR="007922A3">
        <w:rPr>
          <w:rFonts w:ascii="Times New Roman" w:eastAsia="AGaramond-Regular" w:hAnsi="Times New Roman"/>
          <w:sz w:val="21"/>
          <w:szCs w:val="21"/>
        </w:rPr>
        <w:t xml:space="preserve"> </w:t>
      </w:r>
      <w:r w:rsidR="00880C6B" w:rsidRPr="00880C6B">
        <w:rPr>
          <w:rFonts w:ascii="Times New Roman" w:eastAsia="AGaramond-Regular" w:hAnsi="Times New Roman"/>
          <w:i/>
          <w:sz w:val="21"/>
          <w:szCs w:val="21"/>
        </w:rPr>
        <w:t>et al.</w:t>
      </w:r>
      <w:r w:rsidRPr="00750906">
        <w:rPr>
          <w:rFonts w:ascii="Times New Roman" w:eastAsia="AGaramond-Regular" w:hAnsi="Times New Roman"/>
          <w:sz w:val="21"/>
          <w:szCs w:val="21"/>
        </w:rPr>
        <w:t xml:space="preserve"> (2013), and Spaw (2013))</w:t>
      </w:r>
      <w:proofErr w:type="gramStart"/>
      <w:r w:rsidRPr="00750906">
        <w:rPr>
          <w:rFonts w:ascii="Times New Roman" w:eastAsia="AGaramond-Regular" w:hAnsi="Times New Roman"/>
          <w:sz w:val="21"/>
          <w:szCs w:val="21"/>
        </w:rPr>
        <w:t>,</w:t>
      </w:r>
      <w:proofErr w:type="gramEnd"/>
      <w:r w:rsidRPr="00750906">
        <w:rPr>
          <w:rFonts w:ascii="Times New Roman" w:eastAsia="AGaramond-Regular" w:hAnsi="Times New Roman"/>
          <w:sz w:val="21"/>
          <w:szCs w:val="21"/>
        </w:rPr>
        <w:t xml:space="preserve"> biostratigraphy work is mainly from Conodonts by Dr. Jeffrey Over, Kerogen Type from Corelab.</w:t>
      </w:r>
      <w:bookmarkEnd w:id="96"/>
      <w:bookmarkEnd w:id="97"/>
      <w:bookmarkEnd w:id="98"/>
    </w:p>
    <w:p w:rsidR="003E37C9" w:rsidRPr="00750906" w:rsidRDefault="003E37C9" w:rsidP="003E37C9">
      <w:pPr>
        <w:pStyle w:val="Caption"/>
        <w:rPr>
          <w:rFonts w:ascii="Times New Roman" w:hAnsi="Times New Roman"/>
          <w:sz w:val="21"/>
          <w:szCs w:val="21"/>
        </w:rPr>
      </w:pPr>
    </w:p>
    <w:p w:rsidR="003E37C9" w:rsidRPr="00750906" w:rsidRDefault="003448E7" w:rsidP="003E37C9">
      <w:pPr>
        <w:keepNext/>
        <w:jc w:val="center"/>
        <w:rPr>
          <w:rFonts w:ascii="Times New Roman" w:hAnsi="Times New Roman"/>
          <w:sz w:val="21"/>
          <w:szCs w:val="21"/>
        </w:rPr>
      </w:pPr>
      <w:r>
        <w:rPr>
          <w:rFonts w:ascii="Times New Roman" w:hAnsi="Times New Roman"/>
          <w:noProof/>
          <w:sz w:val="21"/>
          <w:szCs w:val="21"/>
          <w:lang w:bidi="ar-SA"/>
        </w:rPr>
        <w:lastRenderedPageBreak/>
        <w:drawing>
          <wp:inline distT="0" distB="0" distL="0" distR="0" wp14:anchorId="57BB3176">
            <wp:extent cx="4899660" cy="6469380"/>
            <wp:effectExtent l="0" t="0" r="0" b="762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899660" cy="6469380"/>
                    </a:xfrm>
                    <a:prstGeom prst="rect">
                      <a:avLst/>
                    </a:prstGeom>
                    <a:noFill/>
                  </pic:spPr>
                </pic:pic>
              </a:graphicData>
            </a:graphic>
          </wp:inline>
        </w:drawing>
      </w:r>
    </w:p>
    <w:p w:rsidR="003E37C9" w:rsidRPr="00750906" w:rsidRDefault="003E37C9" w:rsidP="003E37C9">
      <w:pPr>
        <w:pStyle w:val="Caption"/>
        <w:jc w:val="both"/>
        <w:rPr>
          <w:rFonts w:ascii="Times New Roman" w:eastAsia="AGaramond-Regular" w:hAnsi="Times New Roman"/>
          <w:sz w:val="21"/>
          <w:szCs w:val="21"/>
          <w:lang w:eastAsia="zh-CN"/>
        </w:rPr>
      </w:pPr>
      <w:bookmarkStart w:id="99" w:name="_Toc400010245"/>
      <w:bookmarkStart w:id="100" w:name="_Toc418790864"/>
      <w:bookmarkStart w:id="101" w:name="_Toc418792516"/>
      <w:bookmarkStart w:id="102" w:name="_Toc418793050"/>
      <w:r w:rsidRPr="00750906">
        <w:rPr>
          <w:rFonts w:ascii="Times New Roman" w:hAnsi="Times New Roman"/>
          <w:sz w:val="21"/>
          <w:szCs w:val="21"/>
        </w:rPr>
        <w:t>Figure 4.</w:t>
      </w:r>
      <w:r w:rsidR="003448E7">
        <w:rPr>
          <w:rFonts w:ascii="Times New Roman" w:hAnsi="Times New Roman"/>
          <w:sz w:val="21"/>
          <w:szCs w:val="21"/>
        </w:rPr>
        <w:t>3</w:t>
      </w:r>
      <w:r w:rsidRPr="00750906">
        <w:rPr>
          <w:rFonts w:ascii="Times New Roman" w:hAnsi="Times New Roman"/>
          <w:sz w:val="21"/>
          <w:szCs w:val="21"/>
        </w:rPr>
        <w:t>.</w:t>
      </w:r>
      <w:bookmarkEnd w:id="99"/>
      <w:r w:rsidRPr="00750906">
        <w:rPr>
          <w:rFonts w:ascii="Times New Roman" w:eastAsia="AGaramond-Regular" w:hAnsi="Times New Roman"/>
          <w:sz w:val="21"/>
          <w:szCs w:val="21"/>
        </w:rPr>
        <w:t xml:space="preserve">Upper Left: </w:t>
      </w:r>
      <w:r w:rsidRPr="00750906">
        <w:rPr>
          <w:rFonts w:ascii="Times New Roman" w:eastAsia="AGaramond-Regular" w:hAnsi="Times New Roman"/>
          <w:sz w:val="21"/>
          <w:szCs w:val="21"/>
          <w:lang w:eastAsia="zh-CN"/>
        </w:rPr>
        <w:t>Core</w:t>
      </w:r>
      <w:r w:rsidRPr="00750906">
        <w:rPr>
          <w:rFonts w:ascii="Times New Roman" w:eastAsia="AGaramond-Regular" w:hAnsi="Times New Roman"/>
          <w:sz w:val="21"/>
          <w:szCs w:val="21"/>
        </w:rPr>
        <w:t xml:space="preserve"> photo of short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from </w:t>
      </w:r>
      <w:r w:rsidRPr="00750906">
        <w:rPr>
          <w:rFonts w:ascii="Times New Roman" w:eastAsia="AGaramond-Regular" w:hAnsi="Times New Roman"/>
          <w:sz w:val="21"/>
          <w:szCs w:val="21"/>
          <w:lang w:eastAsia="zh-CN"/>
        </w:rPr>
        <w:t xml:space="preserve">Upper Woodford of Core </w:t>
      </w:r>
      <w:proofErr w:type="gramStart"/>
      <w:r w:rsidRPr="00750906">
        <w:rPr>
          <w:rFonts w:ascii="Times New Roman" w:eastAsia="AGaramond-Regular" w:hAnsi="Times New Roman"/>
          <w:sz w:val="21"/>
          <w:szCs w:val="21"/>
          <w:lang w:eastAsia="zh-CN"/>
        </w:rPr>
        <w:t>A</w:t>
      </w:r>
      <w:proofErr w:type="gramEnd"/>
      <w:r w:rsidRPr="00750906">
        <w:rPr>
          <w:rFonts w:ascii="Times New Roman" w:eastAsia="AGaramond-Regular" w:hAnsi="Times New Roman"/>
          <w:sz w:val="21"/>
          <w:szCs w:val="21"/>
          <w:lang w:eastAsia="zh-CN"/>
        </w:rPr>
        <w:t xml:space="preserve"> (43')</w:t>
      </w:r>
      <w:r w:rsidRPr="00750906">
        <w:rPr>
          <w:rFonts w:ascii="Times New Roman" w:eastAsia="AGaramond-Regular" w:hAnsi="Times New Roman"/>
          <w:sz w:val="21"/>
          <w:szCs w:val="21"/>
        </w:rPr>
        <w:t>. Upper Right: The</w:t>
      </w:r>
      <w:r w:rsidRPr="00750906">
        <w:rPr>
          <w:rFonts w:ascii="Times New Roman" w:eastAsia="AGaramond-Regular" w:hAnsi="Times New Roman"/>
          <w:sz w:val="21"/>
          <w:szCs w:val="21"/>
          <w:lang w:eastAsia="zh-CN"/>
        </w:rPr>
        <w:t xml:space="preserve"> same</w:t>
      </w:r>
      <w:r w:rsidRPr="00750906">
        <w:rPr>
          <w:rFonts w:ascii="Times New Roman" w:eastAsia="AGaramond-Regular" w:hAnsi="Times New Roman"/>
          <w:sz w:val="21"/>
          <w:szCs w:val="21"/>
        </w:rPr>
        <w:t xml:space="preserve"> short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in the segmentation images of Micro CT-Scan</w:t>
      </w:r>
      <w:r w:rsidRPr="00750906">
        <w:rPr>
          <w:rFonts w:ascii="Times New Roman" w:eastAsia="AGaramond-Regular" w:hAnsi="Times New Roman"/>
          <w:sz w:val="21"/>
          <w:szCs w:val="21"/>
          <w:lang w:eastAsia="zh-CN"/>
        </w:rPr>
        <w:t>. Middle: Zoom in photos of the pyritized</w:t>
      </w:r>
      <w:r w:rsidR="007922A3">
        <w:rPr>
          <w:rFonts w:ascii="Times New Roman" w:eastAsia="AGaramond-Regular" w:hAnsi="Times New Roman"/>
          <w:sz w:val="21"/>
          <w:szCs w:val="21"/>
          <w:lang w:eastAsia="zh-CN"/>
        </w:rPr>
        <w:t xml:space="preserve"> </w:t>
      </w:r>
      <w:r w:rsidRPr="00750906">
        <w:rPr>
          <w:rFonts w:ascii="Times New Roman" w:eastAsia="AGaramond-Regular" w:hAnsi="Times New Roman"/>
          <w:i/>
          <w:sz w:val="21"/>
          <w:szCs w:val="21"/>
          <w:lang w:eastAsia="zh-CN"/>
        </w:rPr>
        <w:t>Chondrites</w:t>
      </w:r>
      <w:r w:rsidRPr="00750906">
        <w:rPr>
          <w:rFonts w:ascii="Times New Roman" w:eastAsia="AGaramond-Regular" w:hAnsi="Times New Roman"/>
          <w:sz w:val="21"/>
          <w:szCs w:val="21"/>
          <w:lang w:eastAsia="zh-CN"/>
        </w:rPr>
        <w:t xml:space="preserve">. </w:t>
      </w:r>
      <w:r w:rsidRPr="00750906">
        <w:rPr>
          <w:rFonts w:ascii="Times New Roman" w:eastAsia="AGaramond-Regular" w:hAnsi="Times New Roman"/>
          <w:sz w:val="21"/>
          <w:szCs w:val="21"/>
        </w:rPr>
        <w:t xml:space="preserve">Lower Left: </w:t>
      </w:r>
      <w:r w:rsidRPr="00750906">
        <w:rPr>
          <w:rFonts w:ascii="Times New Roman" w:eastAsia="AGaramond-Regular" w:hAnsi="Times New Roman"/>
          <w:sz w:val="21"/>
          <w:szCs w:val="21"/>
          <w:lang w:eastAsia="zh-CN"/>
        </w:rPr>
        <w:t>Thin-Section photo</w:t>
      </w:r>
      <w:r w:rsidRPr="00750906">
        <w:rPr>
          <w:rFonts w:ascii="Times New Roman" w:eastAsia="AGaramond-Regular" w:hAnsi="Times New Roman"/>
          <w:sz w:val="21"/>
          <w:szCs w:val="21"/>
        </w:rPr>
        <w:t xml:space="preserve"> of the long</w:t>
      </w:r>
      <w:r w:rsidR="007922A3">
        <w:rPr>
          <w:rFonts w:ascii="Times New Roman" w:eastAsia="AGaramond-Regular" w:hAnsi="Times New Roman"/>
          <w:sz w:val="21"/>
          <w:szCs w:val="21"/>
        </w:rPr>
        <w:t xml:space="preserve"> </w:t>
      </w:r>
      <w:r w:rsidRPr="00750906">
        <w:rPr>
          <w:rFonts w:ascii="Times New Roman" w:eastAsia="AGaramond-Regular" w:hAnsi="Times New Roman"/>
          <w:i/>
          <w:sz w:val="21"/>
          <w:szCs w:val="21"/>
        </w:rPr>
        <w:t>Chondrites</w:t>
      </w:r>
      <w:r w:rsidR="007922A3">
        <w:rPr>
          <w:rFonts w:ascii="Times New Roman" w:eastAsia="AGaramond-Regular" w:hAnsi="Times New Roman"/>
          <w:i/>
          <w:sz w:val="21"/>
          <w:szCs w:val="21"/>
        </w:rPr>
        <w:t xml:space="preserve"> </w:t>
      </w:r>
      <w:r w:rsidRPr="00750906">
        <w:rPr>
          <w:rFonts w:ascii="Times New Roman" w:eastAsia="AGaramond-Regular" w:hAnsi="Times New Roman"/>
          <w:sz w:val="21"/>
          <w:szCs w:val="21"/>
        </w:rPr>
        <w:t xml:space="preserve">from </w:t>
      </w:r>
      <w:r w:rsidRPr="00750906">
        <w:rPr>
          <w:rFonts w:ascii="Times New Roman" w:eastAsia="AGaramond-Regular" w:hAnsi="Times New Roman"/>
          <w:sz w:val="21"/>
          <w:szCs w:val="21"/>
          <w:lang w:eastAsia="zh-CN"/>
        </w:rPr>
        <w:t>Middle Woodford in Core C</w:t>
      </w:r>
      <w:r w:rsidRPr="00750906">
        <w:rPr>
          <w:rFonts w:ascii="Times New Roman" w:eastAsia="AGaramond-Regular" w:hAnsi="Times New Roman"/>
          <w:sz w:val="21"/>
          <w:szCs w:val="21"/>
        </w:rPr>
        <w:t xml:space="preserve">, Lower Right: </w:t>
      </w:r>
      <w:r w:rsidRPr="00750906">
        <w:rPr>
          <w:rFonts w:ascii="Times New Roman" w:eastAsia="AGaramond-Regular" w:hAnsi="Times New Roman"/>
          <w:sz w:val="21"/>
          <w:szCs w:val="21"/>
          <w:lang w:eastAsia="zh-CN"/>
        </w:rPr>
        <w:t xml:space="preserve">3-D CT Scan Segmentation images of the same interval. </w:t>
      </w:r>
      <w:proofErr w:type="gramStart"/>
      <w:r w:rsidRPr="00750906">
        <w:rPr>
          <w:rFonts w:ascii="Times New Roman" w:eastAsia="AGaramond-Regular" w:hAnsi="Times New Roman"/>
          <w:sz w:val="21"/>
          <w:szCs w:val="21"/>
          <w:lang w:eastAsia="zh-CN"/>
        </w:rPr>
        <w:t>(Thin-Section and 2-D Core photos by Kimberly Hlava and Joan Spaw.)</w:t>
      </w:r>
      <w:bookmarkEnd w:id="100"/>
      <w:bookmarkEnd w:id="101"/>
      <w:bookmarkEnd w:id="102"/>
      <w:proofErr w:type="gramEnd"/>
    </w:p>
    <w:p w:rsidR="003E37C9" w:rsidRPr="00750906" w:rsidRDefault="003448E7" w:rsidP="003E37C9">
      <w:pPr>
        <w:keepNext/>
        <w:jc w:val="center"/>
        <w:rPr>
          <w:rFonts w:ascii="Times New Roman" w:hAnsi="Times New Roman"/>
          <w:noProof/>
          <w:sz w:val="21"/>
          <w:szCs w:val="21"/>
          <w:lang w:eastAsia="zh-CN" w:bidi="ar-SA"/>
        </w:rPr>
      </w:pPr>
      <w:r>
        <w:rPr>
          <w:rFonts w:ascii="Times New Roman" w:hAnsi="Times New Roman"/>
          <w:noProof/>
          <w:sz w:val="21"/>
          <w:szCs w:val="21"/>
          <w:lang w:bidi="ar-SA"/>
        </w:rPr>
        <w:lastRenderedPageBreak/>
        <w:drawing>
          <wp:inline distT="0" distB="0" distL="0" distR="0" wp14:anchorId="5D30E8F5">
            <wp:extent cx="4831080" cy="6705600"/>
            <wp:effectExtent l="0" t="0" r="762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831080" cy="6705600"/>
                    </a:xfrm>
                    <a:prstGeom prst="rect">
                      <a:avLst/>
                    </a:prstGeom>
                    <a:noFill/>
                  </pic:spPr>
                </pic:pic>
              </a:graphicData>
            </a:graphic>
          </wp:inline>
        </w:drawing>
      </w:r>
    </w:p>
    <w:p w:rsidR="003E37C9" w:rsidRPr="00750906" w:rsidRDefault="003E37C9" w:rsidP="003E37C9">
      <w:pPr>
        <w:pStyle w:val="Caption"/>
        <w:jc w:val="both"/>
        <w:rPr>
          <w:rFonts w:ascii="Times New Roman" w:eastAsia="AGaramond-Regular" w:hAnsi="Times New Roman"/>
          <w:sz w:val="21"/>
          <w:szCs w:val="21"/>
          <w:lang w:eastAsia="zh-CN"/>
        </w:rPr>
      </w:pPr>
      <w:proofErr w:type="gramStart"/>
      <w:r w:rsidRPr="00750906">
        <w:rPr>
          <w:rFonts w:ascii="Times New Roman" w:hAnsi="Times New Roman"/>
          <w:sz w:val="21"/>
          <w:szCs w:val="21"/>
        </w:rPr>
        <w:t>Figure 4.</w:t>
      </w:r>
      <w:r w:rsidR="003448E7">
        <w:rPr>
          <w:rFonts w:ascii="Times New Roman" w:hAnsi="Times New Roman"/>
          <w:sz w:val="21"/>
          <w:szCs w:val="21"/>
        </w:rPr>
        <w:t>4.</w:t>
      </w:r>
      <w:proofErr w:type="gramEnd"/>
      <w:r w:rsidR="003448E7">
        <w:rPr>
          <w:rFonts w:ascii="Times New Roman" w:hAnsi="Times New Roman"/>
          <w:sz w:val="21"/>
          <w:szCs w:val="21"/>
        </w:rPr>
        <w:t xml:space="preserve"> </w:t>
      </w:r>
      <w:r w:rsidRPr="00750906">
        <w:rPr>
          <w:rFonts w:ascii="Times New Roman" w:eastAsia="AGaramond-Regular" w:hAnsi="Times New Roman"/>
          <w:sz w:val="21"/>
          <w:szCs w:val="21"/>
        </w:rPr>
        <w:t xml:space="preserve">Upper: </w:t>
      </w:r>
      <w:r w:rsidRPr="00750906">
        <w:rPr>
          <w:rFonts w:ascii="Times New Roman" w:eastAsia="AGaramond-Regular" w:hAnsi="Times New Roman"/>
          <w:sz w:val="21"/>
          <w:szCs w:val="21"/>
          <w:lang w:eastAsia="zh-CN"/>
        </w:rPr>
        <w:t xml:space="preserve">Thin-section of short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in</w:t>
      </w:r>
      <w:r w:rsidRPr="00750906">
        <w:rPr>
          <w:rFonts w:ascii="Times New Roman" w:eastAsia="AGaramond-Regular" w:hAnsi="Times New Roman"/>
          <w:sz w:val="21"/>
          <w:szCs w:val="21"/>
          <w:lang w:eastAsia="zh-CN"/>
        </w:rPr>
        <w:t xml:space="preserve"> argillaceous</w:t>
      </w:r>
      <w:r w:rsidRPr="00750906">
        <w:rPr>
          <w:rFonts w:ascii="Times New Roman" w:eastAsia="AGaramond-Regular" w:hAnsi="Times New Roman"/>
          <w:sz w:val="21"/>
          <w:szCs w:val="21"/>
        </w:rPr>
        <w:t xml:space="preserve"> shales from </w:t>
      </w:r>
      <w:r w:rsidRPr="00750906">
        <w:rPr>
          <w:rFonts w:ascii="Times New Roman" w:eastAsia="AGaramond-Regular" w:hAnsi="Times New Roman"/>
          <w:sz w:val="21"/>
          <w:szCs w:val="21"/>
          <w:lang w:eastAsia="zh-CN"/>
        </w:rPr>
        <w:t>Middle Woodford of Core B (97')</w:t>
      </w:r>
      <w:r w:rsidRPr="00750906">
        <w:rPr>
          <w:rFonts w:ascii="Times New Roman" w:eastAsia="AGaramond-Regular" w:hAnsi="Times New Roman"/>
          <w:sz w:val="21"/>
          <w:szCs w:val="21"/>
        </w:rPr>
        <w:t xml:space="preserve">. </w:t>
      </w:r>
      <w:r w:rsidRPr="00750906">
        <w:rPr>
          <w:rFonts w:ascii="Times New Roman" w:eastAsia="AGaramond-Regular" w:hAnsi="Times New Roman"/>
          <w:sz w:val="21"/>
          <w:szCs w:val="21"/>
          <w:lang w:eastAsia="zh-CN"/>
        </w:rPr>
        <w:t>Lower: Abundant pyritized short</w:t>
      </w:r>
      <w:r w:rsidRPr="00750906">
        <w:rPr>
          <w:rFonts w:ascii="Times New Roman" w:eastAsia="AGaramond-Regular" w:hAnsi="Times New Roman"/>
          <w:i/>
          <w:sz w:val="21"/>
          <w:szCs w:val="21"/>
        </w:rPr>
        <w:t xml:space="preserve"> Chondrites</w:t>
      </w:r>
      <w:r w:rsidR="007922A3">
        <w:rPr>
          <w:rFonts w:ascii="Times New Roman" w:eastAsia="AGaramond-Regular" w:hAnsi="Times New Roman"/>
          <w:i/>
          <w:sz w:val="21"/>
          <w:szCs w:val="21"/>
        </w:rPr>
        <w:t xml:space="preserve"> </w:t>
      </w:r>
      <w:r w:rsidRPr="00750906">
        <w:rPr>
          <w:rFonts w:ascii="Times New Roman" w:eastAsia="AGaramond-Regular" w:hAnsi="Times New Roman"/>
          <w:sz w:val="21"/>
          <w:szCs w:val="21"/>
          <w:lang w:eastAsia="zh-CN"/>
        </w:rPr>
        <w:t>in Middle Woodford of Core B (118'</w:t>
      </w:r>
      <w:proofErr w:type="gramStart"/>
      <w:r w:rsidRPr="00750906">
        <w:rPr>
          <w:rFonts w:ascii="Times New Roman" w:eastAsia="AGaramond-Regular" w:hAnsi="Times New Roman"/>
          <w:sz w:val="21"/>
          <w:szCs w:val="21"/>
          <w:lang w:eastAsia="zh-CN"/>
        </w:rPr>
        <w:t>) .</w:t>
      </w:r>
      <w:proofErr w:type="gramEnd"/>
      <w:r w:rsidRPr="00750906">
        <w:rPr>
          <w:rFonts w:ascii="Times New Roman" w:eastAsia="AGaramond-Regular" w:hAnsi="Times New Roman"/>
          <w:sz w:val="21"/>
          <w:szCs w:val="21"/>
          <w:lang w:eastAsia="zh-CN"/>
        </w:rPr>
        <w:t xml:space="preserve"> (Thin-Section photos by Joan Spaw and CoreLab.)</w:t>
      </w:r>
    </w:p>
    <w:p w:rsidR="003E37C9" w:rsidRPr="00750906" w:rsidRDefault="003E37C9" w:rsidP="003E37C9">
      <w:pPr>
        <w:spacing w:line="240" w:lineRule="auto"/>
        <w:rPr>
          <w:rFonts w:ascii="Times New Roman" w:hAnsi="Times New Roman"/>
          <w:noProof/>
          <w:sz w:val="21"/>
          <w:szCs w:val="21"/>
          <w:lang w:eastAsia="zh-CN" w:bidi="ar-SA"/>
        </w:rPr>
      </w:pPr>
      <w:r w:rsidRPr="00750906">
        <w:rPr>
          <w:rFonts w:ascii="Times New Roman" w:hAnsi="Times New Roman"/>
          <w:noProof/>
          <w:sz w:val="21"/>
          <w:szCs w:val="21"/>
          <w:lang w:eastAsia="zh-CN" w:bidi="ar-SA"/>
        </w:rPr>
        <w:br w:type="page"/>
      </w:r>
    </w:p>
    <w:p w:rsidR="003E37C9" w:rsidRPr="00750906" w:rsidRDefault="003448E7" w:rsidP="0013699B">
      <w:pPr>
        <w:keepNext/>
        <w:jc w:val="center"/>
        <w:rPr>
          <w:rFonts w:ascii="Times New Roman" w:hAnsi="Times New Roman"/>
          <w:sz w:val="21"/>
          <w:szCs w:val="21"/>
        </w:rPr>
      </w:pPr>
      <w:r>
        <w:rPr>
          <w:rFonts w:ascii="Times New Roman" w:hAnsi="Times New Roman"/>
          <w:noProof/>
          <w:sz w:val="21"/>
          <w:szCs w:val="21"/>
          <w:lang w:bidi="ar-SA"/>
        </w:rPr>
        <w:lastRenderedPageBreak/>
        <w:drawing>
          <wp:inline distT="0" distB="0" distL="0" distR="0" wp14:anchorId="7BB27414">
            <wp:extent cx="5234940" cy="6256020"/>
            <wp:effectExtent l="0" t="0" r="3810" b="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34940" cy="6256020"/>
                    </a:xfrm>
                    <a:prstGeom prst="rect">
                      <a:avLst/>
                    </a:prstGeom>
                    <a:noFill/>
                  </pic:spPr>
                </pic:pic>
              </a:graphicData>
            </a:graphic>
          </wp:inline>
        </w:drawing>
      </w:r>
    </w:p>
    <w:p w:rsidR="003E37C9" w:rsidRPr="00750906" w:rsidRDefault="003E37C9" w:rsidP="003E37C9">
      <w:pPr>
        <w:pStyle w:val="Caption"/>
        <w:jc w:val="both"/>
        <w:rPr>
          <w:rFonts w:ascii="Times New Roman" w:hAnsi="Times New Roman"/>
          <w:sz w:val="21"/>
          <w:szCs w:val="21"/>
          <w:lang w:eastAsia="zh-CN"/>
        </w:rPr>
      </w:pPr>
      <w:bookmarkStart w:id="103" w:name="_Toc400010246"/>
      <w:r w:rsidRPr="00750906">
        <w:rPr>
          <w:rFonts w:ascii="Times New Roman" w:hAnsi="Times New Roman"/>
          <w:sz w:val="21"/>
          <w:szCs w:val="21"/>
        </w:rPr>
        <w:t>Figure 4.</w:t>
      </w:r>
      <w:r w:rsidR="003448E7">
        <w:rPr>
          <w:rFonts w:ascii="Times New Roman" w:hAnsi="Times New Roman"/>
          <w:sz w:val="21"/>
          <w:szCs w:val="21"/>
        </w:rPr>
        <w:t>5</w:t>
      </w:r>
      <w:r w:rsidRPr="00750906">
        <w:rPr>
          <w:rFonts w:ascii="Times New Roman" w:hAnsi="Times New Roman"/>
          <w:sz w:val="21"/>
          <w:szCs w:val="21"/>
        </w:rPr>
        <w:t>.</w:t>
      </w:r>
      <w:bookmarkEnd w:id="103"/>
      <w:r w:rsidRPr="00750906">
        <w:rPr>
          <w:rFonts w:ascii="Times New Roman" w:eastAsia="AGaramond-Regular" w:hAnsi="Times New Roman"/>
          <w:sz w:val="21"/>
          <w:szCs w:val="21"/>
        </w:rPr>
        <w:t>Upper</w:t>
      </w:r>
      <w:r w:rsidRPr="00750906">
        <w:rPr>
          <w:rFonts w:ascii="Times New Roman" w:eastAsia="AGaramond-Regular" w:hAnsi="Times New Roman"/>
          <w:sz w:val="21"/>
          <w:szCs w:val="21"/>
          <w:lang w:eastAsia="zh-CN"/>
        </w:rPr>
        <w:t xml:space="preserve"> Left</w:t>
      </w:r>
      <w:r w:rsidRPr="00750906">
        <w:rPr>
          <w:rFonts w:ascii="Times New Roman" w:eastAsia="AGaramond-Regular" w:hAnsi="Times New Roman"/>
          <w:sz w:val="21"/>
          <w:szCs w:val="21"/>
        </w:rPr>
        <w:t xml:space="preserve">: </w:t>
      </w:r>
      <w:r w:rsidRPr="00750906">
        <w:rPr>
          <w:rFonts w:ascii="Times New Roman" w:eastAsia="AGaramond-Regular" w:hAnsi="Times New Roman"/>
          <w:sz w:val="21"/>
          <w:szCs w:val="21"/>
          <w:lang w:eastAsia="zh-CN"/>
        </w:rPr>
        <w:t>Core photos</w:t>
      </w:r>
      <w:r w:rsidRPr="00750906">
        <w:rPr>
          <w:rFonts w:ascii="Times New Roman" w:eastAsia="AGaramond-Regular" w:hAnsi="Times New Roman"/>
          <w:sz w:val="21"/>
          <w:szCs w:val="21"/>
        </w:rPr>
        <w:t xml:space="preserve"> of the </w:t>
      </w:r>
      <w:r w:rsidRPr="00750906">
        <w:rPr>
          <w:rFonts w:ascii="Times New Roman" w:eastAsia="AGaramond-Regular" w:hAnsi="Times New Roman"/>
          <w:i/>
          <w:sz w:val="21"/>
          <w:szCs w:val="21"/>
          <w:lang w:eastAsia="zh-CN"/>
        </w:rPr>
        <w:t>Grazing Trails</w:t>
      </w:r>
      <w:r w:rsidRPr="00750906">
        <w:rPr>
          <w:rFonts w:ascii="Times New Roman" w:eastAsia="AGaramond-Regular" w:hAnsi="Times New Roman"/>
          <w:sz w:val="21"/>
          <w:szCs w:val="21"/>
          <w:lang w:eastAsia="zh-CN"/>
        </w:rPr>
        <w:t xml:space="preserve"> from</w:t>
      </w:r>
      <w:r w:rsidR="007922A3">
        <w:rPr>
          <w:rFonts w:ascii="Times New Roman" w:eastAsia="AGaramond-Regular" w:hAnsi="Times New Roman"/>
          <w:sz w:val="21"/>
          <w:szCs w:val="21"/>
          <w:lang w:eastAsia="zh-CN"/>
        </w:rPr>
        <w:t xml:space="preserve"> </w:t>
      </w:r>
      <w:r w:rsidRPr="00750906">
        <w:rPr>
          <w:rFonts w:ascii="Times New Roman" w:eastAsia="AGaramond-Regular" w:hAnsi="Times New Roman"/>
          <w:sz w:val="21"/>
          <w:szCs w:val="21"/>
          <w:lang w:eastAsia="zh-CN"/>
        </w:rPr>
        <w:t>Upper</w:t>
      </w:r>
      <w:r w:rsidRPr="00750906">
        <w:rPr>
          <w:rFonts w:ascii="Times New Roman" w:eastAsia="AGaramond-Regular" w:hAnsi="Times New Roman"/>
          <w:sz w:val="21"/>
          <w:szCs w:val="21"/>
        </w:rPr>
        <w:t xml:space="preserve"> Middle Woodford </w:t>
      </w:r>
      <w:r w:rsidRPr="00750906">
        <w:rPr>
          <w:rFonts w:ascii="Times New Roman" w:eastAsia="AGaramond-Regular" w:hAnsi="Times New Roman"/>
          <w:sz w:val="21"/>
          <w:szCs w:val="21"/>
          <w:lang w:eastAsia="zh-CN"/>
        </w:rPr>
        <w:t>of</w:t>
      </w:r>
      <w:r w:rsidR="007922A3">
        <w:rPr>
          <w:rFonts w:ascii="Times New Roman" w:eastAsia="AGaramond-Regular" w:hAnsi="Times New Roman"/>
          <w:sz w:val="21"/>
          <w:szCs w:val="21"/>
          <w:lang w:eastAsia="zh-CN"/>
        </w:rPr>
        <w:t xml:space="preserve"> </w:t>
      </w:r>
      <w:r w:rsidRPr="00750906">
        <w:rPr>
          <w:rFonts w:ascii="Times New Roman" w:eastAsia="AGaramond-Regular" w:hAnsi="Times New Roman"/>
          <w:sz w:val="21"/>
          <w:szCs w:val="21"/>
          <w:lang w:eastAsia="zh-CN"/>
        </w:rPr>
        <w:t>Core A</w:t>
      </w:r>
      <w:r w:rsidRPr="00750906">
        <w:rPr>
          <w:rFonts w:ascii="Times New Roman" w:eastAsia="AGaramond-Regular" w:hAnsi="Times New Roman"/>
          <w:sz w:val="21"/>
          <w:szCs w:val="21"/>
        </w:rPr>
        <w:t xml:space="preserve">. Upper Right: </w:t>
      </w:r>
      <w:r w:rsidRPr="00750906">
        <w:rPr>
          <w:rFonts w:ascii="Times New Roman" w:eastAsia="AGaramond-Regular" w:hAnsi="Times New Roman"/>
          <w:sz w:val="21"/>
          <w:szCs w:val="21"/>
          <w:lang w:eastAsia="zh-CN"/>
        </w:rPr>
        <w:t>2X reflected light of the same photo</w:t>
      </w:r>
      <w:r w:rsidRPr="00750906">
        <w:rPr>
          <w:rFonts w:ascii="Times New Roman" w:eastAsia="AGaramond-Regular" w:hAnsi="Times New Roman"/>
          <w:sz w:val="21"/>
          <w:szCs w:val="21"/>
        </w:rPr>
        <w:t xml:space="preserve">. </w:t>
      </w:r>
      <w:r w:rsidRPr="00750906">
        <w:rPr>
          <w:rFonts w:ascii="Times New Roman" w:eastAsia="AGaramond-Regular" w:hAnsi="Times New Roman"/>
          <w:sz w:val="21"/>
          <w:szCs w:val="21"/>
          <w:lang w:eastAsia="zh-CN"/>
        </w:rPr>
        <w:t>Lower</w:t>
      </w:r>
      <w:r w:rsidRPr="00750906">
        <w:rPr>
          <w:rFonts w:ascii="Times New Roman" w:eastAsia="AGaramond-Regular" w:hAnsi="Times New Roman"/>
          <w:sz w:val="21"/>
          <w:szCs w:val="21"/>
        </w:rPr>
        <w:t xml:space="preserve"> Left: </w:t>
      </w:r>
      <w:r w:rsidRPr="00750906">
        <w:rPr>
          <w:rFonts w:ascii="Times New Roman" w:eastAsia="AGaramond-Regular" w:hAnsi="Times New Roman"/>
          <w:sz w:val="21"/>
          <w:szCs w:val="21"/>
          <w:lang w:eastAsia="zh-CN"/>
        </w:rPr>
        <w:t>Thin section photo of the same intervals.</w:t>
      </w:r>
      <w:r w:rsidRPr="00750906">
        <w:rPr>
          <w:rFonts w:ascii="Times New Roman" w:eastAsia="AGaramond-Regular" w:hAnsi="Times New Roman"/>
          <w:sz w:val="21"/>
          <w:szCs w:val="21"/>
        </w:rPr>
        <w:t xml:space="preserve"> Note the burrows are </w:t>
      </w:r>
      <w:r w:rsidRPr="00750906">
        <w:rPr>
          <w:rFonts w:ascii="Times New Roman" w:eastAsia="AGaramond-Regular" w:hAnsi="Times New Roman"/>
          <w:sz w:val="21"/>
          <w:szCs w:val="21"/>
          <w:lang w:eastAsia="zh-CN"/>
        </w:rPr>
        <w:t>filled by cherts.</w:t>
      </w:r>
      <w:r w:rsidRPr="00750906">
        <w:rPr>
          <w:rFonts w:ascii="Times New Roman" w:eastAsia="AGaramond-Regular" w:hAnsi="Times New Roman"/>
          <w:sz w:val="21"/>
          <w:szCs w:val="21"/>
        </w:rPr>
        <w:t xml:space="preserve"> Lower </w:t>
      </w:r>
      <w:r w:rsidRPr="00750906">
        <w:rPr>
          <w:rFonts w:ascii="Times New Roman" w:eastAsia="AGaramond-Regular" w:hAnsi="Times New Roman"/>
          <w:sz w:val="21"/>
          <w:szCs w:val="21"/>
          <w:lang w:eastAsia="zh-CN"/>
        </w:rPr>
        <w:t>Right</w:t>
      </w:r>
      <w:r w:rsidRPr="00750906">
        <w:rPr>
          <w:rFonts w:ascii="Times New Roman" w:eastAsia="AGaramond-Regular" w:hAnsi="Times New Roman"/>
          <w:sz w:val="21"/>
          <w:szCs w:val="21"/>
        </w:rPr>
        <w:t xml:space="preserve">: </w:t>
      </w:r>
      <w:r w:rsidRPr="00750906">
        <w:rPr>
          <w:rFonts w:ascii="Times New Roman" w:eastAsia="AGaramond-Regular" w:hAnsi="Times New Roman"/>
          <w:sz w:val="21"/>
          <w:szCs w:val="21"/>
          <w:lang w:eastAsia="zh-CN"/>
        </w:rPr>
        <w:t>3-D CT Scan Segmentation image of the same intervals.</w:t>
      </w:r>
    </w:p>
    <w:p w:rsidR="00C5308F" w:rsidRDefault="00C5308F" w:rsidP="003E37C9">
      <w:pPr>
        <w:spacing w:line="240" w:lineRule="auto"/>
        <w:rPr>
          <w:rFonts w:ascii="Times New Roman" w:hAnsi="Times New Roman"/>
          <w:b/>
          <w:sz w:val="21"/>
          <w:szCs w:val="21"/>
        </w:rPr>
      </w:pPr>
    </w:p>
    <w:p w:rsidR="00C5308F" w:rsidRDefault="00C5308F" w:rsidP="003E37C9">
      <w:pPr>
        <w:spacing w:line="240" w:lineRule="auto"/>
        <w:rPr>
          <w:rFonts w:ascii="Times New Roman" w:hAnsi="Times New Roman"/>
          <w:b/>
          <w:sz w:val="21"/>
          <w:szCs w:val="21"/>
        </w:rPr>
      </w:pPr>
    </w:p>
    <w:p w:rsidR="003E37C9" w:rsidRPr="00750906" w:rsidRDefault="003448E7" w:rsidP="003E37C9">
      <w:pPr>
        <w:spacing w:line="240" w:lineRule="auto"/>
        <w:rPr>
          <w:rFonts w:ascii="Times New Roman" w:hAnsi="Times New Roman"/>
          <w:b/>
          <w:bCs/>
          <w:sz w:val="21"/>
          <w:szCs w:val="21"/>
        </w:rPr>
      </w:pPr>
      <w:bookmarkStart w:id="104" w:name="_Toc400010254"/>
      <w:bookmarkStart w:id="105" w:name="_Toc400013400"/>
      <w:bookmarkStart w:id="106" w:name="_Toc418790865"/>
      <w:bookmarkStart w:id="107" w:name="_Toc418792517"/>
      <w:bookmarkStart w:id="108" w:name="_Toc418793051"/>
      <w:r>
        <w:rPr>
          <w:rFonts w:ascii="Times New Roman" w:hAnsi="Times New Roman"/>
          <w:b/>
          <w:noProof/>
          <w:sz w:val="21"/>
          <w:szCs w:val="21"/>
          <w:lang w:bidi="ar-SA"/>
        </w:rPr>
        <w:lastRenderedPageBreak/>
        <w:drawing>
          <wp:inline distT="0" distB="0" distL="0" distR="0" wp14:anchorId="2DD101EF">
            <wp:extent cx="5120640" cy="7033260"/>
            <wp:effectExtent l="0" t="0" r="381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20640" cy="7033260"/>
                    </a:xfrm>
                    <a:prstGeom prst="rect">
                      <a:avLst/>
                    </a:prstGeom>
                    <a:noFill/>
                  </pic:spPr>
                </pic:pic>
              </a:graphicData>
            </a:graphic>
          </wp:inline>
        </w:drawing>
      </w:r>
      <w:r w:rsidR="003E37C9" w:rsidRPr="00750906">
        <w:rPr>
          <w:rFonts w:ascii="Times New Roman" w:hAnsi="Times New Roman"/>
          <w:b/>
          <w:sz w:val="21"/>
          <w:szCs w:val="21"/>
        </w:rPr>
        <w:t>Figure 4.</w:t>
      </w:r>
      <w:bookmarkEnd w:id="104"/>
      <w:bookmarkEnd w:id="105"/>
      <w:r>
        <w:rPr>
          <w:rFonts w:ascii="Times New Roman" w:hAnsi="Times New Roman"/>
          <w:b/>
          <w:sz w:val="21"/>
          <w:szCs w:val="21"/>
        </w:rPr>
        <w:t>6</w:t>
      </w:r>
      <w:r w:rsidR="00AE379A">
        <w:rPr>
          <w:rFonts w:ascii="Times New Roman" w:hAnsi="Times New Roman"/>
          <w:b/>
          <w:sz w:val="21"/>
          <w:szCs w:val="21"/>
        </w:rPr>
        <w:t>.</w:t>
      </w:r>
      <w:r w:rsidR="003E37C9" w:rsidRPr="00750906">
        <w:rPr>
          <w:rFonts w:ascii="Times New Roman" w:hAnsi="Times New Roman"/>
          <w:b/>
          <w:bCs/>
          <w:sz w:val="21"/>
          <w:szCs w:val="21"/>
        </w:rPr>
        <w:t xml:space="preserve">Integrated trace fossil analysis at 30-31 ft (9.5m) of Core A. Left: 3-D </w:t>
      </w:r>
      <w:r w:rsidR="0013699B">
        <w:rPr>
          <w:rFonts w:ascii="Times New Roman" w:hAnsi="Times New Roman"/>
          <w:b/>
          <w:bCs/>
          <w:sz w:val="21"/>
          <w:szCs w:val="21"/>
        </w:rPr>
        <w:t>segmentation</w:t>
      </w:r>
      <w:r w:rsidR="003E37C9" w:rsidRPr="00750906">
        <w:rPr>
          <w:rFonts w:ascii="Times New Roman" w:hAnsi="Times New Roman"/>
          <w:b/>
          <w:bCs/>
          <w:sz w:val="21"/>
          <w:szCs w:val="21"/>
        </w:rPr>
        <w:t xml:space="preserve"> of the </w:t>
      </w:r>
      <w:r w:rsidR="003E37C9" w:rsidRPr="00750906">
        <w:rPr>
          <w:rFonts w:ascii="Times New Roman" w:hAnsi="Times New Roman"/>
          <w:b/>
          <w:bCs/>
          <w:i/>
          <w:sz w:val="21"/>
          <w:szCs w:val="21"/>
        </w:rPr>
        <w:t xml:space="preserve">Planolites </w:t>
      </w:r>
      <w:r w:rsidR="003E37C9" w:rsidRPr="00750906">
        <w:rPr>
          <w:rFonts w:ascii="Times New Roman" w:hAnsi="Times New Roman"/>
          <w:b/>
          <w:bCs/>
          <w:sz w:val="21"/>
          <w:szCs w:val="21"/>
        </w:rPr>
        <w:t xml:space="preserve">with 2-D intersections. Red arrows points to the same </w:t>
      </w:r>
      <w:r w:rsidR="003E37C9" w:rsidRPr="00750906">
        <w:rPr>
          <w:rFonts w:ascii="Times New Roman" w:hAnsi="Times New Roman"/>
          <w:b/>
          <w:bCs/>
          <w:i/>
          <w:sz w:val="21"/>
          <w:szCs w:val="21"/>
        </w:rPr>
        <w:t xml:space="preserve">Planolites </w:t>
      </w:r>
      <w:r w:rsidR="003E37C9" w:rsidRPr="00750906">
        <w:rPr>
          <w:rFonts w:ascii="Times New Roman" w:hAnsi="Times New Roman"/>
          <w:b/>
          <w:bCs/>
          <w:sz w:val="21"/>
          <w:szCs w:val="21"/>
        </w:rPr>
        <w:t>feature to compare. Right: thin-section photo of the same interval, with Corelab parameters (lithology, XRD, TOC, and sequence).</w:t>
      </w:r>
      <w:bookmarkEnd w:id="106"/>
      <w:bookmarkEnd w:id="107"/>
      <w:bookmarkEnd w:id="108"/>
    </w:p>
    <w:p w:rsidR="003E37C9" w:rsidRPr="00750906" w:rsidRDefault="003E37C9" w:rsidP="003E37C9">
      <w:pPr>
        <w:spacing w:line="240" w:lineRule="auto"/>
        <w:rPr>
          <w:rFonts w:ascii="Times New Roman" w:hAnsi="Times New Roman"/>
          <w:sz w:val="21"/>
          <w:szCs w:val="21"/>
        </w:rPr>
      </w:pPr>
      <w:r w:rsidRPr="00750906">
        <w:rPr>
          <w:rFonts w:ascii="Times New Roman" w:hAnsi="Times New Roman"/>
          <w:sz w:val="21"/>
          <w:szCs w:val="21"/>
        </w:rPr>
        <w:br w:type="page"/>
      </w:r>
    </w:p>
    <w:p w:rsidR="003E37C9" w:rsidRPr="00750906" w:rsidRDefault="003448E7" w:rsidP="00C5308F">
      <w:pPr>
        <w:keepNext/>
        <w:jc w:val="center"/>
        <w:rPr>
          <w:rFonts w:ascii="Times New Roman" w:hAnsi="Times New Roman"/>
          <w:sz w:val="21"/>
          <w:szCs w:val="21"/>
        </w:rPr>
      </w:pPr>
      <w:r>
        <w:rPr>
          <w:rFonts w:ascii="Times New Roman" w:hAnsi="Times New Roman"/>
          <w:noProof/>
          <w:sz w:val="21"/>
          <w:szCs w:val="21"/>
          <w:lang w:bidi="ar-SA"/>
        </w:rPr>
        <w:lastRenderedPageBreak/>
        <w:drawing>
          <wp:inline distT="0" distB="0" distL="0" distR="0" wp14:anchorId="6A40F576">
            <wp:extent cx="5273040" cy="5707380"/>
            <wp:effectExtent l="0" t="0" r="3810" b="762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73040" cy="5707380"/>
                    </a:xfrm>
                    <a:prstGeom prst="rect">
                      <a:avLst/>
                    </a:prstGeom>
                    <a:noFill/>
                  </pic:spPr>
                </pic:pic>
              </a:graphicData>
            </a:graphic>
          </wp:inline>
        </w:drawing>
      </w:r>
    </w:p>
    <w:p w:rsidR="003E37C9" w:rsidRPr="00750906" w:rsidRDefault="003E37C9" w:rsidP="003E37C9">
      <w:pPr>
        <w:pStyle w:val="Caption"/>
        <w:rPr>
          <w:rFonts w:ascii="Times New Roman" w:hAnsi="Times New Roman"/>
          <w:sz w:val="21"/>
          <w:szCs w:val="21"/>
        </w:rPr>
      </w:pPr>
      <w:bookmarkStart w:id="109" w:name="_Toc400010255"/>
      <w:bookmarkStart w:id="110" w:name="_Toc400013401"/>
      <w:r w:rsidRPr="00750906">
        <w:rPr>
          <w:rFonts w:ascii="Times New Roman" w:hAnsi="Times New Roman"/>
          <w:sz w:val="21"/>
          <w:szCs w:val="21"/>
        </w:rPr>
        <w:t>Figure 4.</w:t>
      </w:r>
      <w:r w:rsidR="003448E7">
        <w:rPr>
          <w:rFonts w:ascii="Times New Roman" w:hAnsi="Times New Roman"/>
          <w:sz w:val="21"/>
          <w:szCs w:val="21"/>
        </w:rPr>
        <w:t>7</w:t>
      </w:r>
      <w:r w:rsidRPr="00750906">
        <w:rPr>
          <w:rFonts w:ascii="Times New Roman" w:hAnsi="Times New Roman"/>
          <w:sz w:val="21"/>
          <w:szCs w:val="21"/>
        </w:rPr>
        <w:t>.</w:t>
      </w:r>
      <w:bookmarkEnd w:id="109"/>
      <w:bookmarkEnd w:id="110"/>
      <w:r w:rsidRPr="00750906">
        <w:rPr>
          <w:rFonts w:ascii="Times New Roman" w:hAnsi="Times New Roman"/>
          <w:i/>
          <w:sz w:val="21"/>
          <w:szCs w:val="21"/>
        </w:rPr>
        <w:t>Planolites</w:t>
      </w:r>
      <w:r w:rsidRPr="00750906">
        <w:rPr>
          <w:rFonts w:ascii="Times New Roman" w:hAnsi="Times New Roman"/>
          <w:sz w:val="21"/>
          <w:szCs w:val="21"/>
        </w:rPr>
        <w:t xml:space="preserve"> example</w:t>
      </w:r>
      <w:r w:rsidRPr="00750906">
        <w:rPr>
          <w:rFonts w:ascii="Times New Roman" w:eastAsia="AGaramond-Regular" w:hAnsi="Times New Roman"/>
          <w:sz w:val="21"/>
          <w:szCs w:val="21"/>
        </w:rPr>
        <w:t xml:space="preserve"> at 222ft (67.5m) of Core C. Upper Left: 2-D Micro CT image; Middle Left: 2-D Micro-CT image with 3-D Segmentation; Lower Left: 3-D Segmentation showing the 3-D geometry of </w:t>
      </w:r>
      <w:r w:rsidRPr="00750906">
        <w:rPr>
          <w:rFonts w:ascii="Times New Roman" w:eastAsia="AGaramond-Regular" w:hAnsi="Times New Roman"/>
          <w:i/>
          <w:sz w:val="21"/>
          <w:szCs w:val="21"/>
        </w:rPr>
        <w:t>Planolites</w:t>
      </w:r>
      <w:r w:rsidRPr="00750906">
        <w:rPr>
          <w:rFonts w:ascii="Times New Roman" w:eastAsia="AGaramond-Regular" w:hAnsi="Times New Roman"/>
          <w:sz w:val="21"/>
          <w:szCs w:val="21"/>
        </w:rPr>
        <w:t>. Upper Right: Core Photo at the same interval. There is obvious advantage of 3-D Micro CT-Scan in viewing the burrows.</w:t>
      </w:r>
    </w:p>
    <w:p w:rsidR="003E37C9" w:rsidRPr="00750906" w:rsidRDefault="003E37C9" w:rsidP="003E37C9">
      <w:pPr>
        <w:spacing w:line="240" w:lineRule="auto"/>
        <w:jc w:val="center"/>
        <w:rPr>
          <w:rFonts w:ascii="Times New Roman" w:hAnsi="Times New Roman"/>
          <w:sz w:val="21"/>
          <w:szCs w:val="21"/>
          <w:lang w:eastAsia="zh-CN"/>
        </w:rPr>
      </w:pPr>
    </w:p>
    <w:p w:rsidR="003E37C9" w:rsidRPr="00750906" w:rsidRDefault="003E37C9" w:rsidP="003E37C9">
      <w:pPr>
        <w:pStyle w:val="Caption"/>
        <w:rPr>
          <w:rFonts w:ascii="Times New Roman" w:hAnsi="Times New Roman"/>
          <w:b w:val="0"/>
          <w:sz w:val="21"/>
          <w:szCs w:val="21"/>
        </w:rPr>
      </w:pPr>
      <w:r w:rsidRPr="00750906">
        <w:rPr>
          <w:rFonts w:ascii="Times New Roman" w:hAnsi="Times New Roman"/>
          <w:sz w:val="21"/>
          <w:szCs w:val="21"/>
        </w:rPr>
        <w:br w:type="page"/>
      </w:r>
    </w:p>
    <w:p w:rsidR="003E37C9" w:rsidRPr="00750906" w:rsidRDefault="003448E7" w:rsidP="00C5308F">
      <w:pPr>
        <w:keepNext/>
        <w:jc w:val="center"/>
        <w:rPr>
          <w:rFonts w:ascii="Times New Roman" w:hAnsi="Times New Roman"/>
          <w:sz w:val="21"/>
          <w:szCs w:val="21"/>
        </w:rPr>
      </w:pPr>
      <w:r>
        <w:rPr>
          <w:rFonts w:ascii="Times New Roman" w:hAnsi="Times New Roman"/>
          <w:noProof/>
          <w:sz w:val="21"/>
          <w:szCs w:val="21"/>
          <w:lang w:bidi="ar-SA"/>
        </w:rPr>
        <w:lastRenderedPageBreak/>
        <w:drawing>
          <wp:inline distT="0" distB="0" distL="0" distR="0" wp14:anchorId="7109E052">
            <wp:extent cx="5097780" cy="6423660"/>
            <wp:effectExtent l="0" t="0" r="7620" b="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097780" cy="6423660"/>
                    </a:xfrm>
                    <a:prstGeom prst="rect">
                      <a:avLst/>
                    </a:prstGeom>
                    <a:noFill/>
                  </pic:spPr>
                </pic:pic>
              </a:graphicData>
            </a:graphic>
          </wp:inline>
        </w:drawing>
      </w:r>
    </w:p>
    <w:p w:rsidR="003E37C9" w:rsidRPr="00750906" w:rsidRDefault="003E37C9" w:rsidP="003E37C9">
      <w:pPr>
        <w:pStyle w:val="Caption"/>
        <w:jc w:val="both"/>
        <w:rPr>
          <w:rFonts w:ascii="Times New Roman" w:eastAsia="AGaramond-Regular" w:hAnsi="Times New Roman"/>
          <w:sz w:val="21"/>
          <w:szCs w:val="21"/>
        </w:rPr>
      </w:pPr>
      <w:bookmarkStart w:id="111" w:name="_Toc400010256"/>
      <w:bookmarkStart w:id="112" w:name="_Toc400013402"/>
      <w:r w:rsidRPr="00750906">
        <w:rPr>
          <w:rFonts w:ascii="Times New Roman" w:hAnsi="Times New Roman"/>
          <w:sz w:val="21"/>
          <w:szCs w:val="21"/>
        </w:rPr>
        <w:t>Figure 4.</w:t>
      </w:r>
      <w:r w:rsidR="003448E7">
        <w:rPr>
          <w:rFonts w:ascii="Times New Roman" w:hAnsi="Times New Roman"/>
          <w:sz w:val="21"/>
          <w:szCs w:val="21"/>
        </w:rPr>
        <w:t>8</w:t>
      </w:r>
      <w:r w:rsidRPr="00750906">
        <w:rPr>
          <w:rFonts w:ascii="Times New Roman" w:hAnsi="Times New Roman"/>
          <w:sz w:val="21"/>
          <w:szCs w:val="21"/>
        </w:rPr>
        <w:t>.</w:t>
      </w:r>
      <w:bookmarkEnd w:id="111"/>
      <w:bookmarkEnd w:id="112"/>
      <w:r w:rsidRPr="00750906">
        <w:rPr>
          <w:rFonts w:ascii="Times New Roman" w:eastAsia="AGaramond-Regular" w:hAnsi="Times New Roman"/>
          <w:sz w:val="21"/>
          <w:szCs w:val="21"/>
        </w:rPr>
        <w:t>Integrated trace fossil analysis at 181ft (55m) of Core C. Left: 3-D segmentation of the Planolites with 2-D intersections. Red arrows points to the same Planolites features to compare. Right: thin-section photo of the same interval, with Corelab parameters (lithology, XRD, TOC, and sequence).</w:t>
      </w:r>
    </w:p>
    <w:p w:rsidR="003E37C9" w:rsidRPr="00750906" w:rsidRDefault="003E37C9" w:rsidP="003E37C9">
      <w:pPr>
        <w:pStyle w:val="Caption"/>
        <w:jc w:val="both"/>
        <w:rPr>
          <w:rFonts w:ascii="Times New Roman" w:hAnsi="Times New Roman"/>
          <w:sz w:val="21"/>
          <w:szCs w:val="21"/>
        </w:rPr>
      </w:pPr>
      <w:r w:rsidRPr="00750906">
        <w:rPr>
          <w:rFonts w:ascii="Times New Roman" w:eastAsia="AGaramond-Regular" w:hAnsi="Times New Roman" w:cs="Arial"/>
          <w:sz w:val="21"/>
          <w:szCs w:val="21"/>
        </w:rPr>
        <w:t> </w:t>
      </w:r>
    </w:p>
    <w:p w:rsidR="003E37C9" w:rsidRPr="00750906" w:rsidRDefault="003E37C9" w:rsidP="003E37C9">
      <w:pPr>
        <w:jc w:val="both"/>
        <w:rPr>
          <w:rFonts w:ascii="Times New Roman" w:hAnsi="Times New Roman"/>
          <w:sz w:val="21"/>
          <w:szCs w:val="21"/>
        </w:rPr>
      </w:pPr>
    </w:p>
    <w:p w:rsidR="003E37C9" w:rsidRPr="00750906" w:rsidRDefault="003448E7" w:rsidP="00C5308F">
      <w:pPr>
        <w:jc w:val="center"/>
        <w:rPr>
          <w:rFonts w:ascii="Times New Roman" w:hAnsi="Times New Roman"/>
          <w:sz w:val="21"/>
          <w:szCs w:val="21"/>
        </w:rPr>
      </w:pPr>
      <w:r>
        <w:rPr>
          <w:rFonts w:ascii="Times New Roman" w:hAnsi="Times New Roman"/>
          <w:noProof/>
          <w:sz w:val="21"/>
          <w:szCs w:val="21"/>
          <w:lang w:bidi="ar-SA"/>
        </w:rPr>
        <w:lastRenderedPageBreak/>
        <w:drawing>
          <wp:inline distT="0" distB="0" distL="0" distR="0" wp14:anchorId="4C8100F9">
            <wp:extent cx="5006340" cy="5707380"/>
            <wp:effectExtent l="0" t="0" r="3810" b="762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006340" cy="5707380"/>
                    </a:xfrm>
                    <a:prstGeom prst="rect">
                      <a:avLst/>
                    </a:prstGeom>
                    <a:noFill/>
                  </pic:spPr>
                </pic:pic>
              </a:graphicData>
            </a:graphic>
          </wp:inline>
        </w:drawing>
      </w:r>
    </w:p>
    <w:p w:rsidR="003E37C9" w:rsidRPr="00750906" w:rsidRDefault="003E37C9" w:rsidP="003E37C9">
      <w:pPr>
        <w:pStyle w:val="Caption"/>
        <w:jc w:val="both"/>
        <w:rPr>
          <w:rFonts w:ascii="Times New Roman" w:eastAsia="AGaramond-Regular" w:hAnsi="Times New Roman"/>
          <w:sz w:val="21"/>
          <w:szCs w:val="21"/>
        </w:rPr>
      </w:pPr>
      <w:r w:rsidRPr="00750906">
        <w:rPr>
          <w:rFonts w:ascii="Times New Roman" w:hAnsi="Times New Roman"/>
          <w:sz w:val="21"/>
          <w:szCs w:val="21"/>
        </w:rPr>
        <w:t>Figure 4.</w:t>
      </w:r>
      <w:r w:rsidR="003448E7">
        <w:rPr>
          <w:rFonts w:ascii="Times New Roman" w:hAnsi="Times New Roman"/>
          <w:sz w:val="21"/>
          <w:szCs w:val="21"/>
        </w:rPr>
        <w:t>9</w:t>
      </w:r>
      <w:r w:rsidRPr="00750906">
        <w:rPr>
          <w:rFonts w:ascii="Times New Roman" w:hAnsi="Times New Roman"/>
          <w:sz w:val="21"/>
          <w:szCs w:val="21"/>
        </w:rPr>
        <w:t>.</w:t>
      </w:r>
      <w:r w:rsidRPr="00750906">
        <w:rPr>
          <w:rFonts w:ascii="Times New Roman" w:eastAsia="AGaramond-Regular" w:hAnsi="Times New Roman"/>
          <w:sz w:val="21"/>
          <w:szCs w:val="21"/>
        </w:rPr>
        <w:t>Integrated trace fossil analysis at 98ft (30m) of Core C. Left: 3-D segmentation of the Planolites with 2-D intersections. Red arrows points to the same Planolites features to compare. Right: thin-section photo of the same interval, with Corelab parameters (lithology, XRD, TOC, and sequence).</w:t>
      </w:r>
    </w:p>
    <w:p w:rsidR="003E37C9" w:rsidRPr="00750906" w:rsidRDefault="003E37C9" w:rsidP="003E37C9">
      <w:pPr>
        <w:pStyle w:val="Caption"/>
        <w:jc w:val="both"/>
        <w:rPr>
          <w:rFonts w:ascii="Times New Roman" w:hAnsi="Times New Roman"/>
          <w:sz w:val="21"/>
          <w:szCs w:val="21"/>
        </w:rPr>
      </w:pPr>
      <w:r w:rsidRPr="00750906">
        <w:rPr>
          <w:rFonts w:ascii="Times New Roman" w:eastAsia="AGaramond-Regular" w:hAnsi="Times New Roman" w:cs="Arial"/>
          <w:sz w:val="21"/>
          <w:szCs w:val="21"/>
        </w:rPr>
        <w:t> </w:t>
      </w:r>
    </w:p>
    <w:p w:rsidR="003E37C9" w:rsidRPr="00750906" w:rsidRDefault="003E37C9" w:rsidP="003E37C9">
      <w:pPr>
        <w:pStyle w:val="Caption"/>
        <w:jc w:val="both"/>
        <w:rPr>
          <w:rFonts w:ascii="Times New Roman" w:hAnsi="Times New Roman"/>
          <w:sz w:val="21"/>
          <w:szCs w:val="21"/>
        </w:rPr>
      </w:pPr>
    </w:p>
    <w:p w:rsidR="003E37C9" w:rsidRPr="00750906" w:rsidRDefault="003E37C9" w:rsidP="003E37C9">
      <w:pPr>
        <w:spacing w:line="240" w:lineRule="auto"/>
        <w:rPr>
          <w:rFonts w:ascii="Times New Roman" w:hAnsi="Times New Roman"/>
          <w:b/>
          <w:bCs/>
          <w:sz w:val="21"/>
          <w:szCs w:val="21"/>
        </w:rPr>
      </w:pPr>
    </w:p>
    <w:p w:rsidR="003E37C9" w:rsidRPr="00750906" w:rsidRDefault="003E37C9" w:rsidP="003E37C9">
      <w:pPr>
        <w:pStyle w:val="Caption"/>
        <w:jc w:val="both"/>
        <w:rPr>
          <w:rFonts w:ascii="Times New Roman" w:hAnsi="Times New Roman"/>
          <w:sz w:val="21"/>
          <w:szCs w:val="21"/>
        </w:rPr>
      </w:pPr>
    </w:p>
    <w:p w:rsidR="003E37C9" w:rsidRPr="00750906" w:rsidRDefault="00141B66" w:rsidP="003E37C9">
      <w:pPr>
        <w:spacing w:line="240" w:lineRule="auto"/>
        <w:jc w:val="center"/>
        <w:rPr>
          <w:rFonts w:ascii="Times New Roman" w:hAnsi="Times New Roman"/>
          <w:sz w:val="21"/>
          <w:szCs w:val="21"/>
          <w:lang w:eastAsia="zh-CN"/>
        </w:rPr>
      </w:pPr>
      <w:r>
        <w:rPr>
          <w:rFonts w:ascii="Times New Roman" w:hAnsi="Times New Roman"/>
          <w:noProof/>
          <w:sz w:val="21"/>
          <w:szCs w:val="21"/>
          <w:lang w:bidi="ar-SA"/>
        </w:rPr>
        <w:lastRenderedPageBreak/>
        <w:drawing>
          <wp:inline distT="0" distB="0" distL="0" distR="0" wp14:anchorId="2A8D14C4">
            <wp:extent cx="5212080" cy="6156960"/>
            <wp:effectExtent l="0" t="0" r="7620"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12080" cy="6156960"/>
                    </a:xfrm>
                    <a:prstGeom prst="rect">
                      <a:avLst/>
                    </a:prstGeom>
                    <a:noFill/>
                  </pic:spPr>
                </pic:pic>
              </a:graphicData>
            </a:graphic>
          </wp:inline>
        </w:drawing>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sz w:val="21"/>
          <w:szCs w:val="21"/>
        </w:rPr>
        <w:t>Figure 4.</w:t>
      </w:r>
      <w:r w:rsidR="003448E7">
        <w:rPr>
          <w:rFonts w:ascii="Times New Roman" w:hAnsi="Times New Roman"/>
          <w:sz w:val="21"/>
          <w:szCs w:val="21"/>
        </w:rPr>
        <w:t>10</w:t>
      </w:r>
      <w:r w:rsidRPr="00750906">
        <w:rPr>
          <w:rFonts w:ascii="Times New Roman" w:hAnsi="Times New Roman"/>
          <w:sz w:val="21"/>
          <w:szCs w:val="21"/>
        </w:rPr>
        <w:t xml:space="preserve">.Examples of </w:t>
      </w:r>
      <w:r w:rsidR="00A65F36" w:rsidRPr="00A65F36">
        <w:rPr>
          <w:rFonts w:ascii="Times New Roman" w:hAnsi="Times New Roman"/>
          <w:i/>
          <w:sz w:val="21"/>
          <w:szCs w:val="21"/>
        </w:rPr>
        <w:t>Thalassinoides</w:t>
      </w:r>
      <w:r w:rsidRPr="00750906">
        <w:rPr>
          <w:rFonts w:ascii="Times New Roman" w:hAnsi="Times New Roman"/>
          <w:sz w:val="21"/>
          <w:szCs w:val="21"/>
        </w:rPr>
        <w:t xml:space="preserve"> in Core B and C, both examples are in Lower Woodford. The materials in vertical burrows are coarser grained than surrounding matrix, with occasionally pyritized</w:t>
      </w:r>
      <w:r w:rsidR="007922A3">
        <w:rPr>
          <w:rFonts w:ascii="Times New Roman" w:hAnsi="Times New Roman"/>
          <w:sz w:val="21"/>
          <w:szCs w:val="21"/>
        </w:rPr>
        <w:t xml:space="preserve"> </w:t>
      </w:r>
      <w:r w:rsidRPr="00750906">
        <w:rPr>
          <w:rFonts w:ascii="Times New Roman" w:hAnsi="Times New Roman"/>
          <w:sz w:val="21"/>
          <w:szCs w:val="21"/>
        </w:rPr>
        <w:t>framboid in them (Photos by Kimberly Hlava).</w:t>
      </w:r>
    </w:p>
    <w:p w:rsidR="003E37C9" w:rsidRPr="00750906" w:rsidRDefault="003E37C9" w:rsidP="003E37C9">
      <w:pPr>
        <w:spacing w:line="240" w:lineRule="auto"/>
        <w:jc w:val="center"/>
        <w:rPr>
          <w:rFonts w:ascii="Times New Roman" w:hAnsi="Times New Roman"/>
          <w:sz w:val="21"/>
          <w:szCs w:val="21"/>
          <w:lang w:eastAsia="zh-CN"/>
        </w:rPr>
      </w:pPr>
      <w:r w:rsidRPr="00750906">
        <w:rPr>
          <w:rFonts w:ascii="Times New Roman" w:hAnsi="Times New Roman"/>
          <w:sz w:val="21"/>
          <w:szCs w:val="21"/>
        </w:rPr>
        <w:br w:type="page"/>
      </w:r>
    </w:p>
    <w:p w:rsidR="003E37C9" w:rsidRPr="00750906" w:rsidRDefault="003E37C9" w:rsidP="003E37C9">
      <w:pPr>
        <w:spacing w:line="240" w:lineRule="auto"/>
        <w:jc w:val="center"/>
        <w:rPr>
          <w:rFonts w:ascii="Times New Roman" w:hAnsi="Times New Roman"/>
          <w:sz w:val="21"/>
          <w:szCs w:val="21"/>
          <w:lang w:eastAsia="zh-CN"/>
        </w:rPr>
      </w:pPr>
    </w:p>
    <w:p w:rsidR="003E37C9" w:rsidRPr="00750906" w:rsidRDefault="00141B66" w:rsidP="003E37C9">
      <w:pPr>
        <w:spacing w:line="240" w:lineRule="auto"/>
        <w:jc w:val="center"/>
        <w:rPr>
          <w:rFonts w:ascii="Times New Roman" w:hAnsi="Times New Roman"/>
          <w:sz w:val="21"/>
          <w:szCs w:val="21"/>
          <w:lang w:eastAsia="zh-CN"/>
        </w:rPr>
      </w:pPr>
      <w:r>
        <w:rPr>
          <w:rFonts w:ascii="Times New Roman" w:hAnsi="Times New Roman"/>
          <w:noProof/>
          <w:sz w:val="21"/>
          <w:szCs w:val="21"/>
          <w:lang w:bidi="ar-SA"/>
        </w:rPr>
        <w:drawing>
          <wp:inline distT="0" distB="0" distL="0" distR="0" wp14:anchorId="39EA948E">
            <wp:extent cx="5273040" cy="3154680"/>
            <wp:effectExtent l="0" t="0" r="3810" b="762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73040" cy="3154680"/>
                    </a:xfrm>
                    <a:prstGeom prst="rect">
                      <a:avLst/>
                    </a:prstGeom>
                    <a:noFill/>
                  </pic:spPr>
                </pic:pic>
              </a:graphicData>
            </a:graphic>
          </wp:inline>
        </w:drawing>
      </w:r>
    </w:p>
    <w:p w:rsidR="003E37C9" w:rsidRPr="00750906" w:rsidRDefault="003E37C9" w:rsidP="003E37C9">
      <w:pPr>
        <w:pStyle w:val="Caption"/>
        <w:jc w:val="both"/>
        <w:rPr>
          <w:rFonts w:ascii="Times New Roman" w:eastAsia="AGaramond-Regular" w:hAnsi="Times New Roman"/>
          <w:sz w:val="21"/>
          <w:szCs w:val="21"/>
        </w:rPr>
      </w:pPr>
      <w:r w:rsidRPr="00750906">
        <w:rPr>
          <w:rFonts w:ascii="Times New Roman" w:hAnsi="Times New Roman"/>
          <w:sz w:val="21"/>
          <w:szCs w:val="21"/>
        </w:rPr>
        <w:t>Figure 4.11.</w:t>
      </w:r>
      <w:r w:rsidRPr="00750906">
        <w:rPr>
          <w:rFonts w:ascii="Times New Roman" w:eastAsia="AGaramond-Regular" w:hAnsi="Times New Roman"/>
          <w:sz w:val="21"/>
          <w:szCs w:val="21"/>
        </w:rPr>
        <w:t>Pyritized radiolarian chert examples in Core C. Left: thin-section photos by Kimberly Hlava. Right: 3-D Micro-CT-Scan Segmentation of the same interval.</w:t>
      </w:r>
    </w:p>
    <w:p w:rsidR="003E37C9" w:rsidRPr="00750906" w:rsidRDefault="003E37C9" w:rsidP="003E37C9">
      <w:pPr>
        <w:pStyle w:val="Caption"/>
        <w:jc w:val="both"/>
        <w:rPr>
          <w:rFonts w:ascii="Times New Roman" w:hAnsi="Times New Roman"/>
          <w:sz w:val="21"/>
          <w:szCs w:val="21"/>
        </w:rPr>
      </w:pPr>
      <w:r w:rsidRPr="00750906">
        <w:rPr>
          <w:rFonts w:ascii="Times New Roman" w:eastAsia="AGaramond-Regular" w:hAnsi="Times New Roman" w:cs="Arial"/>
          <w:sz w:val="21"/>
          <w:szCs w:val="21"/>
        </w:rPr>
        <w:t> </w:t>
      </w:r>
    </w:p>
    <w:p w:rsidR="003E37C9" w:rsidRPr="00750906" w:rsidRDefault="003E37C9" w:rsidP="003E37C9">
      <w:pPr>
        <w:spacing w:line="240" w:lineRule="auto"/>
        <w:jc w:val="center"/>
        <w:rPr>
          <w:rFonts w:ascii="Times New Roman" w:hAnsi="Times New Roman"/>
          <w:sz w:val="21"/>
          <w:szCs w:val="21"/>
          <w:lang w:eastAsia="zh-CN"/>
        </w:rPr>
      </w:pPr>
    </w:p>
    <w:p w:rsidR="003E37C9" w:rsidRPr="00750906" w:rsidRDefault="003E37C9" w:rsidP="003E37C9">
      <w:pPr>
        <w:spacing w:line="240" w:lineRule="auto"/>
        <w:rPr>
          <w:rFonts w:ascii="Times New Roman" w:hAnsi="Times New Roman"/>
          <w:sz w:val="21"/>
          <w:szCs w:val="21"/>
          <w:lang w:eastAsia="zh-CN"/>
        </w:rPr>
      </w:pPr>
      <w:r w:rsidRPr="00750906">
        <w:rPr>
          <w:rFonts w:ascii="Times New Roman" w:hAnsi="Times New Roman"/>
          <w:sz w:val="21"/>
          <w:szCs w:val="21"/>
          <w:lang w:eastAsia="zh-CN"/>
        </w:rPr>
        <w:br w:type="page"/>
      </w:r>
    </w:p>
    <w:p w:rsidR="003E37C9" w:rsidRPr="00750906" w:rsidRDefault="00141B66" w:rsidP="003E37C9">
      <w:pPr>
        <w:keepNext/>
        <w:jc w:val="center"/>
        <w:rPr>
          <w:rFonts w:ascii="Times New Roman" w:hAnsi="Times New Roman"/>
          <w:sz w:val="21"/>
          <w:szCs w:val="21"/>
        </w:rPr>
      </w:pPr>
      <w:r>
        <w:rPr>
          <w:rFonts w:ascii="Times New Roman" w:hAnsi="Times New Roman"/>
          <w:noProof/>
          <w:sz w:val="21"/>
          <w:szCs w:val="21"/>
          <w:lang w:bidi="ar-SA"/>
        </w:rPr>
        <w:lastRenderedPageBreak/>
        <w:drawing>
          <wp:inline distT="0" distB="0" distL="0" distR="0" wp14:anchorId="26E40902">
            <wp:extent cx="5059680" cy="3710940"/>
            <wp:effectExtent l="0" t="0" r="7620" b="381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059680" cy="3710940"/>
                    </a:xfrm>
                    <a:prstGeom prst="rect">
                      <a:avLst/>
                    </a:prstGeom>
                    <a:noFill/>
                  </pic:spPr>
                </pic:pic>
              </a:graphicData>
            </a:graphic>
          </wp:inline>
        </w:drawing>
      </w:r>
    </w:p>
    <w:p w:rsidR="003E37C9" w:rsidRPr="00750906" w:rsidRDefault="003E37C9" w:rsidP="003E37C9">
      <w:pPr>
        <w:pStyle w:val="Caption"/>
        <w:jc w:val="both"/>
        <w:rPr>
          <w:rFonts w:ascii="Times New Roman" w:hAnsi="Times New Roman"/>
          <w:sz w:val="21"/>
          <w:szCs w:val="21"/>
        </w:rPr>
      </w:pPr>
      <w:bookmarkStart w:id="113" w:name="_Toc400010247"/>
      <w:proofErr w:type="gramStart"/>
      <w:r w:rsidRPr="00750906">
        <w:rPr>
          <w:rFonts w:ascii="Times New Roman" w:hAnsi="Times New Roman"/>
          <w:sz w:val="21"/>
          <w:szCs w:val="21"/>
        </w:rPr>
        <w:t>Figure 4.12.</w:t>
      </w:r>
      <w:bookmarkEnd w:id="113"/>
      <w:proofErr w:type="gramEnd"/>
      <w:r w:rsidRPr="00750906">
        <w:rPr>
          <w:rFonts w:ascii="Times New Roman" w:hAnsi="Times New Roman"/>
          <w:sz w:val="21"/>
          <w:szCs w:val="21"/>
        </w:rPr>
        <w:t xml:space="preserve"> An example of the 3-D Micro-CT segmentation of nodules of 347-350ft (106m) in Core C (Upper Woodford). Left is the whole core image combined with nodules; middle is the noise and nodules; right is the filtered nodules</w:t>
      </w:r>
    </w:p>
    <w:p w:rsidR="003E37C9" w:rsidRPr="00750906" w:rsidRDefault="003E37C9" w:rsidP="003E37C9">
      <w:pPr>
        <w:rPr>
          <w:rFonts w:ascii="Times New Roman" w:hAnsi="Times New Roman"/>
          <w:sz w:val="21"/>
          <w:szCs w:val="21"/>
        </w:rPr>
      </w:pPr>
    </w:p>
    <w:p w:rsidR="003E37C9" w:rsidRPr="00750906" w:rsidRDefault="003E37C9" w:rsidP="003E37C9">
      <w:pPr>
        <w:spacing w:line="240" w:lineRule="auto"/>
        <w:rPr>
          <w:rFonts w:ascii="Times New Roman" w:hAnsi="Times New Roman"/>
          <w:sz w:val="21"/>
          <w:szCs w:val="21"/>
        </w:rPr>
      </w:pPr>
      <w:r w:rsidRPr="00750906">
        <w:rPr>
          <w:rFonts w:ascii="Times New Roman" w:hAnsi="Times New Roman"/>
          <w:sz w:val="21"/>
          <w:szCs w:val="21"/>
        </w:rPr>
        <w:br w:type="page"/>
      </w:r>
    </w:p>
    <w:p w:rsidR="003E37C9" w:rsidRPr="00750906" w:rsidRDefault="00141B66" w:rsidP="003E37C9">
      <w:pPr>
        <w:pStyle w:val="Caption"/>
        <w:jc w:val="center"/>
        <w:rPr>
          <w:rFonts w:ascii="Times New Roman" w:hAnsi="Times New Roman"/>
          <w:sz w:val="21"/>
          <w:szCs w:val="21"/>
        </w:rPr>
      </w:pPr>
      <w:r>
        <w:rPr>
          <w:rFonts w:ascii="Times New Roman" w:hAnsi="Times New Roman"/>
          <w:noProof/>
          <w:sz w:val="21"/>
          <w:szCs w:val="21"/>
          <w:lang w:bidi="ar-SA"/>
        </w:rPr>
        <w:lastRenderedPageBreak/>
        <w:drawing>
          <wp:inline distT="0" distB="0" distL="0" distR="0" wp14:anchorId="65E36FB5">
            <wp:extent cx="4937760" cy="7322820"/>
            <wp:effectExtent l="0" t="0" r="0" b="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937760" cy="7322820"/>
                    </a:xfrm>
                    <a:prstGeom prst="rect">
                      <a:avLst/>
                    </a:prstGeom>
                    <a:noFill/>
                  </pic:spPr>
                </pic:pic>
              </a:graphicData>
            </a:graphic>
          </wp:inline>
        </w:drawing>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sz w:val="21"/>
          <w:szCs w:val="21"/>
        </w:rPr>
        <w:t xml:space="preserve">Figure 4.13.Upper: Shale classification by Gamero-Diaz </w:t>
      </w:r>
      <w:r w:rsidR="00880C6B" w:rsidRPr="00880C6B">
        <w:rPr>
          <w:rFonts w:ascii="Times New Roman" w:hAnsi="Times New Roman"/>
          <w:i/>
          <w:sz w:val="21"/>
          <w:szCs w:val="21"/>
        </w:rPr>
        <w:t>et al.</w:t>
      </w:r>
      <w:r w:rsidRPr="00750906">
        <w:rPr>
          <w:rFonts w:ascii="Times New Roman" w:hAnsi="Times New Roman"/>
          <w:sz w:val="21"/>
          <w:szCs w:val="21"/>
        </w:rPr>
        <w:t xml:space="preserve"> (2012</w:t>
      </w:r>
      <w:proofErr w:type="gramStart"/>
      <w:r w:rsidRPr="00750906">
        <w:rPr>
          <w:rFonts w:ascii="Times New Roman" w:hAnsi="Times New Roman"/>
          <w:sz w:val="21"/>
          <w:szCs w:val="21"/>
        </w:rPr>
        <w:t>)Lower</w:t>
      </w:r>
      <w:proofErr w:type="gramEnd"/>
      <w:r w:rsidRPr="00750906">
        <w:rPr>
          <w:rFonts w:ascii="Times New Roman" w:hAnsi="Times New Roman"/>
          <w:sz w:val="21"/>
          <w:szCs w:val="21"/>
        </w:rPr>
        <w:t>: Ternary diagram plots showing how Lower, Middle and Upper Woodford Shale fall into their categories for Core A, B and C.</w:t>
      </w:r>
    </w:p>
    <w:p w:rsidR="003E37C9" w:rsidRPr="00750906" w:rsidRDefault="003E37C9" w:rsidP="003E37C9">
      <w:pPr>
        <w:pStyle w:val="Caption"/>
        <w:jc w:val="center"/>
        <w:rPr>
          <w:rFonts w:ascii="Times New Roman" w:hAnsi="Times New Roman"/>
          <w:sz w:val="21"/>
          <w:szCs w:val="21"/>
        </w:rPr>
      </w:pPr>
      <w:r w:rsidRPr="00750906">
        <w:rPr>
          <w:rFonts w:ascii="Times New Roman" w:hAnsi="Times New Roman"/>
          <w:sz w:val="21"/>
          <w:szCs w:val="21"/>
        </w:rPr>
        <w:br w:type="page"/>
      </w:r>
    </w:p>
    <w:p w:rsidR="003E37C9" w:rsidRPr="00750906" w:rsidRDefault="003E37C9" w:rsidP="003E37C9">
      <w:pPr>
        <w:pStyle w:val="Caption"/>
        <w:keepNext/>
        <w:rPr>
          <w:rFonts w:ascii="Times New Roman" w:hAnsi="Times New Roman"/>
          <w:sz w:val="21"/>
          <w:szCs w:val="21"/>
        </w:rPr>
      </w:pPr>
    </w:p>
    <w:p w:rsidR="003E37C9" w:rsidRPr="00750906" w:rsidRDefault="00141B66" w:rsidP="00C5308F">
      <w:pPr>
        <w:pStyle w:val="Caption"/>
        <w:keepNext/>
        <w:jc w:val="center"/>
        <w:rPr>
          <w:rFonts w:ascii="Times New Roman" w:hAnsi="Times New Roman"/>
          <w:sz w:val="21"/>
          <w:szCs w:val="21"/>
        </w:rPr>
      </w:pPr>
      <w:r>
        <w:rPr>
          <w:rFonts w:ascii="Times New Roman" w:hAnsi="Times New Roman"/>
          <w:noProof/>
          <w:sz w:val="21"/>
          <w:szCs w:val="21"/>
          <w:lang w:bidi="ar-SA"/>
        </w:rPr>
        <w:drawing>
          <wp:inline distT="0" distB="0" distL="0" distR="0" wp14:anchorId="07B7746F">
            <wp:extent cx="5074920" cy="4137660"/>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074920" cy="4137660"/>
                    </a:xfrm>
                    <a:prstGeom prst="rect">
                      <a:avLst/>
                    </a:prstGeom>
                    <a:noFill/>
                  </pic:spPr>
                </pic:pic>
              </a:graphicData>
            </a:graphic>
          </wp:inline>
        </w:drawing>
      </w:r>
    </w:p>
    <w:p w:rsidR="003E37C9" w:rsidRPr="00750906" w:rsidRDefault="003E37C9" w:rsidP="003E37C9">
      <w:pPr>
        <w:pStyle w:val="Caption"/>
        <w:rPr>
          <w:rFonts w:ascii="Times New Roman" w:hAnsi="Times New Roman"/>
          <w:sz w:val="21"/>
          <w:szCs w:val="21"/>
        </w:rPr>
      </w:pPr>
      <w:bookmarkStart w:id="114" w:name="_Toc400010249"/>
      <w:r w:rsidRPr="00750906">
        <w:rPr>
          <w:rFonts w:ascii="Times New Roman" w:hAnsi="Times New Roman"/>
          <w:sz w:val="21"/>
          <w:szCs w:val="21"/>
        </w:rPr>
        <w:t>Figure 4.14.</w:t>
      </w:r>
      <w:bookmarkEnd w:id="114"/>
      <w:r w:rsidRPr="00750906">
        <w:rPr>
          <w:rFonts w:ascii="Times New Roman" w:eastAsia="AGaramond-Regular" w:hAnsi="Times New Roman"/>
          <w:sz w:val="21"/>
          <w:szCs w:val="21"/>
        </w:rPr>
        <w:t>A sophisticated schematic slope–to–basin depositional model for the Woodford Shale within a sequence stratigraphic framework.</w:t>
      </w:r>
      <w:r w:rsidR="007922A3">
        <w:rPr>
          <w:rFonts w:ascii="Times New Roman" w:eastAsia="AGaramond-Regular" w:hAnsi="Times New Roman"/>
          <w:sz w:val="21"/>
          <w:szCs w:val="21"/>
        </w:rPr>
        <w:t xml:space="preserve"> </w:t>
      </w:r>
      <w:proofErr w:type="gramStart"/>
      <w:r w:rsidRPr="00750906">
        <w:rPr>
          <w:rFonts w:ascii="Times New Roman" w:eastAsia="AGaramond-Regular" w:hAnsi="Times New Roman"/>
          <w:sz w:val="21"/>
          <w:szCs w:val="21"/>
        </w:rPr>
        <w:t>Modified from Slatt, 2013.Thin-section data by Joan Spaw, Kimberly Hlava and Corelab.</w:t>
      </w:r>
      <w:proofErr w:type="gramEnd"/>
    </w:p>
    <w:p w:rsidR="003E37C9" w:rsidRPr="00750906" w:rsidRDefault="003E37C9" w:rsidP="003E37C9">
      <w:pPr>
        <w:rPr>
          <w:rFonts w:ascii="Times New Roman" w:hAnsi="Times New Roman"/>
          <w:sz w:val="21"/>
          <w:szCs w:val="21"/>
        </w:rPr>
      </w:pPr>
    </w:p>
    <w:p w:rsidR="003E37C9" w:rsidRPr="00750906" w:rsidRDefault="003E37C9" w:rsidP="003E37C9">
      <w:pPr>
        <w:rPr>
          <w:rFonts w:ascii="Times New Roman" w:hAnsi="Times New Roman"/>
          <w:sz w:val="21"/>
          <w:szCs w:val="21"/>
        </w:rPr>
      </w:pPr>
    </w:p>
    <w:p w:rsidR="003E37C9" w:rsidRPr="00750906" w:rsidRDefault="00141B66" w:rsidP="00C5308F">
      <w:pPr>
        <w:pStyle w:val="Caption"/>
        <w:keepNext/>
        <w:jc w:val="center"/>
        <w:rPr>
          <w:rFonts w:ascii="Times New Roman" w:hAnsi="Times New Roman"/>
          <w:sz w:val="21"/>
          <w:szCs w:val="21"/>
        </w:rPr>
      </w:pPr>
      <w:r>
        <w:rPr>
          <w:rFonts w:ascii="Times New Roman" w:hAnsi="Times New Roman"/>
          <w:noProof/>
          <w:sz w:val="21"/>
          <w:szCs w:val="21"/>
          <w:lang w:bidi="ar-SA"/>
        </w:rPr>
        <w:lastRenderedPageBreak/>
        <w:drawing>
          <wp:inline distT="0" distB="0" distL="0" distR="0" wp14:anchorId="5FE64184">
            <wp:extent cx="5196840" cy="3749040"/>
            <wp:effectExtent l="0" t="0" r="3810" b="381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196840" cy="3749040"/>
                    </a:xfrm>
                    <a:prstGeom prst="rect">
                      <a:avLst/>
                    </a:prstGeom>
                    <a:noFill/>
                  </pic:spPr>
                </pic:pic>
              </a:graphicData>
            </a:graphic>
          </wp:inline>
        </w:drawing>
      </w:r>
    </w:p>
    <w:p w:rsidR="003E37C9" w:rsidRPr="00750906" w:rsidRDefault="003E37C9" w:rsidP="003E37C9">
      <w:pPr>
        <w:pStyle w:val="Caption"/>
        <w:rPr>
          <w:rFonts w:ascii="Times New Roman" w:eastAsia="AGaramond-Regular" w:hAnsi="Times New Roman"/>
          <w:sz w:val="21"/>
          <w:szCs w:val="21"/>
        </w:rPr>
      </w:pPr>
      <w:bookmarkStart w:id="115" w:name="_Toc400010250"/>
      <w:r w:rsidRPr="00750906">
        <w:rPr>
          <w:rFonts w:ascii="Times New Roman" w:hAnsi="Times New Roman"/>
          <w:sz w:val="21"/>
          <w:szCs w:val="21"/>
        </w:rPr>
        <w:t>Figure 4.15.</w:t>
      </w:r>
      <w:bookmarkEnd w:id="115"/>
      <w:r w:rsidRPr="00750906">
        <w:rPr>
          <w:rFonts w:ascii="Times New Roman" w:eastAsia="AGaramond-Regular" w:hAnsi="Times New Roman"/>
          <w:sz w:val="21"/>
          <w:szCs w:val="21"/>
        </w:rPr>
        <w:t>Examples of the criteria of the abundance of trace fossils, using a Bioturbation Index (BI) measured from Micro-CT scan 3-D segmentation image and thin-section description. From left to right are: Absent (BI=0), Sparse (BI=1), Common (BI=2), and Abundance (BI=3). The values of the BI have been used for statistics and calculations.</w:t>
      </w:r>
    </w:p>
    <w:p w:rsidR="003E37C9" w:rsidRPr="00750906" w:rsidRDefault="003E37C9" w:rsidP="003E37C9">
      <w:pPr>
        <w:pStyle w:val="Caption"/>
        <w:rPr>
          <w:rFonts w:ascii="Times New Roman" w:eastAsia="AGaramond-Regular" w:hAnsi="Times New Roman"/>
          <w:sz w:val="21"/>
          <w:szCs w:val="21"/>
        </w:rPr>
      </w:pPr>
      <w:r w:rsidRPr="00750906">
        <w:rPr>
          <w:rFonts w:ascii="Times New Roman" w:hAnsi="Times New Roman"/>
          <w:sz w:val="21"/>
          <w:szCs w:val="21"/>
        </w:rPr>
        <w:br w:type="page"/>
      </w:r>
      <w:r w:rsidR="006B086A">
        <w:rPr>
          <w:rFonts w:ascii="Times New Roman" w:hAnsi="Times New Roman"/>
          <w:noProof/>
          <w:sz w:val="21"/>
          <w:szCs w:val="21"/>
          <w:lang w:bidi="ar-SA"/>
        </w:rPr>
        <w:lastRenderedPageBreak/>
        <w:drawing>
          <wp:inline distT="0" distB="0" distL="0" distR="0" wp14:anchorId="43737460">
            <wp:extent cx="5135880" cy="6606540"/>
            <wp:effectExtent l="0" t="0" r="7620" b="3810"/>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135880" cy="6606540"/>
                    </a:xfrm>
                    <a:prstGeom prst="rect">
                      <a:avLst/>
                    </a:prstGeom>
                    <a:noFill/>
                  </pic:spPr>
                </pic:pic>
              </a:graphicData>
            </a:graphic>
          </wp:inline>
        </w:drawing>
      </w:r>
      <w:proofErr w:type="gramStart"/>
      <w:r w:rsidRPr="00750906">
        <w:rPr>
          <w:rFonts w:ascii="Times New Roman" w:hAnsi="Times New Roman"/>
          <w:sz w:val="21"/>
          <w:szCs w:val="21"/>
        </w:rPr>
        <w:t>Figure 4.16.</w:t>
      </w:r>
      <w:proofErr w:type="gramEnd"/>
      <w:r w:rsidRPr="00750906">
        <w:rPr>
          <w:rFonts w:ascii="Times New Roman" w:hAnsi="Times New Roman"/>
          <w:sz w:val="21"/>
          <w:szCs w:val="21"/>
        </w:rPr>
        <w:t xml:space="preserve"> Petrophysics logs of Corer A, including GR, Resistivity, Neutron-Density, Calculated TOC, VClay, Brittleness from dipole sonic logs and calculated water saturation.</w:t>
      </w:r>
    </w:p>
    <w:p w:rsidR="003E37C9" w:rsidRPr="00750906" w:rsidRDefault="003E37C9" w:rsidP="003E37C9">
      <w:pPr>
        <w:spacing w:line="240" w:lineRule="auto"/>
        <w:rPr>
          <w:rFonts w:ascii="Times New Roman" w:hAnsi="Times New Roman"/>
          <w:sz w:val="21"/>
          <w:szCs w:val="21"/>
        </w:rPr>
      </w:pPr>
    </w:p>
    <w:p w:rsidR="003E37C9" w:rsidRPr="00750906" w:rsidRDefault="003E37C9" w:rsidP="003E37C9">
      <w:pPr>
        <w:rPr>
          <w:rFonts w:ascii="Times New Roman" w:hAnsi="Times New Roman"/>
          <w:sz w:val="21"/>
          <w:szCs w:val="21"/>
        </w:rPr>
      </w:pPr>
    </w:p>
    <w:p w:rsidR="003E37C9" w:rsidRPr="00750906" w:rsidRDefault="003E37C9" w:rsidP="00001D73">
      <w:pPr>
        <w:keepNext/>
        <w:jc w:val="center"/>
        <w:rPr>
          <w:rFonts w:ascii="Times New Roman" w:hAnsi="Times New Roman"/>
          <w:sz w:val="21"/>
          <w:szCs w:val="21"/>
        </w:rPr>
      </w:pPr>
      <w:r w:rsidRPr="00750906">
        <w:rPr>
          <w:rFonts w:ascii="Times New Roman" w:hAnsi="Times New Roman"/>
          <w:noProof/>
          <w:sz w:val="21"/>
          <w:szCs w:val="21"/>
          <w:lang w:bidi="ar-SA"/>
        </w:rPr>
        <w:lastRenderedPageBreak/>
        <w:drawing>
          <wp:inline distT="0" distB="0" distL="0" distR="0" wp14:anchorId="21138DBD" wp14:editId="06314369">
            <wp:extent cx="5296703" cy="4948520"/>
            <wp:effectExtent l="21908" t="16192" r="21272" b="21273"/>
            <wp:docPr id="1039" name="图片 4" descr="Teague Core Integrate_v10_Depth Adjus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gue Core Integrate_v10_Depth Adjusted.jpg"/>
                    <pic:cNvPicPr/>
                  </pic:nvPicPr>
                  <pic:blipFill>
                    <a:blip r:embed="rId192"/>
                    <a:stretch>
                      <a:fillRect/>
                    </a:stretch>
                  </pic:blipFill>
                  <pic:spPr>
                    <a:xfrm rot="16200000">
                      <a:off x="0" y="0"/>
                      <a:ext cx="5296485" cy="4948316"/>
                    </a:xfrm>
                    <a:prstGeom prst="rect">
                      <a:avLst/>
                    </a:prstGeom>
                    <a:ln>
                      <a:solidFill>
                        <a:schemeClr val="tx1"/>
                      </a:solidFill>
                    </a:ln>
                  </pic:spPr>
                </pic:pic>
              </a:graphicData>
            </a:graphic>
          </wp:inline>
        </w:drawing>
      </w:r>
    </w:p>
    <w:p w:rsidR="003E37C9" w:rsidRPr="00750906" w:rsidRDefault="003E37C9" w:rsidP="003E37C9">
      <w:pPr>
        <w:pStyle w:val="Caption"/>
        <w:jc w:val="both"/>
        <w:rPr>
          <w:rFonts w:ascii="Times New Roman" w:hAnsi="Times New Roman"/>
          <w:sz w:val="21"/>
          <w:szCs w:val="21"/>
        </w:rPr>
      </w:pPr>
      <w:bookmarkStart w:id="116" w:name="_Toc400010251"/>
      <w:r w:rsidRPr="00750906">
        <w:rPr>
          <w:rFonts w:ascii="Times New Roman" w:hAnsi="Times New Roman"/>
          <w:sz w:val="21"/>
          <w:szCs w:val="21"/>
        </w:rPr>
        <w:t>Figure 4.17.</w:t>
      </w:r>
      <w:bookmarkEnd w:id="116"/>
      <w:r w:rsidRPr="00750906">
        <w:rPr>
          <w:rFonts w:ascii="Times New Roman" w:eastAsia="AGaramond-Regular" w:hAnsi="Times New Roman"/>
          <w:sz w:val="21"/>
          <w:szCs w:val="21"/>
        </w:rPr>
        <w:t xml:space="preserve">Integrated description of Core A, with emphasis on bioturbation. Bioturbation Index (BI) is the sum of all four trace fossils (short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long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Paleodictyon, </w:t>
      </w:r>
      <w:proofErr w:type="gramStart"/>
      <w:r w:rsidRPr="00750906">
        <w:rPr>
          <w:rFonts w:ascii="Times New Roman" w:eastAsia="AGaramond-Regular" w:hAnsi="Times New Roman"/>
          <w:i/>
          <w:sz w:val="21"/>
          <w:szCs w:val="21"/>
        </w:rPr>
        <w:t>Planolites</w:t>
      </w:r>
      <w:proofErr w:type="gramEnd"/>
      <w:r w:rsidRPr="00750906">
        <w:rPr>
          <w:rFonts w:ascii="Times New Roman" w:eastAsia="AGaramond-Regular" w:hAnsi="Times New Roman"/>
          <w:sz w:val="21"/>
          <w:szCs w:val="21"/>
        </w:rPr>
        <w:t>).</w:t>
      </w:r>
      <w:r>
        <w:rPr>
          <w:rFonts w:ascii="Times New Roman" w:eastAsia="AGaramond-Regular" w:hAnsi="Times New Roman"/>
          <w:sz w:val="21"/>
          <w:szCs w:val="21"/>
        </w:rPr>
        <w:t xml:space="preserve"> Description and Interpretation are based on Dr. Joan Spaw, Kimberly Hlava and Fuge Zou’s work.</w:t>
      </w:r>
    </w:p>
    <w:p w:rsidR="003E37C9" w:rsidRPr="00750906" w:rsidRDefault="003E37C9" w:rsidP="003E37C9">
      <w:pPr>
        <w:spacing w:line="240" w:lineRule="auto"/>
        <w:jc w:val="both"/>
        <w:rPr>
          <w:rFonts w:ascii="Times New Roman" w:hAnsi="Times New Roman"/>
          <w:b/>
          <w:bCs/>
          <w:sz w:val="21"/>
          <w:szCs w:val="21"/>
        </w:rPr>
      </w:pPr>
    </w:p>
    <w:p w:rsidR="003E37C9" w:rsidRPr="00750906" w:rsidRDefault="003E37C9" w:rsidP="003E37C9">
      <w:pPr>
        <w:spacing w:line="240" w:lineRule="auto"/>
        <w:jc w:val="both"/>
        <w:rPr>
          <w:rFonts w:ascii="Times New Roman" w:hAnsi="Times New Roman"/>
          <w:b/>
          <w:bCs/>
          <w:sz w:val="21"/>
          <w:szCs w:val="21"/>
        </w:rPr>
      </w:pPr>
    </w:p>
    <w:p w:rsidR="003E37C9" w:rsidRPr="00750906" w:rsidRDefault="003E37C9" w:rsidP="003E37C9">
      <w:pPr>
        <w:spacing w:line="240" w:lineRule="auto"/>
        <w:jc w:val="both"/>
        <w:rPr>
          <w:rFonts w:ascii="Times New Roman" w:hAnsi="Times New Roman"/>
          <w:b/>
          <w:bCs/>
          <w:sz w:val="21"/>
          <w:szCs w:val="21"/>
        </w:rPr>
      </w:pPr>
    </w:p>
    <w:p w:rsidR="003E37C9" w:rsidRPr="00750906" w:rsidRDefault="003E37C9" w:rsidP="003E37C9">
      <w:pPr>
        <w:spacing w:line="240" w:lineRule="auto"/>
        <w:jc w:val="both"/>
        <w:rPr>
          <w:rFonts w:ascii="Times New Roman" w:hAnsi="Times New Roman"/>
          <w:b/>
          <w:bCs/>
          <w:sz w:val="21"/>
          <w:szCs w:val="21"/>
        </w:rPr>
      </w:pPr>
    </w:p>
    <w:p w:rsidR="003E37C9" w:rsidRPr="00750906" w:rsidRDefault="003E37C9" w:rsidP="003E37C9">
      <w:pPr>
        <w:spacing w:line="240" w:lineRule="auto"/>
        <w:rPr>
          <w:rFonts w:ascii="Times New Roman" w:hAnsi="Times New Roman"/>
          <w:b/>
          <w:bCs/>
          <w:sz w:val="21"/>
          <w:szCs w:val="21"/>
        </w:rPr>
      </w:pPr>
      <w:r w:rsidRPr="00750906">
        <w:rPr>
          <w:rFonts w:ascii="Times New Roman" w:hAnsi="Times New Roman"/>
          <w:b/>
          <w:bCs/>
          <w:sz w:val="21"/>
          <w:szCs w:val="21"/>
        </w:rPr>
        <w:br w:type="page"/>
      </w:r>
    </w:p>
    <w:p w:rsidR="003E37C9" w:rsidRPr="00750906" w:rsidRDefault="003E37C9" w:rsidP="003E37C9">
      <w:pPr>
        <w:spacing w:line="240" w:lineRule="auto"/>
        <w:jc w:val="center"/>
        <w:rPr>
          <w:rFonts w:ascii="Times New Roman" w:hAnsi="Times New Roman"/>
          <w:b/>
          <w:bCs/>
          <w:sz w:val="21"/>
          <w:szCs w:val="21"/>
        </w:rPr>
      </w:pPr>
      <w:r w:rsidRPr="00750906">
        <w:rPr>
          <w:rFonts w:ascii="Times New Roman" w:hAnsi="Times New Roman"/>
          <w:b/>
          <w:bCs/>
          <w:noProof/>
          <w:sz w:val="21"/>
          <w:szCs w:val="21"/>
          <w:lang w:bidi="ar-SA"/>
        </w:rPr>
        <w:lastRenderedPageBreak/>
        <w:drawing>
          <wp:inline distT="0" distB="0" distL="0" distR="0" wp14:anchorId="2AF3CC04" wp14:editId="65E68A1F">
            <wp:extent cx="4905141" cy="7410450"/>
            <wp:effectExtent l="19050" t="0" r="0" b="0"/>
            <wp:docPr id="44" name="图片 22" descr="Teague_Integ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gue_Integrate.jpg"/>
                    <pic:cNvPicPr/>
                  </pic:nvPicPr>
                  <pic:blipFill>
                    <a:blip r:embed="rId193"/>
                    <a:stretch>
                      <a:fillRect/>
                    </a:stretch>
                  </pic:blipFill>
                  <pic:spPr>
                    <a:xfrm>
                      <a:off x="0" y="0"/>
                      <a:ext cx="4903470" cy="7407926"/>
                    </a:xfrm>
                    <a:prstGeom prst="rect">
                      <a:avLst/>
                    </a:prstGeom>
                  </pic:spPr>
                </pic:pic>
              </a:graphicData>
            </a:graphic>
          </wp:inline>
        </w:drawing>
      </w:r>
    </w:p>
    <w:p w:rsidR="003E37C9" w:rsidRPr="00750906" w:rsidRDefault="003E37C9" w:rsidP="003E37C9">
      <w:pPr>
        <w:pStyle w:val="Caption"/>
        <w:jc w:val="both"/>
        <w:rPr>
          <w:rFonts w:ascii="Times New Roman" w:hAnsi="Times New Roman"/>
          <w:sz w:val="21"/>
          <w:szCs w:val="21"/>
        </w:rPr>
      </w:pPr>
      <w:proofErr w:type="gramStart"/>
      <w:r w:rsidRPr="00750906">
        <w:rPr>
          <w:rFonts w:ascii="Times New Roman" w:hAnsi="Times New Roman"/>
          <w:sz w:val="21"/>
          <w:szCs w:val="21"/>
        </w:rPr>
        <w:t>Figure</w:t>
      </w:r>
      <w:r w:rsidR="00D349A5">
        <w:rPr>
          <w:rFonts w:ascii="Times New Roman" w:hAnsi="Times New Roman"/>
          <w:sz w:val="21"/>
          <w:szCs w:val="21"/>
        </w:rPr>
        <w:t xml:space="preserve"> </w:t>
      </w:r>
      <w:r w:rsidRPr="00750906">
        <w:rPr>
          <w:rFonts w:ascii="Times New Roman" w:hAnsi="Times New Roman"/>
          <w:sz w:val="21"/>
          <w:szCs w:val="21"/>
        </w:rPr>
        <w:t>4.18.</w:t>
      </w:r>
      <w:proofErr w:type="gramEnd"/>
      <w:r w:rsidR="00D349A5">
        <w:rPr>
          <w:rFonts w:ascii="Times New Roman" w:hAnsi="Times New Roman"/>
          <w:sz w:val="21"/>
          <w:szCs w:val="21"/>
        </w:rPr>
        <w:t xml:space="preserve"> </w:t>
      </w:r>
      <w:r w:rsidRPr="00750906">
        <w:rPr>
          <w:rFonts w:ascii="Times New Roman" w:eastAsia="AGaramond-Regular" w:hAnsi="Times New Roman"/>
          <w:sz w:val="21"/>
          <w:szCs w:val="21"/>
        </w:rPr>
        <w:t xml:space="preserve">Integration of bioturbation data for Core </w:t>
      </w:r>
      <w:proofErr w:type="gramStart"/>
      <w:r w:rsidRPr="00750906">
        <w:rPr>
          <w:rFonts w:ascii="Times New Roman" w:eastAsia="AGaramond-Regular" w:hAnsi="Times New Roman"/>
          <w:sz w:val="21"/>
          <w:szCs w:val="21"/>
        </w:rPr>
        <w:t>A</w:t>
      </w:r>
      <w:proofErr w:type="gramEnd"/>
      <w:r w:rsidRPr="00750906">
        <w:rPr>
          <w:rFonts w:ascii="Times New Roman" w:eastAsia="AGaramond-Regular" w:hAnsi="Times New Roman"/>
          <w:sz w:val="21"/>
          <w:szCs w:val="21"/>
        </w:rPr>
        <w:t xml:space="preserve">, including GRI (Gas Research Institute) porosity, permeability, XRD and Geochemistry from CoreLab. Burrow Type: Chondrites (C), Paleodictyon and Grazing Trails (G), Planolites (P) and </w:t>
      </w:r>
      <w:r w:rsidR="00A65F36" w:rsidRPr="00A65F36">
        <w:rPr>
          <w:rFonts w:ascii="Times New Roman" w:eastAsia="AGaramond-Regular" w:hAnsi="Times New Roman"/>
          <w:i/>
          <w:sz w:val="21"/>
          <w:szCs w:val="21"/>
        </w:rPr>
        <w:t>Thalassinoides</w:t>
      </w:r>
      <w:r w:rsidRPr="00750906">
        <w:rPr>
          <w:rFonts w:ascii="Times New Roman" w:eastAsia="AGaramond-Regular" w:hAnsi="Times New Roman"/>
          <w:sz w:val="21"/>
          <w:szCs w:val="21"/>
        </w:rPr>
        <w:t xml:space="preserve"> (T)</w:t>
      </w:r>
    </w:p>
    <w:p w:rsidR="003E37C9" w:rsidRPr="00750906" w:rsidRDefault="003E37C9" w:rsidP="00001D73">
      <w:pPr>
        <w:spacing w:line="240" w:lineRule="auto"/>
        <w:jc w:val="center"/>
        <w:rPr>
          <w:rFonts w:ascii="Times New Roman" w:hAnsi="Times New Roman"/>
          <w:b/>
          <w:bCs/>
          <w:sz w:val="21"/>
          <w:szCs w:val="21"/>
        </w:rPr>
      </w:pPr>
      <w:r w:rsidRPr="00750906">
        <w:rPr>
          <w:rFonts w:ascii="Times New Roman" w:hAnsi="Times New Roman"/>
          <w:b/>
          <w:bCs/>
          <w:noProof/>
          <w:sz w:val="21"/>
          <w:szCs w:val="21"/>
          <w:lang w:bidi="ar-SA"/>
        </w:rPr>
        <w:lastRenderedPageBreak/>
        <w:drawing>
          <wp:inline distT="0" distB="0" distL="0" distR="0" wp14:anchorId="112FAE11" wp14:editId="6D358F93">
            <wp:extent cx="5264150" cy="7391400"/>
            <wp:effectExtent l="19050" t="19050" r="12700" b="19050"/>
            <wp:docPr id="1054" name="图片 5" descr="Teague Core Integrate_v9_Chemostrata_Depth Adjus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gue Core Integrate_v9_Chemostrata_Depth Adjusted.jpg"/>
                    <pic:cNvPicPr/>
                  </pic:nvPicPr>
                  <pic:blipFill>
                    <a:blip r:embed="rId194" cstate="print"/>
                    <a:stretch>
                      <a:fillRect/>
                    </a:stretch>
                  </pic:blipFill>
                  <pic:spPr>
                    <a:xfrm>
                      <a:off x="0" y="0"/>
                      <a:ext cx="5261469" cy="7387635"/>
                    </a:xfrm>
                    <a:prstGeom prst="rect">
                      <a:avLst/>
                    </a:prstGeom>
                    <a:ln>
                      <a:solidFill>
                        <a:schemeClr val="tx1"/>
                      </a:solidFill>
                    </a:ln>
                  </pic:spPr>
                </pic:pic>
              </a:graphicData>
            </a:graphic>
          </wp:inline>
        </w:drawing>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sz w:val="21"/>
          <w:szCs w:val="21"/>
        </w:rPr>
        <w:t>Figure 4.19.</w:t>
      </w:r>
      <w:r w:rsidRPr="00750906">
        <w:rPr>
          <w:rFonts w:ascii="Times New Roman" w:eastAsia="AGaramond-Regular" w:hAnsi="Times New Roman"/>
          <w:sz w:val="21"/>
          <w:szCs w:val="21"/>
        </w:rPr>
        <w:t>Integration of bioturbation data for Core A with chemostrata data. The high resolution hand held X-Ray Fluorescence (XRF) data is from Dr. Harry Rowe of University of Texas at Austin.</w:t>
      </w:r>
    </w:p>
    <w:p w:rsidR="003E37C9" w:rsidRPr="00750906" w:rsidRDefault="003E37C9" w:rsidP="003E37C9">
      <w:pPr>
        <w:spacing w:line="240" w:lineRule="auto"/>
        <w:rPr>
          <w:rFonts w:ascii="Times New Roman" w:hAnsi="Times New Roman"/>
          <w:b/>
          <w:bCs/>
          <w:sz w:val="21"/>
          <w:szCs w:val="21"/>
        </w:rPr>
      </w:pPr>
      <w:r w:rsidRPr="00750906">
        <w:rPr>
          <w:rFonts w:ascii="Times New Roman" w:hAnsi="Times New Roman"/>
          <w:b/>
          <w:bCs/>
          <w:sz w:val="21"/>
          <w:szCs w:val="21"/>
        </w:rPr>
        <w:br w:type="page"/>
      </w:r>
    </w:p>
    <w:p w:rsidR="003E37C9" w:rsidRPr="00750906" w:rsidRDefault="006B086A" w:rsidP="003E37C9">
      <w:pPr>
        <w:pStyle w:val="Caption"/>
        <w:rPr>
          <w:rFonts w:ascii="Times New Roman" w:eastAsia="AGaramond-Regular" w:hAnsi="Times New Roman"/>
          <w:sz w:val="21"/>
          <w:szCs w:val="21"/>
        </w:rPr>
      </w:pPr>
      <w:r>
        <w:rPr>
          <w:rFonts w:ascii="Times New Roman" w:hAnsi="Times New Roman"/>
          <w:noProof/>
          <w:sz w:val="21"/>
          <w:szCs w:val="21"/>
          <w:lang w:bidi="ar-SA"/>
        </w:rPr>
        <w:lastRenderedPageBreak/>
        <w:drawing>
          <wp:inline distT="0" distB="0" distL="0" distR="0" wp14:anchorId="5873AA41">
            <wp:extent cx="4998720" cy="7429500"/>
            <wp:effectExtent l="0" t="0" r="0" b="0"/>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998720" cy="7429500"/>
                    </a:xfrm>
                    <a:prstGeom prst="rect">
                      <a:avLst/>
                    </a:prstGeom>
                    <a:noFill/>
                  </pic:spPr>
                </pic:pic>
              </a:graphicData>
            </a:graphic>
          </wp:inline>
        </w:drawing>
      </w:r>
      <w:proofErr w:type="gramStart"/>
      <w:r w:rsidR="003E37C9" w:rsidRPr="00750906">
        <w:rPr>
          <w:rFonts w:ascii="Times New Roman" w:hAnsi="Times New Roman"/>
          <w:sz w:val="21"/>
          <w:szCs w:val="21"/>
        </w:rPr>
        <w:t>Figure 4.20.</w:t>
      </w:r>
      <w:proofErr w:type="gramEnd"/>
      <w:r w:rsidR="003E37C9" w:rsidRPr="00750906">
        <w:rPr>
          <w:rFonts w:ascii="Times New Roman" w:hAnsi="Times New Roman"/>
          <w:sz w:val="21"/>
          <w:szCs w:val="21"/>
        </w:rPr>
        <w:t xml:space="preserve"> Petrophysics logs of Corer B, including GR, Resistivity, Neutron-Density, Calculated TOC, VClay, Brittleness from dipole sonic </w:t>
      </w:r>
      <w:proofErr w:type="gramStart"/>
      <w:r w:rsidR="003E37C9" w:rsidRPr="00750906">
        <w:rPr>
          <w:rFonts w:ascii="Times New Roman" w:hAnsi="Times New Roman"/>
          <w:sz w:val="21"/>
          <w:szCs w:val="21"/>
        </w:rPr>
        <w:t>logs  and</w:t>
      </w:r>
      <w:proofErr w:type="gramEnd"/>
      <w:r w:rsidR="003E37C9" w:rsidRPr="00750906">
        <w:rPr>
          <w:rFonts w:ascii="Times New Roman" w:hAnsi="Times New Roman"/>
          <w:sz w:val="21"/>
          <w:szCs w:val="21"/>
        </w:rPr>
        <w:t xml:space="preserve"> calculated water saturation.</w:t>
      </w:r>
    </w:p>
    <w:p w:rsidR="003E37C9" w:rsidRPr="00750906" w:rsidRDefault="003E37C9" w:rsidP="007922A3">
      <w:pPr>
        <w:spacing w:line="240" w:lineRule="auto"/>
        <w:rPr>
          <w:rFonts w:ascii="Times New Roman" w:hAnsi="Times New Roman"/>
          <w:b/>
          <w:bCs/>
          <w:sz w:val="21"/>
          <w:szCs w:val="21"/>
        </w:rPr>
      </w:pPr>
    </w:p>
    <w:p w:rsidR="003E37C9" w:rsidRPr="00750906" w:rsidRDefault="003E37C9" w:rsidP="003E37C9">
      <w:pPr>
        <w:keepNext/>
        <w:spacing w:line="240" w:lineRule="auto"/>
        <w:jc w:val="center"/>
        <w:rPr>
          <w:rFonts w:ascii="Times New Roman" w:hAnsi="Times New Roman"/>
          <w:sz w:val="21"/>
          <w:szCs w:val="21"/>
        </w:rPr>
      </w:pPr>
      <w:r w:rsidRPr="00750906">
        <w:rPr>
          <w:rFonts w:ascii="Times New Roman" w:hAnsi="Times New Roman"/>
          <w:b/>
          <w:bCs/>
          <w:noProof/>
          <w:sz w:val="21"/>
          <w:szCs w:val="21"/>
          <w:lang w:bidi="ar-SA"/>
        </w:rPr>
        <w:lastRenderedPageBreak/>
        <w:drawing>
          <wp:inline distT="0" distB="0" distL="0" distR="0" wp14:anchorId="7DEC6604" wp14:editId="7112A2B5">
            <wp:extent cx="5088129" cy="7467969"/>
            <wp:effectExtent l="19050" t="19050" r="17780" b="19050"/>
            <wp:docPr id="1040" name="图片 11" descr="Ridenour Core Integration_v6_Depth Adjus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denour Core Integration_v6_Depth Adjusted.jpg"/>
                    <pic:cNvPicPr/>
                  </pic:nvPicPr>
                  <pic:blipFill>
                    <a:blip r:embed="rId196" cstate="print"/>
                    <a:stretch>
                      <a:fillRect/>
                    </a:stretch>
                  </pic:blipFill>
                  <pic:spPr>
                    <a:xfrm>
                      <a:off x="0" y="0"/>
                      <a:ext cx="5090024" cy="7470750"/>
                    </a:xfrm>
                    <a:prstGeom prst="rect">
                      <a:avLst/>
                    </a:prstGeom>
                    <a:ln>
                      <a:solidFill>
                        <a:schemeClr val="tx1"/>
                      </a:solidFill>
                    </a:ln>
                  </pic:spPr>
                </pic:pic>
              </a:graphicData>
            </a:graphic>
          </wp:inline>
        </w:drawing>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sz w:val="21"/>
          <w:szCs w:val="21"/>
        </w:rPr>
        <w:t>Figure 4.21.</w:t>
      </w:r>
      <w:r w:rsidRPr="00750906">
        <w:rPr>
          <w:rFonts w:ascii="Times New Roman" w:eastAsia="AGaramond-Regular" w:hAnsi="Times New Roman"/>
          <w:sz w:val="21"/>
          <w:szCs w:val="21"/>
        </w:rPr>
        <w:t xml:space="preserve">Integrated description of Core B, with emphasis on bioturbation. Bioturbation Index (BI) is the sum of all four trace fossils (short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long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Paleodictyon, </w:t>
      </w:r>
      <w:r w:rsidRPr="00750906">
        <w:rPr>
          <w:rFonts w:ascii="Times New Roman" w:eastAsia="AGaramond-Regular" w:hAnsi="Times New Roman"/>
          <w:i/>
          <w:sz w:val="21"/>
          <w:szCs w:val="21"/>
        </w:rPr>
        <w:t>Planolites</w:t>
      </w:r>
      <w:r w:rsidRPr="00750906">
        <w:rPr>
          <w:rFonts w:ascii="Times New Roman" w:eastAsia="AGaramond-Regular" w:hAnsi="Times New Roman"/>
          <w:sz w:val="21"/>
          <w:szCs w:val="21"/>
        </w:rPr>
        <w:t>).</w:t>
      </w:r>
      <w:r>
        <w:rPr>
          <w:rFonts w:ascii="Times New Roman" w:eastAsia="AGaramond-Regular" w:hAnsi="Times New Roman"/>
          <w:sz w:val="21"/>
          <w:szCs w:val="21"/>
        </w:rPr>
        <w:t>Description and Interpretation are based on Dr. Joan Spaw, Kimberly Hlava and Fuge Zou’s work.</w:t>
      </w:r>
    </w:p>
    <w:p w:rsidR="003E37C9" w:rsidRPr="007922A3" w:rsidRDefault="006B086A" w:rsidP="003E37C9">
      <w:pPr>
        <w:spacing w:line="240" w:lineRule="auto"/>
        <w:rPr>
          <w:rFonts w:ascii="Times New Roman" w:hAnsi="Times New Roman"/>
          <w:b/>
          <w:sz w:val="21"/>
          <w:szCs w:val="21"/>
        </w:rPr>
      </w:pPr>
      <w:r>
        <w:rPr>
          <w:rFonts w:ascii="Times New Roman" w:hAnsi="Times New Roman"/>
          <w:b/>
          <w:noProof/>
          <w:sz w:val="21"/>
          <w:szCs w:val="21"/>
          <w:lang w:bidi="ar-SA"/>
        </w:rPr>
        <w:lastRenderedPageBreak/>
        <w:drawing>
          <wp:inline distT="0" distB="0" distL="0" distR="0" wp14:anchorId="75ADF75B">
            <wp:extent cx="5143500" cy="7414260"/>
            <wp:effectExtent l="0" t="0" r="0" b="0"/>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143500" cy="7414260"/>
                    </a:xfrm>
                    <a:prstGeom prst="rect">
                      <a:avLst/>
                    </a:prstGeom>
                    <a:noFill/>
                  </pic:spPr>
                </pic:pic>
              </a:graphicData>
            </a:graphic>
          </wp:inline>
        </w:drawing>
      </w:r>
      <w:r w:rsidR="003E37C9" w:rsidRPr="007922A3">
        <w:rPr>
          <w:rFonts w:ascii="Times New Roman" w:hAnsi="Times New Roman"/>
          <w:b/>
          <w:sz w:val="21"/>
          <w:szCs w:val="21"/>
        </w:rPr>
        <w:t>Figure 4.22.</w:t>
      </w:r>
      <w:r w:rsidR="003E37C9" w:rsidRPr="007922A3">
        <w:rPr>
          <w:rFonts w:ascii="Times New Roman" w:eastAsia="AGaramond-Regular" w:hAnsi="Times New Roman"/>
          <w:b/>
          <w:sz w:val="21"/>
          <w:szCs w:val="21"/>
        </w:rPr>
        <w:t xml:space="preserve">Integration of bioturbation data for Core B with chemostrata data. The high resolution hand held X-Ray Fluorescence (XRF) data is from Dr. Harry Rowe of University of Texas at Austin. Burrow Type: Chondrites (C), Paleodictyon and Grazing Trails (G), Planolites (P) and </w:t>
      </w:r>
      <w:r w:rsidR="00A65F36" w:rsidRPr="00A65F36">
        <w:rPr>
          <w:rFonts w:ascii="Times New Roman" w:eastAsia="AGaramond-Regular" w:hAnsi="Times New Roman"/>
          <w:b/>
          <w:i/>
          <w:sz w:val="21"/>
          <w:szCs w:val="21"/>
        </w:rPr>
        <w:t>Thalassinoides</w:t>
      </w:r>
      <w:r w:rsidR="003E37C9" w:rsidRPr="007922A3">
        <w:rPr>
          <w:rFonts w:ascii="Times New Roman" w:eastAsia="AGaramond-Regular" w:hAnsi="Times New Roman"/>
          <w:b/>
          <w:sz w:val="21"/>
          <w:szCs w:val="21"/>
        </w:rPr>
        <w:t xml:space="preserve"> (T)</w:t>
      </w:r>
    </w:p>
    <w:p w:rsidR="003E37C9" w:rsidRPr="00750906" w:rsidRDefault="00D349A5" w:rsidP="00001D73">
      <w:pPr>
        <w:jc w:val="center"/>
        <w:rPr>
          <w:rFonts w:ascii="Times New Roman" w:hAnsi="Times New Roman"/>
          <w:sz w:val="21"/>
          <w:szCs w:val="21"/>
        </w:rPr>
      </w:pPr>
      <w:r w:rsidRPr="00750906">
        <w:rPr>
          <w:rFonts w:ascii="Times New Roman" w:hAnsi="Times New Roman"/>
          <w:noProof/>
          <w:sz w:val="21"/>
          <w:szCs w:val="21"/>
          <w:lang w:bidi="ar-SA"/>
        </w:rPr>
        <w:lastRenderedPageBreak/>
        <w:drawing>
          <wp:inline distT="0" distB="0" distL="0" distR="0" wp14:anchorId="4C24DBFE" wp14:editId="3D187165">
            <wp:extent cx="5094514" cy="7097486"/>
            <wp:effectExtent l="19050" t="19050" r="11430" b="27305"/>
            <wp:docPr id="1049" name="图片 9" descr="Ridenour Core Integration_v9_Chemostrata_Depth_Adjus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denour Core Integration_v9_Chemostrata_Depth_Adjusted.jpg"/>
                    <pic:cNvPicPr/>
                  </pic:nvPicPr>
                  <pic:blipFill>
                    <a:blip r:embed="rId198" cstate="print"/>
                    <a:stretch>
                      <a:fillRect/>
                    </a:stretch>
                  </pic:blipFill>
                  <pic:spPr>
                    <a:xfrm>
                      <a:off x="0" y="0"/>
                      <a:ext cx="5100377" cy="7105654"/>
                    </a:xfrm>
                    <a:prstGeom prst="rect">
                      <a:avLst/>
                    </a:prstGeom>
                    <a:ln>
                      <a:solidFill>
                        <a:schemeClr val="tx1"/>
                      </a:solidFill>
                    </a:ln>
                  </pic:spPr>
                </pic:pic>
              </a:graphicData>
            </a:graphic>
          </wp:inline>
        </w:drawing>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sz w:val="21"/>
          <w:szCs w:val="21"/>
        </w:rPr>
        <w:t>Figure 4.23.</w:t>
      </w:r>
      <w:r w:rsidRPr="00750906">
        <w:rPr>
          <w:rFonts w:ascii="Times New Roman" w:eastAsia="AGaramond-Regular" w:hAnsi="Times New Roman"/>
          <w:sz w:val="21"/>
          <w:szCs w:val="21"/>
        </w:rPr>
        <w:t>Integration of bioturbation data for Core B with chemostrata data. The high resolution hand held X-Ray Fluorescence (XRF) data is from Dr. Harry Rowe of University of Texas at Austin.</w:t>
      </w:r>
    </w:p>
    <w:p w:rsidR="003E37C9" w:rsidRPr="00750906" w:rsidRDefault="003E37C9" w:rsidP="003E37C9">
      <w:pPr>
        <w:spacing w:line="240" w:lineRule="auto"/>
        <w:rPr>
          <w:rFonts w:ascii="Times New Roman" w:hAnsi="Times New Roman"/>
          <w:b/>
          <w:bCs/>
          <w:sz w:val="21"/>
          <w:szCs w:val="21"/>
          <w:lang w:eastAsia="zh-CN"/>
        </w:rPr>
      </w:pPr>
    </w:p>
    <w:p w:rsidR="003E37C9" w:rsidRPr="00750906" w:rsidRDefault="003E37C9" w:rsidP="003E37C9">
      <w:pPr>
        <w:spacing w:line="240" w:lineRule="auto"/>
        <w:rPr>
          <w:rFonts w:ascii="Times New Roman" w:hAnsi="Times New Roman"/>
          <w:b/>
          <w:bCs/>
          <w:sz w:val="21"/>
          <w:szCs w:val="21"/>
          <w:lang w:eastAsia="zh-CN"/>
        </w:rPr>
      </w:pPr>
    </w:p>
    <w:p w:rsidR="003E37C9" w:rsidRPr="00750906" w:rsidRDefault="00B82B3C" w:rsidP="00001D73">
      <w:pPr>
        <w:spacing w:line="240" w:lineRule="auto"/>
        <w:jc w:val="center"/>
        <w:rPr>
          <w:rFonts w:ascii="Times New Roman" w:hAnsi="Times New Roman"/>
          <w:b/>
          <w:bCs/>
          <w:sz w:val="21"/>
          <w:szCs w:val="21"/>
          <w:lang w:eastAsia="zh-CN"/>
        </w:rPr>
      </w:pPr>
      <w:r>
        <w:rPr>
          <w:rFonts w:ascii="Times New Roman" w:hAnsi="Times New Roman"/>
          <w:b/>
          <w:bCs/>
          <w:noProof/>
          <w:sz w:val="21"/>
          <w:szCs w:val="21"/>
          <w:lang w:bidi="ar-SA"/>
        </w:rPr>
        <w:lastRenderedPageBreak/>
        <w:drawing>
          <wp:inline distT="0" distB="0" distL="0" distR="0" wp14:anchorId="44174850">
            <wp:extent cx="5173980" cy="58978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173980" cy="5897880"/>
                    </a:xfrm>
                    <a:prstGeom prst="rect">
                      <a:avLst/>
                    </a:prstGeom>
                    <a:noFill/>
                  </pic:spPr>
                </pic:pic>
              </a:graphicData>
            </a:graphic>
          </wp:inline>
        </w:drawing>
      </w:r>
    </w:p>
    <w:p w:rsidR="003E37C9" w:rsidRPr="00750906" w:rsidRDefault="003E37C9" w:rsidP="003E37C9">
      <w:pPr>
        <w:spacing w:line="240" w:lineRule="auto"/>
        <w:rPr>
          <w:rFonts w:ascii="Times New Roman" w:hAnsi="Times New Roman"/>
          <w:b/>
          <w:bCs/>
          <w:sz w:val="21"/>
          <w:szCs w:val="21"/>
          <w:lang w:eastAsia="zh-CN"/>
        </w:rPr>
      </w:pPr>
      <w:proofErr w:type="gramStart"/>
      <w:r w:rsidRPr="00750906">
        <w:rPr>
          <w:rFonts w:ascii="Times New Roman" w:hAnsi="Times New Roman"/>
          <w:b/>
          <w:bCs/>
          <w:sz w:val="21"/>
          <w:szCs w:val="21"/>
          <w:lang w:eastAsia="zh-CN"/>
        </w:rPr>
        <w:t>Figure 4.24.</w:t>
      </w:r>
      <w:proofErr w:type="gramEnd"/>
      <w:r w:rsidRPr="00750906">
        <w:rPr>
          <w:rFonts w:ascii="Times New Roman" w:hAnsi="Times New Roman"/>
          <w:b/>
          <w:bCs/>
          <w:sz w:val="21"/>
          <w:szCs w:val="21"/>
          <w:lang w:eastAsia="zh-CN"/>
        </w:rPr>
        <w:t xml:space="preserve"> Petrophysics logs of Corer C, including GR, Resistivity, Neutron-Density, Calculated TOC, VClay, and calculated water saturation.</w:t>
      </w:r>
    </w:p>
    <w:p w:rsidR="003E37C9" w:rsidRPr="00750906" w:rsidRDefault="003E37C9" w:rsidP="003E37C9">
      <w:pPr>
        <w:keepNext/>
        <w:spacing w:line="240" w:lineRule="auto"/>
        <w:jc w:val="center"/>
        <w:rPr>
          <w:rFonts w:ascii="Times New Roman" w:hAnsi="Times New Roman"/>
          <w:sz w:val="21"/>
          <w:szCs w:val="21"/>
        </w:rPr>
      </w:pPr>
      <w:r w:rsidRPr="00750906">
        <w:rPr>
          <w:rFonts w:ascii="Times New Roman" w:hAnsi="Times New Roman"/>
          <w:b/>
          <w:bCs/>
          <w:noProof/>
          <w:sz w:val="21"/>
          <w:szCs w:val="21"/>
          <w:lang w:bidi="ar-SA"/>
        </w:rPr>
        <w:lastRenderedPageBreak/>
        <w:drawing>
          <wp:inline distT="0" distB="0" distL="0" distR="0" wp14:anchorId="0178FC49" wp14:editId="19733372">
            <wp:extent cx="5025644" cy="7248525"/>
            <wp:effectExtent l="19050" t="19050" r="22860" b="9525"/>
            <wp:docPr id="1043" name="图片 12" descr="Spaw_ShiRandal_Core_Description_v9_Depth_Adjus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w_ShiRandal_Core_Description_v9_Depth_Adjusted.jpg"/>
                    <pic:cNvPicPr/>
                  </pic:nvPicPr>
                  <pic:blipFill>
                    <a:blip r:embed="rId200" cstate="print"/>
                    <a:stretch>
                      <a:fillRect/>
                    </a:stretch>
                  </pic:blipFill>
                  <pic:spPr>
                    <a:xfrm>
                      <a:off x="0" y="0"/>
                      <a:ext cx="5033901" cy="7260434"/>
                    </a:xfrm>
                    <a:prstGeom prst="rect">
                      <a:avLst/>
                    </a:prstGeom>
                    <a:ln>
                      <a:solidFill>
                        <a:schemeClr val="tx1"/>
                      </a:solidFill>
                    </a:ln>
                  </pic:spPr>
                </pic:pic>
              </a:graphicData>
            </a:graphic>
          </wp:inline>
        </w:drawing>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sz w:val="21"/>
          <w:szCs w:val="21"/>
        </w:rPr>
        <w:t>Figure 4.25.</w:t>
      </w:r>
      <w:r w:rsidRPr="00750906">
        <w:rPr>
          <w:rFonts w:ascii="Times New Roman" w:eastAsia="AGaramond-Regular" w:hAnsi="Times New Roman"/>
          <w:sz w:val="21"/>
          <w:szCs w:val="21"/>
        </w:rPr>
        <w:t xml:space="preserve">Integrated description of Core C, with emphasis on bioturbation. Bioturbation Index (BI) is the sum of all four trace fossils (short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long </w:t>
      </w:r>
      <w:r w:rsidRPr="00750906">
        <w:rPr>
          <w:rFonts w:ascii="Times New Roman" w:eastAsia="AGaramond-Regular" w:hAnsi="Times New Roman"/>
          <w:i/>
          <w:sz w:val="21"/>
          <w:szCs w:val="21"/>
        </w:rPr>
        <w:t>Chondrites</w:t>
      </w:r>
      <w:r w:rsidRPr="00750906">
        <w:rPr>
          <w:rFonts w:ascii="Times New Roman" w:eastAsia="AGaramond-Regular" w:hAnsi="Times New Roman"/>
          <w:sz w:val="21"/>
          <w:szCs w:val="21"/>
        </w:rPr>
        <w:t xml:space="preserve">, Paleodictyon, </w:t>
      </w:r>
      <w:r w:rsidRPr="00750906">
        <w:rPr>
          <w:rFonts w:ascii="Times New Roman" w:eastAsia="AGaramond-Regular" w:hAnsi="Times New Roman"/>
          <w:i/>
          <w:sz w:val="21"/>
          <w:szCs w:val="21"/>
        </w:rPr>
        <w:t>Planolites</w:t>
      </w:r>
      <w:r w:rsidRPr="00750906">
        <w:rPr>
          <w:rFonts w:ascii="Times New Roman" w:eastAsia="AGaramond-Regular" w:hAnsi="Times New Roman"/>
          <w:sz w:val="21"/>
          <w:szCs w:val="21"/>
        </w:rPr>
        <w:t>).</w:t>
      </w:r>
      <w:r>
        <w:rPr>
          <w:rFonts w:ascii="Times New Roman" w:eastAsia="AGaramond-Regular" w:hAnsi="Times New Roman"/>
          <w:sz w:val="21"/>
          <w:szCs w:val="21"/>
        </w:rPr>
        <w:t>Description and Interpretation are based on Dr. Joan Spaw, Kimberly Hlava and Fuge Zou’s work.</w:t>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b w:val="0"/>
          <w:bCs w:val="0"/>
          <w:sz w:val="21"/>
          <w:szCs w:val="21"/>
        </w:rPr>
        <w:br w:type="page"/>
      </w:r>
      <w:r w:rsidR="00B82B3C">
        <w:rPr>
          <w:rFonts w:ascii="Times New Roman" w:hAnsi="Times New Roman"/>
          <w:b w:val="0"/>
          <w:bCs w:val="0"/>
          <w:noProof/>
          <w:sz w:val="21"/>
          <w:szCs w:val="21"/>
          <w:lang w:bidi="ar-SA"/>
        </w:rPr>
        <w:lastRenderedPageBreak/>
        <w:drawing>
          <wp:inline distT="0" distB="0" distL="0" distR="0" wp14:anchorId="61578C97">
            <wp:extent cx="5105400" cy="7482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105400" cy="7482840"/>
                    </a:xfrm>
                    <a:prstGeom prst="rect">
                      <a:avLst/>
                    </a:prstGeom>
                    <a:noFill/>
                  </pic:spPr>
                </pic:pic>
              </a:graphicData>
            </a:graphic>
          </wp:inline>
        </w:drawing>
      </w:r>
      <w:r w:rsidRPr="00750906">
        <w:rPr>
          <w:rFonts w:ascii="Times New Roman" w:hAnsi="Times New Roman"/>
          <w:sz w:val="21"/>
          <w:szCs w:val="21"/>
        </w:rPr>
        <w:t xml:space="preserve">Figure 4.26.Integration of bioturbation data for Core C with chemostrata data. The </w:t>
      </w:r>
    </w:p>
    <w:p w:rsidR="003E37C9" w:rsidRPr="00750906" w:rsidRDefault="003E37C9" w:rsidP="003E37C9">
      <w:pPr>
        <w:pStyle w:val="Caption"/>
        <w:jc w:val="both"/>
        <w:rPr>
          <w:rFonts w:ascii="Times New Roman" w:hAnsi="Times New Roman"/>
          <w:b w:val="0"/>
          <w:bCs w:val="0"/>
          <w:sz w:val="21"/>
          <w:szCs w:val="21"/>
        </w:rPr>
      </w:pPr>
      <w:proofErr w:type="gramStart"/>
      <w:r w:rsidRPr="00750906">
        <w:rPr>
          <w:rFonts w:ascii="Times New Roman" w:hAnsi="Times New Roman"/>
          <w:sz w:val="21"/>
          <w:szCs w:val="21"/>
        </w:rPr>
        <w:t>high</w:t>
      </w:r>
      <w:proofErr w:type="gramEnd"/>
      <w:r w:rsidRPr="00750906">
        <w:rPr>
          <w:rFonts w:ascii="Times New Roman" w:hAnsi="Times New Roman"/>
          <w:sz w:val="21"/>
          <w:szCs w:val="21"/>
        </w:rPr>
        <w:t xml:space="preserve"> resolution hand held X-Ray Fluorescence (XRF) data is from Dr. Harry Rowe of University of Texas at Austin. Burrow Type: Chondrites (C), Paleodictyon and Grazing Trails (G), Planolites (P) and </w:t>
      </w:r>
      <w:r w:rsidR="00A65F36" w:rsidRPr="00A65F36">
        <w:rPr>
          <w:rFonts w:ascii="Times New Roman" w:hAnsi="Times New Roman"/>
          <w:i/>
          <w:sz w:val="21"/>
          <w:szCs w:val="21"/>
        </w:rPr>
        <w:t>Thalassinoides</w:t>
      </w:r>
      <w:r w:rsidRPr="00750906">
        <w:rPr>
          <w:rFonts w:ascii="Times New Roman" w:hAnsi="Times New Roman"/>
          <w:sz w:val="21"/>
          <w:szCs w:val="21"/>
        </w:rPr>
        <w:t xml:space="preserve"> (T)</w:t>
      </w:r>
      <w:r w:rsidRPr="00750906">
        <w:rPr>
          <w:rFonts w:ascii="Times New Roman" w:hAnsi="Times New Roman"/>
          <w:b w:val="0"/>
          <w:bCs w:val="0"/>
          <w:sz w:val="21"/>
          <w:szCs w:val="21"/>
        </w:rPr>
        <w:br w:type="page"/>
      </w:r>
    </w:p>
    <w:p w:rsidR="003E37C9" w:rsidRPr="00750906" w:rsidRDefault="003E37C9" w:rsidP="00001D73">
      <w:pPr>
        <w:jc w:val="center"/>
        <w:rPr>
          <w:rFonts w:ascii="Times New Roman" w:hAnsi="Times New Roman"/>
          <w:sz w:val="21"/>
          <w:szCs w:val="21"/>
        </w:rPr>
      </w:pPr>
      <w:r w:rsidRPr="00750906">
        <w:rPr>
          <w:rFonts w:ascii="Times New Roman" w:hAnsi="Times New Roman"/>
          <w:noProof/>
          <w:sz w:val="21"/>
          <w:szCs w:val="21"/>
          <w:lang w:bidi="ar-SA"/>
        </w:rPr>
        <w:lastRenderedPageBreak/>
        <w:drawing>
          <wp:inline distT="0" distB="0" distL="0" distR="0" wp14:anchorId="1B89A559" wp14:editId="0A98FA23">
            <wp:extent cx="5099614" cy="7372147"/>
            <wp:effectExtent l="19050" t="0" r="5786" b="0"/>
            <wp:docPr id="142" name="图片 13" descr="Spaw_ShiRandal_Core_Description_v13_Chemostrat_Depth_Adjus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w_ShiRandal_Core_Description_v13_Chemostrat_Depth_Adjusted.jpg"/>
                    <pic:cNvPicPr/>
                  </pic:nvPicPr>
                  <pic:blipFill>
                    <a:blip r:embed="rId202" cstate="print"/>
                    <a:stretch>
                      <a:fillRect/>
                    </a:stretch>
                  </pic:blipFill>
                  <pic:spPr>
                    <a:xfrm>
                      <a:off x="0" y="0"/>
                      <a:ext cx="5102755" cy="7376687"/>
                    </a:xfrm>
                    <a:prstGeom prst="rect">
                      <a:avLst/>
                    </a:prstGeom>
                  </pic:spPr>
                </pic:pic>
              </a:graphicData>
            </a:graphic>
          </wp:inline>
        </w:drawing>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sz w:val="21"/>
          <w:szCs w:val="21"/>
        </w:rPr>
        <w:t>Figure 4.27.</w:t>
      </w:r>
      <w:r w:rsidRPr="00750906">
        <w:rPr>
          <w:rFonts w:ascii="Times New Roman" w:eastAsia="AGaramond-Regular" w:hAnsi="Times New Roman"/>
          <w:sz w:val="21"/>
          <w:szCs w:val="21"/>
        </w:rPr>
        <w:t>Integration of bioturbation data for Core B with chemostrata data. The high resolution hand held X-Ray Fluorescence (XRF) data is from Dr. Harry Rowe of University of Texas at Austin.</w:t>
      </w:r>
    </w:p>
    <w:p w:rsidR="003E37C9" w:rsidRPr="00750906" w:rsidRDefault="003E37C9" w:rsidP="003E37C9">
      <w:pPr>
        <w:pStyle w:val="Caption"/>
        <w:jc w:val="both"/>
        <w:rPr>
          <w:rFonts w:ascii="Times New Roman" w:hAnsi="Times New Roman"/>
          <w:sz w:val="21"/>
          <w:szCs w:val="21"/>
        </w:rPr>
      </w:pPr>
    </w:p>
    <w:p w:rsidR="003E37C9" w:rsidRPr="00750906" w:rsidRDefault="003E37C9" w:rsidP="003E37C9">
      <w:pPr>
        <w:jc w:val="center"/>
        <w:rPr>
          <w:rFonts w:ascii="Times New Roman" w:hAnsi="Times New Roman"/>
          <w:sz w:val="21"/>
          <w:szCs w:val="21"/>
        </w:rPr>
      </w:pPr>
      <w:r w:rsidRPr="00750906">
        <w:rPr>
          <w:rFonts w:ascii="Times New Roman" w:hAnsi="Times New Roman"/>
          <w:noProof/>
          <w:sz w:val="21"/>
          <w:szCs w:val="21"/>
          <w:lang w:bidi="ar-SA"/>
        </w:rPr>
        <w:lastRenderedPageBreak/>
        <w:drawing>
          <wp:inline distT="0" distB="0" distL="0" distR="0" wp14:anchorId="29C0CA09" wp14:editId="64139362">
            <wp:extent cx="2498923" cy="1910178"/>
            <wp:effectExtent l="19050" t="19050" r="15677" b="13872"/>
            <wp:docPr id="10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3" cstate="print"/>
                    <a:srcRect/>
                    <a:stretch>
                      <a:fillRect/>
                    </a:stretch>
                  </pic:blipFill>
                  <pic:spPr bwMode="auto">
                    <a:xfrm>
                      <a:off x="0" y="0"/>
                      <a:ext cx="2503195" cy="1913443"/>
                    </a:xfrm>
                    <a:prstGeom prst="rect">
                      <a:avLst/>
                    </a:prstGeom>
                    <a:noFill/>
                    <a:ln>
                      <a:solidFill>
                        <a:schemeClr val="tx1"/>
                      </a:solidFill>
                    </a:ln>
                  </pic:spPr>
                </pic:pic>
              </a:graphicData>
            </a:graphic>
          </wp:inline>
        </w:drawing>
      </w:r>
      <w:r w:rsidRPr="00750906">
        <w:rPr>
          <w:rFonts w:ascii="Times New Roman" w:hAnsi="Times New Roman"/>
          <w:noProof/>
          <w:sz w:val="21"/>
          <w:szCs w:val="21"/>
          <w:lang w:bidi="ar-SA"/>
        </w:rPr>
        <w:drawing>
          <wp:inline distT="0" distB="0" distL="0" distR="0" wp14:anchorId="5E0A07D1" wp14:editId="41DAC860">
            <wp:extent cx="2579266" cy="1906251"/>
            <wp:effectExtent l="19050" t="19050" r="11534" b="17799"/>
            <wp:docPr id="10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4" cstate="print"/>
                    <a:srcRect/>
                    <a:stretch>
                      <a:fillRect/>
                    </a:stretch>
                  </pic:blipFill>
                  <pic:spPr bwMode="auto">
                    <a:xfrm>
                      <a:off x="0" y="0"/>
                      <a:ext cx="2582099" cy="1908345"/>
                    </a:xfrm>
                    <a:prstGeom prst="rect">
                      <a:avLst/>
                    </a:prstGeom>
                    <a:noFill/>
                    <a:ln>
                      <a:solidFill>
                        <a:schemeClr val="tx1"/>
                      </a:solidFill>
                    </a:ln>
                  </pic:spPr>
                </pic:pic>
              </a:graphicData>
            </a:graphic>
          </wp:inline>
        </w:drawing>
      </w:r>
    </w:p>
    <w:p w:rsidR="003E37C9" w:rsidRPr="00750906" w:rsidRDefault="003E37C9" w:rsidP="003E37C9">
      <w:pPr>
        <w:pStyle w:val="Caption"/>
        <w:jc w:val="center"/>
        <w:rPr>
          <w:rFonts w:ascii="Times New Roman" w:hAnsi="Times New Roman"/>
          <w:sz w:val="21"/>
          <w:szCs w:val="21"/>
        </w:rPr>
      </w:pPr>
      <w:r w:rsidRPr="00750906">
        <w:rPr>
          <w:rFonts w:ascii="Times New Roman" w:hAnsi="Times New Roman"/>
          <w:noProof/>
          <w:sz w:val="21"/>
          <w:szCs w:val="21"/>
          <w:lang w:bidi="ar-SA"/>
        </w:rPr>
        <w:drawing>
          <wp:inline distT="0" distB="0" distL="0" distR="0" wp14:anchorId="0145D07D" wp14:editId="6E5BF511">
            <wp:extent cx="5131943" cy="3385457"/>
            <wp:effectExtent l="19050" t="19050" r="0" b="5715"/>
            <wp:docPr id="49" name="图片 4" descr="C:\Users\CynthiaPC\Dropbox\Fuge\Perm vs. Poro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ynthiaPC\Dropbox\Fuge\Perm vs. Porosity.jpg"/>
                    <pic:cNvPicPr>
                      <a:picLocks noChangeAspect="1" noChangeArrowheads="1"/>
                    </pic:cNvPicPr>
                  </pic:nvPicPr>
                  <pic:blipFill>
                    <a:blip r:embed="rId205" cstate="print"/>
                    <a:srcRect l="495" t="3307" r="11767" b="-52"/>
                    <a:stretch>
                      <a:fillRect/>
                    </a:stretch>
                  </pic:blipFill>
                  <pic:spPr bwMode="auto">
                    <a:xfrm>
                      <a:off x="0" y="0"/>
                      <a:ext cx="5145542" cy="3394428"/>
                    </a:xfrm>
                    <a:prstGeom prst="rect">
                      <a:avLst/>
                    </a:prstGeom>
                    <a:noFill/>
                    <a:ln w="9525">
                      <a:solidFill>
                        <a:schemeClr val="tx1"/>
                      </a:solidFill>
                      <a:miter lim="800000"/>
                      <a:headEnd/>
                      <a:tailEnd/>
                    </a:ln>
                  </pic:spPr>
                </pic:pic>
              </a:graphicData>
            </a:graphic>
          </wp:inline>
        </w:drawing>
      </w:r>
    </w:p>
    <w:p w:rsidR="003E37C9" w:rsidRPr="00750906" w:rsidRDefault="003E37C9" w:rsidP="003E37C9">
      <w:pPr>
        <w:pStyle w:val="Caption"/>
        <w:jc w:val="both"/>
        <w:rPr>
          <w:rFonts w:ascii="Times New Roman" w:hAnsi="Times New Roman"/>
          <w:sz w:val="21"/>
          <w:szCs w:val="21"/>
        </w:rPr>
      </w:pPr>
      <w:r w:rsidRPr="00750906">
        <w:rPr>
          <w:rFonts w:ascii="Times New Roman" w:hAnsi="Times New Roman"/>
          <w:sz w:val="21"/>
          <w:szCs w:val="21"/>
        </w:rPr>
        <w:t xml:space="preserve">Figure 4.28.Cross-plotting of bioturbation intensity, permeability, porosity and lithofacies of 149 samples from three the Woodford corers. </w:t>
      </w:r>
      <w:r>
        <w:rPr>
          <w:rFonts w:ascii="Times New Roman" w:hAnsi="Times New Roman"/>
          <w:sz w:val="21"/>
          <w:szCs w:val="21"/>
        </w:rPr>
        <w:t xml:space="preserve">Upper </w:t>
      </w:r>
      <w:r w:rsidRPr="00750906">
        <w:rPr>
          <w:rFonts w:ascii="Times New Roman" w:hAnsi="Times New Roman"/>
          <w:sz w:val="21"/>
          <w:szCs w:val="21"/>
        </w:rPr>
        <w:t xml:space="preserve">Left is the permeability-porosity plot colored by bioturbation index. </w:t>
      </w:r>
      <w:r>
        <w:rPr>
          <w:rFonts w:ascii="Times New Roman" w:hAnsi="Times New Roman"/>
          <w:sz w:val="21"/>
          <w:szCs w:val="21"/>
        </w:rPr>
        <w:t xml:space="preserve">Upper </w:t>
      </w:r>
      <w:r w:rsidRPr="00750906">
        <w:rPr>
          <w:rFonts w:ascii="Times New Roman" w:hAnsi="Times New Roman"/>
          <w:sz w:val="21"/>
          <w:szCs w:val="21"/>
        </w:rPr>
        <w:t>Right is the permeability-porosity plot colored by lithofacies.</w:t>
      </w:r>
      <w:r>
        <w:rPr>
          <w:rFonts w:ascii="Times New Roman" w:hAnsi="Times New Roman"/>
          <w:sz w:val="21"/>
          <w:szCs w:val="21"/>
        </w:rPr>
        <w:t xml:space="preserve"> Lower is the plotting of Porosity vs. Permeability colored by bioturbation types.</w:t>
      </w:r>
    </w:p>
    <w:p w:rsidR="003E37C9" w:rsidRDefault="003E37C9" w:rsidP="003E37C9">
      <w:pPr>
        <w:rPr>
          <w:rFonts w:ascii="Times New Roman" w:hAnsi="Times New Roman"/>
          <w:sz w:val="21"/>
          <w:szCs w:val="21"/>
          <w:lang w:eastAsia="zh-CN"/>
        </w:rPr>
      </w:pPr>
    </w:p>
    <w:p w:rsidR="003E37C9" w:rsidRDefault="003E37C9" w:rsidP="003E37C9">
      <w:pPr>
        <w:rPr>
          <w:rFonts w:ascii="Times New Roman" w:hAnsi="Times New Roman"/>
          <w:sz w:val="21"/>
          <w:szCs w:val="21"/>
          <w:lang w:eastAsia="zh-CN"/>
        </w:rPr>
      </w:pPr>
    </w:p>
    <w:p w:rsidR="0082504A" w:rsidRDefault="0082504A" w:rsidP="003E37C9">
      <w:pPr>
        <w:rPr>
          <w:rFonts w:ascii="Times New Roman" w:hAnsi="Times New Roman"/>
          <w:sz w:val="21"/>
          <w:szCs w:val="21"/>
          <w:lang w:eastAsia="zh-CN"/>
        </w:rPr>
      </w:pPr>
    </w:p>
    <w:p w:rsidR="0082504A" w:rsidRDefault="0082504A" w:rsidP="003E37C9">
      <w:pPr>
        <w:rPr>
          <w:rFonts w:ascii="Times New Roman" w:hAnsi="Times New Roman"/>
          <w:sz w:val="21"/>
          <w:szCs w:val="21"/>
          <w:lang w:eastAsia="zh-CN"/>
        </w:rPr>
      </w:pPr>
    </w:p>
    <w:p w:rsidR="0082504A" w:rsidRDefault="0082504A" w:rsidP="003E37C9">
      <w:pPr>
        <w:rPr>
          <w:rFonts w:ascii="Times New Roman" w:hAnsi="Times New Roman"/>
          <w:sz w:val="21"/>
          <w:szCs w:val="21"/>
          <w:lang w:eastAsia="zh-CN"/>
        </w:rPr>
      </w:pPr>
    </w:p>
    <w:p w:rsidR="0082504A" w:rsidRDefault="0082504A" w:rsidP="003E37C9">
      <w:pPr>
        <w:rPr>
          <w:rFonts w:ascii="Times New Roman" w:hAnsi="Times New Roman"/>
          <w:sz w:val="21"/>
          <w:szCs w:val="21"/>
          <w:lang w:eastAsia="zh-CN"/>
        </w:rPr>
      </w:pPr>
    </w:p>
    <w:p w:rsidR="0082504A" w:rsidRDefault="0082504A" w:rsidP="003E37C9">
      <w:pPr>
        <w:rPr>
          <w:rFonts w:ascii="Times New Roman" w:hAnsi="Times New Roman"/>
          <w:sz w:val="21"/>
          <w:szCs w:val="21"/>
          <w:lang w:eastAsia="zh-CN"/>
        </w:rPr>
      </w:pPr>
    </w:p>
    <w:p w:rsidR="0082504A" w:rsidRDefault="0082504A" w:rsidP="00001D73">
      <w:pPr>
        <w:pStyle w:val="Caption"/>
        <w:jc w:val="center"/>
        <w:rPr>
          <w:rFonts w:ascii="Times New Roman" w:hAnsi="Times New Roman"/>
          <w:noProof/>
          <w:sz w:val="21"/>
          <w:szCs w:val="21"/>
          <w:lang w:eastAsia="zh-CN" w:bidi="ar-SA"/>
        </w:rPr>
      </w:pPr>
      <w:r w:rsidRPr="008872BC">
        <w:rPr>
          <w:noProof/>
          <w:lang w:bidi="ar-SA"/>
        </w:rPr>
        <w:lastRenderedPageBreak/>
        <w:drawing>
          <wp:inline distT="0" distB="0" distL="0" distR="0" wp14:anchorId="3D4E4D81" wp14:editId="0000344B">
            <wp:extent cx="7072990" cy="4924425"/>
            <wp:effectExtent l="26352" t="11748" r="21273" b="21272"/>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rot="16200000">
                      <a:off x="0" y="0"/>
                      <a:ext cx="7069550" cy="4922030"/>
                    </a:xfrm>
                    <a:prstGeom prst="rect">
                      <a:avLst/>
                    </a:prstGeom>
                    <a:noFill/>
                    <a:ln>
                      <a:solidFill>
                        <a:schemeClr val="tx1"/>
                      </a:solidFill>
                    </a:ln>
                  </pic:spPr>
                </pic:pic>
              </a:graphicData>
            </a:graphic>
          </wp:inline>
        </w:drawing>
      </w:r>
    </w:p>
    <w:p w:rsidR="0082504A" w:rsidRDefault="0082504A" w:rsidP="0082504A">
      <w:pPr>
        <w:pStyle w:val="Caption"/>
        <w:jc w:val="both"/>
        <w:rPr>
          <w:rFonts w:ascii="Times New Roman" w:hAnsi="Times New Roman"/>
          <w:noProof/>
          <w:sz w:val="21"/>
          <w:szCs w:val="21"/>
          <w:lang w:eastAsia="zh-CN" w:bidi="ar-SA"/>
        </w:rPr>
      </w:pPr>
    </w:p>
    <w:p w:rsidR="0082504A" w:rsidRDefault="0082504A" w:rsidP="0082504A">
      <w:pPr>
        <w:pStyle w:val="Caption"/>
        <w:jc w:val="both"/>
        <w:rPr>
          <w:rFonts w:ascii="Times New Roman" w:hAnsi="Times New Roman"/>
          <w:sz w:val="21"/>
          <w:szCs w:val="21"/>
          <w:lang w:eastAsia="zh-CN"/>
        </w:rPr>
      </w:pPr>
      <w:r>
        <w:rPr>
          <w:rFonts w:ascii="Times New Roman" w:hAnsi="Times New Roman"/>
          <w:sz w:val="21"/>
          <w:szCs w:val="21"/>
        </w:rPr>
        <w:t>Table 4.1: Comparing the relationship between type and abundance of Bioturbation in Woodford and key reservoir parameters.</w:t>
      </w:r>
    </w:p>
    <w:p w:rsidR="0082504A" w:rsidRDefault="0082504A" w:rsidP="0082504A">
      <w:pPr>
        <w:spacing w:line="240" w:lineRule="auto"/>
        <w:rPr>
          <w:lang w:eastAsia="zh-CN"/>
        </w:rPr>
      </w:pPr>
      <w:r>
        <w:rPr>
          <w:lang w:eastAsia="zh-CN"/>
        </w:rPr>
        <w:br w:type="page"/>
      </w:r>
    </w:p>
    <w:p w:rsidR="003E37C9" w:rsidRDefault="003E37C9" w:rsidP="00001D73">
      <w:pPr>
        <w:jc w:val="center"/>
        <w:rPr>
          <w:rFonts w:ascii="Times New Roman" w:hAnsi="Times New Roman"/>
          <w:sz w:val="21"/>
          <w:szCs w:val="21"/>
          <w:lang w:eastAsia="zh-CN"/>
        </w:rPr>
      </w:pPr>
      <w:r>
        <w:rPr>
          <w:rFonts w:ascii="Times New Roman" w:hAnsi="Times New Roman"/>
          <w:noProof/>
          <w:sz w:val="21"/>
          <w:szCs w:val="21"/>
          <w:lang w:bidi="ar-SA"/>
        </w:rPr>
        <w:lastRenderedPageBreak/>
        <w:drawing>
          <wp:inline distT="0" distB="0" distL="0" distR="0" wp14:anchorId="58D58D14" wp14:editId="13921FE5">
            <wp:extent cx="5192077" cy="7000490"/>
            <wp:effectExtent l="0" t="0" r="8890" b="0"/>
            <wp:docPr id="57" name="图片 9" descr="FZ_Woodford_Regional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_Woodford_Regional_04.jpg"/>
                    <pic:cNvPicPr/>
                  </pic:nvPicPr>
                  <pic:blipFill>
                    <a:blip r:embed="rId207"/>
                    <a:stretch>
                      <a:fillRect/>
                    </a:stretch>
                  </pic:blipFill>
                  <pic:spPr>
                    <a:xfrm>
                      <a:off x="0" y="0"/>
                      <a:ext cx="5189578" cy="6997120"/>
                    </a:xfrm>
                    <a:prstGeom prst="rect">
                      <a:avLst/>
                    </a:prstGeom>
                  </pic:spPr>
                </pic:pic>
              </a:graphicData>
            </a:graphic>
          </wp:inline>
        </w:drawing>
      </w:r>
    </w:p>
    <w:p w:rsidR="003E37C9" w:rsidRPr="00750906" w:rsidRDefault="003E37C9" w:rsidP="003E37C9">
      <w:pPr>
        <w:pStyle w:val="Caption"/>
        <w:jc w:val="both"/>
        <w:rPr>
          <w:rFonts w:ascii="Times New Roman" w:hAnsi="Times New Roman"/>
          <w:bCs w:val="0"/>
          <w:sz w:val="21"/>
          <w:szCs w:val="21"/>
          <w:lang w:eastAsia="zh-CN"/>
        </w:rPr>
      </w:pPr>
      <w:r w:rsidRPr="00750906">
        <w:rPr>
          <w:rFonts w:ascii="Times New Roman" w:hAnsi="Times New Roman"/>
          <w:sz w:val="21"/>
          <w:szCs w:val="21"/>
        </w:rPr>
        <w:t>Figure 4.29.Regional stratigraphic framework of W</w:t>
      </w:r>
      <w:r>
        <w:rPr>
          <w:rFonts w:ascii="Times New Roman" w:hAnsi="Times New Roman"/>
          <w:sz w:val="21"/>
          <w:szCs w:val="21"/>
        </w:rPr>
        <w:t>oodford Shale in the study area</w:t>
      </w:r>
      <w:r>
        <w:rPr>
          <w:rFonts w:ascii="Times New Roman" w:hAnsi="Times New Roman" w:hint="eastAsia"/>
          <w:sz w:val="21"/>
          <w:szCs w:val="21"/>
          <w:lang w:eastAsia="zh-CN"/>
        </w:rPr>
        <w:t xml:space="preserve">. Left is the reconstruction of basin history. Right is location map (including correlation to the Hall 2B well and Hunton </w:t>
      </w:r>
      <w:r>
        <w:rPr>
          <w:rFonts w:ascii="Times New Roman" w:hAnsi="Times New Roman"/>
          <w:sz w:val="21"/>
          <w:szCs w:val="21"/>
          <w:lang w:eastAsia="zh-CN"/>
        </w:rPr>
        <w:t>Anticline</w:t>
      </w:r>
      <w:r>
        <w:rPr>
          <w:rFonts w:ascii="Times New Roman" w:hAnsi="Times New Roman" w:hint="eastAsia"/>
          <w:sz w:val="21"/>
          <w:szCs w:val="21"/>
          <w:lang w:eastAsia="zh-CN"/>
        </w:rPr>
        <w:t xml:space="preserve"> Quarry) and global sea-level curve.</w:t>
      </w:r>
    </w:p>
    <w:p w:rsidR="003E37C9" w:rsidRDefault="003E37C9" w:rsidP="003E37C9">
      <w:pPr>
        <w:rPr>
          <w:rFonts w:ascii="Times New Roman" w:hAnsi="Times New Roman"/>
          <w:sz w:val="21"/>
          <w:szCs w:val="21"/>
          <w:lang w:eastAsia="zh-CN"/>
        </w:rPr>
      </w:pPr>
    </w:p>
    <w:p w:rsidR="003E37C9" w:rsidRDefault="003E37C9" w:rsidP="003E37C9">
      <w:pPr>
        <w:rPr>
          <w:rFonts w:ascii="Times New Roman" w:hAnsi="Times New Roman"/>
          <w:sz w:val="21"/>
          <w:szCs w:val="21"/>
          <w:lang w:eastAsia="zh-CN"/>
        </w:rPr>
      </w:pPr>
    </w:p>
    <w:p w:rsidR="003E37C9" w:rsidRDefault="003E37C9" w:rsidP="003E37C9">
      <w:pPr>
        <w:rPr>
          <w:rFonts w:ascii="Times New Roman" w:hAnsi="Times New Roman"/>
          <w:sz w:val="21"/>
          <w:szCs w:val="21"/>
          <w:lang w:eastAsia="zh-CN"/>
        </w:rPr>
      </w:pPr>
    </w:p>
    <w:p w:rsidR="003E37C9" w:rsidRDefault="00833DC9" w:rsidP="00001D73">
      <w:pPr>
        <w:pStyle w:val="Caption"/>
        <w:jc w:val="center"/>
        <w:rPr>
          <w:rFonts w:ascii="Times New Roman" w:hAnsi="Times New Roman"/>
          <w:sz w:val="21"/>
          <w:szCs w:val="21"/>
          <w:lang w:eastAsia="zh-CN"/>
        </w:rPr>
      </w:pPr>
      <w:r>
        <w:rPr>
          <w:rFonts w:ascii="Times New Roman" w:hAnsi="Times New Roman"/>
          <w:noProof/>
          <w:sz w:val="21"/>
          <w:szCs w:val="21"/>
          <w:lang w:bidi="ar-SA"/>
        </w:rPr>
        <w:drawing>
          <wp:inline distT="0" distB="0" distL="0" distR="0" wp14:anchorId="353291F4">
            <wp:extent cx="4373880" cy="7383780"/>
            <wp:effectExtent l="0" t="0" r="7620" b="7620"/>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373880" cy="7383780"/>
                    </a:xfrm>
                    <a:prstGeom prst="rect">
                      <a:avLst/>
                    </a:prstGeom>
                    <a:noFill/>
                  </pic:spPr>
                </pic:pic>
              </a:graphicData>
            </a:graphic>
          </wp:inline>
        </w:drawing>
      </w:r>
    </w:p>
    <w:p w:rsidR="003E37C9" w:rsidRPr="00750906" w:rsidRDefault="003E37C9" w:rsidP="003E37C9">
      <w:pPr>
        <w:pStyle w:val="Caption"/>
        <w:jc w:val="both"/>
        <w:rPr>
          <w:rFonts w:ascii="Times New Roman" w:hAnsi="Times New Roman"/>
          <w:bCs w:val="0"/>
          <w:sz w:val="21"/>
          <w:szCs w:val="21"/>
          <w:lang w:eastAsia="zh-CN"/>
        </w:rPr>
      </w:pPr>
      <w:proofErr w:type="gramStart"/>
      <w:r w:rsidRPr="00750906">
        <w:rPr>
          <w:rFonts w:ascii="Times New Roman" w:hAnsi="Times New Roman"/>
          <w:sz w:val="21"/>
          <w:szCs w:val="21"/>
        </w:rPr>
        <w:t>Figure 4.</w:t>
      </w:r>
      <w:r>
        <w:rPr>
          <w:rFonts w:ascii="Times New Roman" w:hAnsi="Times New Roman" w:hint="eastAsia"/>
          <w:sz w:val="21"/>
          <w:szCs w:val="21"/>
          <w:lang w:eastAsia="zh-CN"/>
        </w:rPr>
        <w:t>30</w:t>
      </w:r>
      <w:r w:rsidRPr="00750906">
        <w:rPr>
          <w:rFonts w:ascii="Times New Roman" w:hAnsi="Times New Roman"/>
          <w:sz w:val="21"/>
          <w:szCs w:val="21"/>
        </w:rPr>
        <w:t>.</w:t>
      </w:r>
      <w:proofErr w:type="gramEnd"/>
      <w:r>
        <w:rPr>
          <w:rFonts w:ascii="Times New Roman" w:hAnsi="Times New Roman" w:hint="eastAsia"/>
          <w:sz w:val="21"/>
          <w:szCs w:val="21"/>
          <w:lang w:eastAsia="zh-CN"/>
        </w:rPr>
        <w:t xml:space="preserve"> </w:t>
      </w:r>
      <w:proofErr w:type="gramStart"/>
      <w:r>
        <w:rPr>
          <w:rFonts w:ascii="Times New Roman" w:hAnsi="Times New Roman" w:hint="eastAsia"/>
          <w:sz w:val="21"/>
          <w:szCs w:val="21"/>
          <w:lang w:eastAsia="zh-CN"/>
        </w:rPr>
        <w:t>Gross isochore maps of Lower Middle and Upper Woodford Shale, showing the transition of more restricted deposition in Lower Woodford to more extended deposition in Upper Woodford.</w:t>
      </w:r>
      <w:proofErr w:type="gramEnd"/>
    </w:p>
    <w:p w:rsidR="003E37C9" w:rsidRPr="004A69EC" w:rsidRDefault="003E37C9" w:rsidP="003E37C9">
      <w:pPr>
        <w:jc w:val="center"/>
        <w:rPr>
          <w:rFonts w:ascii="Times New Roman" w:hAnsi="Times New Roman"/>
          <w:sz w:val="21"/>
          <w:szCs w:val="21"/>
          <w:lang w:eastAsia="zh-CN"/>
        </w:rPr>
      </w:pPr>
    </w:p>
    <w:p w:rsidR="003E37C9" w:rsidRDefault="003E37C9" w:rsidP="00001D73">
      <w:pPr>
        <w:jc w:val="center"/>
        <w:rPr>
          <w:rFonts w:ascii="Times New Roman" w:hAnsi="Times New Roman"/>
          <w:sz w:val="21"/>
          <w:szCs w:val="21"/>
          <w:lang w:eastAsia="zh-CN"/>
        </w:rPr>
      </w:pPr>
      <w:r w:rsidRPr="0001411A">
        <w:rPr>
          <w:rFonts w:ascii="Times New Roman" w:hAnsi="Times New Roman" w:hint="eastAsia"/>
          <w:noProof/>
          <w:sz w:val="21"/>
          <w:szCs w:val="21"/>
          <w:lang w:bidi="ar-SA"/>
        </w:rPr>
        <w:drawing>
          <wp:inline distT="0" distB="0" distL="0" distR="0" wp14:anchorId="6547536F" wp14:editId="7C58BFA2">
            <wp:extent cx="5005884" cy="7077075"/>
            <wp:effectExtent l="19050" t="19050" r="23316" b="28575"/>
            <wp:docPr id="61" name="图片 1" descr="Correlation from Shi-Randall to Bryan Quar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 from Shi-Randall to Bryan Quarry.jpg"/>
                    <pic:cNvPicPr/>
                  </pic:nvPicPr>
                  <pic:blipFill>
                    <a:blip r:embed="rId209"/>
                    <a:stretch>
                      <a:fillRect/>
                    </a:stretch>
                  </pic:blipFill>
                  <pic:spPr>
                    <a:xfrm>
                      <a:off x="0" y="0"/>
                      <a:ext cx="5002513" cy="7072309"/>
                    </a:xfrm>
                    <a:prstGeom prst="rect">
                      <a:avLst/>
                    </a:prstGeom>
                    <a:ln>
                      <a:solidFill>
                        <a:schemeClr val="tx1"/>
                      </a:solidFill>
                    </a:ln>
                  </pic:spPr>
                </pic:pic>
              </a:graphicData>
            </a:graphic>
          </wp:inline>
        </w:drawing>
      </w:r>
    </w:p>
    <w:p w:rsidR="003E37C9" w:rsidRPr="00750906" w:rsidRDefault="003E37C9" w:rsidP="003E37C9">
      <w:pPr>
        <w:pStyle w:val="Caption"/>
        <w:jc w:val="both"/>
        <w:rPr>
          <w:rFonts w:ascii="Times New Roman" w:hAnsi="Times New Roman"/>
          <w:bCs w:val="0"/>
          <w:sz w:val="21"/>
          <w:szCs w:val="21"/>
          <w:lang w:eastAsia="zh-CN"/>
        </w:rPr>
      </w:pPr>
      <w:proofErr w:type="gramStart"/>
      <w:r w:rsidRPr="00750906">
        <w:rPr>
          <w:rFonts w:ascii="Times New Roman" w:hAnsi="Times New Roman"/>
          <w:sz w:val="21"/>
          <w:szCs w:val="21"/>
        </w:rPr>
        <w:t>Figure 4.</w:t>
      </w:r>
      <w:r>
        <w:rPr>
          <w:rFonts w:ascii="Times New Roman" w:hAnsi="Times New Roman" w:hint="eastAsia"/>
          <w:sz w:val="21"/>
          <w:szCs w:val="21"/>
          <w:lang w:eastAsia="zh-CN"/>
        </w:rPr>
        <w:t>31</w:t>
      </w:r>
      <w:r w:rsidRPr="00750906">
        <w:rPr>
          <w:rFonts w:ascii="Times New Roman" w:hAnsi="Times New Roman"/>
          <w:sz w:val="21"/>
          <w:szCs w:val="21"/>
        </w:rPr>
        <w:t>.</w:t>
      </w:r>
      <w:proofErr w:type="gramEnd"/>
      <w:r w:rsidRPr="0001411A">
        <w:t xml:space="preserve"> </w:t>
      </w:r>
      <w:r w:rsidRPr="0001411A">
        <w:rPr>
          <w:rFonts w:ascii="Times New Roman" w:hAnsi="Times New Roman"/>
          <w:sz w:val="21"/>
          <w:szCs w:val="21"/>
        </w:rPr>
        <w:t>Correlation from Marathon Oil Core C to H</w:t>
      </w:r>
      <w:r>
        <w:rPr>
          <w:rFonts w:ascii="Times New Roman" w:hAnsi="Times New Roman" w:hint="eastAsia"/>
          <w:sz w:val="21"/>
          <w:szCs w:val="21"/>
          <w:lang w:eastAsia="zh-CN"/>
        </w:rPr>
        <w:t>unton Anticline Quarry (measured by Bryan and Slatt, 2013) ~25 Miles (40km) southeast to Core C. Gamma Ray and key chemostrata parameters matches the sequence stratigraphic framework.</w:t>
      </w:r>
    </w:p>
    <w:p w:rsidR="003E37C9" w:rsidRPr="0001411A" w:rsidRDefault="003E37C9" w:rsidP="003E37C9">
      <w:pPr>
        <w:rPr>
          <w:rFonts w:ascii="Times New Roman" w:hAnsi="Times New Roman"/>
          <w:sz w:val="21"/>
          <w:szCs w:val="21"/>
          <w:lang w:eastAsia="zh-CN"/>
        </w:rPr>
      </w:pPr>
    </w:p>
    <w:p w:rsidR="00AE379A" w:rsidRDefault="003E37C9" w:rsidP="00001D73">
      <w:pPr>
        <w:pStyle w:val="Caption"/>
        <w:jc w:val="center"/>
        <w:rPr>
          <w:rFonts w:ascii="Times New Roman" w:hAnsi="Times New Roman"/>
          <w:sz w:val="21"/>
          <w:szCs w:val="21"/>
        </w:rPr>
      </w:pPr>
      <w:r w:rsidRPr="00E23E8C">
        <w:rPr>
          <w:rFonts w:ascii="Times New Roman" w:hAnsi="Times New Roman" w:hint="eastAsia"/>
          <w:noProof/>
          <w:sz w:val="21"/>
          <w:szCs w:val="21"/>
          <w:lang w:bidi="ar-SA"/>
        </w:rPr>
        <w:lastRenderedPageBreak/>
        <w:drawing>
          <wp:inline distT="0" distB="0" distL="0" distR="0" wp14:anchorId="73BCA2C8" wp14:editId="26BDD94E">
            <wp:extent cx="4969113" cy="7181850"/>
            <wp:effectExtent l="19050" t="0" r="2937" b="0"/>
            <wp:docPr id="62" name="图片 4" descr="Correlation from Ridenour to Hall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 from Ridenour to Hall B.jpg"/>
                    <pic:cNvPicPr/>
                  </pic:nvPicPr>
                  <pic:blipFill>
                    <a:blip r:embed="rId210"/>
                    <a:stretch>
                      <a:fillRect/>
                    </a:stretch>
                  </pic:blipFill>
                  <pic:spPr>
                    <a:xfrm>
                      <a:off x="0" y="0"/>
                      <a:ext cx="4966262" cy="7177729"/>
                    </a:xfrm>
                    <a:prstGeom prst="rect">
                      <a:avLst/>
                    </a:prstGeom>
                  </pic:spPr>
                </pic:pic>
              </a:graphicData>
            </a:graphic>
          </wp:inline>
        </w:drawing>
      </w:r>
    </w:p>
    <w:p w:rsidR="003E37C9" w:rsidRDefault="003E37C9" w:rsidP="00AE379A">
      <w:pPr>
        <w:pStyle w:val="Caption"/>
        <w:rPr>
          <w:rFonts w:ascii="Times New Roman" w:hAnsi="Times New Roman"/>
          <w:sz w:val="21"/>
          <w:szCs w:val="21"/>
          <w:lang w:eastAsia="zh-CN"/>
        </w:rPr>
      </w:pPr>
      <w:proofErr w:type="gramStart"/>
      <w:r w:rsidRPr="00750906">
        <w:rPr>
          <w:rFonts w:ascii="Times New Roman" w:hAnsi="Times New Roman"/>
          <w:sz w:val="21"/>
          <w:szCs w:val="21"/>
        </w:rPr>
        <w:t>Figure 4.</w:t>
      </w:r>
      <w:r>
        <w:rPr>
          <w:rFonts w:ascii="Times New Roman" w:hAnsi="Times New Roman" w:hint="eastAsia"/>
          <w:sz w:val="21"/>
          <w:szCs w:val="21"/>
          <w:lang w:eastAsia="zh-CN"/>
        </w:rPr>
        <w:t>32</w:t>
      </w:r>
      <w:r w:rsidRPr="00750906">
        <w:rPr>
          <w:rFonts w:ascii="Times New Roman" w:hAnsi="Times New Roman"/>
          <w:sz w:val="21"/>
          <w:szCs w:val="21"/>
        </w:rPr>
        <w:t>.</w:t>
      </w:r>
      <w:proofErr w:type="gramEnd"/>
      <w:r w:rsidRPr="0001411A">
        <w:t xml:space="preserve"> </w:t>
      </w:r>
      <w:r w:rsidRPr="0001411A">
        <w:rPr>
          <w:rFonts w:ascii="Times New Roman" w:hAnsi="Times New Roman"/>
          <w:sz w:val="21"/>
          <w:szCs w:val="21"/>
        </w:rPr>
        <w:t xml:space="preserve">Correlation from Marathon Oil Core </w:t>
      </w:r>
      <w:r>
        <w:rPr>
          <w:rFonts w:ascii="Times New Roman" w:hAnsi="Times New Roman" w:hint="eastAsia"/>
          <w:sz w:val="21"/>
          <w:szCs w:val="21"/>
          <w:lang w:eastAsia="zh-CN"/>
        </w:rPr>
        <w:t>B</w:t>
      </w:r>
      <w:r w:rsidRPr="0001411A">
        <w:rPr>
          <w:rFonts w:ascii="Times New Roman" w:hAnsi="Times New Roman"/>
          <w:sz w:val="21"/>
          <w:szCs w:val="21"/>
        </w:rPr>
        <w:t xml:space="preserve"> to </w:t>
      </w:r>
      <w:r>
        <w:rPr>
          <w:rFonts w:ascii="Times New Roman" w:hAnsi="Times New Roman" w:hint="eastAsia"/>
          <w:sz w:val="21"/>
          <w:szCs w:val="21"/>
          <w:lang w:eastAsia="zh-CN"/>
        </w:rPr>
        <w:t>Hall 2B well (measured by Bryan and Slatt, 2013) ~30 Miles (48km) southwest to Core B. Gamma Ray and key chemostrata parameters matches the sequence stratigraphic framework. Note Hall 2B only cut Upper Woodford and Upper Middle Woodford Shale.</w:t>
      </w:r>
    </w:p>
    <w:p w:rsidR="00AE379A" w:rsidRPr="00AE379A" w:rsidRDefault="00AE379A" w:rsidP="00AE379A">
      <w:pPr>
        <w:rPr>
          <w:lang w:eastAsia="zh-CN"/>
        </w:rPr>
      </w:pPr>
    </w:p>
    <w:p w:rsidR="00932CD3" w:rsidRDefault="00932CD3" w:rsidP="00001D73">
      <w:pPr>
        <w:spacing w:line="240" w:lineRule="auto"/>
        <w:jc w:val="center"/>
        <w:rPr>
          <w:rFonts w:ascii="Times New Roman" w:eastAsia="+mn-ea" w:hAnsi="Times New Roman"/>
          <w:kern w:val="24"/>
        </w:rPr>
      </w:pPr>
      <w:r>
        <w:rPr>
          <w:rFonts w:ascii="Times New Roman" w:hAnsi="Times New Roman"/>
          <w:b/>
          <w:sz w:val="28"/>
          <w:szCs w:val="28"/>
        </w:rPr>
        <w:lastRenderedPageBreak/>
        <w:t>REFERENCES</w:t>
      </w:r>
    </w:p>
    <w:p w:rsidR="007B32AD" w:rsidRPr="00446D98" w:rsidRDefault="007B32AD" w:rsidP="007B32AD">
      <w:pPr>
        <w:autoSpaceDE w:val="0"/>
        <w:autoSpaceDN w:val="0"/>
        <w:adjustRightInd w:val="0"/>
        <w:ind w:left="720" w:hangingChars="300" w:hanging="720"/>
        <w:rPr>
          <w:rFonts w:eastAsia="AGaramond-Regular"/>
        </w:rPr>
      </w:pPr>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t>Bednarz, M. and D. McIlroy, 2012, Effect of phycosiphoniformburrows on shale hydrocarbonreservoir quality, AAPG Bulletin, v. 96, no. 10, pp. 1957–1980.</w:t>
      </w:r>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t xml:space="preserve">Boyer, D.L. and M.L. Droser, 2011, </w:t>
      </w:r>
      <w:proofErr w:type="gramStart"/>
      <w:r w:rsidRPr="00446D98">
        <w:rPr>
          <w:rFonts w:eastAsia="AGaramond-Regular"/>
        </w:rPr>
        <w:t>A</w:t>
      </w:r>
      <w:proofErr w:type="gramEnd"/>
      <w:r w:rsidRPr="00446D98">
        <w:rPr>
          <w:rFonts w:eastAsia="AGaramond-Regular"/>
        </w:rPr>
        <w:t xml:space="preserve"> combined trace- and body-fossil approach reveals high-resolution record of oxygen fluctuations in Devonian seas, PALAIOS, v. 26, p. 500–508.</w:t>
      </w:r>
    </w:p>
    <w:p w:rsidR="007B32AD" w:rsidRDefault="007B32AD" w:rsidP="007B32AD">
      <w:pPr>
        <w:autoSpaceDE w:val="0"/>
        <w:autoSpaceDN w:val="0"/>
        <w:adjustRightInd w:val="0"/>
        <w:ind w:left="720" w:hangingChars="300" w:hanging="720"/>
        <w:rPr>
          <w:rFonts w:eastAsia="AGaramond-Regular"/>
        </w:rPr>
      </w:pPr>
      <w:r>
        <w:rPr>
          <w:rFonts w:eastAsia="AGaramond-Regular"/>
        </w:rPr>
        <w:t>Chain, A.R., 2012, S</w:t>
      </w:r>
      <w:r w:rsidRPr="005D5CDE">
        <w:rPr>
          <w:rFonts w:eastAsia="AGaramond-Regular"/>
        </w:rPr>
        <w:t xml:space="preserve">tratigraphy and composition of the </w:t>
      </w:r>
      <w:r w:rsidR="00F93FD5">
        <w:rPr>
          <w:rFonts w:eastAsia="AGaramond-Regular"/>
        </w:rPr>
        <w:t>Woodford Shale</w:t>
      </w:r>
      <w:r w:rsidRPr="005D5CDE">
        <w:rPr>
          <w:rFonts w:eastAsia="AGaramond-Regular"/>
        </w:rPr>
        <w:t xml:space="preserve"> in depositionally </w:t>
      </w:r>
      <w:r>
        <w:rPr>
          <w:rFonts w:eastAsia="AGaramond-Regular"/>
        </w:rPr>
        <w:t>u</w:t>
      </w:r>
      <w:r w:rsidRPr="005D5CDE">
        <w:rPr>
          <w:rFonts w:eastAsia="AGaramond-Regular"/>
        </w:rPr>
        <w:t>pdip and downdip wells, Anadarko basin, Oklahoma</w:t>
      </w:r>
      <w:r>
        <w:rPr>
          <w:rFonts w:eastAsia="AGaramond-Regular"/>
        </w:rPr>
        <w:t>, Master Thesis of the University of Oklahoma, pp.1-250.</w:t>
      </w:r>
    </w:p>
    <w:p w:rsidR="00313709" w:rsidRDefault="00313709" w:rsidP="00313709">
      <w:pPr>
        <w:autoSpaceDE w:val="0"/>
        <w:autoSpaceDN w:val="0"/>
        <w:adjustRightInd w:val="0"/>
        <w:ind w:left="720" w:hangingChars="300" w:hanging="720"/>
        <w:rPr>
          <w:rFonts w:eastAsia="AGaramond-Regular"/>
        </w:rPr>
      </w:pPr>
      <w:r w:rsidRPr="00313709">
        <w:rPr>
          <w:rFonts w:eastAsia="AGaramond-Regular"/>
        </w:rPr>
        <w:t>Erdman, N., and N. Drenzek, 2013, Integrated preparation and imaging techniques for the microstructual and geochemical characterization of shale by scanning electron microscopy, in Camp, W.K., E. Diaz, and B. Wawak (eds.), Electron Microscopy of Shale Hydrocarbon Reservoirs, Amer. Assoc. Petrol. Geol. Mem. 102, p. 7-14.</w:t>
      </w:r>
    </w:p>
    <w:p w:rsidR="00DA7902" w:rsidRDefault="00DA7902" w:rsidP="00313709">
      <w:pPr>
        <w:autoSpaceDE w:val="0"/>
        <w:autoSpaceDN w:val="0"/>
        <w:adjustRightInd w:val="0"/>
        <w:ind w:left="720" w:hangingChars="300" w:hanging="720"/>
        <w:rPr>
          <w:rFonts w:eastAsia="AGaramond-Regular"/>
        </w:rPr>
      </w:pPr>
      <w:r>
        <w:rPr>
          <w:rFonts w:eastAsia="AGaramond-Regular"/>
        </w:rPr>
        <w:t xml:space="preserve">Gamero-Diaz, H., C. Miller, and R. Lewis, 2012, sCore: A Classification Scheme for Organic Mudstones Based on Bulk Mineralogy, AAPG 2012 Southwest Section Meeting, </w:t>
      </w:r>
      <w:proofErr w:type="gramStart"/>
      <w:r>
        <w:rPr>
          <w:rFonts w:eastAsia="AGaramond-Regular"/>
        </w:rPr>
        <w:t>Ft</w:t>
      </w:r>
      <w:proofErr w:type="gramEnd"/>
      <w:r>
        <w:rPr>
          <w:rFonts w:eastAsia="AGaramond-Regular"/>
        </w:rPr>
        <w:t xml:space="preserve">. Worth, Texas. </w:t>
      </w:r>
      <w:proofErr w:type="gramStart"/>
      <w:r>
        <w:rPr>
          <w:rFonts w:eastAsia="AGaramond-Regular"/>
        </w:rPr>
        <w:t>AAPG Search and Discovery Article #40951.</w:t>
      </w:r>
      <w:proofErr w:type="gramEnd"/>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t>Griffith</w:t>
      </w:r>
      <w:proofErr w:type="gramStart"/>
      <w:r w:rsidRPr="00446D98">
        <w:rPr>
          <w:rFonts w:eastAsia="AGaramond-Regular"/>
        </w:rPr>
        <w:t>,C</w:t>
      </w:r>
      <w:proofErr w:type="gramEnd"/>
      <w:r w:rsidRPr="00446D98">
        <w:rPr>
          <w:rFonts w:eastAsia="AGaramond-Regular"/>
        </w:rPr>
        <w:t xml:space="preserve">., 1977, Stratigraphy and paleoenvironmentof the New </w:t>
      </w:r>
      <w:r>
        <w:rPr>
          <w:rFonts w:eastAsia="AGaramond-Regular"/>
        </w:rPr>
        <w:t xml:space="preserve">Albany Shale Upper Devonian in </w:t>
      </w:r>
      <w:r w:rsidRPr="00446D98">
        <w:rPr>
          <w:rFonts w:eastAsia="AGaramond-Regular"/>
        </w:rPr>
        <w:t>north centralKentucky, M.Sc. thesis, University of Wisconsin at Madison , pp.214.</w:t>
      </w:r>
    </w:p>
    <w:p w:rsidR="007B32AD" w:rsidRDefault="007B32AD" w:rsidP="007B32AD">
      <w:pPr>
        <w:autoSpaceDE w:val="0"/>
        <w:autoSpaceDN w:val="0"/>
        <w:adjustRightInd w:val="0"/>
        <w:ind w:left="720" w:hangingChars="300" w:hanging="720"/>
        <w:rPr>
          <w:rFonts w:eastAsia="AGaramond-Regular"/>
        </w:rPr>
      </w:pPr>
      <w:proofErr w:type="gramStart"/>
      <w:r w:rsidRPr="00A02166">
        <w:rPr>
          <w:rFonts w:eastAsia="AGaramond-Regular"/>
        </w:rPr>
        <w:t>Haq, B</w:t>
      </w:r>
      <w:r>
        <w:rPr>
          <w:rFonts w:eastAsia="AGaramond-Regular"/>
        </w:rPr>
        <w:t>. U. and S. R.Shutter, 2008.</w:t>
      </w:r>
      <w:r w:rsidRPr="00A02166">
        <w:rPr>
          <w:rFonts w:eastAsia="AGaramond-Regular"/>
        </w:rPr>
        <w:t>A chronology of Paleozoic sea-level changes.</w:t>
      </w:r>
      <w:proofErr w:type="gramEnd"/>
      <w:r w:rsidRPr="00A02166">
        <w:rPr>
          <w:rFonts w:eastAsia="AGaramond-Regular"/>
        </w:rPr>
        <w:t xml:space="preserve"> Science, Vol. 322, October 2008, p. 64-68.</w:t>
      </w:r>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lastRenderedPageBreak/>
        <w:t>Hlava , K., D. Alfred, B. Ramirez, and J. Rodriguez, 2013, App</w:t>
      </w:r>
      <w:r w:rsidR="000F7A1D">
        <w:rPr>
          <w:rFonts w:eastAsia="AGaramond-Regular"/>
        </w:rPr>
        <w:t xml:space="preserve">lication of a Depositional and </w:t>
      </w:r>
      <w:r w:rsidRPr="00446D98">
        <w:rPr>
          <w:rFonts w:eastAsia="AGaramond-Regular"/>
        </w:rPr>
        <w:t xml:space="preserve">Sequence-StratigraphicModel for Geocellular Modeling of </w:t>
      </w:r>
      <w:r>
        <w:rPr>
          <w:rFonts w:eastAsia="AGaramond-Regular"/>
        </w:rPr>
        <w:t xml:space="preserve">the Woodford Formation, </w:t>
      </w:r>
      <w:r w:rsidRPr="00446D98">
        <w:rPr>
          <w:rFonts w:eastAsia="AGaramond-Regular"/>
        </w:rPr>
        <w:t>Oklahoma, Abstract of AAPG Annual Convention and Exhibition, May 19-22, Pittsburgh, PA.</w:t>
      </w:r>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t>Hemmesch, N.T., N. B. Harris,C. A. Mnich, and D. Selby, 2014, A sequencestratigraphic</w:t>
      </w:r>
      <w:r w:rsidRPr="00446D98">
        <w:rPr>
          <w:rFonts w:eastAsia="AGaramond-Regular"/>
        </w:rPr>
        <w:tab/>
        <w:t xml:space="preserve">framework for the </w:t>
      </w:r>
      <w:r w:rsidR="00DA7902" w:rsidRPr="00446D98">
        <w:rPr>
          <w:rFonts w:eastAsia="AGaramond-Regular"/>
        </w:rPr>
        <w:t>Upper Devonian</w:t>
      </w:r>
      <w:r w:rsidRPr="00446D98">
        <w:rPr>
          <w:rFonts w:eastAsia="AGaramond-Regular"/>
        </w:rPr>
        <w:t xml:space="preserve"> the Woodford </w:t>
      </w:r>
      <w:r w:rsidR="00DA7902" w:rsidRPr="00446D98">
        <w:rPr>
          <w:rFonts w:eastAsia="AGaramond-Regular"/>
        </w:rPr>
        <w:t>Shale, Permian</w:t>
      </w:r>
      <w:r w:rsidRPr="00446D98">
        <w:rPr>
          <w:rFonts w:eastAsia="AGaramond-Regular"/>
        </w:rPr>
        <w:t xml:space="preserve"> Basin, west Texas, AAPG Bulletin, v. 98, no. 1, pp. 23–47</w:t>
      </w:r>
    </w:p>
    <w:p w:rsidR="007B32AD" w:rsidRDefault="007B32AD" w:rsidP="007B32AD">
      <w:pPr>
        <w:autoSpaceDE w:val="0"/>
        <w:autoSpaceDN w:val="0"/>
        <w:adjustRightInd w:val="0"/>
        <w:ind w:left="720" w:hangingChars="300" w:hanging="720"/>
        <w:rPr>
          <w:rFonts w:eastAsia="AGaramond-Regular"/>
        </w:rPr>
      </w:pPr>
      <w:r w:rsidRPr="00446D98">
        <w:rPr>
          <w:rFonts w:eastAsia="AGaramond-Regular"/>
        </w:rPr>
        <w:t xml:space="preserve">Jordan, D.W., 1985, Trace fossils and depositional environments of Upper Devonian black shales, </w:t>
      </w:r>
      <w:r w:rsidRPr="00446D98">
        <w:rPr>
          <w:rFonts w:eastAsia="AGaramond-Regular"/>
        </w:rPr>
        <w:tab/>
        <w:t xml:space="preserve">east-central Kentucky, U.S.A. the SEPM Biogenic Structures: Their Use in Interpreting </w:t>
      </w:r>
      <w:r w:rsidRPr="00446D98">
        <w:rPr>
          <w:rFonts w:eastAsia="AGaramond-Regular"/>
        </w:rPr>
        <w:tab/>
        <w:t>Depositional Environments (SP35), pp.279-298.</w:t>
      </w:r>
    </w:p>
    <w:p w:rsidR="007B32AD" w:rsidRDefault="007B32AD" w:rsidP="007B32AD">
      <w:pPr>
        <w:autoSpaceDE w:val="0"/>
        <w:autoSpaceDN w:val="0"/>
        <w:adjustRightInd w:val="0"/>
        <w:ind w:left="720" w:hangingChars="300" w:hanging="720"/>
        <w:rPr>
          <w:rFonts w:eastAsia="AGaramond-Regular"/>
        </w:rPr>
      </w:pPr>
      <w:r w:rsidRPr="009C0481">
        <w:rPr>
          <w:rFonts w:eastAsia="AGaramond-Regular"/>
        </w:rPr>
        <w:t>Kidder</w:t>
      </w:r>
      <w:proofErr w:type="gramStart"/>
      <w:r>
        <w:rPr>
          <w:rFonts w:eastAsia="AGaramond-Regular"/>
        </w:rPr>
        <w:t>,D.L</w:t>
      </w:r>
      <w:proofErr w:type="gramEnd"/>
      <w:r>
        <w:rPr>
          <w:rFonts w:eastAsia="AGaramond-Regular"/>
        </w:rPr>
        <w:t xml:space="preserve">. </w:t>
      </w:r>
      <w:r w:rsidRPr="009C0481">
        <w:rPr>
          <w:rFonts w:eastAsia="AGaramond-Regular"/>
        </w:rPr>
        <w:t>and D</w:t>
      </w:r>
      <w:r>
        <w:rPr>
          <w:rFonts w:eastAsia="AGaramond-Regular"/>
        </w:rPr>
        <w:t xml:space="preserve">.H. Erwin, 2001, </w:t>
      </w:r>
      <w:r w:rsidRPr="009C0481">
        <w:rPr>
          <w:rFonts w:eastAsia="AGaramond-Regular" w:hint="eastAsia"/>
        </w:rPr>
        <w:t>Secular Distribution of Biogenic Silica through the Phanerozoic: Comparison of Silica</w:t>
      </w:r>
      <w:r w:rsidRPr="009C0481">
        <w:rPr>
          <w:rFonts w:eastAsia="AGaramond-Regular" w:hint="eastAsia"/>
        </w:rPr>
        <w:t>‐</w:t>
      </w:r>
      <w:r w:rsidRPr="009C0481">
        <w:rPr>
          <w:rFonts w:eastAsia="AGaramond-Regular" w:hint="eastAsia"/>
        </w:rPr>
        <w:t>Replaced Fossils and Bedded Cherts at the Series Level</w:t>
      </w:r>
      <w:r>
        <w:rPr>
          <w:rFonts w:eastAsia="AGaramond-Regular"/>
        </w:rPr>
        <w:t xml:space="preserve">, </w:t>
      </w:r>
      <w:r w:rsidRPr="009C0481">
        <w:rPr>
          <w:rFonts w:eastAsia="AGaramond-Regular"/>
        </w:rPr>
        <w:t>The Journal of Geology</w:t>
      </w:r>
      <w:r>
        <w:rPr>
          <w:rFonts w:eastAsia="AGaramond-Regular"/>
        </w:rPr>
        <w:t>, Vol.109, No.4, pp.509-522.</w:t>
      </w:r>
    </w:p>
    <w:p w:rsidR="007B32AD" w:rsidRDefault="007B32AD" w:rsidP="007B32AD">
      <w:pPr>
        <w:autoSpaceDE w:val="0"/>
        <w:autoSpaceDN w:val="0"/>
        <w:adjustRightInd w:val="0"/>
        <w:ind w:left="720" w:hangingChars="300" w:hanging="720"/>
        <w:rPr>
          <w:rFonts w:eastAsia="AGaramond-Regular"/>
        </w:rPr>
      </w:pPr>
      <w:r>
        <w:rPr>
          <w:rFonts w:eastAsia="AGaramond-Regular"/>
        </w:rPr>
        <w:t>La Croix, A.D., M.K. Gingras, S.E. Dashtgard, and S. G. Pemberton, 2012, Computer modeling bioturbation: The creation of porous and permeable fluid-flow pathways, AAPG Bulletin, Vol.96, No.3, pp.545-556.</w:t>
      </w:r>
    </w:p>
    <w:p w:rsidR="007B32AD" w:rsidRDefault="007B32AD" w:rsidP="007B32AD">
      <w:pPr>
        <w:autoSpaceDE w:val="0"/>
        <w:autoSpaceDN w:val="0"/>
        <w:adjustRightInd w:val="0"/>
        <w:ind w:left="720" w:hangingChars="300" w:hanging="720"/>
        <w:rPr>
          <w:rFonts w:eastAsia="AGaramond-Regular"/>
        </w:rPr>
      </w:pPr>
      <w:r>
        <w:rPr>
          <w:rFonts w:eastAsia="AGaramond-Regular"/>
        </w:rPr>
        <w:t>La Croix, A.D., M.K. Gingras, S.G. Pemberton, C.A. Mendoza, J.A. Maceachern and R.T. Lemiski, 2013, Biogenically enhanced reservoir properties in the Medicine Hat gas field, Alberta, Canada, Marine and Petroleum Geology, Vol.43, pp.464-477.</w:t>
      </w:r>
    </w:p>
    <w:p w:rsidR="008A4FA7" w:rsidRDefault="008A4FA7" w:rsidP="007B32AD">
      <w:pPr>
        <w:autoSpaceDE w:val="0"/>
        <w:autoSpaceDN w:val="0"/>
        <w:adjustRightInd w:val="0"/>
        <w:ind w:left="720" w:hangingChars="300" w:hanging="720"/>
        <w:rPr>
          <w:rFonts w:eastAsia="AGaramond-Regular"/>
        </w:rPr>
      </w:pPr>
      <w:r>
        <w:t xml:space="preserve">Loucks, R.G., R.M. Reed, S.C. Ruppel, and D.M. Jarvie, 2009, Morphology, Genesis, and Distribution of Nanometer-Scale Pores in Siliceous Mudstones of the </w:t>
      </w:r>
      <w:r>
        <w:lastRenderedPageBreak/>
        <w:t>Mississippian Barnett Shale: Journal of Sedimentary Research, v. 79/12, p. 848–861.</w:t>
      </w:r>
    </w:p>
    <w:p w:rsidR="00313709" w:rsidRDefault="00313709" w:rsidP="00313709">
      <w:pPr>
        <w:autoSpaceDE w:val="0"/>
        <w:autoSpaceDN w:val="0"/>
        <w:adjustRightInd w:val="0"/>
        <w:ind w:left="720" w:hangingChars="300" w:hanging="720"/>
        <w:rPr>
          <w:rFonts w:eastAsia="AGaramond-Regular"/>
        </w:rPr>
      </w:pPr>
      <w:r w:rsidRPr="00313709">
        <w:rPr>
          <w:rFonts w:eastAsia="AGaramond-Regular"/>
        </w:rPr>
        <w:t>Loucks, R.G., R.M. Reed, S. C. Ruppel, and U. Hammes, 2012, Spectrum of pore types and networks in mudrocks and a descriptive classification for matrix-related mudrock pores, AAPG.  Bull., v. 96, p. 1071-1098.</w:t>
      </w:r>
    </w:p>
    <w:p w:rsidR="007B32AD" w:rsidRDefault="007B32AD" w:rsidP="007B32AD">
      <w:pPr>
        <w:autoSpaceDE w:val="0"/>
        <w:autoSpaceDN w:val="0"/>
        <w:adjustRightInd w:val="0"/>
        <w:ind w:left="720" w:hangingChars="300" w:hanging="720"/>
        <w:rPr>
          <w:rFonts w:eastAsia="AGaramond-Regular"/>
        </w:rPr>
      </w:pPr>
      <w:proofErr w:type="gramStart"/>
      <w:r>
        <w:rPr>
          <w:rFonts w:eastAsia="AGaramond-Regular"/>
        </w:rPr>
        <w:t>Mann, E., 2014, S</w:t>
      </w:r>
      <w:r w:rsidRPr="00BA3510">
        <w:rPr>
          <w:rFonts w:eastAsia="AGaramond-Regular"/>
        </w:rPr>
        <w:t xml:space="preserve">tratigraphic study of organic-rich microfacies of the </w:t>
      </w:r>
      <w:r w:rsidR="00F93FD5">
        <w:rPr>
          <w:rFonts w:eastAsia="AGaramond-Regular"/>
        </w:rPr>
        <w:t>Woodford Shale</w:t>
      </w:r>
      <w:r w:rsidRPr="00BA3510">
        <w:rPr>
          <w:rFonts w:eastAsia="AGaramond-Regular"/>
        </w:rPr>
        <w:t>, Anadarko basin, Oklahoma</w:t>
      </w:r>
      <w:r>
        <w:rPr>
          <w:rFonts w:eastAsia="AGaramond-Regular"/>
        </w:rPr>
        <w:t>, Master Thesis of the University of Oklahoma, pp.1-200.</w:t>
      </w:r>
      <w:proofErr w:type="gramEnd"/>
    </w:p>
    <w:p w:rsidR="007B32AD" w:rsidRDefault="007B32AD" w:rsidP="007B32AD">
      <w:pPr>
        <w:autoSpaceDE w:val="0"/>
        <w:autoSpaceDN w:val="0"/>
        <w:adjustRightInd w:val="0"/>
        <w:ind w:left="720" w:hangingChars="300" w:hanging="720"/>
        <w:rPr>
          <w:rFonts w:eastAsia="AGaramond-Regular"/>
        </w:rPr>
      </w:pPr>
      <w:r>
        <w:rPr>
          <w:rFonts w:eastAsia="AGaramond-Regular"/>
        </w:rPr>
        <w:t>Mu., G., N. Singh, S. Wang, M. Wright, E. Davies, B. Liu, 20113, Chemostratigraphy and Sequence Stratigraphic Investigation of the Lower Silurian - Upper Ordovician Hot Shale, Southeastern of the Sichuan Basin, SPE 167022, pp. 1-10.</w:t>
      </w:r>
    </w:p>
    <w:p w:rsidR="007B32AD" w:rsidRPr="00323427" w:rsidRDefault="007B32AD" w:rsidP="007B32AD">
      <w:pPr>
        <w:autoSpaceDE w:val="0"/>
        <w:autoSpaceDN w:val="0"/>
        <w:adjustRightInd w:val="0"/>
        <w:ind w:left="720" w:hangingChars="300" w:hanging="720"/>
        <w:rPr>
          <w:rFonts w:eastAsia="AGaramond-Regular"/>
        </w:rPr>
      </w:pPr>
      <w:r w:rsidRPr="00323427">
        <w:rPr>
          <w:rFonts w:eastAsia="AGaramond-Regular"/>
        </w:rPr>
        <w:t>Ratcliffe, K. T., A.M. Wright and K. Schmidt, 2012, Application of inorganic whole-rock geochemistry, to shale resource plays: an example from the, Eagle Ford Shale Formation, Texas, the Sedimentary Record, Vol. 10, No.2, pp. 4-10.</w:t>
      </w:r>
    </w:p>
    <w:p w:rsidR="007B32AD" w:rsidRDefault="007B32AD" w:rsidP="007B32AD">
      <w:pPr>
        <w:autoSpaceDE w:val="0"/>
        <w:autoSpaceDN w:val="0"/>
        <w:adjustRightInd w:val="0"/>
        <w:ind w:left="720" w:hangingChars="300" w:hanging="720"/>
        <w:rPr>
          <w:rFonts w:eastAsia="AGaramond-Regular"/>
        </w:rPr>
      </w:pPr>
      <w:r w:rsidRPr="009B5891">
        <w:rPr>
          <w:rFonts w:eastAsia="AGaramond-Regular"/>
        </w:rPr>
        <w:t xml:space="preserve">Schieber, J., J.B., Southard </w:t>
      </w:r>
      <w:r>
        <w:rPr>
          <w:rFonts w:eastAsia="AGaramond-Regular"/>
        </w:rPr>
        <w:t>a</w:t>
      </w:r>
      <w:r w:rsidRPr="009B5891">
        <w:rPr>
          <w:rFonts w:eastAsia="AGaramond-Regular"/>
        </w:rPr>
        <w:t>nd A., Schimmelmann</w:t>
      </w:r>
      <w:r>
        <w:rPr>
          <w:rFonts w:eastAsia="AGaramond-Regular"/>
        </w:rPr>
        <w:t>,</w:t>
      </w:r>
      <w:r w:rsidRPr="009B5891">
        <w:rPr>
          <w:rFonts w:eastAsia="AGaramond-Regular"/>
        </w:rPr>
        <w:t xml:space="preserve"> 2010, Lenticular Shale FabricsResulting From Intermittent Erosion Of Water-Rich Muds: Interpreting The Rock Record In TheLight Of Recent Flume Experiments: Journal Of Sedimentary Research, V. 80, P. 119–128.</w:t>
      </w:r>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t xml:space="preserve">Simpson, S., 1956, </w:t>
      </w:r>
      <w:proofErr w:type="gramStart"/>
      <w:r w:rsidRPr="00446D98">
        <w:rPr>
          <w:rFonts w:eastAsia="AGaramond-Regular"/>
        </w:rPr>
        <w:t>On</w:t>
      </w:r>
      <w:proofErr w:type="gramEnd"/>
      <w:r w:rsidRPr="00446D98">
        <w:rPr>
          <w:rFonts w:eastAsia="AGaramond-Regular"/>
        </w:rPr>
        <w:t xml:space="preserve"> the trace fossil </w:t>
      </w:r>
      <w:r w:rsidR="00D4033E" w:rsidRPr="00D4033E">
        <w:rPr>
          <w:rFonts w:eastAsia="AGaramond-Regular"/>
          <w:i/>
        </w:rPr>
        <w:t>Chondrites</w:t>
      </w:r>
      <w:r w:rsidRPr="00446D98">
        <w:rPr>
          <w:rFonts w:eastAsia="AGaramond-Regular"/>
        </w:rPr>
        <w:t xml:space="preserve">, Quart. </w:t>
      </w:r>
      <w:proofErr w:type="gramStart"/>
      <w:r w:rsidRPr="00446D98">
        <w:rPr>
          <w:rFonts w:eastAsia="AGaramond-Regular"/>
        </w:rPr>
        <w:t>Journal of Geological Society of London, v.112, p. 475-499.</w:t>
      </w:r>
      <w:proofErr w:type="gramEnd"/>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t xml:space="preserve">Slatt, R. M., N. Buckner, Y. Abousleiman, R. Sierra, P. Philp, A. Miceli-Romero, R. Portas, N. </w:t>
      </w:r>
      <w:r>
        <w:rPr>
          <w:rFonts w:eastAsia="AGaramond-Regular"/>
        </w:rPr>
        <w:t>O'Brien</w:t>
      </w:r>
      <w:r w:rsidRPr="00446D98">
        <w:rPr>
          <w:rFonts w:eastAsia="AGaramond-Regular"/>
        </w:rPr>
        <w:t xml:space="preserve">,M.Tran, R. Davis, and T. Wawrzyniec, 2011,Outcrop/behind </w:t>
      </w:r>
      <w:r w:rsidRPr="00446D98">
        <w:rPr>
          <w:rFonts w:eastAsia="AGaramond-Regular"/>
        </w:rPr>
        <w:lastRenderedPageBreak/>
        <w:t>outcrop (quarry), multiscale</w:t>
      </w:r>
      <w:r w:rsidR="00557769">
        <w:rPr>
          <w:rFonts w:eastAsia="AGaramond-Regular"/>
        </w:rPr>
        <w:t xml:space="preserve"> </w:t>
      </w:r>
      <w:r w:rsidRPr="00446D98">
        <w:rPr>
          <w:rFonts w:eastAsia="AGaramond-Regular"/>
        </w:rPr>
        <w:t xml:space="preserve">characterization of the Woodford Gas Shale, Oklahoma, in J. Breyer, ed., Shale reservoirs - Giant resources for the 21st century: AAPG Memoir 97, p. 1–21. </w:t>
      </w:r>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t xml:space="preserve">Slatt, R. M., and N. R., </w:t>
      </w:r>
      <w:r>
        <w:rPr>
          <w:rFonts w:eastAsia="AGaramond-Regular"/>
        </w:rPr>
        <w:t>O'Brien</w:t>
      </w:r>
      <w:r w:rsidRPr="00446D98">
        <w:rPr>
          <w:rFonts w:eastAsia="AGaramond-Regular"/>
        </w:rPr>
        <w:t xml:space="preserve">, 2011, Pore types in the Barnett and the Woodford </w:t>
      </w:r>
      <w:r>
        <w:rPr>
          <w:rFonts w:eastAsia="AGaramond-Regular"/>
        </w:rPr>
        <w:t xml:space="preserve">gas shale: </w:t>
      </w:r>
      <w:r w:rsidRPr="00446D98">
        <w:rPr>
          <w:rFonts w:eastAsia="AGaramond-Regular"/>
        </w:rPr>
        <w:t>Contribution to understanding gas storage and migration pathways in fine-</w:t>
      </w:r>
      <w:r w:rsidR="004A0E69">
        <w:rPr>
          <w:rFonts w:eastAsia="AGaramond-Regular"/>
        </w:rPr>
        <w:t xml:space="preserve">grained rocks: The </w:t>
      </w:r>
      <w:r w:rsidRPr="00446D98">
        <w:rPr>
          <w:rFonts w:eastAsia="AGaramond-Regular"/>
        </w:rPr>
        <w:t xml:space="preserve">American Association of Petroleum Geologists, v. 95, no. 12, p. 2017-2030 </w:t>
      </w:r>
    </w:p>
    <w:p w:rsidR="007B32AD" w:rsidRPr="00446D98" w:rsidRDefault="007B32AD" w:rsidP="007B32AD">
      <w:pPr>
        <w:autoSpaceDE w:val="0"/>
        <w:autoSpaceDN w:val="0"/>
        <w:adjustRightInd w:val="0"/>
        <w:ind w:left="720" w:hangingChars="300" w:hanging="720"/>
        <w:rPr>
          <w:rFonts w:eastAsia="AGaramond-Regular"/>
        </w:rPr>
      </w:pPr>
      <w:r w:rsidRPr="00446D98">
        <w:rPr>
          <w:rFonts w:eastAsia="AGaramond-Regular"/>
        </w:rPr>
        <w:t>Slatt, R. M., and Y. Abousleiman, 2011, Merging sequence 544 str</w:t>
      </w:r>
      <w:r w:rsidR="004A0E69">
        <w:rPr>
          <w:rFonts w:eastAsia="AGaramond-Regular"/>
        </w:rPr>
        <w:t xml:space="preserve">atigraphy and geomechanics for </w:t>
      </w:r>
      <w:r w:rsidRPr="00446D98">
        <w:rPr>
          <w:rFonts w:eastAsia="AGaramond-Regular"/>
        </w:rPr>
        <w:t>unconventional gas shales: The Leading Edge, v. 30, p. 274–282, doi</w:t>
      </w:r>
      <w:proofErr w:type="gramStart"/>
      <w:r w:rsidRPr="00446D98">
        <w:rPr>
          <w:rFonts w:eastAsia="AGaramond-Regular"/>
        </w:rPr>
        <w:t>:10</w:t>
      </w:r>
      <w:proofErr w:type="gramEnd"/>
      <w:r w:rsidRPr="00446D98">
        <w:rPr>
          <w:rFonts w:eastAsia="AGaramond-Regular"/>
        </w:rPr>
        <w:t xml:space="preserve"> 546.1190/1.3567258.</w:t>
      </w:r>
    </w:p>
    <w:p w:rsidR="007B32AD" w:rsidRDefault="007B32AD" w:rsidP="007B32AD">
      <w:pPr>
        <w:autoSpaceDE w:val="0"/>
        <w:autoSpaceDN w:val="0"/>
        <w:adjustRightInd w:val="0"/>
        <w:ind w:left="720" w:hangingChars="300" w:hanging="720"/>
        <w:rPr>
          <w:rFonts w:eastAsia="AGaramond-Regular"/>
        </w:rPr>
      </w:pPr>
      <w:r w:rsidRPr="00446D98">
        <w:rPr>
          <w:rFonts w:eastAsia="AGaramond-Regular"/>
        </w:rPr>
        <w:t>Slatt, R. M., 2013, Sequence stratigraphy of the Woodford Shale a</w:t>
      </w:r>
      <w:r w:rsidR="00313709">
        <w:rPr>
          <w:rFonts w:eastAsia="AGaramond-Regular"/>
        </w:rPr>
        <w:t xml:space="preserve">nd application to drilling and </w:t>
      </w:r>
      <w:r w:rsidRPr="00446D98">
        <w:rPr>
          <w:rFonts w:eastAsia="AGaramond-Regular"/>
        </w:rPr>
        <w:t xml:space="preserve">production, Oral presentation given at AAPG the </w:t>
      </w:r>
      <w:r w:rsidR="00F93FD5">
        <w:rPr>
          <w:rFonts w:eastAsia="AGaramond-Regular"/>
        </w:rPr>
        <w:t>Woodford Shale</w:t>
      </w:r>
      <w:r w:rsidRPr="00446D98">
        <w:rPr>
          <w:rFonts w:eastAsia="AGaramond-Regular"/>
        </w:rPr>
        <w:t xml:space="preserve"> forum, O</w:t>
      </w:r>
      <w:r>
        <w:rPr>
          <w:rFonts w:eastAsia="AGaramond-Regular"/>
        </w:rPr>
        <w:t xml:space="preserve">klahoma City, </w:t>
      </w:r>
      <w:r w:rsidRPr="00446D98">
        <w:rPr>
          <w:rFonts w:eastAsia="AGaramond-Regular"/>
        </w:rPr>
        <w:t xml:space="preserve">Oklahoma in April, 11, 2013. </w:t>
      </w:r>
      <w:proofErr w:type="gramStart"/>
      <w:r w:rsidRPr="00446D98">
        <w:rPr>
          <w:rFonts w:eastAsia="AGaramond-Regular"/>
        </w:rPr>
        <w:t>AAPG Search and Discovery Article #50792.</w:t>
      </w:r>
      <w:proofErr w:type="gramEnd"/>
    </w:p>
    <w:p w:rsidR="00313709" w:rsidRDefault="00313709" w:rsidP="00313709">
      <w:pPr>
        <w:autoSpaceDE w:val="0"/>
        <w:autoSpaceDN w:val="0"/>
        <w:adjustRightInd w:val="0"/>
        <w:ind w:left="720" w:hangingChars="300" w:hanging="720"/>
        <w:rPr>
          <w:rFonts w:eastAsia="AGaramond-Regular"/>
        </w:rPr>
      </w:pPr>
      <w:r w:rsidRPr="00313709">
        <w:rPr>
          <w:rFonts w:eastAsia="AGaramond-Regular"/>
        </w:rPr>
        <w:t xml:space="preserve">Slatt, R.M., N. O’Brien, C. Molinares-Blancos, A. Serna-Bernal, E. Torres, and P. Philp, 2013, Pores, spores, pollen and pellets: small, but significant constituents of resource shales, URTeC 2013 ext. abs. Control No. 1573336, 17p.  </w:t>
      </w:r>
    </w:p>
    <w:p w:rsidR="004A0E69" w:rsidRPr="00A044B1" w:rsidRDefault="004A0E69" w:rsidP="004A0E69">
      <w:pPr>
        <w:autoSpaceDE w:val="0"/>
        <w:autoSpaceDN w:val="0"/>
        <w:adjustRightInd w:val="0"/>
        <w:ind w:left="720" w:hangingChars="300" w:hanging="720"/>
        <w:rPr>
          <w:rFonts w:eastAsia="AGaramond-Regular"/>
        </w:rPr>
      </w:pPr>
      <w:r>
        <w:rPr>
          <w:rFonts w:eastAsia="AGaramond-Regular"/>
        </w:rPr>
        <w:t>Slatt, R.M. and</w:t>
      </w:r>
      <w:r w:rsidRPr="00313709">
        <w:rPr>
          <w:rFonts w:eastAsia="AGaramond-Regular"/>
        </w:rPr>
        <w:t xml:space="preserve"> N. O’Brien,</w:t>
      </w:r>
      <w:r>
        <w:rPr>
          <w:rFonts w:eastAsia="AGaramond-Regular"/>
        </w:rPr>
        <w:t xml:space="preserve"> 2014, </w:t>
      </w:r>
      <w:r w:rsidRPr="004A0E69">
        <w:rPr>
          <w:rFonts w:eastAsia="AGaramond-Regular"/>
        </w:rPr>
        <w:t xml:space="preserve">Variations in Shale </w:t>
      </w:r>
      <w:proofErr w:type="gramStart"/>
      <w:r w:rsidRPr="004A0E69">
        <w:rPr>
          <w:rFonts w:eastAsia="AGaramond-Regular"/>
        </w:rPr>
        <w:t>Pore</w:t>
      </w:r>
      <w:proofErr w:type="gramEnd"/>
      <w:r w:rsidRPr="004A0E69">
        <w:rPr>
          <w:rFonts w:eastAsia="AGaramond-Regular"/>
        </w:rPr>
        <w:t xml:space="preserve"> Types and their Measurement</w:t>
      </w:r>
      <w:r>
        <w:rPr>
          <w:rFonts w:eastAsia="AGaramond-Regular"/>
        </w:rPr>
        <w:t xml:space="preserve">, </w:t>
      </w:r>
      <w:r w:rsidRPr="00A044B1">
        <w:rPr>
          <w:rFonts w:eastAsia="AGaramond-Regular"/>
        </w:rPr>
        <w:t xml:space="preserve">Unconventional Resources Technology Conference, Denver, Colorado, </w:t>
      </w:r>
      <w:r>
        <w:rPr>
          <w:rFonts w:eastAsia="AGaramond-Regular"/>
        </w:rPr>
        <w:t>25</w:t>
      </w:r>
      <w:r w:rsidRPr="00A044B1">
        <w:rPr>
          <w:rFonts w:eastAsia="AGaramond-Regular"/>
        </w:rPr>
        <w:t>-</w:t>
      </w:r>
      <w:r>
        <w:rPr>
          <w:rFonts w:eastAsia="AGaramond-Regular"/>
        </w:rPr>
        <w:t xml:space="preserve">27 August 2014: </w:t>
      </w:r>
      <w:r w:rsidRPr="004A0E69">
        <w:rPr>
          <w:rFonts w:eastAsia="AGaramond-Regular"/>
        </w:rPr>
        <w:t>DOI 10.15530/urtec-2014-1921688</w:t>
      </w:r>
      <w:r>
        <w:rPr>
          <w:rFonts w:eastAsia="AGaramond-Regular"/>
        </w:rPr>
        <w:t>.</w:t>
      </w:r>
    </w:p>
    <w:p w:rsidR="007B32AD" w:rsidRPr="00A044B1" w:rsidRDefault="007B32AD" w:rsidP="007B32AD">
      <w:pPr>
        <w:autoSpaceDE w:val="0"/>
        <w:autoSpaceDN w:val="0"/>
        <w:adjustRightInd w:val="0"/>
        <w:ind w:left="720" w:hangingChars="300" w:hanging="720"/>
        <w:rPr>
          <w:rFonts w:eastAsia="AGaramond-Regular"/>
        </w:rPr>
      </w:pPr>
      <w:proofErr w:type="gramStart"/>
      <w:r>
        <w:rPr>
          <w:rFonts w:eastAsia="AGaramond-Regular"/>
        </w:rPr>
        <w:t xml:space="preserve">Spaw, J.M., 2013, </w:t>
      </w:r>
      <w:r w:rsidRPr="00A044B1">
        <w:rPr>
          <w:rFonts w:eastAsia="AGaramond-Regular"/>
        </w:rPr>
        <w:t>Recognition of Ichnofacies Distributions and their Contributions to Matrix Heterogeneity in Mudstones.</w:t>
      </w:r>
      <w:proofErr w:type="gramEnd"/>
      <w:r w:rsidRPr="00A044B1">
        <w:rPr>
          <w:rFonts w:eastAsia="AGaramond-Regular"/>
        </w:rPr>
        <w:t xml:space="preserve"> Unconventional Resources Technology Conference, Denver, Colorado, 12-14 August 2013: pp. 664-668.</w:t>
      </w:r>
    </w:p>
    <w:p w:rsidR="007B32AD" w:rsidRPr="00000048" w:rsidRDefault="007B32AD" w:rsidP="007B32AD">
      <w:pPr>
        <w:autoSpaceDE w:val="0"/>
        <w:autoSpaceDN w:val="0"/>
        <w:adjustRightInd w:val="0"/>
        <w:ind w:left="720" w:hangingChars="300" w:hanging="720"/>
        <w:rPr>
          <w:rFonts w:eastAsia="AGaramond-Regular"/>
        </w:rPr>
      </w:pPr>
      <w:r w:rsidRPr="00000048">
        <w:rPr>
          <w:rFonts w:eastAsia="AGaramond-Regular"/>
        </w:rPr>
        <w:lastRenderedPageBreak/>
        <w:t>Tribovillard</w:t>
      </w:r>
      <w:r>
        <w:rPr>
          <w:rFonts w:eastAsia="AGaramond-Regular"/>
        </w:rPr>
        <w:t>, N., T.J. Algeo, T. Lyons, and A. Riboulleau, 2006, Trace metals as paleoredox and paleoproductivity proxies: An update, Chemical Geology, Vol. 232, pp.12-32.</w:t>
      </w:r>
    </w:p>
    <w:p w:rsidR="00927A7F" w:rsidRDefault="00927A7F"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p w:rsidR="00F35D72" w:rsidRDefault="00F35D72" w:rsidP="007B32AD">
      <w:pPr>
        <w:pStyle w:val="Default"/>
        <w:spacing w:line="480" w:lineRule="auto"/>
        <w:jc w:val="both"/>
      </w:pPr>
    </w:p>
    <w:sectPr w:rsidR="00F35D72" w:rsidSect="006D2A36">
      <w:footerReference w:type="default" r:id="rId21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6D1" w:rsidRDefault="002606D1" w:rsidP="008E1C26">
      <w:pPr>
        <w:spacing w:line="240" w:lineRule="auto"/>
      </w:pPr>
      <w:r>
        <w:separator/>
      </w:r>
    </w:p>
  </w:endnote>
  <w:endnote w:type="continuationSeparator" w:id="0">
    <w:p w:rsidR="002606D1" w:rsidRDefault="002606D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MS Mincho"/>
    <w:panose1 w:val="00000000000000000000"/>
    <w:charset w:val="80"/>
    <w:family w:val="roman"/>
    <w:notTrueType/>
    <w:pitch w:val="variable"/>
    <w:sig w:usb0="00000001" w:usb1="08070000" w:usb2="00000010" w:usb3="00000000" w:csb0="00020000" w:csb1="00000000"/>
  </w:font>
  <w:font w:name="WenQuanYi Zen Hei">
    <w:altName w:val="MS Mincho"/>
    <w:panose1 w:val="00000000000000000000"/>
    <w:charset w:val="80"/>
    <w:family w:val="auto"/>
    <w:notTrueType/>
    <w:pitch w:val="variable"/>
    <w:sig w:usb0="00000001" w:usb1="08070000" w:usb2="00000010" w:usb3="00000000" w:csb0="00020000" w:csb1="00000000"/>
  </w:font>
  <w:font w:name="Lohit Devanagari">
    <w:altName w:val="MS Mincho"/>
    <w:panose1 w:val="00000000000000000000"/>
    <w:charset w:val="80"/>
    <w:family w:val="auto"/>
    <w:notTrueType/>
    <w:pitch w:val="variable"/>
    <w:sig w:usb0="00000001" w:usb1="08070000" w:usb2="00000010" w:usb3="00000000" w:csb0="00020000" w:csb1="00000000"/>
  </w:font>
  <w:font w:name="+mn-ea">
    <w:altName w:val="Times New Roman"/>
    <w:panose1 w:val="00000000000000000000"/>
    <w:charset w:val="00"/>
    <w:family w:val="roman"/>
    <w:notTrueType/>
    <w:pitch w:val="default"/>
  </w:font>
  <w:font w:name="AGaramond-Regular">
    <w:altName w:val="Arial Unicode MS"/>
    <w:panose1 w:val="00000000000000000000"/>
    <w:charset w:val="86"/>
    <w:family w:val="roman"/>
    <w:notTrueType/>
    <w:pitch w:val="default"/>
    <w:sig w:usb0="00000001" w:usb1="080E0000" w:usb2="00000010" w:usb3="00000000" w:csb0="00040000" w:csb1="00000000"/>
  </w:font>
  <w:font w:name="AdvEPSTIM">
    <w:altName w:val="Arial Unicode MS"/>
    <w:panose1 w:val="00000000000000000000"/>
    <w:charset w:val="86"/>
    <w:family w:val="auto"/>
    <w:notTrueType/>
    <w:pitch w:val="default"/>
    <w:sig w:usb0="00000000" w:usb1="080E0000" w:usb2="00000010" w:usb3="00000000" w:csb0="00040000" w:csb1="00000000"/>
  </w:font>
  <w:font w:name="Palatino-Roman">
    <w:altName w:val="Arial Unicode MS"/>
    <w:panose1 w:val="00000000000000000000"/>
    <w:charset w:val="86"/>
    <w:family w:val="auto"/>
    <w:notTrueType/>
    <w:pitch w:val="default"/>
    <w:sig w:usb0="00000000" w:usb1="080E0000" w:usb2="00000010"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D88" w:rsidRDefault="006E7D88">
    <w:pPr>
      <w:pStyle w:val="Footer"/>
      <w:jc w:val="center"/>
    </w:pPr>
  </w:p>
  <w:p w:rsidR="006E7D88" w:rsidRDefault="006E7D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48594"/>
      <w:docPartObj>
        <w:docPartGallery w:val="Page Numbers (Bottom of Page)"/>
        <w:docPartUnique/>
      </w:docPartObj>
    </w:sdtPr>
    <w:sdtEndPr>
      <w:rPr>
        <w:noProof/>
      </w:rPr>
    </w:sdtEndPr>
    <w:sdtContent>
      <w:p w:rsidR="006E7D88" w:rsidRDefault="006E7D88">
        <w:pPr>
          <w:pStyle w:val="Footer"/>
          <w:jc w:val="center"/>
        </w:pPr>
        <w:r>
          <w:fldChar w:fldCharType="begin"/>
        </w:r>
        <w:r>
          <w:instrText xml:space="preserve"> PAGE   \* MERGEFORMAT </w:instrText>
        </w:r>
        <w:r>
          <w:fldChar w:fldCharType="separate"/>
        </w:r>
        <w:r w:rsidR="00A43A29">
          <w:rPr>
            <w:noProof/>
          </w:rPr>
          <w:t>v</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52663"/>
      <w:docPartObj>
        <w:docPartGallery w:val="Page Numbers (Bottom of Page)"/>
        <w:docPartUnique/>
      </w:docPartObj>
    </w:sdtPr>
    <w:sdtEndPr>
      <w:rPr>
        <w:noProof/>
      </w:rPr>
    </w:sdtEndPr>
    <w:sdtContent>
      <w:p w:rsidR="006E7D88" w:rsidRDefault="006E7D88">
        <w:pPr>
          <w:pStyle w:val="Footer"/>
          <w:jc w:val="center"/>
        </w:pPr>
        <w:r>
          <w:fldChar w:fldCharType="begin"/>
        </w:r>
        <w:r>
          <w:instrText xml:space="preserve"> PAGE   \* MERGEFORMAT </w:instrText>
        </w:r>
        <w:r>
          <w:fldChar w:fldCharType="separate"/>
        </w:r>
        <w:r w:rsidR="00A43A2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6D1" w:rsidRDefault="002606D1" w:rsidP="008E1C26">
      <w:pPr>
        <w:spacing w:line="240" w:lineRule="auto"/>
      </w:pPr>
      <w:r>
        <w:separator/>
      </w:r>
    </w:p>
  </w:footnote>
  <w:footnote w:type="continuationSeparator" w:id="0">
    <w:p w:rsidR="002606D1" w:rsidRDefault="002606D1"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D1E03"/>
    <w:multiLevelType w:val="hybridMultilevel"/>
    <w:tmpl w:val="073E4E82"/>
    <w:lvl w:ilvl="0" w:tplc="366A07C0">
      <w:start w:val="1"/>
      <w:numFmt w:val="bullet"/>
      <w:lvlText w:val=""/>
      <w:lvlJc w:val="left"/>
      <w:pPr>
        <w:tabs>
          <w:tab w:val="num" w:pos="720"/>
        </w:tabs>
        <w:ind w:left="720" w:hanging="360"/>
      </w:pPr>
      <w:rPr>
        <w:rFonts w:ascii="Wingdings" w:hAnsi="Wingdings" w:hint="default"/>
      </w:rPr>
    </w:lvl>
    <w:lvl w:ilvl="1" w:tplc="B4047952" w:tentative="1">
      <w:start w:val="1"/>
      <w:numFmt w:val="bullet"/>
      <w:lvlText w:val=""/>
      <w:lvlJc w:val="left"/>
      <w:pPr>
        <w:tabs>
          <w:tab w:val="num" w:pos="1440"/>
        </w:tabs>
        <w:ind w:left="1440" w:hanging="360"/>
      </w:pPr>
      <w:rPr>
        <w:rFonts w:ascii="Wingdings" w:hAnsi="Wingdings" w:hint="default"/>
      </w:rPr>
    </w:lvl>
    <w:lvl w:ilvl="2" w:tplc="D0225EBA" w:tentative="1">
      <w:start w:val="1"/>
      <w:numFmt w:val="bullet"/>
      <w:lvlText w:val=""/>
      <w:lvlJc w:val="left"/>
      <w:pPr>
        <w:tabs>
          <w:tab w:val="num" w:pos="2160"/>
        </w:tabs>
        <w:ind w:left="2160" w:hanging="360"/>
      </w:pPr>
      <w:rPr>
        <w:rFonts w:ascii="Wingdings" w:hAnsi="Wingdings" w:hint="default"/>
      </w:rPr>
    </w:lvl>
    <w:lvl w:ilvl="3" w:tplc="71986CB8" w:tentative="1">
      <w:start w:val="1"/>
      <w:numFmt w:val="bullet"/>
      <w:lvlText w:val=""/>
      <w:lvlJc w:val="left"/>
      <w:pPr>
        <w:tabs>
          <w:tab w:val="num" w:pos="2880"/>
        </w:tabs>
        <w:ind w:left="2880" w:hanging="360"/>
      </w:pPr>
      <w:rPr>
        <w:rFonts w:ascii="Wingdings" w:hAnsi="Wingdings" w:hint="default"/>
      </w:rPr>
    </w:lvl>
    <w:lvl w:ilvl="4" w:tplc="615A5922" w:tentative="1">
      <w:start w:val="1"/>
      <w:numFmt w:val="bullet"/>
      <w:lvlText w:val=""/>
      <w:lvlJc w:val="left"/>
      <w:pPr>
        <w:tabs>
          <w:tab w:val="num" w:pos="3600"/>
        </w:tabs>
        <w:ind w:left="3600" w:hanging="360"/>
      </w:pPr>
      <w:rPr>
        <w:rFonts w:ascii="Wingdings" w:hAnsi="Wingdings" w:hint="default"/>
      </w:rPr>
    </w:lvl>
    <w:lvl w:ilvl="5" w:tplc="CD4ED860" w:tentative="1">
      <w:start w:val="1"/>
      <w:numFmt w:val="bullet"/>
      <w:lvlText w:val=""/>
      <w:lvlJc w:val="left"/>
      <w:pPr>
        <w:tabs>
          <w:tab w:val="num" w:pos="4320"/>
        </w:tabs>
        <w:ind w:left="4320" w:hanging="360"/>
      </w:pPr>
      <w:rPr>
        <w:rFonts w:ascii="Wingdings" w:hAnsi="Wingdings" w:hint="default"/>
      </w:rPr>
    </w:lvl>
    <w:lvl w:ilvl="6" w:tplc="52FAC160" w:tentative="1">
      <w:start w:val="1"/>
      <w:numFmt w:val="bullet"/>
      <w:lvlText w:val=""/>
      <w:lvlJc w:val="left"/>
      <w:pPr>
        <w:tabs>
          <w:tab w:val="num" w:pos="5040"/>
        </w:tabs>
        <w:ind w:left="5040" w:hanging="360"/>
      </w:pPr>
      <w:rPr>
        <w:rFonts w:ascii="Wingdings" w:hAnsi="Wingdings" w:hint="default"/>
      </w:rPr>
    </w:lvl>
    <w:lvl w:ilvl="7" w:tplc="3110BDF4" w:tentative="1">
      <w:start w:val="1"/>
      <w:numFmt w:val="bullet"/>
      <w:lvlText w:val=""/>
      <w:lvlJc w:val="left"/>
      <w:pPr>
        <w:tabs>
          <w:tab w:val="num" w:pos="5760"/>
        </w:tabs>
        <w:ind w:left="5760" w:hanging="360"/>
      </w:pPr>
      <w:rPr>
        <w:rFonts w:ascii="Wingdings" w:hAnsi="Wingdings" w:hint="default"/>
      </w:rPr>
    </w:lvl>
    <w:lvl w:ilvl="8" w:tplc="D10EBFBA" w:tentative="1">
      <w:start w:val="1"/>
      <w:numFmt w:val="bullet"/>
      <w:lvlText w:val=""/>
      <w:lvlJc w:val="left"/>
      <w:pPr>
        <w:tabs>
          <w:tab w:val="num" w:pos="6480"/>
        </w:tabs>
        <w:ind w:left="6480" w:hanging="360"/>
      </w:pPr>
      <w:rPr>
        <w:rFonts w:ascii="Wingdings" w:hAnsi="Wingdings" w:hint="default"/>
      </w:rPr>
    </w:lvl>
  </w:abstractNum>
  <w:abstractNum w:abstractNumId="1">
    <w:nsid w:val="0B962B3D"/>
    <w:multiLevelType w:val="hybridMultilevel"/>
    <w:tmpl w:val="75B40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F4668"/>
    <w:multiLevelType w:val="hybridMultilevel"/>
    <w:tmpl w:val="D3BC7BEE"/>
    <w:lvl w:ilvl="0" w:tplc="550ACB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2922F4B"/>
    <w:multiLevelType w:val="hybridMultilevel"/>
    <w:tmpl w:val="110695FA"/>
    <w:lvl w:ilvl="0" w:tplc="31282AA2">
      <w:start w:val="1"/>
      <w:numFmt w:val="bullet"/>
      <w:lvlText w:val=""/>
      <w:lvlJc w:val="left"/>
      <w:pPr>
        <w:tabs>
          <w:tab w:val="num" w:pos="720"/>
        </w:tabs>
        <w:ind w:left="720" w:hanging="360"/>
      </w:pPr>
      <w:rPr>
        <w:rFonts w:ascii="Wingdings" w:hAnsi="Wingdings" w:hint="default"/>
      </w:rPr>
    </w:lvl>
    <w:lvl w:ilvl="1" w:tplc="09988826" w:tentative="1">
      <w:start w:val="1"/>
      <w:numFmt w:val="bullet"/>
      <w:lvlText w:val=""/>
      <w:lvlJc w:val="left"/>
      <w:pPr>
        <w:tabs>
          <w:tab w:val="num" w:pos="1440"/>
        </w:tabs>
        <w:ind w:left="1440" w:hanging="360"/>
      </w:pPr>
      <w:rPr>
        <w:rFonts w:ascii="Wingdings" w:hAnsi="Wingdings" w:hint="default"/>
      </w:rPr>
    </w:lvl>
    <w:lvl w:ilvl="2" w:tplc="C3922CA6" w:tentative="1">
      <w:start w:val="1"/>
      <w:numFmt w:val="bullet"/>
      <w:lvlText w:val=""/>
      <w:lvlJc w:val="left"/>
      <w:pPr>
        <w:tabs>
          <w:tab w:val="num" w:pos="2160"/>
        </w:tabs>
        <w:ind w:left="2160" w:hanging="360"/>
      </w:pPr>
      <w:rPr>
        <w:rFonts w:ascii="Wingdings" w:hAnsi="Wingdings" w:hint="default"/>
      </w:rPr>
    </w:lvl>
    <w:lvl w:ilvl="3" w:tplc="235C0688" w:tentative="1">
      <w:start w:val="1"/>
      <w:numFmt w:val="bullet"/>
      <w:lvlText w:val=""/>
      <w:lvlJc w:val="left"/>
      <w:pPr>
        <w:tabs>
          <w:tab w:val="num" w:pos="2880"/>
        </w:tabs>
        <w:ind w:left="2880" w:hanging="360"/>
      </w:pPr>
      <w:rPr>
        <w:rFonts w:ascii="Wingdings" w:hAnsi="Wingdings" w:hint="default"/>
      </w:rPr>
    </w:lvl>
    <w:lvl w:ilvl="4" w:tplc="EE06E18C" w:tentative="1">
      <w:start w:val="1"/>
      <w:numFmt w:val="bullet"/>
      <w:lvlText w:val=""/>
      <w:lvlJc w:val="left"/>
      <w:pPr>
        <w:tabs>
          <w:tab w:val="num" w:pos="3600"/>
        </w:tabs>
        <w:ind w:left="3600" w:hanging="360"/>
      </w:pPr>
      <w:rPr>
        <w:rFonts w:ascii="Wingdings" w:hAnsi="Wingdings" w:hint="default"/>
      </w:rPr>
    </w:lvl>
    <w:lvl w:ilvl="5" w:tplc="6FD6DAB6" w:tentative="1">
      <w:start w:val="1"/>
      <w:numFmt w:val="bullet"/>
      <w:lvlText w:val=""/>
      <w:lvlJc w:val="left"/>
      <w:pPr>
        <w:tabs>
          <w:tab w:val="num" w:pos="4320"/>
        </w:tabs>
        <w:ind w:left="4320" w:hanging="360"/>
      </w:pPr>
      <w:rPr>
        <w:rFonts w:ascii="Wingdings" w:hAnsi="Wingdings" w:hint="default"/>
      </w:rPr>
    </w:lvl>
    <w:lvl w:ilvl="6" w:tplc="1FC66224" w:tentative="1">
      <w:start w:val="1"/>
      <w:numFmt w:val="bullet"/>
      <w:lvlText w:val=""/>
      <w:lvlJc w:val="left"/>
      <w:pPr>
        <w:tabs>
          <w:tab w:val="num" w:pos="5040"/>
        </w:tabs>
        <w:ind w:left="5040" w:hanging="360"/>
      </w:pPr>
      <w:rPr>
        <w:rFonts w:ascii="Wingdings" w:hAnsi="Wingdings" w:hint="default"/>
      </w:rPr>
    </w:lvl>
    <w:lvl w:ilvl="7" w:tplc="96B2BB94" w:tentative="1">
      <w:start w:val="1"/>
      <w:numFmt w:val="bullet"/>
      <w:lvlText w:val=""/>
      <w:lvlJc w:val="left"/>
      <w:pPr>
        <w:tabs>
          <w:tab w:val="num" w:pos="5760"/>
        </w:tabs>
        <w:ind w:left="5760" w:hanging="360"/>
      </w:pPr>
      <w:rPr>
        <w:rFonts w:ascii="Wingdings" w:hAnsi="Wingdings" w:hint="default"/>
      </w:rPr>
    </w:lvl>
    <w:lvl w:ilvl="8" w:tplc="91E0E5B0" w:tentative="1">
      <w:start w:val="1"/>
      <w:numFmt w:val="bullet"/>
      <w:lvlText w:val=""/>
      <w:lvlJc w:val="left"/>
      <w:pPr>
        <w:tabs>
          <w:tab w:val="num" w:pos="6480"/>
        </w:tabs>
        <w:ind w:left="6480" w:hanging="360"/>
      </w:pPr>
      <w:rPr>
        <w:rFonts w:ascii="Wingdings" w:hAnsi="Wingdings" w:hint="default"/>
      </w:rPr>
    </w:lvl>
  </w:abstractNum>
  <w:abstractNum w:abstractNumId="4">
    <w:nsid w:val="1AF323AB"/>
    <w:multiLevelType w:val="hybridMultilevel"/>
    <w:tmpl w:val="23E8E84C"/>
    <w:lvl w:ilvl="0" w:tplc="5358EF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066C3"/>
    <w:multiLevelType w:val="hybridMultilevel"/>
    <w:tmpl w:val="7A26835A"/>
    <w:lvl w:ilvl="0" w:tplc="92869C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4953C0"/>
    <w:multiLevelType w:val="hybridMultilevel"/>
    <w:tmpl w:val="C8CA8416"/>
    <w:lvl w:ilvl="0" w:tplc="E1E47144">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D10EC2"/>
    <w:multiLevelType w:val="hybridMultilevel"/>
    <w:tmpl w:val="D7683D18"/>
    <w:lvl w:ilvl="0" w:tplc="1952A828">
      <w:start w:val="1"/>
      <w:numFmt w:val="bullet"/>
      <w:lvlText w:val=""/>
      <w:lvlJc w:val="left"/>
      <w:pPr>
        <w:tabs>
          <w:tab w:val="num" w:pos="720"/>
        </w:tabs>
        <w:ind w:left="720" w:hanging="360"/>
      </w:pPr>
      <w:rPr>
        <w:rFonts w:ascii="Wingdings" w:hAnsi="Wingdings" w:hint="default"/>
      </w:rPr>
    </w:lvl>
    <w:lvl w:ilvl="1" w:tplc="A5146654" w:tentative="1">
      <w:start w:val="1"/>
      <w:numFmt w:val="bullet"/>
      <w:lvlText w:val=""/>
      <w:lvlJc w:val="left"/>
      <w:pPr>
        <w:tabs>
          <w:tab w:val="num" w:pos="1440"/>
        </w:tabs>
        <w:ind w:left="1440" w:hanging="360"/>
      </w:pPr>
      <w:rPr>
        <w:rFonts w:ascii="Wingdings" w:hAnsi="Wingdings" w:hint="default"/>
      </w:rPr>
    </w:lvl>
    <w:lvl w:ilvl="2" w:tplc="419C8F9E" w:tentative="1">
      <w:start w:val="1"/>
      <w:numFmt w:val="bullet"/>
      <w:lvlText w:val=""/>
      <w:lvlJc w:val="left"/>
      <w:pPr>
        <w:tabs>
          <w:tab w:val="num" w:pos="2160"/>
        </w:tabs>
        <w:ind w:left="2160" w:hanging="360"/>
      </w:pPr>
      <w:rPr>
        <w:rFonts w:ascii="Wingdings" w:hAnsi="Wingdings" w:hint="default"/>
      </w:rPr>
    </w:lvl>
    <w:lvl w:ilvl="3" w:tplc="499C499A" w:tentative="1">
      <w:start w:val="1"/>
      <w:numFmt w:val="bullet"/>
      <w:lvlText w:val=""/>
      <w:lvlJc w:val="left"/>
      <w:pPr>
        <w:tabs>
          <w:tab w:val="num" w:pos="2880"/>
        </w:tabs>
        <w:ind w:left="2880" w:hanging="360"/>
      </w:pPr>
      <w:rPr>
        <w:rFonts w:ascii="Wingdings" w:hAnsi="Wingdings" w:hint="default"/>
      </w:rPr>
    </w:lvl>
    <w:lvl w:ilvl="4" w:tplc="303CE61A" w:tentative="1">
      <w:start w:val="1"/>
      <w:numFmt w:val="bullet"/>
      <w:lvlText w:val=""/>
      <w:lvlJc w:val="left"/>
      <w:pPr>
        <w:tabs>
          <w:tab w:val="num" w:pos="3600"/>
        </w:tabs>
        <w:ind w:left="3600" w:hanging="360"/>
      </w:pPr>
      <w:rPr>
        <w:rFonts w:ascii="Wingdings" w:hAnsi="Wingdings" w:hint="default"/>
      </w:rPr>
    </w:lvl>
    <w:lvl w:ilvl="5" w:tplc="F5A0B308" w:tentative="1">
      <w:start w:val="1"/>
      <w:numFmt w:val="bullet"/>
      <w:lvlText w:val=""/>
      <w:lvlJc w:val="left"/>
      <w:pPr>
        <w:tabs>
          <w:tab w:val="num" w:pos="4320"/>
        </w:tabs>
        <w:ind w:left="4320" w:hanging="360"/>
      </w:pPr>
      <w:rPr>
        <w:rFonts w:ascii="Wingdings" w:hAnsi="Wingdings" w:hint="default"/>
      </w:rPr>
    </w:lvl>
    <w:lvl w:ilvl="6" w:tplc="B8F056A2" w:tentative="1">
      <w:start w:val="1"/>
      <w:numFmt w:val="bullet"/>
      <w:lvlText w:val=""/>
      <w:lvlJc w:val="left"/>
      <w:pPr>
        <w:tabs>
          <w:tab w:val="num" w:pos="5040"/>
        </w:tabs>
        <w:ind w:left="5040" w:hanging="360"/>
      </w:pPr>
      <w:rPr>
        <w:rFonts w:ascii="Wingdings" w:hAnsi="Wingdings" w:hint="default"/>
      </w:rPr>
    </w:lvl>
    <w:lvl w:ilvl="7" w:tplc="EA427144" w:tentative="1">
      <w:start w:val="1"/>
      <w:numFmt w:val="bullet"/>
      <w:lvlText w:val=""/>
      <w:lvlJc w:val="left"/>
      <w:pPr>
        <w:tabs>
          <w:tab w:val="num" w:pos="5760"/>
        </w:tabs>
        <w:ind w:left="5760" w:hanging="360"/>
      </w:pPr>
      <w:rPr>
        <w:rFonts w:ascii="Wingdings" w:hAnsi="Wingdings" w:hint="default"/>
      </w:rPr>
    </w:lvl>
    <w:lvl w:ilvl="8" w:tplc="9D9A9002" w:tentative="1">
      <w:start w:val="1"/>
      <w:numFmt w:val="bullet"/>
      <w:lvlText w:val=""/>
      <w:lvlJc w:val="left"/>
      <w:pPr>
        <w:tabs>
          <w:tab w:val="num" w:pos="6480"/>
        </w:tabs>
        <w:ind w:left="6480" w:hanging="360"/>
      </w:pPr>
      <w:rPr>
        <w:rFonts w:ascii="Wingdings" w:hAnsi="Wingdings" w:hint="default"/>
      </w:rPr>
    </w:lvl>
  </w:abstractNum>
  <w:abstractNum w:abstractNumId="1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13799F"/>
    <w:multiLevelType w:val="hybridMultilevel"/>
    <w:tmpl w:val="283C0694"/>
    <w:lvl w:ilvl="0" w:tplc="D6EE2658">
      <w:start w:val="1"/>
      <w:numFmt w:val="bullet"/>
      <w:lvlText w:val=""/>
      <w:lvlJc w:val="left"/>
      <w:pPr>
        <w:tabs>
          <w:tab w:val="num" w:pos="720"/>
        </w:tabs>
        <w:ind w:left="720" w:hanging="360"/>
      </w:pPr>
      <w:rPr>
        <w:rFonts w:ascii="Wingdings" w:hAnsi="Wingdings" w:hint="default"/>
      </w:rPr>
    </w:lvl>
    <w:lvl w:ilvl="1" w:tplc="77F2E520" w:tentative="1">
      <w:start w:val="1"/>
      <w:numFmt w:val="bullet"/>
      <w:lvlText w:val=""/>
      <w:lvlJc w:val="left"/>
      <w:pPr>
        <w:tabs>
          <w:tab w:val="num" w:pos="1440"/>
        </w:tabs>
        <w:ind w:left="1440" w:hanging="360"/>
      </w:pPr>
      <w:rPr>
        <w:rFonts w:ascii="Wingdings" w:hAnsi="Wingdings" w:hint="default"/>
      </w:rPr>
    </w:lvl>
    <w:lvl w:ilvl="2" w:tplc="AC2EFC92" w:tentative="1">
      <w:start w:val="1"/>
      <w:numFmt w:val="bullet"/>
      <w:lvlText w:val=""/>
      <w:lvlJc w:val="left"/>
      <w:pPr>
        <w:tabs>
          <w:tab w:val="num" w:pos="2160"/>
        </w:tabs>
        <w:ind w:left="2160" w:hanging="360"/>
      </w:pPr>
      <w:rPr>
        <w:rFonts w:ascii="Wingdings" w:hAnsi="Wingdings" w:hint="default"/>
      </w:rPr>
    </w:lvl>
    <w:lvl w:ilvl="3" w:tplc="031A3B62" w:tentative="1">
      <w:start w:val="1"/>
      <w:numFmt w:val="bullet"/>
      <w:lvlText w:val=""/>
      <w:lvlJc w:val="left"/>
      <w:pPr>
        <w:tabs>
          <w:tab w:val="num" w:pos="2880"/>
        </w:tabs>
        <w:ind w:left="2880" w:hanging="360"/>
      </w:pPr>
      <w:rPr>
        <w:rFonts w:ascii="Wingdings" w:hAnsi="Wingdings" w:hint="default"/>
      </w:rPr>
    </w:lvl>
    <w:lvl w:ilvl="4" w:tplc="72828240" w:tentative="1">
      <w:start w:val="1"/>
      <w:numFmt w:val="bullet"/>
      <w:lvlText w:val=""/>
      <w:lvlJc w:val="left"/>
      <w:pPr>
        <w:tabs>
          <w:tab w:val="num" w:pos="3600"/>
        </w:tabs>
        <w:ind w:left="3600" w:hanging="360"/>
      </w:pPr>
      <w:rPr>
        <w:rFonts w:ascii="Wingdings" w:hAnsi="Wingdings" w:hint="default"/>
      </w:rPr>
    </w:lvl>
    <w:lvl w:ilvl="5" w:tplc="445E29B8" w:tentative="1">
      <w:start w:val="1"/>
      <w:numFmt w:val="bullet"/>
      <w:lvlText w:val=""/>
      <w:lvlJc w:val="left"/>
      <w:pPr>
        <w:tabs>
          <w:tab w:val="num" w:pos="4320"/>
        </w:tabs>
        <w:ind w:left="4320" w:hanging="360"/>
      </w:pPr>
      <w:rPr>
        <w:rFonts w:ascii="Wingdings" w:hAnsi="Wingdings" w:hint="default"/>
      </w:rPr>
    </w:lvl>
    <w:lvl w:ilvl="6" w:tplc="FD1257DE" w:tentative="1">
      <w:start w:val="1"/>
      <w:numFmt w:val="bullet"/>
      <w:lvlText w:val=""/>
      <w:lvlJc w:val="left"/>
      <w:pPr>
        <w:tabs>
          <w:tab w:val="num" w:pos="5040"/>
        </w:tabs>
        <w:ind w:left="5040" w:hanging="360"/>
      </w:pPr>
      <w:rPr>
        <w:rFonts w:ascii="Wingdings" w:hAnsi="Wingdings" w:hint="default"/>
      </w:rPr>
    </w:lvl>
    <w:lvl w:ilvl="7" w:tplc="56046152" w:tentative="1">
      <w:start w:val="1"/>
      <w:numFmt w:val="bullet"/>
      <w:lvlText w:val=""/>
      <w:lvlJc w:val="left"/>
      <w:pPr>
        <w:tabs>
          <w:tab w:val="num" w:pos="5760"/>
        </w:tabs>
        <w:ind w:left="5760" w:hanging="360"/>
      </w:pPr>
      <w:rPr>
        <w:rFonts w:ascii="Wingdings" w:hAnsi="Wingdings" w:hint="default"/>
      </w:rPr>
    </w:lvl>
    <w:lvl w:ilvl="8" w:tplc="DEB8C3B6" w:tentative="1">
      <w:start w:val="1"/>
      <w:numFmt w:val="bullet"/>
      <w:lvlText w:val=""/>
      <w:lvlJc w:val="left"/>
      <w:pPr>
        <w:tabs>
          <w:tab w:val="num" w:pos="6480"/>
        </w:tabs>
        <w:ind w:left="6480" w:hanging="360"/>
      </w:pPr>
      <w:rPr>
        <w:rFonts w:ascii="Wingdings" w:hAnsi="Wingdings" w:hint="default"/>
      </w:rPr>
    </w:lvl>
  </w:abstractNum>
  <w:abstractNum w:abstractNumId="12">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563F66"/>
    <w:multiLevelType w:val="hybridMultilevel"/>
    <w:tmpl w:val="D5DE3ED4"/>
    <w:lvl w:ilvl="0" w:tplc="D20C8D4E">
      <w:start w:val="1"/>
      <w:numFmt w:val="bullet"/>
      <w:lvlText w:val=""/>
      <w:lvlJc w:val="left"/>
      <w:pPr>
        <w:tabs>
          <w:tab w:val="num" w:pos="720"/>
        </w:tabs>
        <w:ind w:left="720" w:hanging="360"/>
      </w:pPr>
      <w:rPr>
        <w:rFonts w:ascii="Wingdings" w:hAnsi="Wingdings" w:hint="default"/>
      </w:rPr>
    </w:lvl>
    <w:lvl w:ilvl="1" w:tplc="4B1000EA" w:tentative="1">
      <w:start w:val="1"/>
      <w:numFmt w:val="bullet"/>
      <w:lvlText w:val=""/>
      <w:lvlJc w:val="left"/>
      <w:pPr>
        <w:tabs>
          <w:tab w:val="num" w:pos="1440"/>
        </w:tabs>
        <w:ind w:left="1440" w:hanging="360"/>
      </w:pPr>
      <w:rPr>
        <w:rFonts w:ascii="Wingdings" w:hAnsi="Wingdings" w:hint="default"/>
      </w:rPr>
    </w:lvl>
    <w:lvl w:ilvl="2" w:tplc="71507D52" w:tentative="1">
      <w:start w:val="1"/>
      <w:numFmt w:val="bullet"/>
      <w:lvlText w:val=""/>
      <w:lvlJc w:val="left"/>
      <w:pPr>
        <w:tabs>
          <w:tab w:val="num" w:pos="2160"/>
        </w:tabs>
        <w:ind w:left="2160" w:hanging="360"/>
      </w:pPr>
      <w:rPr>
        <w:rFonts w:ascii="Wingdings" w:hAnsi="Wingdings" w:hint="default"/>
      </w:rPr>
    </w:lvl>
    <w:lvl w:ilvl="3" w:tplc="2EBA219E" w:tentative="1">
      <w:start w:val="1"/>
      <w:numFmt w:val="bullet"/>
      <w:lvlText w:val=""/>
      <w:lvlJc w:val="left"/>
      <w:pPr>
        <w:tabs>
          <w:tab w:val="num" w:pos="2880"/>
        </w:tabs>
        <w:ind w:left="2880" w:hanging="360"/>
      </w:pPr>
      <w:rPr>
        <w:rFonts w:ascii="Wingdings" w:hAnsi="Wingdings" w:hint="default"/>
      </w:rPr>
    </w:lvl>
    <w:lvl w:ilvl="4" w:tplc="EAA6620E" w:tentative="1">
      <w:start w:val="1"/>
      <w:numFmt w:val="bullet"/>
      <w:lvlText w:val=""/>
      <w:lvlJc w:val="left"/>
      <w:pPr>
        <w:tabs>
          <w:tab w:val="num" w:pos="3600"/>
        </w:tabs>
        <w:ind w:left="3600" w:hanging="360"/>
      </w:pPr>
      <w:rPr>
        <w:rFonts w:ascii="Wingdings" w:hAnsi="Wingdings" w:hint="default"/>
      </w:rPr>
    </w:lvl>
    <w:lvl w:ilvl="5" w:tplc="23BC3358" w:tentative="1">
      <w:start w:val="1"/>
      <w:numFmt w:val="bullet"/>
      <w:lvlText w:val=""/>
      <w:lvlJc w:val="left"/>
      <w:pPr>
        <w:tabs>
          <w:tab w:val="num" w:pos="4320"/>
        </w:tabs>
        <w:ind w:left="4320" w:hanging="360"/>
      </w:pPr>
      <w:rPr>
        <w:rFonts w:ascii="Wingdings" w:hAnsi="Wingdings" w:hint="default"/>
      </w:rPr>
    </w:lvl>
    <w:lvl w:ilvl="6" w:tplc="33AA8CBA" w:tentative="1">
      <w:start w:val="1"/>
      <w:numFmt w:val="bullet"/>
      <w:lvlText w:val=""/>
      <w:lvlJc w:val="left"/>
      <w:pPr>
        <w:tabs>
          <w:tab w:val="num" w:pos="5040"/>
        </w:tabs>
        <w:ind w:left="5040" w:hanging="360"/>
      </w:pPr>
      <w:rPr>
        <w:rFonts w:ascii="Wingdings" w:hAnsi="Wingdings" w:hint="default"/>
      </w:rPr>
    </w:lvl>
    <w:lvl w:ilvl="7" w:tplc="31EC9102" w:tentative="1">
      <w:start w:val="1"/>
      <w:numFmt w:val="bullet"/>
      <w:lvlText w:val=""/>
      <w:lvlJc w:val="left"/>
      <w:pPr>
        <w:tabs>
          <w:tab w:val="num" w:pos="5760"/>
        </w:tabs>
        <w:ind w:left="5760" w:hanging="360"/>
      </w:pPr>
      <w:rPr>
        <w:rFonts w:ascii="Wingdings" w:hAnsi="Wingdings" w:hint="default"/>
      </w:rPr>
    </w:lvl>
    <w:lvl w:ilvl="8" w:tplc="78388888" w:tentative="1">
      <w:start w:val="1"/>
      <w:numFmt w:val="bullet"/>
      <w:lvlText w:val=""/>
      <w:lvlJc w:val="left"/>
      <w:pPr>
        <w:tabs>
          <w:tab w:val="num" w:pos="6480"/>
        </w:tabs>
        <w:ind w:left="6480" w:hanging="360"/>
      </w:pPr>
      <w:rPr>
        <w:rFonts w:ascii="Wingdings" w:hAnsi="Wingdings" w:hint="default"/>
      </w:rPr>
    </w:lvl>
  </w:abstractNum>
  <w:abstractNum w:abstractNumId="15">
    <w:nsid w:val="599B63BB"/>
    <w:multiLevelType w:val="hybridMultilevel"/>
    <w:tmpl w:val="53926BA2"/>
    <w:lvl w:ilvl="0" w:tplc="B7663C5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30B5FD4"/>
    <w:multiLevelType w:val="hybridMultilevel"/>
    <w:tmpl w:val="314A304E"/>
    <w:lvl w:ilvl="0" w:tplc="AB8215CC">
      <w:start w:val="1"/>
      <w:numFmt w:val="bullet"/>
      <w:lvlText w:val=""/>
      <w:lvlJc w:val="left"/>
      <w:pPr>
        <w:tabs>
          <w:tab w:val="num" w:pos="720"/>
        </w:tabs>
        <w:ind w:left="720" w:hanging="360"/>
      </w:pPr>
      <w:rPr>
        <w:rFonts w:ascii="Wingdings" w:hAnsi="Wingdings" w:hint="default"/>
      </w:rPr>
    </w:lvl>
    <w:lvl w:ilvl="1" w:tplc="779047BE" w:tentative="1">
      <w:start w:val="1"/>
      <w:numFmt w:val="bullet"/>
      <w:lvlText w:val=""/>
      <w:lvlJc w:val="left"/>
      <w:pPr>
        <w:tabs>
          <w:tab w:val="num" w:pos="1440"/>
        </w:tabs>
        <w:ind w:left="1440" w:hanging="360"/>
      </w:pPr>
      <w:rPr>
        <w:rFonts w:ascii="Wingdings" w:hAnsi="Wingdings" w:hint="default"/>
      </w:rPr>
    </w:lvl>
    <w:lvl w:ilvl="2" w:tplc="B126ABCC" w:tentative="1">
      <w:start w:val="1"/>
      <w:numFmt w:val="bullet"/>
      <w:lvlText w:val=""/>
      <w:lvlJc w:val="left"/>
      <w:pPr>
        <w:tabs>
          <w:tab w:val="num" w:pos="2160"/>
        </w:tabs>
        <w:ind w:left="2160" w:hanging="360"/>
      </w:pPr>
      <w:rPr>
        <w:rFonts w:ascii="Wingdings" w:hAnsi="Wingdings" w:hint="default"/>
      </w:rPr>
    </w:lvl>
    <w:lvl w:ilvl="3" w:tplc="21006BF4" w:tentative="1">
      <w:start w:val="1"/>
      <w:numFmt w:val="bullet"/>
      <w:lvlText w:val=""/>
      <w:lvlJc w:val="left"/>
      <w:pPr>
        <w:tabs>
          <w:tab w:val="num" w:pos="2880"/>
        </w:tabs>
        <w:ind w:left="2880" w:hanging="360"/>
      </w:pPr>
      <w:rPr>
        <w:rFonts w:ascii="Wingdings" w:hAnsi="Wingdings" w:hint="default"/>
      </w:rPr>
    </w:lvl>
    <w:lvl w:ilvl="4" w:tplc="EA84695E" w:tentative="1">
      <w:start w:val="1"/>
      <w:numFmt w:val="bullet"/>
      <w:lvlText w:val=""/>
      <w:lvlJc w:val="left"/>
      <w:pPr>
        <w:tabs>
          <w:tab w:val="num" w:pos="3600"/>
        </w:tabs>
        <w:ind w:left="3600" w:hanging="360"/>
      </w:pPr>
      <w:rPr>
        <w:rFonts w:ascii="Wingdings" w:hAnsi="Wingdings" w:hint="default"/>
      </w:rPr>
    </w:lvl>
    <w:lvl w:ilvl="5" w:tplc="AF280EE6" w:tentative="1">
      <w:start w:val="1"/>
      <w:numFmt w:val="bullet"/>
      <w:lvlText w:val=""/>
      <w:lvlJc w:val="left"/>
      <w:pPr>
        <w:tabs>
          <w:tab w:val="num" w:pos="4320"/>
        </w:tabs>
        <w:ind w:left="4320" w:hanging="360"/>
      </w:pPr>
      <w:rPr>
        <w:rFonts w:ascii="Wingdings" w:hAnsi="Wingdings" w:hint="default"/>
      </w:rPr>
    </w:lvl>
    <w:lvl w:ilvl="6" w:tplc="D4BE18B6" w:tentative="1">
      <w:start w:val="1"/>
      <w:numFmt w:val="bullet"/>
      <w:lvlText w:val=""/>
      <w:lvlJc w:val="left"/>
      <w:pPr>
        <w:tabs>
          <w:tab w:val="num" w:pos="5040"/>
        </w:tabs>
        <w:ind w:left="5040" w:hanging="360"/>
      </w:pPr>
      <w:rPr>
        <w:rFonts w:ascii="Wingdings" w:hAnsi="Wingdings" w:hint="default"/>
      </w:rPr>
    </w:lvl>
    <w:lvl w:ilvl="7" w:tplc="4D38AB18" w:tentative="1">
      <w:start w:val="1"/>
      <w:numFmt w:val="bullet"/>
      <w:lvlText w:val=""/>
      <w:lvlJc w:val="left"/>
      <w:pPr>
        <w:tabs>
          <w:tab w:val="num" w:pos="5760"/>
        </w:tabs>
        <w:ind w:left="5760" w:hanging="360"/>
      </w:pPr>
      <w:rPr>
        <w:rFonts w:ascii="Wingdings" w:hAnsi="Wingdings" w:hint="default"/>
      </w:rPr>
    </w:lvl>
    <w:lvl w:ilvl="8" w:tplc="58E6DE84" w:tentative="1">
      <w:start w:val="1"/>
      <w:numFmt w:val="bullet"/>
      <w:lvlText w:val=""/>
      <w:lvlJc w:val="left"/>
      <w:pPr>
        <w:tabs>
          <w:tab w:val="num" w:pos="6480"/>
        </w:tabs>
        <w:ind w:left="6480" w:hanging="360"/>
      </w:pPr>
      <w:rPr>
        <w:rFonts w:ascii="Wingdings" w:hAnsi="Wingdings" w:hint="default"/>
      </w:rPr>
    </w:lvl>
  </w:abstractNum>
  <w:abstractNum w:abstractNumId="17">
    <w:nsid w:val="70E55C0F"/>
    <w:multiLevelType w:val="hybridMultilevel"/>
    <w:tmpl w:val="DB34F14A"/>
    <w:lvl w:ilvl="0" w:tplc="5D3C5C0A">
      <w:start w:val="1"/>
      <w:numFmt w:val="bullet"/>
      <w:lvlText w:val=""/>
      <w:lvlJc w:val="left"/>
      <w:pPr>
        <w:tabs>
          <w:tab w:val="num" w:pos="720"/>
        </w:tabs>
        <w:ind w:left="720" w:hanging="360"/>
      </w:pPr>
      <w:rPr>
        <w:rFonts w:ascii="Wingdings" w:hAnsi="Wingdings" w:hint="default"/>
      </w:rPr>
    </w:lvl>
    <w:lvl w:ilvl="1" w:tplc="5B6472E6" w:tentative="1">
      <w:start w:val="1"/>
      <w:numFmt w:val="bullet"/>
      <w:lvlText w:val=""/>
      <w:lvlJc w:val="left"/>
      <w:pPr>
        <w:tabs>
          <w:tab w:val="num" w:pos="1440"/>
        </w:tabs>
        <w:ind w:left="1440" w:hanging="360"/>
      </w:pPr>
      <w:rPr>
        <w:rFonts w:ascii="Wingdings" w:hAnsi="Wingdings" w:hint="default"/>
      </w:rPr>
    </w:lvl>
    <w:lvl w:ilvl="2" w:tplc="5376337C" w:tentative="1">
      <w:start w:val="1"/>
      <w:numFmt w:val="bullet"/>
      <w:lvlText w:val=""/>
      <w:lvlJc w:val="left"/>
      <w:pPr>
        <w:tabs>
          <w:tab w:val="num" w:pos="2160"/>
        </w:tabs>
        <w:ind w:left="2160" w:hanging="360"/>
      </w:pPr>
      <w:rPr>
        <w:rFonts w:ascii="Wingdings" w:hAnsi="Wingdings" w:hint="default"/>
      </w:rPr>
    </w:lvl>
    <w:lvl w:ilvl="3" w:tplc="A6E42B60" w:tentative="1">
      <w:start w:val="1"/>
      <w:numFmt w:val="bullet"/>
      <w:lvlText w:val=""/>
      <w:lvlJc w:val="left"/>
      <w:pPr>
        <w:tabs>
          <w:tab w:val="num" w:pos="2880"/>
        </w:tabs>
        <w:ind w:left="2880" w:hanging="360"/>
      </w:pPr>
      <w:rPr>
        <w:rFonts w:ascii="Wingdings" w:hAnsi="Wingdings" w:hint="default"/>
      </w:rPr>
    </w:lvl>
    <w:lvl w:ilvl="4" w:tplc="637C0F3A" w:tentative="1">
      <w:start w:val="1"/>
      <w:numFmt w:val="bullet"/>
      <w:lvlText w:val=""/>
      <w:lvlJc w:val="left"/>
      <w:pPr>
        <w:tabs>
          <w:tab w:val="num" w:pos="3600"/>
        </w:tabs>
        <w:ind w:left="3600" w:hanging="360"/>
      </w:pPr>
      <w:rPr>
        <w:rFonts w:ascii="Wingdings" w:hAnsi="Wingdings" w:hint="default"/>
      </w:rPr>
    </w:lvl>
    <w:lvl w:ilvl="5" w:tplc="68701CE0" w:tentative="1">
      <w:start w:val="1"/>
      <w:numFmt w:val="bullet"/>
      <w:lvlText w:val=""/>
      <w:lvlJc w:val="left"/>
      <w:pPr>
        <w:tabs>
          <w:tab w:val="num" w:pos="4320"/>
        </w:tabs>
        <w:ind w:left="4320" w:hanging="360"/>
      </w:pPr>
      <w:rPr>
        <w:rFonts w:ascii="Wingdings" w:hAnsi="Wingdings" w:hint="default"/>
      </w:rPr>
    </w:lvl>
    <w:lvl w:ilvl="6" w:tplc="FDBCDC5C" w:tentative="1">
      <w:start w:val="1"/>
      <w:numFmt w:val="bullet"/>
      <w:lvlText w:val=""/>
      <w:lvlJc w:val="left"/>
      <w:pPr>
        <w:tabs>
          <w:tab w:val="num" w:pos="5040"/>
        </w:tabs>
        <w:ind w:left="5040" w:hanging="360"/>
      </w:pPr>
      <w:rPr>
        <w:rFonts w:ascii="Wingdings" w:hAnsi="Wingdings" w:hint="default"/>
      </w:rPr>
    </w:lvl>
    <w:lvl w:ilvl="7" w:tplc="37DA2D14" w:tentative="1">
      <w:start w:val="1"/>
      <w:numFmt w:val="bullet"/>
      <w:lvlText w:val=""/>
      <w:lvlJc w:val="left"/>
      <w:pPr>
        <w:tabs>
          <w:tab w:val="num" w:pos="5760"/>
        </w:tabs>
        <w:ind w:left="5760" w:hanging="360"/>
      </w:pPr>
      <w:rPr>
        <w:rFonts w:ascii="Wingdings" w:hAnsi="Wingdings" w:hint="default"/>
      </w:rPr>
    </w:lvl>
    <w:lvl w:ilvl="8" w:tplc="A70AC1DE" w:tentative="1">
      <w:start w:val="1"/>
      <w:numFmt w:val="bullet"/>
      <w:lvlText w:val=""/>
      <w:lvlJc w:val="left"/>
      <w:pPr>
        <w:tabs>
          <w:tab w:val="num" w:pos="6480"/>
        </w:tabs>
        <w:ind w:left="6480" w:hanging="360"/>
      </w:pPr>
      <w:rPr>
        <w:rFonts w:ascii="Wingdings" w:hAnsi="Wingdings" w:hint="default"/>
      </w:rPr>
    </w:lvl>
  </w:abstractNum>
  <w:abstractNum w:abstractNumId="1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78F22809"/>
    <w:multiLevelType w:val="hybridMultilevel"/>
    <w:tmpl w:val="381AA21E"/>
    <w:lvl w:ilvl="0" w:tplc="CCC432FA">
      <w:start w:val="1"/>
      <w:numFmt w:val="bullet"/>
      <w:lvlText w:val=""/>
      <w:lvlJc w:val="left"/>
      <w:pPr>
        <w:tabs>
          <w:tab w:val="num" w:pos="720"/>
        </w:tabs>
        <w:ind w:left="720" w:hanging="360"/>
      </w:pPr>
      <w:rPr>
        <w:rFonts w:ascii="Wingdings" w:hAnsi="Wingdings" w:hint="default"/>
      </w:rPr>
    </w:lvl>
    <w:lvl w:ilvl="1" w:tplc="E852169C" w:tentative="1">
      <w:start w:val="1"/>
      <w:numFmt w:val="bullet"/>
      <w:lvlText w:val=""/>
      <w:lvlJc w:val="left"/>
      <w:pPr>
        <w:tabs>
          <w:tab w:val="num" w:pos="1440"/>
        </w:tabs>
        <w:ind w:left="1440" w:hanging="360"/>
      </w:pPr>
      <w:rPr>
        <w:rFonts w:ascii="Wingdings" w:hAnsi="Wingdings" w:hint="default"/>
      </w:rPr>
    </w:lvl>
    <w:lvl w:ilvl="2" w:tplc="E55A474A" w:tentative="1">
      <w:start w:val="1"/>
      <w:numFmt w:val="bullet"/>
      <w:lvlText w:val=""/>
      <w:lvlJc w:val="left"/>
      <w:pPr>
        <w:tabs>
          <w:tab w:val="num" w:pos="2160"/>
        </w:tabs>
        <w:ind w:left="2160" w:hanging="360"/>
      </w:pPr>
      <w:rPr>
        <w:rFonts w:ascii="Wingdings" w:hAnsi="Wingdings" w:hint="default"/>
      </w:rPr>
    </w:lvl>
    <w:lvl w:ilvl="3" w:tplc="618EE394" w:tentative="1">
      <w:start w:val="1"/>
      <w:numFmt w:val="bullet"/>
      <w:lvlText w:val=""/>
      <w:lvlJc w:val="left"/>
      <w:pPr>
        <w:tabs>
          <w:tab w:val="num" w:pos="2880"/>
        </w:tabs>
        <w:ind w:left="2880" w:hanging="360"/>
      </w:pPr>
      <w:rPr>
        <w:rFonts w:ascii="Wingdings" w:hAnsi="Wingdings" w:hint="default"/>
      </w:rPr>
    </w:lvl>
    <w:lvl w:ilvl="4" w:tplc="27345EB6" w:tentative="1">
      <w:start w:val="1"/>
      <w:numFmt w:val="bullet"/>
      <w:lvlText w:val=""/>
      <w:lvlJc w:val="left"/>
      <w:pPr>
        <w:tabs>
          <w:tab w:val="num" w:pos="3600"/>
        </w:tabs>
        <w:ind w:left="3600" w:hanging="360"/>
      </w:pPr>
      <w:rPr>
        <w:rFonts w:ascii="Wingdings" w:hAnsi="Wingdings" w:hint="default"/>
      </w:rPr>
    </w:lvl>
    <w:lvl w:ilvl="5" w:tplc="CA42B97C" w:tentative="1">
      <w:start w:val="1"/>
      <w:numFmt w:val="bullet"/>
      <w:lvlText w:val=""/>
      <w:lvlJc w:val="left"/>
      <w:pPr>
        <w:tabs>
          <w:tab w:val="num" w:pos="4320"/>
        </w:tabs>
        <w:ind w:left="4320" w:hanging="360"/>
      </w:pPr>
      <w:rPr>
        <w:rFonts w:ascii="Wingdings" w:hAnsi="Wingdings" w:hint="default"/>
      </w:rPr>
    </w:lvl>
    <w:lvl w:ilvl="6" w:tplc="6A0CCA12" w:tentative="1">
      <w:start w:val="1"/>
      <w:numFmt w:val="bullet"/>
      <w:lvlText w:val=""/>
      <w:lvlJc w:val="left"/>
      <w:pPr>
        <w:tabs>
          <w:tab w:val="num" w:pos="5040"/>
        </w:tabs>
        <w:ind w:left="5040" w:hanging="360"/>
      </w:pPr>
      <w:rPr>
        <w:rFonts w:ascii="Wingdings" w:hAnsi="Wingdings" w:hint="default"/>
      </w:rPr>
    </w:lvl>
    <w:lvl w:ilvl="7" w:tplc="886C3544" w:tentative="1">
      <w:start w:val="1"/>
      <w:numFmt w:val="bullet"/>
      <w:lvlText w:val=""/>
      <w:lvlJc w:val="left"/>
      <w:pPr>
        <w:tabs>
          <w:tab w:val="num" w:pos="5760"/>
        </w:tabs>
        <w:ind w:left="5760" w:hanging="360"/>
      </w:pPr>
      <w:rPr>
        <w:rFonts w:ascii="Wingdings" w:hAnsi="Wingdings" w:hint="default"/>
      </w:rPr>
    </w:lvl>
    <w:lvl w:ilvl="8" w:tplc="CC8A6964" w:tentative="1">
      <w:start w:val="1"/>
      <w:numFmt w:val="bullet"/>
      <w:lvlText w:val=""/>
      <w:lvlJc w:val="left"/>
      <w:pPr>
        <w:tabs>
          <w:tab w:val="num" w:pos="6480"/>
        </w:tabs>
        <w:ind w:left="6480" w:hanging="360"/>
      </w:pPr>
      <w:rPr>
        <w:rFonts w:ascii="Wingdings" w:hAnsi="Wingdings" w:hint="default"/>
      </w:rPr>
    </w:lvl>
  </w:abstractNum>
  <w:abstractNum w:abstractNumId="20">
    <w:nsid w:val="7A461FE4"/>
    <w:multiLevelType w:val="hybridMultilevel"/>
    <w:tmpl w:val="5526FDB6"/>
    <w:lvl w:ilvl="0" w:tplc="FDD221AE">
      <w:start w:val="1"/>
      <w:numFmt w:val="bullet"/>
      <w:lvlText w:val=""/>
      <w:lvlJc w:val="left"/>
      <w:pPr>
        <w:tabs>
          <w:tab w:val="num" w:pos="720"/>
        </w:tabs>
        <w:ind w:left="720" w:hanging="360"/>
      </w:pPr>
      <w:rPr>
        <w:rFonts w:ascii="Wingdings" w:hAnsi="Wingdings" w:hint="default"/>
      </w:rPr>
    </w:lvl>
    <w:lvl w:ilvl="1" w:tplc="63E60C90" w:tentative="1">
      <w:start w:val="1"/>
      <w:numFmt w:val="bullet"/>
      <w:lvlText w:val=""/>
      <w:lvlJc w:val="left"/>
      <w:pPr>
        <w:tabs>
          <w:tab w:val="num" w:pos="1440"/>
        </w:tabs>
        <w:ind w:left="1440" w:hanging="360"/>
      </w:pPr>
      <w:rPr>
        <w:rFonts w:ascii="Wingdings" w:hAnsi="Wingdings" w:hint="default"/>
      </w:rPr>
    </w:lvl>
    <w:lvl w:ilvl="2" w:tplc="5AAAB44E" w:tentative="1">
      <w:start w:val="1"/>
      <w:numFmt w:val="bullet"/>
      <w:lvlText w:val=""/>
      <w:lvlJc w:val="left"/>
      <w:pPr>
        <w:tabs>
          <w:tab w:val="num" w:pos="2160"/>
        </w:tabs>
        <w:ind w:left="2160" w:hanging="360"/>
      </w:pPr>
      <w:rPr>
        <w:rFonts w:ascii="Wingdings" w:hAnsi="Wingdings" w:hint="default"/>
      </w:rPr>
    </w:lvl>
    <w:lvl w:ilvl="3" w:tplc="87ECE5E0" w:tentative="1">
      <w:start w:val="1"/>
      <w:numFmt w:val="bullet"/>
      <w:lvlText w:val=""/>
      <w:lvlJc w:val="left"/>
      <w:pPr>
        <w:tabs>
          <w:tab w:val="num" w:pos="2880"/>
        </w:tabs>
        <w:ind w:left="2880" w:hanging="360"/>
      </w:pPr>
      <w:rPr>
        <w:rFonts w:ascii="Wingdings" w:hAnsi="Wingdings" w:hint="default"/>
      </w:rPr>
    </w:lvl>
    <w:lvl w:ilvl="4" w:tplc="797AC89C" w:tentative="1">
      <w:start w:val="1"/>
      <w:numFmt w:val="bullet"/>
      <w:lvlText w:val=""/>
      <w:lvlJc w:val="left"/>
      <w:pPr>
        <w:tabs>
          <w:tab w:val="num" w:pos="3600"/>
        </w:tabs>
        <w:ind w:left="3600" w:hanging="360"/>
      </w:pPr>
      <w:rPr>
        <w:rFonts w:ascii="Wingdings" w:hAnsi="Wingdings" w:hint="default"/>
      </w:rPr>
    </w:lvl>
    <w:lvl w:ilvl="5" w:tplc="90406C24" w:tentative="1">
      <w:start w:val="1"/>
      <w:numFmt w:val="bullet"/>
      <w:lvlText w:val=""/>
      <w:lvlJc w:val="left"/>
      <w:pPr>
        <w:tabs>
          <w:tab w:val="num" w:pos="4320"/>
        </w:tabs>
        <w:ind w:left="4320" w:hanging="360"/>
      </w:pPr>
      <w:rPr>
        <w:rFonts w:ascii="Wingdings" w:hAnsi="Wingdings" w:hint="default"/>
      </w:rPr>
    </w:lvl>
    <w:lvl w:ilvl="6" w:tplc="022A4D3E" w:tentative="1">
      <w:start w:val="1"/>
      <w:numFmt w:val="bullet"/>
      <w:lvlText w:val=""/>
      <w:lvlJc w:val="left"/>
      <w:pPr>
        <w:tabs>
          <w:tab w:val="num" w:pos="5040"/>
        </w:tabs>
        <w:ind w:left="5040" w:hanging="360"/>
      </w:pPr>
      <w:rPr>
        <w:rFonts w:ascii="Wingdings" w:hAnsi="Wingdings" w:hint="default"/>
      </w:rPr>
    </w:lvl>
    <w:lvl w:ilvl="7" w:tplc="AC32B086" w:tentative="1">
      <w:start w:val="1"/>
      <w:numFmt w:val="bullet"/>
      <w:lvlText w:val=""/>
      <w:lvlJc w:val="left"/>
      <w:pPr>
        <w:tabs>
          <w:tab w:val="num" w:pos="5760"/>
        </w:tabs>
        <w:ind w:left="5760" w:hanging="360"/>
      </w:pPr>
      <w:rPr>
        <w:rFonts w:ascii="Wingdings" w:hAnsi="Wingdings" w:hint="default"/>
      </w:rPr>
    </w:lvl>
    <w:lvl w:ilvl="8" w:tplc="89C8525C" w:tentative="1">
      <w:start w:val="1"/>
      <w:numFmt w:val="bullet"/>
      <w:lvlText w:val=""/>
      <w:lvlJc w:val="left"/>
      <w:pPr>
        <w:tabs>
          <w:tab w:val="num" w:pos="6480"/>
        </w:tabs>
        <w:ind w:left="6480" w:hanging="360"/>
      </w:pPr>
      <w:rPr>
        <w:rFonts w:ascii="Wingdings" w:hAnsi="Wingdings" w:hint="default"/>
      </w:rPr>
    </w:lvl>
  </w:abstractNum>
  <w:abstractNum w:abstractNumId="21">
    <w:nsid w:val="7A8639BA"/>
    <w:multiLevelType w:val="hybridMultilevel"/>
    <w:tmpl w:val="A54AB292"/>
    <w:lvl w:ilvl="0" w:tplc="1E7013A8">
      <w:start w:val="1"/>
      <w:numFmt w:val="bullet"/>
      <w:lvlText w:val=""/>
      <w:lvlJc w:val="left"/>
      <w:pPr>
        <w:tabs>
          <w:tab w:val="num" w:pos="720"/>
        </w:tabs>
        <w:ind w:left="720" w:hanging="360"/>
      </w:pPr>
      <w:rPr>
        <w:rFonts w:ascii="Wingdings" w:hAnsi="Wingdings" w:hint="default"/>
      </w:rPr>
    </w:lvl>
    <w:lvl w:ilvl="1" w:tplc="94BA51A4" w:tentative="1">
      <w:start w:val="1"/>
      <w:numFmt w:val="bullet"/>
      <w:lvlText w:val=""/>
      <w:lvlJc w:val="left"/>
      <w:pPr>
        <w:tabs>
          <w:tab w:val="num" w:pos="1440"/>
        </w:tabs>
        <w:ind w:left="1440" w:hanging="360"/>
      </w:pPr>
      <w:rPr>
        <w:rFonts w:ascii="Wingdings" w:hAnsi="Wingdings" w:hint="default"/>
      </w:rPr>
    </w:lvl>
    <w:lvl w:ilvl="2" w:tplc="8BE427CE" w:tentative="1">
      <w:start w:val="1"/>
      <w:numFmt w:val="bullet"/>
      <w:lvlText w:val=""/>
      <w:lvlJc w:val="left"/>
      <w:pPr>
        <w:tabs>
          <w:tab w:val="num" w:pos="2160"/>
        </w:tabs>
        <w:ind w:left="2160" w:hanging="360"/>
      </w:pPr>
      <w:rPr>
        <w:rFonts w:ascii="Wingdings" w:hAnsi="Wingdings" w:hint="default"/>
      </w:rPr>
    </w:lvl>
    <w:lvl w:ilvl="3" w:tplc="581A764C" w:tentative="1">
      <w:start w:val="1"/>
      <w:numFmt w:val="bullet"/>
      <w:lvlText w:val=""/>
      <w:lvlJc w:val="left"/>
      <w:pPr>
        <w:tabs>
          <w:tab w:val="num" w:pos="2880"/>
        </w:tabs>
        <w:ind w:left="2880" w:hanging="360"/>
      </w:pPr>
      <w:rPr>
        <w:rFonts w:ascii="Wingdings" w:hAnsi="Wingdings" w:hint="default"/>
      </w:rPr>
    </w:lvl>
    <w:lvl w:ilvl="4" w:tplc="E22C6F44" w:tentative="1">
      <w:start w:val="1"/>
      <w:numFmt w:val="bullet"/>
      <w:lvlText w:val=""/>
      <w:lvlJc w:val="left"/>
      <w:pPr>
        <w:tabs>
          <w:tab w:val="num" w:pos="3600"/>
        </w:tabs>
        <w:ind w:left="3600" w:hanging="360"/>
      </w:pPr>
      <w:rPr>
        <w:rFonts w:ascii="Wingdings" w:hAnsi="Wingdings" w:hint="default"/>
      </w:rPr>
    </w:lvl>
    <w:lvl w:ilvl="5" w:tplc="EE40AF98" w:tentative="1">
      <w:start w:val="1"/>
      <w:numFmt w:val="bullet"/>
      <w:lvlText w:val=""/>
      <w:lvlJc w:val="left"/>
      <w:pPr>
        <w:tabs>
          <w:tab w:val="num" w:pos="4320"/>
        </w:tabs>
        <w:ind w:left="4320" w:hanging="360"/>
      </w:pPr>
      <w:rPr>
        <w:rFonts w:ascii="Wingdings" w:hAnsi="Wingdings" w:hint="default"/>
      </w:rPr>
    </w:lvl>
    <w:lvl w:ilvl="6" w:tplc="08DC5820" w:tentative="1">
      <w:start w:val="1"/>
      <w:numFmt w:val="bullet"/>
      <w:lvlText w:val=""/>
      <w:lvlJc w:val="left"/>
      <w:pPr>
        <w:tabs>
          <w:tab w:val="num" w:pos="5040"/>
        </w:tabs>
        <w:ind w:left="5040" w:hanging="360"/>
      </w:pPr>
      <w:rPr>
        <w:rFonts w:ascii="Wingdings" w:hAnsi="Wingdings" w:hint="default"/>
      </w:rPr>
    </w:lvl>
    <w:lvl w:ilvl="7" w:tplc="592A1ED2" w:tentative="1">
      <w:start w:val="1"/>
      <w:numFmt w:val="bullet"/>
      <w:lvlText w:val=""/>
      <w:lvlJc w:val="left"/>
      <w:pPr>
        <w:tabs>
          <w:tab w:val="num" w:pos="5760"/>
        </w:tabs>
        <w:ind w:left="5760" w:hanging="360"/>
      </w:pPr>
      <w:rPr>
        <w:rFonts w:ascii="Wingdings" w:hAnsi="Wingdings" w:hint="default"/>
      </w:rPr>
    </w:lvl>
    <w:lvl w:ilvl="8" w:tplc="B8C0256C" w:tentative="1">
      <w:start w:val="1"/>
      <w:numFmt w:val="bullet"/>
      <w:lvlText w:val=""/>
      <w:lvlJc w:val="left"/>
      <w:pPr>
        <w:tabs>
          <w:tab w:val="num" w:pos="6480"/>
        </w:tabs>
        <w:ind w:left="6480"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8"/>
  </w:num>
  <w:num w:numId="4">
    <w:abstractNumId w:val="6"/>
  </w:num>
  <w:num w:numId="5">
    <w:abstractNumId w:val="10"/>
  </w:num>
  <w:num w:numId="6">
    <w:abstractNumId w:val="12"/>
  </w:num>
  <w:num w:numId="7">
    <w:abstractNumId w:val="13"/>
  </w:num>
  <w:num w:numId="8">
    <w:abstractNumId w:val="17"/>
  </w:num>
  <w:num w:numId="9">
    <w:abstractNumId w:val="11"/>
  </w:num>
  <w:num w:numId="10">
    <w:abstractNumId w:val="14"/>
  </w:num>
  <w:num w:numId="11">
    <w:abstractNumId w:val="16"/>
  </w:num>
  <w:num w:numId="12">
    <w:abstractNumId w:val="20"/>
  </w:num>
  <w:num w:numId="13">
    <w:abstractNumId w:val="21"/>
  </w:num>
  <w:num w:numId="14">
    <w:abstractNumId w:val="19"/>
  </w:num>
  <w:num w:numId="15">
    <w:abstractNumId w:val="3"/>
  </w:num>
  <w:num w:numId="16">
    <w:abstractNumId w:val="0"/>
  </w:num>
  <w:num w:numId="17">
    <w:abstractNumId w:val="5"/>
  </w:num>
  <w:num w:numId="18">
    <w:abstractNumId w:val="9"/>
  </w:num>
  <w:num w:numId="19">
    <w:abstractNumId w:val="1"/>
  </w:num>
  <w:num w:numId="20">
    <w:abstractNumId w:val="4"/>
  </w:num>
  <w:num w:numId="21">
    <w:abstractNumId w:val="7"/>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046"/>
    <w:rsid w:val="00000ED9"/>
    <w:rsid w:val="00001862"/>
    <w:rsid w:val="00001D73"/>
    <w:rsid w:val="00002B16"/>
    <w:rsid w:val="00003E47"/>
    <w:rsid w:val="00010866"/>
    <w:rsid w:val="0001110C"/>
    <w:rsid w:val="00011DA3"/>
    <w:rsid w:val="000137AB"/>
    <w:rsid w:val="00015B5C"/>
    <w:rsid w:val="00016A5B"/>
    <w:rsid w:val="00021F62"/>
    <w:rsid w:val="00022883"/>
    <w:rsid w:val="00025577"/>
    <w:rsid w:val="00025A12"/>
    <w:rsid w:val="00025C6C"/>
    <w:rsid w:val="00027407"/>
    <w:rsid w:val="000305A3"/>
    <w:rsid w:val="00031B89"/>
    <w:rsid w:val="00034F31"/>
    <w:rsid w:val="00035022"/>
    <w:rsid w:val="00037134"/>
    <w:rsid w:val="00037383"/>
    <w:rsid w:val="00040EDA"/>
    <w:rsid w:val="00041B04"/>
    <w:rsid w:val="000429A3"/>
    <w:rsid w:val="000436BA"/>
    <w:rsid w:val="000437EC"/>
    <w:rsid w:val="00044558"/>
    <w:rsid w:val="0004466E"/>
    <w:rsid w:val="000454B6"/>
    <w:rsid w:val="00046423"/>
    <w:rsid w:val="00047742"/>
    <w:rsid w:val="00047ACB"/>
    <w:rsid w:val="00047CFD"/>
    <w:rsid w:val="00047DAE"/>
    <w:rsid w:val="000508B6"/>
    <w:rsid w:val="00051E05"/>
    <w:rsid w:val="0005374D"/>
    <w:rsid w:val="00054109"/>
    <w:rsid w:val="00060CC4"/>
    <w:rsid w:val="00064088"/>
    <w:rsid w:val="0006459E"/>
    <w:rsid w:val="00065D85"/>
    <w:rsid w:val="00075174"/>
    <w:rsid w:val="00076B36"/>
    <w:rsid w:val="00077A99"/>
    <w:rsid w:val="00077F0A"/>
    <w:rsid w:val="0008176F"/>
    <w:rsid w:val="00085BC3"/>
    <w:rsid w:val="000906EF"/>
    <w:rsid w:val="000920DD"/>
    <w:rsid w:val="0009314F"/>
    <w:rsid w:val="0009535F"/>
    <w:rsid w:val="000970EC"/>
    <w:rsid w:val="000A0AD3"/>
    <w:rsid w:val="000A0AE3"/>
    <w:rsid w:val="000A34E3"/>
    <w:rsid w:val="000A4176"/>
    <w:rsid w:val="000A5D4B"/>
    <w:rsid w:val="000B0EAD"/>
    <w:rsid w:val="000B1CF4"/>
    <w:rsid w:val="000B20EC"/>
    <w:rsid w:val="000B2895"/>
    <w:rsid w:val="000B4B24"/>
    <w:rsid w:val="000B54F6"/>
    <w:rsid w:val="000B5D61"/>
    <w:rsid w:val="000B7AB8"/>
    <w:rsid w:val="000B7F73"/>
    <w:rsid w:val="000C01DA"/>
    <w:rsid w:val="000C02E6"/>
    <w:rsid w:val="000C0C73"/>
    <w:rsid w:val="000C18E6"/>
    <w:rsid w:val="000C2163"/>
    <w:rsid w:val="000C24B8"/>
    <w:rsid w:val="000C2FC0"/>
    <w:rsid w:val="000C45BE"/>
    <w:rsid w:val="000C45DA"/>
    <w:rsid w:val="000C54EE"/>
    <w:rsid w:val="000D034E"/>
    <w:rsid w:val="000D09B8"/>
    <w:rsid w:val="000D2C6F"/>
    <w:rsid w:val="000D381F"/>
    <w:rsid w:val="000D46DD"/>
    <w:rsid w:val="000D717C"/>
    <w:rsid w:val="000E0A91"/>
    <w:rsid w:val="000E243A"/>
    <w:rsid w:val="000E3952"/>
    <w:rsid w:val="000E48BF"/>
    <w:rsid w:val="000E6F55"/>
    <w:rsid w:val="000E7EF9"/>
    <w:rsid w:val="000F38B8"/>
    <w:rsid w:val="000F3FE6"/>
    <w:rsid w:val="000F56FF"/>
    <w:rsid w:val="000F6177"/>
    <w:rsid w:val="000F6C19"/>
    <w:rsid w:val="000F7A1D"/>
    <w:rsid w:val="00100E28"/>
    <w:rsid w:val="001014BB"/>
    <w:rsid w:val="001039AF"/>
    <w:rsid w:val="00105BBB"/>
    <w:rsid w:val="00105E82"/>
    <w:rsid w:val="00105EFB"/>
    <w:rsid w:val="00107AAB"/>
    <w:rsid w:val="00110436"/>
    <w:rsid w:val="00110FF9"/>
    <w:rsid w:val="00111915"/>
    <w:rsid w:val="00112AED"/>
    <w:rsid w:val="00112BA8"/>
    <w:rsid w:val="001131E0"/>
    <w:rsid w:val="001144E5"/>
    <w:rsid w:val="00116257"/>
    <w:rsid w:val="0011760D"/>
    <w:rsid w:val="001211EB"/>
    <w:rsid w:val="00122ED4"/>
    <w:rsid w:val="0012414D"/>
    <w:rsid w:val="00125DD5"/>
    <w:rsid w:val="001267C7"/>
    <w:rsid w:val="00127508"/>
    <w:rsid w:val="00127769"/>
    <w:rsid w:val="00131FB2"/>
    <w:rsid w:val="00132671"/>
    <w:rsid w:val="001330FE"/>
    <w:rsid w:val="0013311B"/>
    <w:rsid w:val="00133F8C"/>
    <w:rsid w:val="001342F1"/>
    <w:rsid w:val="00136237"/>
    <w:rsid w:val="0013699B"/>
    <w:rsid w:val="00137062"/>
    <w:rsid w:val="001370ED"/>
    <w:rsid w:val="001371C3"/>
    <w:rsid w:val="00137DE1"/>
    <w:rsid w:val="00141385"/>
    <w:rsid w:val="00141B66"/>
    <w:rsid w:val="00142789"/>
    <w:rsid w:val="001435C1"/>
    <w:rsid w:val="00146559"/>
    <w:rsid w:val="0015029A"/>
    <w:rsid w:val="001504BE"/>
    <w:rsid w:val="001510A1"/>
    <w:rsid w:val="0015415F"/>
    <w:rsid w:val="00154E50"/>
    <w:rsid w:val="00155C2B"/>
    <w:rsid w:val="0015753D"/>
    <w:rsid w:val="00161370"/>
    <w:rsid w:val="001614D9"/>
    <w:rsid w:val="001624D1"/>
    <w:rsid w:val="0016287B"/>
    <w:rsid w:val="001656C2"/>
    <w:rsid w:val="0017011D"/>
    <w:rsid w:val="00172240"/>
    <w:rsid w:val="00175103"/>
    <w:rsid w:val="0017581D"/>
    <w:rsid w:val="00176C92"/>
    <w:rsid w:val="00176FC4"/>
    <w:rsid w:val="0018126D"/>
    <w:rsid w:val="0018364D"/>
    <w:rsid w:val="00184726"/>
    <w:rsid w:val="001849E0"/>
    <w:rsid w:val="001850C6"/>
    <w:rsid w:val="0018761D"/>
    <w:rsid w:val="00187691"/>
    <w:rsid w:val="001903C8"/>
    <w:rsid w:val="001956B2"/>
    <w:rsid w:val="00195FB8"/>
    <w:rsid w:val="001962E9"/>
    <w:rsid w:val="001A0831"/>
    <w:rsid w:val="001A184D"/>
    <w:rsid w:val="001A1B94"/>
    <w:rsid w:val="001A349A"/>
    <w:rsid w:val="001A3B30"/>
    <w:rsid w:val="001A3DDE"/>
    <w:rsid w:val="001A5CAB"/>
    <w:rsid w:val="001A6B7A"/>
    <w:rsid w:val="001A6E6D"/>
    <w:rsid w:val="001A70C8"/>
    <w:rsid w:val="001A7650"/>
    <w:rsid w:val="001B0587"/>
    <w:rsid w:val="001B0A1A"/>
    <w:rsid w:val="001B12EF"/>
    <w:rsid w:val="001B1FD7"/>
    <w:rsid w:val="001B3AEF"/>
    <w:rsid w:val="001B521A"/>
    <w:rsid w:val="001C030B"/>
    <w:rsid w:val="001C06E1"/>
    <w:rsid w:val="001C10A0"/>
    <w:rsid w:val="001C27CD"/>
    <w:rsid w:val="001C3B63"/>
    <w:rsid w:val="001C4B02"/>
    <w:rsid w:val="001C4EA2"/>
    <w:rsid w:val="001C53F5"/>
    <w:rsid w:val="001C5676"/>
    <w:rsid w:val="001C7359"/>
    <w:rsid w:val="001C73C2"/>
    <w:rsid w:val="001C7825"/>
    <w:rsid w:val="001D02C8"/>
    <w:rsid w:val="001D0818"/>
    <w:rsid w:val="001D2843"/>
    <w:rsid w:val="001D3237"/>
    <w:rsid w:val="001D3FD5"/>
    <w:rsid w:val="001D6EE4"/>
    <w:rsid w:val="001E154B"/>
    <w:rsid w:val="001E61E9"/>
    <w:rsid w:val="001E64E5"/>
    <w:rsid w:val="001F13FA"/>
    <w:rsid w:val="001F2D51"/>
    <w:rsid w:val="001F5347"/>
    <w:rsid w:val="001F6164"/>
    <w:rsid w:val="001F7F37"/>
    <w:rsid w:val="001F7FE3"/>
    <w:rsid w:val="00203DBE"/>
    <w:rsid w:val="00204450"/>
    <w:rsid w:val="00204A16"/>
    <w:rsid w:val="00210C94"/>
    <w:rsid w:val="00211B42"/>
    <w:rsid w:val="00211F6C"/>
    <w:rsid w:val="002147D8"/>
    <w:rsid w:val="00215AFF"/>
    <w:rsid w:val="00215C70"/>
    <w:rsid w:val="00216D0F"/>
    <w:rsid w:val="00217CE1"/>
    <w:rsid w:val="0022056F"/>
    <w:rsid w:val="0022257F"/>
    <w:rsid w:val="002234EC"/>
    <w:rsid w:val="00223BC2"/>
    <w:rsid w:val="00224FDF"/>
    <w:rsid w:val="00225DC1"/>
    <w:rsid w:val="00226774"/>
    <w:rsid w:val="002269D6"/>
    <w:rsid w:val="00226CA9"/>
    <w:rsid w:val="00227893"/>
    <w:rsid w:val="0023009E"/>
    <w:rsid w:val="00230963"/>
    <w:rsid w:val="00233FCD"/>
    <w:rsid w:val="00234711"/>
    <w:rsid w:val="0023564E"/>
    <w:rsid w:val="002359A7"/>
    <w:rsid w:val="002366CF"/>
    <w:rsid w:val="0023796D"/>
    <w:rsid w:val="00241198"/>
    <w:rsid w:val="00244C26"/>
    <w:rsid w:val="0024675C"/>
    <w:rsid w:val="00246977"/>
    <w:rsid w:val="00247BBF"/>
    <w:rsid w:val="00250BD8"/>
    <w:rsid w:val="00252440"/>
    <w:rsid w:val="00252CDB"/>
    <w:rsid w:val="0025302D"/>
    <w:rsid w:val="002534E7"/>
    <w:rsid w:val="002546EB"/>
    <w:rsid w:val="00255499"/>
    <w:rsid w:val="002562BD"/>
    <w:rsid w:val="0025708D"/>
    <w:rsid w:val="00257382"/>
    <w:rsid w:val="0025754A"/>
    <w:rsid w:val="002606D1"/>
    <w:rsid w:val="00260D4F"/>
    <w:rsid w:val="00260F9A"/>
    <w:rsid w:val="00261161"/>
    <w:rsid w:val="00261188"/>
    <w:rsid w:val="00261B1C"/>
    <w:rsid w:val="002621EE"/>
    <w:rsid w:val="002624D6"/>
    <w:rsid w:val="002633F8"/>
    <w:rsid w:val="00263402"/>
    <w:rsid w:val="00264E9F"/>
    <w:rsid w:val="00271512"/>
    <w:rsid w:val="00271ED6"/>
    <w:rsid w:val="00274E2C"/>
    <w:rsid w:val="00275ED0"/>
    <w:rsid w:val="00277669"/>
    <w:rsid w:val="00277B12"/>
    <w:rsid w:val="002842D0"/>
    <w:rsid w:val="002864FE"/>
    <w:rsid w:val="00287344"/>
    <w:rsid w:val="002902AA"/>
    <w:rsid w:val="00292194"/>
    <w:rsid w:val="002925D7"/>
    <w:rsid w:val="00294176"/>
    <w:rsid w:val="0029467B"/>
    <w:rsid w:val="00295B92"/>
    <w:rsid w:val="002A0419"/>
    <w:rsid w:val="002A0FFA"/>
    <w:rsid w:val="002A25D6"/>
    <w:rsid w:val="002A4B39"/>
    <w:rsid w:val="002B1DD9"/>
    <w:rsid w:val="002B347E"/>
    <w:rsid w:val="002B38BC"/>
    <w:rsid w:val="002B3BF1"/>
    <w:rsid w:val="002B4448"/>
    <w:rsid w:val="002B5B71"/>
    <w:rsid w:val="002C0D41"/>
    <w:rsid w:val="002C2578"/>
    <w:rsid w:val="002C28F3"/>
    <w:rsid w:val="002C3CA3"/>
    <w:rsid w:val="002C3EFE"/>
    <w:rsid w:val="002C4116"/>
    <w:rsid w:val="002C4487"/>
    <w:rsid w:val="002C7557"/>
    <w:rsid w:val="002D0EA6"/>
    <w:rsid w:val="002D19FA"/>
    <w:rsid w:val="002D3337"/>
    <w:rsid w:val="002D3926"/>
    <w:rsid w:val="002D510D"/>
    <w:rsid w:val="002D5BB0"/>
    <w:rsid w:val="002D6D89"/>
    <w:rsid w:val="002D6E20"/>
    <w:rsid w:val="002D734F"/>
    <w:rsid w:val="002E0493"/>
    <w:rsid w:val="002E0A9A"/>
    <w:rsid w:val="002E1009"/>
    <w:rsid w:val="002E157F"/>
    <w:rsid w:val="002E3BEE"/>
    <w:rsid w:val="002E4648"/>
    <w:rsid w:val="002E517F"/>
    <w:rsid w:val="002E649B"/>
    <w:rsid w:val="002F025A"/>
    <w:rsid w:val="002F0758"/>
    <w:rsid w:val="002F3FAE"/>
    <w:rsid w:val="002F450B"/>
    <w:rsid w:val="002F563F"/>
    <w:rsid w:val="002F58C6"/>
    <w:rsid w:val="002F5AA2"/>
    <w:rsid w:val="0030007D"/>
    <w:rsid w:val="00300F60"/>
    <w:rsid w:val="00302203"/>
    <w:rsid w:val="003039BB"/>
    <w:rsid w:val="00304FD6"/>
    <w:rsid w:val="00306886"/>
    <w:rsid w:val="0030767B"/>
    <w:rsid w:val="0030773F"/>
    <w:rsid w:val="003078F3"/>
    <w:rsid w:val="00313709"/>
    <w:rsid w:val="00313884"/>
    <w:rsid w:val="003144E6"/>
    <w:rsid w:val="00314D32"/>
    <w:rsid w:val="00314F3F"/>
    <w:rsid w:val="00315601"/>
    <w:rsid w:val="00316EE2"/>
    <w:rsid w:val="00317FD4"/>
    <w:rsid w:val="003218D0"/>
    <w:rsid w:val="00321A00"/>
    <w:rsid w:val="00322C87"/>
    <w:rsid w:val="003240AA"/>
    <w:rsid w:val="00324679"/>
    <w:rsid w:val="00324D06"/>
    <w:rsid w:val="00324E89"/>
    <w:rsid w:val="003250BA"/>
    <w:rsid w:val="00326381"/>
    <w:rsid w:val="00332817"/>
    <w:rsid w:val="00334119"/>
    <w:rsid w:val="00334361"/>
    <w:rsid w:val="00334F4C"/>
    <w:rsid w:val="003373FE"/>
    <w:rsid w:val="00337A6E"/>
    <w:rsid w:val="00342CCB"/>
    <w:rsid w:val="00343447"/>
    <w:rsid w:val="00343673"/>
    <w:rsid w:val="003448E7"/>
    <w:rsid w:val="003450B1"/>
    <w:rsid w:val="0034549C"/>
    <w:rsid w:val="003455EF"/>
    <w:rsid w:val="00347F99"/>
    <w:rsid w:val="003516CE"/>
    <w:rsid w:val="0035261A"/>
    <w:rsid w:val="003545D1"/>
    <w:rsid w:val="00355864"/>
    <w:rsid w:val="00355B04"/>
    <w:rsid w:val="003602C2"/>
    <w:rsid w:val="00360768"/>
    <w:rsid w:val="00361899"/>
    <w:rsid w:val="003618A9"/>
    <w:rsid w:val="003635D6"/>
    <w:rsid w:val="00363B4E"/>
    <w:rsid w:val="0036568E"/>
    <w:rsid w:val="003657BA"/>
    <w:rsid w:val="003664F5"/>
    <w:rsid w:val="00366D9C"/>
    <w:rsid w:val="00367E8D"/>
    <w:rsid w:val="00370BBA"/>
    <w:rsid w:val="0037119F"/>
    <w:rsid w:val="00371769"/>
    <w:rsid w:val="00374ADA"/>
    <w:rsid w:val="00374D9F"/>
    <w:rsid w:val="0037552C"/>
    <w:rsid w:val="003756FF"/>
    <w:rsid w:val="00377ED4"/>
    <w:rsid w:val="00384B3F"/>
    <w:rsid w:val="00385E9D"/>
    <w:rsid w:val="00386E26"/>
    <w:rsid w:val="003871CA"/>
    <w:rsid w:val="003902AC"/>
    <w:rsid w:val="003906E6"/>
    <w:rsid w:val="00392015"/>
    <w:rsid w:val="0039305F"/>
    <w:rsid w:val="003930C6"/>
    <w:rsid w:val="00393159"/>
    <w:rsid w:val="00394EA4"/>
    <w:rsid w:val="00396207"/>
    <w:rsid w:val="0039780F"/>
    <w:rsid w:val="00397D43"/>
    <w:rsid w:val="003A060D"/>
    <w:rsid w:val="003A1E92"/>
    <w:rsid w:val="003A2381"/>
    <w:rsid w:val="003A2ACD"/>
    <w:rsid w:val="003A2AD0"/>
    <w:rsid w:val="003A4A1C"/>
    <w:rsid w:val="003A5771"/>
    <w:rsid w:val="003A6291"/>
    <w:rsid w:val="003A68DD"/>
    <w:rsid w:val="003B0A2F"/>
    <w:rsid w:val="003B1E75"/>
    <w:rsid w:val="003B218D"/>
    <w:rsid w:val="003B2F0E"/>
    <w:rsid w:val="003B3D27"/>
    <w:rsid w:val="003B4AA0"/>
    <w:rsid w:val="003B6401"/>
    <w:rsid w:val="003B70B1"/>
    <w:rsid w:val="003B73A8"/>
    <w:rsid w:val="003B7861"/>
    <w:rsid w:val="003C015D"/>
    <w:rsid w:val="003C20FD"/>
    <w:rsid w:val="003C3230"/>
    <w:rsid w:val="003C6AF4"/>
    <w:rsid w:val="003C6CE4"/>
    <w:rsid w:val="003C744B"/>
    <w:rsid w:val="003D007A"/>
    <w:rsid w:val="003D00CE"/>
    <w:rsid w:val="003D34F2"/>
    <w:rsid w:val="003D6DB8"/>
    <w:rsid w:val="003D7FEA"/>
    <w:rsid w:val="003E002B"/>
    <w:rsid w:val="003E22B5"/>
    <w:rsid w:val="003E239B"/>
    <w:rsid w:val="003E37C9"/>
    <w:rsid w:val="003E3C46"/>
    <w:rsid w:val="003F049F"/>
    <w:rsid w:val="003F4FFF"/>
    <w:rsid w:val="003F69EA"/>
    <w:rsid w:val="003F7178"/>
    <w:rsid w:val="003F7993"/>
    <w:rsid w:val="003F7C06"/>
    <w:rsid w:val="00400559"/>
    <w:rsid w:val="00402E64"/>
    <w:rsid w:val="0040342E"/>
    <w:rsid w:val="00403EA6"/>
    <w:rsid w:val="00405FAE"/>
    <w:rsid w:val="004063E5"/>
    <w:rsid w:val="004112D8"/>
    <w:rsid w:val="0041291C"/>
    <w:rsid w:val="0041561D"/>
    <w:rsid w:val="00415B8B"/>
    <w:rsid w:val="00416D71"/>
    <w:rsid w:val="0041795F"/>
    <w:rsid w:val="00422254"/>
    <w:rsid w:val="0042302B"/>
    <w:rsid w:val="00423E75"/>
    <w:rsid w:val="00431F13"/>
    <w:rsid w:val="00437214"/>
    <w:rsid w:val="00437EC5"/>
    <w:rsid w:val="00440F62"/>
    <w:rsid w:val="00441137"/>
    <w:rsid w:val="0044278A"/>
    <w:rsid w:val="004431F8"/>
    <w:rsid w:val="00443C34"/>
    <w:rsid w:val="00443D29"/>
    <w:rsid w:val="00444E22"/>
    <w:rsid w:val="00444F00"/>
    <w:rsid w:val="00445DE4"/>
    <w:rsid w:val="00446054"/>
    <w:rsid w:val="004477F7"/>
    <w:rsid w:val="00451B38"/>
    <w:rsid w:val="00454EF7"/>
    <w:rsid w:val="004562B1"/>
    <w:rsid w:val="00456CD7"/>
    <w:rsid w:val="00461AA9"/>
    <w:rsid w:val="00461F2B"/>
    <w:rsid w:val="0046357A"/>
    <w:rsid w:val="00464386"/>
    <w:rsid w:val="00464AE7"/>
    <w:rsid w:val="004651EA"/>
    <w:rsid w:val="00466390"/>
    <w:rsid w:val="00467D87"/>
    <w:rsid w:val="0047035E"/>
    <w:rsid w:val="00471813"/>
    <w:rsid w:val="00471ACB"/>
    <w:rsid w:val="00472B7F"/>
    <w:rsid w:val="00472D42"/>
    <w:rsid w:val="00474EA4"/>
    <w:rsid w:val="004759C0"/>
    <w:rsid w:val="0047646C"/>
    <w:rsid w:val="0047651B"/>
    <w:rsid w:val="0048098F"/>
    <w:rsid w:val="004812EA"/>
    <w:rsid w:val="00481BDD"/>
    <w:rsid w:val="00482F22"/>
    <w:rsid w:val="00483C1A"/>
    <w:rsid w:val="0049164B"/>
    <w:rsid w:val="004934E4"/>
    <w:rsid w:val="00493C3D"/>
    <w:rsid w:val="004945A5"/>
    <w:rsid w:val="004948F3"/>
    <w:rsid w:val="00494B23"/>
    <w:rsid w:val="00494FB5"/>
    <w:rsid w:val="004A0E69"/>
    <w:rsid w:val="004A1FC3"/>
    <w:rsid w:val="004A25A5"/>
    <w:rsid w:val="004A309E"/>
    <w:rsid w:val="004A3C1E"/>
    <w:rsid w:val="004A52B4"/>
    <w:rsid w:val="004A6901"/>
    <w:rsid w:val="004A69DE"/>
    <w:rsid w:val="004A7222"/>
    <w:rsid w:val="004B04B9"/>
    <w:rsid w:val="004B55F0"/>
    <w:rsid w:val="004B6BD2"/>
    <w:rsid w:val="004B7CBA"/>
    <w:rsid w:val="004C01CE"/>
    <w:rsid w:val="004C131F"/>
    <w:rsid w:val="004C2723"/>
    <w:rsid w:val="004C31E1"/>
    <w:rsid w:val="004C49FB"/>
    <w:rsid w:val="004C53A0"/>
    <w:rsid w:val="004C63BE"/>
    <w:rsid w:val="004C7083"/>
    <w:rsid w:val="004C719B"/>
    <w:rsid w:val="004D0B71"/>
    <w:rsid w:val="004D14CB"/>
    <w:rsid w:val="004D2D4A"/>
    <w:rsid w:val="004D389B"/>
    <w:rsid w:val="004D4C06"/>
    <w:rsid w:val="004D51CA"/>
    <w:rsid w:val="004D71B7"/>
    <w:rsid w:val="004E0B90"/>
    <w:rsid w:val="004E2942"/>
    <w:rsid w:val="004E378F"/>
    <w:rsid w:val="004E41F4"/>
    <w:rsid w:val="004E5701"/>
    <w:rsid w:val="004E5D2B"/>
    <w:rsid w:val="004E6F40"/>
    <w:rsid w:val="004F1BDD"/>
    <w:rsid w:val="004F1D26"/>
    <w:rsid w:val="004F2598"/>
    <w:rsid w:val="004F2828"/>
    <w:rsid w:val="004F4340"/>
    <w:rsid w:val="004F7752"/>
    <w:rsid w:val="004F77BD"/>
    <w:rsid w:val="005016B3"/>
    <w:rsid w:val="00501DB1"/>
    <w:rsid w:val="00506494"/>
    <w:rsid w:val="00510505"/>
    <w:rsid w:val="00512729"/>
    <w:rsid w:val="00514506"/>
    <w:rsid w:val="00515018"/>
    <w:rsid w:val="005155BE"/>
    <w:rsid w:val="005162A4"/>
    <w:rsid w:val="00524150"/>
    <w:rsid w:val="00524737"/>
    <w:rsid w:val="00526D5C"/>
    <w:rsid w:val="0053028C"/>
    <w:rsid w:val="00531BA9"/>
    <w:rsid w:val="00531CD1"/>
    <w:rsid w:val="005330AB"/>
    <w:rsid w:val="005354E8"/>
    <w:rsid w:val="00535A47"/>
    <w:rsid w:val="00535EB5"/>
    <w:rsid w:val="0053654F"/>
    <w:rsid w:val="005413EE"/>
    <w:rsid w:val="0054154B"/>
    <w:rsid w:val="005420A5"/>
    <w:rsid w:val="005429D4"/>
    <w:rsid w:val="0054464B"/>
    <w:rsid w:val="00545E3C"/>
    <w:rsid w:val="00546B45"/>
    <w:rsid w:val="00554BB1"/>
    <w:rsid w:val="0055500B"/>
    <w:rsid w:val="005562EA"/>
    <w:rsid w:val="00556D5A"/>
    <w:rsid w:val="00557769"/>
    <w:rsid w:val="00557BD5"/>
    <w:rsid w:val="00560165"/>
    <w:rsid w:val="005607FB"/>
    <w:rsid w:val="00560BC7"/>
    <w:rsid w:val="00561C1A"/>
    <w:rsid w:val="00564D19"/>
    <w:rsid w:val="00564E73"/>
    <w:rsid w:val="00565E88"/>
    <w:rsid w:val="0056663A"/>
    <w:rsid w:val="00567416"/>
    <w:rsid w:val="00570778"/>
    <w:rsid w:val="005749D5"/>
    <w:rsid w:val="00574BE7"/>
    <w:rsid w:val="00576C53"/>
    <w:rsid w:val="0057775C"/>
    <w:rsid w:val="00580583"/>
    <w:rsid w:val="00580753"/>
    <w:rsid w:val="005814BD"/>
    <w:rsid w:val="005820B1"/>
    <w:rsid w:val="00582EBC"/>
    <w:rsid w:val="00583C7E"/>
    <w:rsid w:val="005847B1"/>
    <w:rsid w:val="00584A42"/>
    <w:rsid w:val="005859ED"/>
    <w:rsid w:val="00587F1B"/>
    <w:rsid w:val="00591190"/>
    <w:rsid w:val="00591CA9"/>
    <w:rsid w:val="00592F9E"/>
    <w:rsid w:val="00594216"/>
    <w:rsid w:val="00596AA5"/>
    <w:rsid w:val="005A1D54"/>
    <w:rsid w:val="005A2B79"/>
    <w:rsid w:val="005A5C0E"/>
    <w:rsid w:val="005A5FD4"/>
    <w:rsid w:val="005B0705"/>
    <w:rsid w:val="005B16E2"/>
    <w:rsid w:val="005B31C8"/>
    <w:rsid w:val="005B48BE"/>
    <w:rsid w:val="005B49F1"/>
    <w:rsid w:val="005B4AA2"/>
    <w:rsid w:val="005B5006"/>
    <w:rsid w:val="005B5F67"/>
    <w:rsid w:val="005C0538"/>
    <w:rsid w:val="005C0AB1"/>
    <w:rsid w:val="005C27F7"/>
    <w:rsid w:val="005C4B6D"/>
    <w:rsid w:val="005C4BF6"/>
    <w:rsid w:val="005C4EFA"/>
    <w:rsid w:val="005C67D8"/>
    <w:rsid w:val="005C7CD5"/>
    <w:rsid w:val="005D0911"/>
    <w:rsid w:val="005D2D84"/>
    <w:rsid w:val="005D3AA8"/>
    <w:rsid w:val="005D4B5F"/>
    <w:rsid w:val="005D4E86"/>
    <w:rsid w:val="005D5100"/>
    <w:rsid w:val="005E1879"/>
    <w:rsid w:val="005E5E4A"/>
    <w:rsid w:val="005E5FD0"/>
    <w:rsid w:val="005E64CF"/>
    <w:rsid w:val="005E6EC8"/>
    <w:rsid w:val="005E7C16"/>
    <w:rsid w:val="005E7F14"/>
    <w:rsid w:val="005F0443"/>
    <w:rsid w:val="005F1551"/>
    <w:rsid w:val="005F2315"/>
    <w:rsid w:val="005F3428"/>
    <w:rsid w:val="005F3D84"/>
    <w:rsid w:val="005F422F"/>
    <w:rsid w:val="005F49E7"/>
    <w:rsid w:val="005F71F4"/>
    <w:rsid w:val="006010A2"/>
    <w:rsid w:val="006020E6"/>
    <w:rsid w:val="00603C00"/>
    <w:rsid w:val="006069AF"/>
    <w:rsid w:val="006070C9"/>
    <w:rsid w:val="00610515"/>
    <w:rsid w:val="00610BD9"/>
    <w:rsid w:val="00611497"/>
    <w:rsid w:val="00611788"/>
    <w:rsid w:val="006117D8"/>
    <w:rsid w:val="00614471"/>
    <w:rsid w:val="00615BDD"/>
    <w:rsid w:val="00615FE1"/>
    <w:rsid w:val="00617EA0"/>
    <w:rsid w:val="00620C4F"/>
    <w:rsid w:val="00620D80"/>
    <w:rsid w:val="006224B1"/>
    <w:rsid w:val="00622F8F"/>
    <w:rsid w:val="00626538"/>
    <w:rsid w:val="006273C0"/>
    <w:rsid w:val="006273D5"/>
    <w:rsid w:val="00627921"/>
    <w:rsid w:val="00632C80"/>
    <w:rsid w:val="00633C74"/>
    <w:rsid w:val="006365B5"/>
    <w:rsid w:val="00640317"/>
    <w:rsid w:val="00640AA9"/>
    <w:rsid w:val="006429D7"/>
    <w:rsid w:val="00642EC8"/>
    <w:rsid w:val="006439F7"/>
    <w:rsid w:val="00645502"/>
    <w:rsid w:val="00645A8F"/>
    <w:rsid w:val="0064610B"/>
    <w:rsid w:val="006474E4"/>
    <w:rsid w:val="00647814"/>
    <w:rsid w:val="00647988"/>
    <w:rsid w:val="00647F02"/>
    <w:rsid w:val="00650568"/>
    <w:rsid w:val="00653C73"/>
    <w:rsid w:val="00653F74"/>
    <w:rsid w:val="00654C1B"/>
    <w:rsid w:val="006560DC"/>
    <w:rsid w:val="006563BF"/>
    <w:rsid w:val="00656DB0"/>
    <w:rsid w:val="00661C13"/>
    <w:rsid w:val="00661D66"/>
    <w:rsid w:val="00662076"/>
    <w:rsid w:val="00662A4C"/>
    <w:rsid w:val="00663DB8"/>
    <w:rsid w:val="00666505"/>
    <w:rsid w:val="00666C3E"/>
    <w:rsid w:val="00670D48"/>
    <w:rsid w:val="00670DBA"/>
    <w:rsid w:val="00671B59"/>
    <w:rsid w:val="00671CF2"/>
    <w:rsid w:val="00673EA0"/>
    <w:rsid w:val="00674B1C"/>
    <w:rsid w:val="00677AC6"/>
    <w:rsid w:val="00682926"/>
    <w:rsid w:val="0068436E"/>
    <w:rsid w:val="0068449D"/>
    <w:rsid w:val="0068578A"/>
    <w:rsid w:val="00690352"/>
    <w:rsid w:val="00691030"/>
    <w:rsid w:val="0069116C"/>
    <w:rsid w:val="0069404D"/>
    <w:rsid w:val="00694E33"/>
    <w:rsid w:val="0069549B"/>
    <w:rsid w:val="00695937"/>
    <w:rsid w:val="00697647"/>
    <w:rsid w:val="00697DBE"/>
    <w:rsid w:val="006A1EFD"/>
    <w:rsid w:val="006A26A5"/>
    <w:rsid w:val="006A2DFD"/>
    <w:rsid w:val="006A3BA9"/>
    <w:rsid w:val="006A44BA"/>
    <w:rsid w:val="006A6340"/>
    <w:rsid w:val="006A681A"/>
    <w:rsid w:val="006A6F08"/>
    <w:rsid w:val="006A747C"/>
    <w:rsid w:val="006B086A"/>
    <w:rsid w:val="006B097E"/>
    <w:rsid w:val="006B1D41"/>
    <w:rsid w:val="006B1D5E"/>
    <w:rsid w:val="006B223D"/>
    <w:rsid w:val="006B3B4B"/>
    <w:rsid w:val="006B4721"/>
    <w:rsid w:val="006B5DF5"/>
    <w:rsid w:val="006B6C74"/>
    <w:rsid w:val="006B6CEC"/>
    <w:rsid w:val="006B6D41"/>
    <w:rsid w:val="006B7581"/>
    <w:rsid w:val="006C0F92"/>
    <w:rsid w:val="006C1D87"/>
    <w:rsid w:val="006C3A67"/>
    <w:rsid w:val="006C482F"/>
    <w:rsid w:val="006C4E5C"/>
    <w:rsid w:val="006C4ED8"/>
    <w:rsid w:val="006C600E"/>
    <w:rsid w:val="006C6350"/>
    <w:rsid w:val="006C719C"/>
    <w:rsid w:val="006C726A"/>
    <w:rsid w:val="006D1A14"/>
    <w:rsid w:val="006D1B98"/>
    <w:rsid w:val="006D2A36"/>
    <w:rsid w:val="006D2C76"/>
    <w:rsid w:val="006D4D15"/>
    <w:rsid w:val="006D55E5"/>
    <w:rsid w:val="006D603B"/>
    <w:rsid w:val="006D60E4"/>
    <w:rsid w:val="006D78F2"/>
    <w:rsid w:val="006D7D29"/>
    <w:rsid w:val="006E0C49"/>
    <w:rsid w:val="006E1A50"/>
    <w:rsid w:val="006E1BD6"/>
    <w:rsid w:val="006E3ECD"/>
    <w:rsid w:val="006E41BC"/>
    <w:rsid w:val="006E7D88"/>
    <w:rsid w:val="006F10BA"/>
    <w:rsid w:val="006F10CE"/>
    <w:rsid w:val="006F3F2B"/>
    <w:rsid w:val="006F401C"/>
    <w:rsid w:val="006F4DE8"/>
    <w:rsid w:val="006F554D"/>
    <w:rsid w:val="006F6140"/>
    <w:rsid w:val="00700103"/>
    <w:rsid w:val="0070017B"/>
    <w:rsid w:val="007002D6"/>
    <w:rsid w:val="00700C61"/>
    <w:rsid w:val="007016B8"/>
    <w:rsid w:val="00705086"/>
    <w:rsid w:val="00706491"/>
    <w:rsid w:val="00706D1B"/>
    <w:rsid w:val="00710090"/>
    <w:rsid w:val="00710965"/>
    <w:rsid w:val="00710A55"/>
    <w:rsid w:val="0071112A"/>
    <w:rsid w:val="007115D3"/>
    <w:rsid w:val="00713320"/>
    <w:rsid w:val="007139A5"/>
    <w:rsid w:val="00713DE5"/>
    <w:rsid w:val="00715555"/>
    <w:rsid w:val="007161AF"/>
    <w:rsid w:val="007161EC"/>
    <w:rsid w:val="00716331"/>
    <w:rsid w:val="00716FBC"/>
    <w:rsid w:val="007176E7"/>
    <w:rsid w:val="00717E8B"/>
    <w:rsid w:val="0072274E"/>
    <w:rsid w:val="00722CBD"/>
    <w:rsid w:val="007239B7"/>
    <w:rsid w:val="00723FC5"/>
    <w:rsid w:val="007247B0"/>
    <w:rsid w:val="007252BC"/>
    <w:rsid w:val="0072653E"/>
    <w:rsid w:val="0072665B"/>
    <w:rsid w:val="00726BCA"/>
    <w:rsid w:val="00730933"/>
    <w:rsid w:val="00730F0A"/>
    <w:rsid w:val="00731110"/>
    <w:rsid w:val="0074092D"/>
    <w:rsid w:val="00741476"/>
    <w:rsid w:val="0074228B"/>
    <w:rsid w:val="00742C3D"/>
    <w:rsid w:val="007443F4"/>
    <w:rsid w:val="0074564B"/>
    <w:rsid w:val="00746E16"/>
    <w:rsid w:val="007477D5"/>
    <w:rsid w:val="00750BFC"/>
    <w:rsid w:val="00752780"/>
    <w:rsid w:val="00752CEA"/>
    <w:rsid w:val="00753D30"/>
    <w:rsid w:val="00754360"/>
    <w:rsid w:val="00755947"/>
    <w:rsid w:val="007559B1"/>
    <w:rsid w:val="007562FE"/>
    <w:rsid w:val="00757BDD"/>
    <w:rsid w:val="00757F96"/>
    <w:rsid w:val="007615DA"/>
    <w:rsid w:val="00761FDB"/>
    <w:rsid w:val="00762AC2"/>
    <w:rsid w:val="00762D7A"/>
    <w:rsid w:val="00762F89"/>
    <w:rsid w:val="007641B4"/>
    <w:rsid w:val="007648E7"/>
    <w:rsid w:val="00764E3F"/>
    <w:rsid w:val="007650F9"/>
    <w:rsid w:val="00766F0F"/>
    <w:rsid w:val="00767D62"/>
    <w:rsid w:val="007709E0"/>
    <w:rsid w:val="007721B5"/>
    <w:rsid w:val="00772D45"/>
    <w:rsid w:val="00772DB1"/>
    <w:rsid w:val="007739FB"/>
    <w:rsid w:val="0077427A"/>
    <w:rsid w:val="00775205"/>
    <w:rsid w:val="00775701"/>
    <w:rsid w:val="00776B2E"/>
    <w:rsid w:val="00780A39"/>
    <w:rsid w:val="00781686"/>
    <w:rsid w:val="007834DE"/>
    <w:rsid w:val="00784171"/>
    <w:rsid w:val="00784C77"/>
    <w:rsid w:val="007864D2"/>
    <w:rsid w:val="0078679A"/>
    <w:rsid w:val="00787292"/>
    <w:rsid w:val="0079131E"/>
    <w:rsid w:val="007918F3"/>
    <w:rsid w:val="007922A3"/>
    <w:rsid w:val="007946F5"/>
    <w:rsid w:val="007958DE"/>
    <w:rsid w:val="007968AA"/>
    <w:rsid w:val="0079742B"/>
    <w:rsid w:val="007A0656"/>
    <w:rsid w:val="007A1367"/>
    <w:rsid w:val="007A1963"/>
    <w:rsid w:val="007A2D32"/>
    <w:rsid w:val="007A2D49"/>
    <w:rsid w:val="007A54FD"/>
    <w:rsid w:val="007A5894"/>
    <w:rsid w:val="007B32AD"/>
    <w:rsid w:val="007B5B11"/>
    <w:rsid w:val="007B624B"/>
    <w:rsid w:val="007B65D9"/>
    <w:rsid w:val="007C0C49"/>
    <w:rsid w:val="007C13F1"/>
    <w:rsid w:val="007C4424"/>
    <w:rsid w:val="007C49D7"/>
    <w:rsid w:val="007C4A2A"/>
    <w:rsid w:val="007C690C"/>
    <w:rsid w:val="007C7ADE"/>
    <w:rsid w:val="007D0E44"/>
    <w:rsid w:val="007D1472"/>
    <w:rsid w:val="007D3492"/>
    <w:rsid w:val="007D3818"/>
    <w:rsid w:val="007D3C54"/>
    <w:rsid w:val="007D3FA4"/>
    <w:rsid w:val="007D57D7"/>
    <w:rsid w:val="007D58B1"/>
    <w:rsid w:val="007D5F06"/>
    <w:rsid w:val="007D6537"/>
    <w:rsid w:val="007D76A6"/>
    <w:rsid w:val="007E07C6"/>
    <w:rsid w:val="007E217D"/>
    <w:rsid w:val="007E2A0B"/>
    <w:rsid w:val="007E2F1A"/>
    <w:rsid w:val="007E3F45"/>
    <w:rsid w:val="007E4061"/>
    <w:rsid w:val="007E5BA2"/>
    <w:rsid w:val="007E5FAF"/>
    <w:rsid w:val="007E7176"/>
    <w:rsid w:val="007E7CC7"/>
    <w:rsid w:val="007F0617"/>
    <w:rsid w:val="007F0D30"/>
    <w:rsid w:val="007F111F"/>
    <w:rsid w:val="007F1624"/>
    <w:rsid w:val="007F230D"/>
    <w:rsid w:val="007F2648"/>
    <w:rsid w:val="007F2917"/>
    <w:rsid w:val="007F3433"/>
    <w:rsid w:val="007F42D4"/>
    <w:rsid w:val="007F449D"/>
    <w:rsid w:val="0080045D"/>
    <w:rsid w:val="00801D9D"/>
    <w:rsid w:val="00806367"/>
    <w:rsid w:val="00810D77"/>
    <w:rsid w:val="008120C1"/>
    <w:rsid w:val="00812C9C"/>
    <w:rsid w:val="00814E87"/>
    <w:rsid w:val="00816219"/>
    <w:rsid w:val="00817483"/>
    <w:rsid w:val="008178BB"/>
    <w:rsid w:val="008206B4"/>
    <w:rsid w:val="00821A9A"/>
    <w:rsid w:val="008239AA"/>
    <w:rsid w:val="0082504A"/>
    <w:rsid w:val="008253D8"/>
    <w:rsid w:val="008257B3"/>
    <w:rsid w:val="0082601C"/>
    <w:rsid w:val="00826191"/>
    <w:rsid w:val="008264BE"/>
    <w:rsid w:val="00826B24"/>
    <w:rsid w:val="00827999"/>
    <w:rsid w:val="00827C55"/>
    <w:rsid w:val="00830A8A"/>
    <w:rsid w:val="00833C66"/>
    <w:rsid w:val="00833DC9"/>
    <w:rsid w:val="00835319"/>
    <w:rsid w:val="0083701D"/>
    <w:rsid w:val="00841129"/>
    <w:rsid w:val="00841B6D"/>
    <w:rsid w:val="00845476"/>
    <w:rsid w:val="008531B2"/>
    <w:rsid w:val="00853F7C"/>
    <w:rsid w:val="008542E5"/>
    <w:rsid w:val="008543D4"/>
    <w:rsid w:val="0085460A"/>
    <w:rsid w:val="0085607B"/>
    <w:rsid w:val="00856143"/>
    <w:rsid w:val="008567F8"/>
    <w:rsid w:val="00856A3C"/>
    <w:rsid w:val="00860238"/>
    <w:rsid w:val="008607C3"/>
    <w:rsid w:val="0086140F"/>
    <w:rsid w:val="00861730"/>
    <w:rsid w:val="00861879"/>
    <w:rsid w:val="00862338"/>
    <w:rsid w:val="00862C97"/>
    <w:rsid w:val="00862CE1"/>
    <w:rsid w:val="00863988"/>
    <w:rsid w:val="00865D8A"/>
    <w:rsid w:val="00867E8A"/>
    <w:rsid w:val="00870A93"/>
    <w:rsid w:val="00870ECD"/>
    <w:rsid w:val="0087114F"/>
    <w:rsid w:val="008738D0"/>
    <w:rsid w:val="008743F1"/>
    <w:rsid w:val="0087551F"/>
    <w:rsid w:val="00875CFD"/>
    <w:rsid w:val="00877BCA"/>
    <w:rsid w:val="00877FE2"/>
    <w:rsid w:val="00880B7F"/>
    <w:rsid w:val="00880C6B"/>
    <w:rsid w:val="008834EE"/>
    <w:rsid w:val="008872BC"/>
    <w:rsid w:val="008911E4"/>
    <w:rsid w:val="008912F7"/>
    <w:rsid w:val="00891507"/>
    <w:rsid w:val="0089559C"/>
    <w:rsid w:val="00895E7A"/>
    <w:rsid w:val="0089643F"/>
    <w:rsid w:val="008967D4"/>
    <w:rsid w:val="008A1E64"/>
    <w:rsid w:val="008A1EE9"/>
    <w:rsid w:val="008A23CF"/>
    <w:rsid w:val="008A3150"/>
    <w:rsid w:val="008A34CB"/>
    <w:rsid w:val="008A4F22"/>
    <w:rsid w:val="008A4FA7"/>
    <w:rsid w:val="008A5BC2"/>
    <w:rsid w:val="008B1057"/>
    <w:rsid w:val="008B2831"/>
    <w:rsid w:val="008B40B4"/>
    <w:rsid w:val="008B4C07"/>
    <w:rsid w:val="008B4C75"/>
    <w:rsid w:val="008B59CE"/>
    <w:rsid w:val="008B5BE6"/>
    <w:rsid w:val="008B6D04"/>
    <w:rsid w:val="008B6E77"/>
    <w:rsid w:val="008C10E7"/>
    <w:rsid w:val="008C27FE"/>
    <w:rsid w:val="008C475C"/>
    <w:rsid w:val="008C5287"/>
    <w:rsid w:val="008C53EA"/>
    <w:rsid w:val="008C73F0"/>
    <w:rsid w:val="008D0353"/>
    <w:rsid w:val="008D06F5"/>
    <w:rsid w:val="008D0E35"/>
    <w:rsid w:val="008D3C75"/>
    <w:rsid w:val="008D6C5B"/>
    <w:rsid w:val="008D778C"/>
    <w:rsid w:val="008E0603"/>
    <w:rsid w:val="008E1C26"/>
    <w:rsid w:val="008E2FF1"/>
    <w:rsid w:val="008E30A3"/>
    <w:rsid w:val="008E3136"/>
    <w:rsid w:val="008E39CD"/>
    <w:rsid w:val="008E4593"/>
    <w:rsid w:val="008E746B"/>
    <w:rsid w:val="008E7A7D"/>
    <w:rsid w:val="008F1357"/>
    <w:rsid w:val="008F1822"/>
    <w:rsid w:val="008F2A7A"/>
    <w:rsid w:val="008F3AB0"/>
    <w:rsid w:val="008F4AAC"/>
    <w:rsid w:val="008F4F91"/>
    <w:rsid w:val="008F680F"/>
    <w:rsid w:val="008F6879"/>
    <w:rsid w:val="008F6B27"/>
    <w:rsid w:val="008F7AE4"/>
    <w:rsid w:val="009001A2"/>
    <w:rsid w:val="00902516"/>
    <w:rsid w:val="00905620"/>
    <w:rsid w:val="00906670"/>
    <w:rsid w:val="00907DA9"/>
    <w:rsid w:val="00911461"/>
    <w:rsid w:val="00911E51"/>
    <w:rsid w:val="009137A7"/>
    <w:rsid w:val="00913CD1"/>
    <w:rsid w:val="00914923"/>
    <w:rsid w:val="00914C5F"/>
    <w:rsid w:val="009160E8"/>
    <w:rsid w:val="009163CF"/>
    <w:rsid w:val="00917864"/>
    <w:rsid w:val="00917D6C"/>
    <w:rsid w:val="0092092B"/>
    <w:rsid w:val="00921A07"/>
    <w:rsid w:val="0092242B"/>
    <w:rsid w:val="00923D7A"/>
    <w:rsid w:val="009245C5"/>
    <w:rsid w:val="0092486D"/>
    <w:rsid w:val="0092727E"/>
    <w:rsid w:val="009278EC"/>
    <w:rsid w:val="00927A7F"/>
    <w:rsid w:val="009318F7"/>
    <w:rsid w:val="00931BB1"/>
    <w:rsid w:val="00931D3F"/>
    <w:rsid w:val="00932CD3"/>
    <w:rsid w:val="009374EB"/>
    <w:rsid w:val="00937ADE"/>
    <w:rsid w:val="009405FA"/>
    <w:rsid w:val="00940B30"/>
    <w:rsid w:val="00942947"/>
    <w:rsid w:val="00942B94"/>
    <w:rsid w:val="00944065"/>
    <w:rsid w:val="00944E21"/>
    <w:rsid w:val="00944F19"/>
    <w:rsid w:val="00947FF6"/>
    <w:rsid w:val="00952588"/>
    <w:rsid w:val="009527E6"/>
    <w:rsid w:val="00952BBC"/>
    <w:rsid w:val="00952CE6"/>
    <w:rsid w:val="0095429C"/>
    <w:rsid w:val="0095432E"/>
    <w:rsid w:val="00956A27"/>
    <w:rsid w:val="009579DD"/>
    <w:rsid w:val="00960925"/>
    <w:rsid w:val="00965C78"/>
    <w:rsid w:val="009671ED"/>
    <w:rsid w:val="00972772"/>
    <w:rsid w:val="00972B2A"/>
    <w:rsid w:val="00972FA4"/>
    <w:rsid w:val="009733A8"/>
    <w:rsid w:val="00976BD6"/>
    <w:rsid w:val="00977AE9"/>
    <w:rsid w:val="00982851"/>
    <w:rsid w:val="00982D55"/>
    <w:rsid w:val="009836C2"/>
    <w:rsid w:val="00984D9A"/>
    <w:rsid w:val="0098536F"/>
    <w:rsid w:val="009901D1"/>
    <w:rsid w:val="00990915"/>
    <w:rsid w:val="00990C5E"/>
    <w:rsid w:val="00992C28"/>
    <w:rsid w:val="0099465C"/>
    <w:rsid w:val="00994965"/>
    <w:rsid w:val="00995696"/>
    <w:rsid w:val="00995B9C"/>
    <w:rsid w:val="009A0F23"/>
    <w:rsid w:val="009A1894"/>
    <w:rsid w:val="009A2B78"/>
    <w:rsid w:val="009A33D6"/>
    <w:rsid w:val="009A39E3"/>
    <w:rsid w:val="009A3BF5"/>
    <w:rsid w:val="009A3F7D"/>
    <w:rsid w:val="009A433F"/>
    <w:rsid w:val="009A4816"/>
    <w:rsid w:val="009A6E27"/>
    <w:rsid w:val="009A7169"/>
    <w:rsid w:val="009A7A3E"/>
    <w:rsid w:val="009B01E4"/>
    <w:rsid w:val="009B0655"/>
    <w:rsid w:val="009B2836"/>
    <w:rsid w:val="009B2A6E"/>
    <w:rsid w:val="009B4283"/>
    <w:rsid w:val="009B49FC"/>
    <w:rsid w:val="009C16EA"/>
    <w:rsid w:val="009C17A6"/>
    <w:rsid w:val="009C1C45"/>
    <w:rsid w:val="009C2179"/>
    <w:rsid w:val="009C2AD5"/>
    <w:rsid w:val="009C39CB"/>
    <w:rsid w:val="009C52AE"/>
    <w:rsid w:val="009C57D1"/>
    <w:rsid w:val="009C6961"/>
    <w:rsid w:val="009D0C2F"/>
    <w:rsid w:val="009D178D"/>
    <w:rsid w:val="009D44E4"/>
    <w:rsid w:val="009D60E2"/>
    <w:rsid w:val="009D7AB7"/>
    <w:rsid w:val="009D7ACC"/>
    <w:rsid w:val="009E00F5"/>
    <w:rsid w:val="009E5074"/>
    <w:rsid w:val="009E558F"/>
    <w:rsid w:val="009E569E"/>
    <w:rsid w:val="009E578A"/>
    <w:rsid w:val="009E7EE4"/>
    <w:rsid w:val="009F51DB"/>
    <w:rsid w:val="009F68C8"/>
    <w:rsid w:val="00A0094B"/>
    <w:rsid w:val="00A01DFA"/>
    <w:rsid w:val="00A02CE4"/>
    <w:rsid w:val="00A05749"/>
    <w:rsid w:val="00A07947"/>
    <w:rsid w:val="00A10282"/>
    <w:rsid w:val="00A10B3D"/>
    <w:rsid w:val="00A124C4"/>
    <w:rsid w:val="00A130E2"/>
    <w:rsid w:val="00A15158"/>
    <w:rsid w:val="00A15606"/>
    <w:rsid w:val="00A17490"/>
    <w:rsid w:val="00A177AD"/>
    <w:rsid w:val="00A25305"/>
    <w:rsid w:val="00A25F93"/>
    <w:rsid w:val="00A275C5"/>
    <w:rsid w:val="00A27E4F"/>
    <w:rsid w:val="00A3056C"/>
    <w:rsid w:val="00A316B0"/>
    <w:rsid w:val="00A32414"/>
    <w:rsid w:val="00A32FF6"/>
    <w:rsid w:val="00A337FF"/>
    <w:rsid w:val="00A355DF"/>
    <w:rsid w:val="00A358B4"/>
    <w:rsid w:val="00A3650A"/>
    <w:rsid w:val="00A40EC6"/>
    <w:rsid w:val="00A4127D"/>
    <w:rsid w:val="00A41603"/>
    <w:rsid w:val="00A4209C"/>
    <w:rsid w:val="00A428C4"/>
    <w:rsid w:val="00A43A29"/>
    <w:rsid w:val="00A45986"/>
    <w:rsid w:val="00A460F3"/>
    <w:rsid w:val="00A46FC2"/>
    <w:rsid w:val="00A50007"/>
    <w:rsid w:val="00A50F82"/>
    <w:rsid w:val="00A523B9"/>
    <w:rsid w:val="00A5295B"/>
    <w:rsid w:val="00A540A6"/>
    <w:rsid w:val="00A557AB"/>
    <w:rsid w:val="00A55F68"/>
    <w:rsid w:val="00A561BD"/>
    <w:rsid w:val="00A5626C"/>
    <w:rsid w:val="00A566A7"/>
    <w:rsid w:val="00A56977"/>
    <w:rsid w:val="00A56B07"/>
    <w:rsid w:val="00A603BF"/>
    <w:rsid w:val="00A613D2"/>
    <w:rsid w:val="00A61ACA"/>
    <w:rsid w:val="00A63FBF"/>
    <w:rsid w:val="00A645F3"/>
    <w:rsid w:val="00A65F36"/>
    <w:rsid w:val="00A6620C"/>
    <w:rsid w:val="00A66362"/>
    <w:rsid w:val="00A66FA2"/>
    <w:rsid w:val="00A7071C"/>
    <w:rsid w:val="00A70D23"/>
    <w:rsid w:val="00A74A2E"/>
    <w:rsid w:val="00A75405"/>
    <w:rsid w:val="00A77050"/>
    <w:rsid w:val="00A77093"/>
    <w:rsid w:val="00A8128C"/>
    <w:rsid w:val="00A81FF4"/>
    <w:rsid w:val="00A82147"/>
    <w:rsid w:val="00A83191"/>
    <w:rsid w:val="00A836E4"/>
    <w:rsid w:val="00A84A28"/>
    <w:rsid w:val="00A85F02"/>
    <w:rsid w:val="00A918B1"/>
    <w:rsid w:val="00A92087"/>
    <w:rsid w:val="00A921C6"/>
    <w:rsid w:val="00A929BC"/>
    <w:rsid w:val="00A93A66"/>
    <w:rsid w:val="00A951AA"/>
    <w:rsid w:val="00AA0B13"/>
    <w:rsid w:val="00AA183A"/>
    <w:rsid w:val="00AA1919"/>
    <w:rsid w:val="00AA1B3B"/>
    <w:rsid w:val="00AA1B9C"/>
    <w:rsid w:val="00AA3325"/>
    <w:rsid w:val="00AA3409"/>
    <w:rsid w:val="00AA3504"/>
    <w:rsid w:val="00AA4224"/>
    <w:rsid w:val="00AA4575"/>
    <w:rsid w:val="00AA54F9"/>
    <w:rsid w:val="00AA5921"/>
    <w:rsid w:val="00AA5EA8"/>
    <w:rsid w:val="00AA680F"/>
    <w:rsid w:val="00AA6902"/>
    <w:rsid w:val="00AB0262"/>
    <w:rsid w:val="00AB06A6"/>
    <w:rsid w:val="00AB11B4"/>
    <w:rsid w:val="00AB1634"/>
    <w:rsid w:val="00AB1D4D"/>
    <w:rsid w:val="00AB3A0C"/>
    <w:rsid w:val="00AB5376"/>
    <w:rsid w:val="00AB74F2"/>
    <w:rsid w:val="00AB7783"/>
    <w:rsid w:val="00AC0AFE"/>
    <w:rsid w:val="00AC0D83"/>
    <w:rsid w:val="00AC0E66"/>
    <w:rsid w:val="00AC0FD3"/>
    <w:rsid w:val="00AC4152"/>
    <w:rsid w:val="00AC5E50"/>
    <w:rsid w:val="00AC7DFE"/>
    <w:rsid w:val="00AD2319"/>
    <w:rsid w:val="00AD2B9B"/>
    <w:rsid w:val="00AD3CF6"/>
    <w:rsid w:val="00AD5489"/>
    <w:rsid w:val="00AD632B"/>
    <w:rsid w:val="00AD649A"/>
    <w:rsid w:val="00AD6F00"/>
    <w:rsid w:val="00AD7B08"/>
    <w:rsid w:val="00AE0FF6"/>
    <w:rsid w:val="00AE12BC"/>
    <w:rsid w:val="00AE2E48"/>
    <w:rsid w:val="00AE379A"/>
    <w:rsid w:val="00AF0BB2"/>
    <w:rsid w:val="00AF0DD4"/>
    <w:rsid w:val="00AF15F7"/>
    <w:rsid w:val="00AF2954"/>
    <w:rsid w:val="00AF2A56"/>
    <w:rsid w:val="00AF745E"/>
    <w:rsid w:val="00AF7893"/>
    <w:rsid w:val="00B028BA"/>
    <w:rsid w:val="00B031A8"/>
    <w:rsid w:val="00B040F9"/>
    <w:rsid w:val="00B06287"/>
    <w:rsid w:val="00B10AE5"/>
    <w:rsid w:val="00B1534E"/>
    <w:rsid w:val="00B1592C"/>
    <w:rsid w:val="00B16027"/>
    <w:rsid w:val="00B16F7A"/>
    <w:rsid w:val="00B1709E"/>
    <w:rsid w:val="00B17CD7"/>
    <w:rsid w:val="00B224CD"/>
    <w:rsid w:val="00B22557"/>
    <w:rsid w:val="00B2336D"/>
    <w:rsid w:val="00B23EA4"/>
    <w:rsid w:val="00B24081"/>
    <w:rsid w:val="00B24CB8"/>
    <w:rsid w:val="00B24F57"/>
    <w:rsid w:val="00B25C13"/>
    <w:rsid w:val="00B26394"/>
    <w:rsid w:val="00B26DD3"/>
    <w:rsid w:val="00B270FE"/>
    <w:rsid w:val="00B306A3"/>
    <w:rsid w:val="00B30770"/>
    <w:rsid w:val="00B326D0"/>
    <w:rsid w:val="00B35D6C"/>
    <w:rsid w:val="00B36036"/>
    <w:rsid w:val="00B36426"/>
    <w:rsid w:val="00B365BB"/>
    <w:rsid w:val="00B36DE2"/>
    <w:rsid w:val="00B41E2C"/>
    <w:rsid w:val="00B4265A"/>
    <w:rsid w:val="00B431C3"/>
    <w:rsid w:val="00B437C9"/>
    <w:rsid w:val="00B43EC9"/>
    <w:rsid w:val="00B45244"/>
    <w:rsid w:val="00B465D4"/>
    <w:rsid w:val="00B466B2"/>
    <w:rsid w:val="00B46B74"/>
    <w:rsid w:val="00B50467"/>
    <w:rsid w:val="00B519AB"/>
    <w:rsid w:val="00B54E1C"/>
    <w:rsid w:val="00B5798A"/>
    <w:rsid w:val="00B606F0"/>
    <w:rsid w:val="00B61CAF"/>
    <w:rsid w:val="00B61F7C"/>
    <w:rsid w:val="00B626A8"/>
    <w:rsid w:val="00B64ED8"/>
    <w:rsid w:val="00B668DE"/>
    <w:rsid w:val="00B70F41"/>
    <w:rsid w:val="00B734B0"/>
    <w:rsid w:val="00B7353E"/>
    <w:rsid w:val="00B7358D"/>
    <w:rsid w:val="00B74A46"/>
    <w:rsid w:val="00B75CC0"/>
    <w:rsid w:val="00B76B0C"/>
    <w:rsid w:val="00B76D55"/>
    <w:rsid w:val="00B80013"/>
    <w:rsid w:val="00B80AF5"/>
    <w:rsid w:val="00B80CD4"/>
    <w:rsid w:val="00B82B3C"/>
    <w:rsid w:val="00B830D3"/>
    <w:rsid w:val="00B83452"/>
    <w:rsid w:val="00B83C11"/>
    <w:rsid w:val="00B8475A"/>
    <w:rsid w:val="00B85B63"/>
    <w:rsid w:val="00B87B85"/>
    <w:rsid w:val="00B905E2"/>
    <w:rsid w:val="00B9297D"/>
    <w:rsid w:val="00BA0691"/>
    <w:rsid w:val="00BA0DD3"/>
    <w:rsid w:val="00BA194C"/>
    <w:rsid w:val="00BA1A3A"/>
    <w:rsid w:val="00BA292B"/>
    <w:rsid w:val="00BA30A5"/>
    <w:rsid w:val="00BA3E10"/>
    <w:rsid w:val="00BA6842"/>
    <w:rsid w:val="00BB188F"/>
    <w:rsid w:val="00BB1B99"/>
    <w:rsid w:val="00BB2AB0"/>
    <w:rsid w:val="00BB37A8"/>
    <w:rsid w:val="00BB3F72"/>
    <w:rsid w:val="00BB4E4B"/>
    <w:rsid w:val="00BB4E8C"/>
    <w:rsid w:val="00BB50E5"/>
    <w:rsid w:val="00BB678C"/>
    <w:rsid w:val="00BB77BD"/>
    <w:rsid w:val="00BC3C3E"/>
    <w:rsid w:val="00BC479A"/>
    <w:rsid w:val="00BC4A05"/>
    <w:rsid w:val="00BC5751"/>
    <w:rsid w:val="00BD1142"/>
    <w:rsid w:val="00BD1865"/>
    <w:rsid w:val="00BD1A68"/>
    <w:rsid w:val="00BD2C17"/>
    <w:rsid w:val="00BD45C8"/>
    <w:rsid w:val="00BD541F"/>
    <w:rsid w:val="00BD5D68"/>
    <w:rsid w:val="00BD6380"/>
    <w:rsid w:val="00BE0013"/>
    <w:rsid w:val="00BE3F97"/>
    <w:rsid w:val="00BE4ED2"/>
    <w:rsid w:val="00BE603B"/>
    <w:rsid w:val="00BF11A4"/>
    <w:rsid w:val="00BF2FED"/>
    <w:rsid w:val="00BF57B7"/>
    <w:rsid w:val="00BF5893"/>
    <w:rsid w:val="00BF5C5E"/>
    <w:rsid w:val="00BF61DB"/>
    <w:rsid w:val="00BF74A7"/>
    <w:rsid w:val="00C00DA4"/>
    <w:rsid w:val="00C01959"/>
    <w:rsid w:val="00C019EE"/>
    <w:rsid w:val="00C048F9"/>
    <w:rsid w:val="00C06D51"/>
    <w:rsid w:val="00C10BCE"/>
    <w:rsid w:val="00C11F34"/>
    <w:rsid w:val="00C1284D"/>
    <w:rsid w:val="00C1374C"/>
    <w:rsid w:val="00C14A15"/>
    <w:rsid w:val="00C1667F"/>
    <w:rsid w:val="00C16C66"/>
    <w:rsid w:val="00C20A7B"/>
    <w:rsid w:val="00C21AD6"/>
    <w:rsid w:val="00C21E5D"/>
    <w:rsid w:val="00C229B7"/>
    <w:rsid w:val="00C24FA8"/>
    <w:rsid w:val="00C2682B"/>
    <w:rsid w:val="00C26D2F"/>
    <w:rsid w:val="00C271C2"/>
    <w:rsid w:val="00C30054"/>
    <w:rsid w:val="00C304F7"/>
    <w:rsid w:val="00C31740"/>
    <w:rsid w:val="00C31DA9"/>
    <w:rsid w:val="00C31EAF"/>
    <w:rsid w:val="00C33417"/>
    <w:rsid w:val="00C33CEB"/>
    <w:rsid w:val="00C33E59"/>
    <w:rsid w:val="00C356E5"/>
    <w:rsid w:val="00C36EA2"/>
    <w:rsid w:val="00C370A1"/>
    <w:rsid w:val="00C3745C"/>
    <w:rsid w:val="00C37A03"/>
    <w:rsid w:val="00C37CCB"/>
    <w:rsid w:val="00C4062A"/>
    <w:rsid w:val="00C4169B"/>
    <w:rsid w:val="00C417A3"/>
    <w:rsid w:val="00C426AF"/>
    <w:rsid w:val="00C43B2C"/>
    <w:rsid w:val="00C44660"/>
    <w:rsid w:val="00C44E63"/>
    <w:rsid w:val="00C46926"/>
    <w:rsid w:val="00C47F0E"/>
    <w:rsid w:val="00C50364"/>
    <w:rsid w:val="00C527A6"/>
    <w:rsid w:val="00C529BF"/>
    <w:rsid w:val="00C52EBE"/>
    <w:rsid w:val="00C5308F"/>
    <w:rsid w:val="00C540DF"/>
    <w:rsid w:val="00C54100"/>
    <w:rsid w:val="00C56A22"/>
    <w:rsid w:val="00C574A9"/>
    <w:rsid w:val="00C57782"/>
    <w:rsid w:val="00C57C09"/>
    <w:rsid w:val="00C6012E"/>
    <w:rsid w:val="00C60DE5"/>
    <w:rsid w:val="00C61E67"/>
    <w:rsid w:val="00C63C23"/>
    <w:rsid w:val="00C63DEA"/>
    <w:rsid w:val="00C63E36"/>
    <w:rsid w:val="00C64357"/>
    <w:rsid w:val="00C645B4"/>
    <w:rsid w:val="00C65A26"/>
    <w:rsid w:val="00C65E51"/>
    <w:rsid w:val="00C6705B"/>
    <w:rsid w:val="00C71ED8"/>
    <w:rsid w:val="00C73775"/>
    <w:rsid w:val="00C73792"/>
    <w:rsid w:val="00C76D07"/>
    <w:rsid w:val="00C77F88"/>
    <w:rsid w:val="00C80343"/>
    <w:rsid w:val="00C807D0"/>
    <w:rsid w:val="00C81ACB"/>
    <w:rsid w:val="00C81B91"/>
    <w:rsid w:val="00C82158"/>
    <w:rsid w:val="00C825F9"/>
    <w:rsid w:val="00C82A09"/>
    <w:rsid w:val="00C8326D"/>
    <w:rsid w:val="00C83BA9"/>
    <w:rsid w:val="00C8472E"/>
    <w:rsid w:val="00C92079"/>
    <w:rsid w:val="00C93061"/>
    <w:rsid w:val="00C94B80"/>
    <w:rsid w:val="00C96892"/>
    <w:rsid w:val="00C97101"/>
    <w:rsid w:val="00C97563"/>
    <w:rsid w:val="00CA0F76"/>
    <w:rsid w:val="00CA10FC"/>
    <w:rsid w:val="00CA2170"/>
    <w:rsid w:val="00CA22F9"/>
    <w:rsid w:val="00CA2C05"/>
    <w:rsid w:val="00CA2E71"/>
    <w:rsid w:val="00CA31B6"/>
    <w:rsid w:val="00CA498F"/>
    <w:rsid w:val="00CA5F26"/>
    <w:rsid w:val="00CB03DE"/>
    <w:rsid w:val="00CB0A1B"/>
    <w:rsid w:val="00CB1717"/>
    <w:rsid w:val="00CB1FB2"/>
    <w:rsid w:val="00CB3177"/>
    <w:rsid w:val="00CB4A31"/>
    <w:rsid w:val="00CB512E"/>
    <w:rsid w:val="00CB533C"/>
    <w:rsid w:val="00CB5989"/>
    <w:rsid w:val="00CB7D2E"/>
    <w:rsid w:val="00CC2DB8"/>
    <w:rsid w:val="00CC3220"/>
    <w:rsid w:val="00CC4B4D"/>
    <w:rsid w:val="00CC4C18"/>
    <w:rsid w:val="00CC4E33"/>
    <w:rsid w:val="00CC7E26"/>
    <w:rsid w:val="00CD2A6F"/>
    <w:rsid w:val="00CD4A84"/>
    <w:rsid w:val="00CD4CFB"/>
    <w:rsid w:val="00CD66DC"/>
    <w:rsid w:val="00CE05D5"/>
    <w:rsid w:val="00CE318D"/>
    <w:rsid w:val="00CE3B4D"/>
    <w:rsid w:val="00CE53BD"/>
    <w:rsid w:val="00CE5571"/>
    <w:rsid w:val="00CE65F3"/>
    <w:rsid w:val="00CF0872"/>
    <w:rsid w:val="00CF31E4"/>
    <w:rsid w:val="00CF327E"/>
    <w:rsid w:val="00CF3790"/>
    <w:rsid w:val="00CF46E5"/>
    <w:rsid w:val="00CF504E"/>
    <w:rsid w:val="00CF5063"/>
    <w:rsid w:val="00CF7983"/>
    <w:rsid w:val="00D01730"/>
    <w:rsid w:val="00D0254A"/>
    <w:rsid w:val="00D03081"/>
    <w:rsid w:val="00D03592"/>
    <w:rsid w:val="00D03DA4"/>
    <w:rsid w:val="00D043EB"/>
    <w:rsid w:val="00D04D9E"/>
    <w:rsid w:val="00D058D2"/>
    <w:rsid w:val="00D05E2D"/>
    <w:rsid w:val="00D0624D"/>
    <w:rsid w:val="00D064B2"/>
    <w:rsid w:val="00D07A91"/>
    <w:rsid w:val="00D13813"/>
    <w:rsid w:val="00D16511"/>
    <w:rsid w:val="00D17C6F"/>
    <w:rsid w:val="00D20937"/>
    <w:rsid w:val="00D2186B"/>
    <w:rsid w:val="00D2220E"/>
    <w:rsid w:val="00D22FCC"/>
    <w:rsid w:val="00D247C5"/>
    <w:rsid w:val="00D24963"/>
    <w:rsid w:val="00D30E0D"/>
    <w:rsid w:val="00D30E37"/>
    <w:rsid w:val="00D31C49"/>
    <w:rsid w:val="00D32117"/>
    <w:rsid w:val="00D323D6"/>
    <w:rsid w:val="00D3310C"/>
    <w:rsid w:val="00D33DE4"/>
    <w:rsid w:val="00D34997"/>
    <w:rsid w:val="00D349A5"/>
    <w:rsid w:val="00D3618D"/>
    <w:rsid w:val="00D36220"/>
    <w:rsid w:val="00D4033E"/>
    <w:rsid w:val="00D41E6B"/>
    <w:rsid w:val="00D4227C"/>
    <w:rsid w:val="00D42B28"/>
    <w:rsid w:val="00D42F46"/>
    <w:rsid w:val="00D46A2E"/>
    <w:rsid w:val="00D5108D"/>
    <w:rsid w:val="00D53425"/>
    <w:rsid w:val="00D539C9"/>
    <w:rsid w:val="00D54F29"/>
    <w:rsid w:val="00D569CD"/>
    <w:rsid w:val="00D56A49"/>
    <w:rsid w:val="00D5705A"/>
    <w:rsid w:val="00D61E6F"/>
    <w:rsid w:val="00D63425"/>
    <w:rsid w:val="00D63973"/>
    <w:rsid w:val="00D65365"/>
    <w:rsid w:val="00D65384"/>
    <w:rsid w:val="00D66C3F"/>
    <w:rsid w:val="00D66EA0"/>
    <w:rsid w:val="00D67C2C"/>
    <w:rsid w:val="00D70C9A"/>
    <w:rsid w:val="00D726C0"/>
    <w:rsid w:val="00D72768"/>
    <w:rsid w:val="00D75B66"/>
    <w:rsid w:val="00D76744"/>
    <w:rsid w:val="00D80819"/>
    <w:rsid w:val="00D80BB1"/>
    <w:rsid w:val="00D81A8B"/>
    <w:rsid w:val="00D865E2"/>
    <w:rsid w:val="00D87F4A"/>
    <w:rsid w:val="00D905B7"/>
    <w:rsid w:val="00D9090A"/>
    <w:rsid w:val="00D910A6"/>
    <w:rsid w:val="00D947AE"/>
    <w:rsid w:val="00D9596D"/>
    <w:rsid w:val="00D971E2"/>
    <w:rsid w:val="00D97CFA"/>
    <w:rsid w:val="00DA02BF"/>
    <w:rsid w:val="00DA1614"/>
    <w:rsid w:val="00DA1971"/>
    <w:rsid w:val="00DA239E"/>
    <w:rsid w:val="00DA7902"/>
    <w:rsid w:val="00DB234C"/>
    <w:rsid w:val="00DB342F"/>
    <w:rsid w:val="00DB36E7"/>
    <w:rsid w:val="00DB459D"/>
    <w:rsid w:val="00DB51DC"/>
    <w:rsid w:val="00DB5205"/>
    <w:rsid w:val="00DB57AB"/>
    <w:rsid w:val="00DB664C"/>
    <w:rsid w:val="00DB766B"/>
    <w:rsid w:val="00DC178C"/>
    <w:rsid w:val="00DC284D"/>
    <w:rsid w:val="00DC2CDC"/>
    <w:rsid w:val="00DC3E50"/>
    <w:rsid w:val="00DC6676"/>
    <w:rsid w:val="00DC6749"/>
    <w:rsid w:val="00DC6908"/>
    <w:rsid w:val="00DC7682"/>
    <w:rsid w:val="00DC7767"/>
    <w:rsid w:val="00DD056E"/>
    <w:rsid w:val="00DD2A16"/>
    <w:rsid w:val="00DD2EA7"/>
    <w:rsid w:val="00DD41F3"/>
    <w:rsid w:val="00DD484C"/>
    <w:rsid w:val="00DD544D"/>
    <w:rsid w:val="00DE12DD"/>
    <w:rsid w:val="00DE1EF7"/>
    <w:rsid w:val="00DE2760"/>
    <w:rsid w:val="00DE28D6"/>
    <w:rsid w:val="00DE3583"/>
    <w:rsid w:val="00DE4E71"/>
    <w:rsid w:val="00DE50F8"/>
    <w:rsid w:val="00DE5BD2"/>
    <w:rsid w:val="00DE5EB6"/>
    <w:rsid w:val="00DE69C7"/>
    <w:rsid w:val="00DE6B09"/>
    <w:rsid w:val="00DF0985"/>
    <w:rsid w:val="00DF14D6"/>
    <w:rsid w:val="00DF4B88"/>
    <w:rsid w:val="00DF63C0"/>
    <w:rsid w:val="00E00BE0"/>
    <w:rsid w:val="00E01BBB"/>
    <w:rsid w:val="00E01CCB"/>
    <w:rsid w:val="00E027FE"/>
    <w:rsid w:val="00E03071"/>
    <w:rsid w:val="00E044B1"/>
    <w:rsid w:val="00E049C1"/>
    <w:rsid w:val="00E04A4F"/>
    <w:rsid w:val="00E0501B"/>
    <w:rsid w:val="00E05BE9"/>
    <w:rsid w:val="00E05DED"/>
    <w:rsid w:val="00E06466"/>
    <w:rsid w:val="00E0780A"/>
    <w:rsid w:val="00E07C73"/>
    <w:rsid w:val="00E10471"/>
    <w:rsid w:val="00E11A44"/>
    <w:rsid w:val="00E11D2F"/>
    <w:rsid w:val="00E12463"/>
    <w:rsid w:val="00E13115"/>
    <w:rsid w:val="00E13314"/>
    <w:rsid w:val="00E143F7"/>
    <w:rsid w:val="00E14854"/>
    <w:rsid w:val="00E163D9"/>
    <w:rsid w:val="00E16F2E"/>
    <w:rsid w:val="00E17BA2"/>
    <w:rsid w:val="00E20B9A"/>
    <w:rsid w:val="00E20F2A"/>
    <w:rsid w:val="00E23780"/>
    <w:rsid w:val="00E24265"/>
    <w:rsid w:val="00E252B0"/>
    <w:rsid w:val="00E259D7"/>
    <w:rsid w:val="00E27425"/>
    <w:rsid w:val="00E30260"/>
    <w:rsid w:val="00E30DA2"/>
    <w:rsid w:val="00E316A5"/>
    <w:rsid w:val="00E34D2E"/>
    <w:rsid w:val="00E35045"/>
    <w:rsid w:val="00E35BBD"/>
    <w:rsid w:val="00E3670C"/>
    <w:rsid w:val="00E36AF9"/>
    <w:rsid w:val="00E376A9"/>
    <w:rsid w:val="00E37A70"/>
    <w:rsid w:val="00E4083A"/>
    <w:rsid w:val="00E4120B"/>
    <w:rsid w:val="00E42B63"/>
    <w:rsid w:val="00E42BEB"/>
    <w:rsid w:val="00E42E27"/>
    <w:rsid w:val="00E453E8"/>
    <w:rsid w:val="00E506C5"/>
    <w:rsid w:val="00E50754"/>
    <w:rsid w:val="00E52943"/>
    <w:rsid w:val="00E53985"/>
    <w:rsid w:val="00E53D7E"/>
    <w:rsid w:val="00E542C2"/>
    <w:rsid w:val="00E55125"/>
    <w:rsid w:val="00E56148"/>
    <w:rsid w:val="00E567D6"/>
    <w:rsid w:val="00E573A8"/>
    <w:rsid w:val="00E57446"/>
    <w:rsid w:val="00E63A55"/>
    <w:rsid w:val="00E655F9"/>
    <w:rsid w:val="00E66A85"/>
    <w:rsid w:val="00E67D69"/>
    <w:rsid w:val="00E71577"/>
    <w:rsid w:val="00E7173D"/>
    <w:rsid w:val="00E72A1A"/>
    <w:rsid w:val="00E730FE"/>
    <w:rsid w:val="00E73E11"/>
    <w:rsid w:val="00E74297"/>
    <w:rsid w:val="00E74E17"/>
    <w:rsid w:val="00E76E34"/>
    <w:rsid w:val="00E77477"/>
    <w:rsid w:val="00E81D0A"/>
    <w:rsid w:val="00E824BD"/>
    <w:rsid w:val="00E83A60"/>
    <w:rsid w:val="00E850C6"/>
    <w:rsid w:val="00E868B3"/>
    <w:rsid w:val="00E86BA0"/>
    <w:rsid w:val="00E8732D"/>
    <w:rsid w:val="00E874A2"/>
    <w:rsid w:val="00E87FA3"/>
    <w:rsid w:val="00E9091B"/>
    <w:rsid w:val="00E90FEA"/>
    <w:rsid w:val="00E91515"/>
    <w:rsid w:val="00E91DC1"/>
    <w:rsid w:val="00E96658"/>
    <w:rsid w:val="00E97D37"/>
    <w:rsid w:val="00EA0A21"/>
    <w:rsid w:val="00EA13D9"/>
    <w:rsid w:val="00EA2A00"/>
    <w:rsid w:val="00EA2DA7"/>
    <w:rsid w:val="00EA71ED"/>
    <w:rsid w:val="00EA7296"/>
    <w:rsid w:val="00EA7E4F"/>
    <w:rsid w:val="00EB06EE"/>
    <w:rsid w:val="00EB1301"/>
    <w:rsid w:val="00EB1599"/>
    <w:rsid w:val="00EB1C6B"/>
    <w:rsid w:val="00EB260F"/>
    <w:rsid w:val="00EB6EF8"/>
    <w:rsid w:val="00EC07AA"/>
    <w:rsid w:val="00EC3275"/>
    <w:rsid w:val="00EC349D"/>
    <w:rsid w:val="00EC40B4"/>
    <w:rsid w:val="00EC62FB"/>
    <w:rsid w:val="00EC7CFD"/>
    <w:rsid w:val="00ED0E48"/>
    <w:rsid w:val="00ED2C58"/>
    <w:rsid w:val="00ED2DEB"/>
    <w:rsid w:val="00ED3E14"/>
    <w:rsid w:val="00ED6F0B"/>
    <w:rsid w:val="00EE08C4"/>
    <w:rsid w:val="00EE102B"/>
    <w:rsid w:val="00EE1461"/>
    <w:rsid w:val="00EE3797"/>
    <w:rsid w:val="00EE6136"/>
    <w:rsid w:val="00EE69FA"/>
    <w:rsid w:val="00EF0147"/>
    <w:rsid w:val="00EF0F02"/>
    <w:rsid w:val="00EF3986"/>
    <w:rsid w:val="00EF54B2"/>
    <w:rsid w:val="00EF60A6"/>
    <w:rsid w:val="00EF6AF2"/>
    <w:rsid w:val="00EF6FAA"/>
    <w:rsid w:val="00F00328"/>
    <w:rsid w:val="00F004AB"/>
    <w:rsid w:val="00F02DB6"/>
    <w:rsid w:val="00F03177"/>
    <w:rsid w:val="00F0384A"/>
    <w:rsid w:val="00F05246"/>
    <w:rsid w:val="00F055B0"/>
    <w:rsid w:val="00F05845"/>
    <w:rsid w:val="00F0619E"/>
    <w:rsid w:val="00F10048"/>
    <w:rsid w:val="00F11AB4"/>
    <w:rsid w:val="00F14E6B"/>
    <w:rsid w:val="00F1517E"/>
    <w:rsid w:val="00F15DED"/>
    <w:rsid w:val="00F16273"/>
    <w:rsid w:val="00F23004"/>
    <w:rsid w:val="00F23E62"/>
    <w:rsid w:val="00F24573"/>
    <w:rsid w:val="00F24D60"/>
    <w:rsid w:val="00F27248"/>
    <w:rsid w:val="00F31030"/>
    <w:rsid w:val="00F333F4"/>
    <w:rsid w:val="00F34952"/>
    <w:rsid w:val="00F35AE0"/>
    <w:rsid w:val="00F35D72"/>
    <w:rsid w:val="00F3681D"/>
    <w:rsid w:val="00F36855"/>
    <w:rsid w:val="00F37F46"/>
    <w:rsid w:val="00F407BF"/>
    <w:rsid w:val="00F40AD6"/>
    <w:rsid w:val="00F40D85"/>
    <w:rsid w:val="00F4327D"/>
    <w:rsid w:val="00F43F05"/>
    <w:rsid w:val="00F44865"/>
    <w:rsid w:val="00F4536A"/>
    <w:rsid w:val="00F454C8"/>
    <w:rsid w:val="00F46A49"/>
    <w:rsid w:val="00F54E23"/>
    <w:rsid w:val="00F60904"/>
    <w:rsid w:val="00F60EEF"/>
    <w:rsid w:val="00F6164B"/>
    <w:rsid w:val="00F62497"/>
    <w:rsid w:val="00F631CF"/>
    <w:rsid w:val="00F63AB2"/>
    <w:rsid w:val="00F64B77"/>
    <w:rsid w:val="00F65265"/>
    <w:rsid w:val="00F66159"/>
    <w:rsid w:val="00F6642D"/>
    <w:rsid w:val="00F66E89"/>
    <w:rsid w:val="00F700B2"/>
    <w:rsid w:val="00F70101"/>
    <w:rsid w:val="00F7122D"/>
    <w:rsid w:val="00F7207A"/>
    <w:rsid w:val="00F73648"/>
    <w:rsid w:val="00F74679"/>
    <w:rsid w:val="00F74C3D"/>
    <w:rsid w:val="00F7792C"/>
    <w:rsid w:val="00F82A51"/>
    <w:rsid w:val="00F83DA3"/>
    <w:rsid w:val="00F83FCF"/>
    <w:rsid w:val="00F85BEA"/>
    <w:rsid w:val="00F873FC"/>
    <w:rsid w:val="00F87495"/>
    <w:rsid w:val="00F87827"/>
    <w:rsid w:val="00F87BAB"/>
    <w:rsid w:val="00F907A5"/>
    <w:rsid w:val="00F91C32"/>
    <w:rsid w:val="00F92C93"/>
    <w:rsid w:val="00F92E07"/>
    <w:rsid w:val="00F9327B"/>
    <w:rsid w:val="00F93475"/>
    <w:rsid w:val="00F93FD5"/>
    <w:rsid w:val="00F94256"/>
    <w:rsid w:val="00F94903"/>
    <w:rsid w:val="00F96249"/>
    <w:rsid w:val="00F969A5"/>
    <w:rsid w:val="00F97F61"/>
    <w:rsid w:val="00FA18D2"/>
    <w:rsid w:val="00FA2246"/>
    <w:rsid w:val="00FA2425"/>
    <w:rsid w:val="00FA3C07"/>
    <w:rsid w:val="00FA460D"/>
    <w:rsid w:val="00FA66D8"/>
    <w:rsid w:val="00FA6A26"/>
    <w:rsid w:val="00FB19AE"/>
    <w:rsid w:val="00FB234D"/>
    <w:rsid w:val="00FB3290"/>
    <w:rsid w:val="00FB350A"/>
    <w:rsid w:val="00FB40BD"/>
    <w:rsid w:val="00FB4AC7"/>
    <w:rsid w:val="00FB5287"/>
    <w:rsid w:val="00FC11D3"/>
    <w:rsid w:val="00FC3EB4"/>
    <w:rsid w:val="00FC4BA0"/>
    <w:rsid w:val="00FC6283"/>
    <w:rsid w:val="00FC6A58"/>
    <w:rsid w:val="00FD0761"/>
    <w:rsid w:val="00FD0E1F"/>
    <w:rsid w:val="00FD23E4"/>
    <w:rsid w:val="00FD2546"/>
    <w:rsid w:val="00FD26FE"/>
    <w:rsid w:val="00FD479B"/>
    <w:rsid w:val="00FD5E8D"/>
    <w:rsid w:val="00FD77B9"/>
    <w:rsid w:val="00FE0B54"/>
    <w:rsid w:val="00FE111B"/>
    <w:rsid w:val="00FE1426"/>
    <w:rsid w:val="00FE4625"/>
    <w:rsid w:val="00FE60E0"/>
    <w:rsid w:val="00FF0AF0"/>
    <w:rsid w:val="00FF0F0F"/>
    <w:rsid w:val="00FF1916"/>
    <w:rsid w:val="00FF2052"/>
    <w:rsid w:val="00FF2594"/>
    <w:rsid w:val="00FF37D3"/>
    <w:rsid w:val="00FF3ABC"/>
    <w:rsid w:val="00FF40D4"/>
    <w:rsid w:val="00FF4B68"/>
    <w:rsid w:val="00FF5630"/>
    <w:rsid w:val="00FF65C3"/>
    <w:rsid w:val="00FF6DDC"/>
    <w:rsid w:val="00FF79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B64ED8"/>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C65A26"/>
    <w:pPr>
      <w:keepNext/>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4ED8"/>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C65A26"/>
    <w:rPr>
      <w:rFonts w:asciiTheme="majorHAnsi" w:hAnsiTheme="majorHAnsi"/>
      <w:b/>
      <w:bCs/>
      <w:iCs/>
      <w:sz w:val="28"/>
      <w:szCs w:val="28"/>
      <w:lang w:bidi="en-US"/>
    </w:rPr>
  </w:style>
  <w:style w:type="character" w:customStyle="1" w:styleId="Heading3Char">
    <w:name w:val="Heading 3 Char"/>
    <w:basedOn w:val="DefaultParagraphFont"/>
    <w:link w:val="Heading3"/>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A75405"/>
    <w:pPr>
      <w:keepNext/>
      <w:tabs>
        <w:tab w:val="left" w:pos="1290"/>
        <w:tab w:val="center" w:pos="4680"/>
      </w:tabs>
    </w:pPr>
    <w:rPr>
      <w:bCs w:val="0"/>
    </w:rPr>
  </w:style>
  <w:style w:type="character" w:customStyle="1" w:styleId="TitleChar">
    <w:name w:val="Title Char"/>
    <w:basedOn w:val="DefaultParagraphFont"/>
    <w:link w:val="Title"/>
    <w:uiPriority w:val="10"/>
    <w:rsid w:val="00A75405"/>
    <w:rPr>
      <w:rFonts w:asciiTheme="majorHAnsi" w:hAnsiTheme="majorHAnsi"/>
      <w:b/>
      <w:sz w:val="28"/>
      <w:szCs w:val="28"/>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semiHidden/>
    <w:unhideWhenUsed/>
    <w:rsid w:val="00730F0A"/>
    <w:rPr>
      <w:rFonts w:ascii="Tahoma" w:hAnsi="Tahoma" w:cs="Tahoma"/>
      <w:sz w:val="16"/>
      <w:szCs w:val="16"/>
    </w:rPr>
  </w:style>
  <w:style w:type="character" w:customStyle="1" w:styleId="BalloonTextChar">
    <w:name w:val="Balloon Text Char"/>
    <w:basedOn w:val="DefaultParagraphFont"/>
    <w:link w:val="BalloonText"/>
    <w:semiHidden/>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unhideWhenUsed/>
    <w:rsid w:val="00F15DED"/>
    <w:rPr>
      <w:sz w:val="16"/>
      <w:szCs w:val="16"/>
    </w:rPr>
  </w:style>
  <w:style w:type="paragraph" w:styleId="CommentText">
    <w:name w:val="annotation text"/>
    <w:basedOn w:val="Normal"/>
    <w:link w:val="CommentTextChar"/>
    <w:uiPriority w:val="99"/>
    <w:unhideWhenUsed/>
    <w:rsid w:val="00F15DED"/>
    <w:pPr>
      <w:spacing w:after="200" w:line="240" w:lineRule="auto"/>
    </w:pPr>
    <w:rPr>
      <w:rFonts w:ascii="Calibri" w:hAnsi="Calibri"/>
      <w:sz w:val="20"/>
      <w:szCs w:val="20"/>
      <w:lang w:bidi="ar-SA"/>
    </w:rPr>
  </w:style>
  <w:style w:type="character" w:customStyle="1" w:styleId="CommentTextChar">
    <w:name w:val="Comment Text Char"/>
    <w:basedOn w:val="DefaultParagraphFont"/>
    <w:link w:val="CommentText"/>
    <w:uiPriority w:val="99"/>
    <w:rsid w:val="00F15DED"/>
    <w:rPr>
      <w:rFonts w:ascii="Calibri" w:hAnsi="Calibri"/>
    </w:rPr>
  </w:style>
  <w:style w:type="paragraph" w:customStyle="1" w:styleId="Default">
    <w:name w:val="Default"/>
    <w:rsid w:val="005562EA"/>
    <w:pPr>
      <w:autoSpaceDE w:val="0"/>
      <w:autoSpaceDN w:val="0"/>
      <w:adjustRightInd w:val="0"/>
    </w:pPr>
    <w:rPr>
      <w:color w:val="000000"/>
      <w:sz w:val="24"/>
      <w:szCs w:val="24"/>
      <w:lang w:eastAsia="zh-CN"/>
    </w:rPr>
  </w:style>
  <w:style w:type="paragraph" w:customStyle="1" w:styleId="AbstractNormalText">
    <w:name w:val="Abstract_Normal_Text"/>
    <w:basedOn w:val="Normal"/>
    <w:rsid w:val="005562EA"/>
    <w:pPr>
      <w:tabs>
        <w:tab w:val="left" w:pos="504"/>
      </w:tabs>
      <w:spacing w:line="240" w:lineRule="auto"/>
      <w:jc w:val="both"/>
    </w:pPr>
    <w:rPr>
      <w:rFonts w:ascii="Times New Roman" w:eastAsia="SimSun" w:hAnsi="Times New Roman"/>
      <w:sz w:val="18"/>
      <w:szCs w:val="20"/>
      <w:lang w:bidi="ar-SA"/>
    </w:rPr>
  </w:style>
  <w:style w:type="paragraph" w:customStyle="1" w:styleId="AbstractSectionHeading">
    <w:name w:val="Abstract_Section_Heading"/>
    <w:basedOn w:val="AbstractNormalText"/>
    <w:rsid w:val="005562EA"/>
  </w:style>
  <w:style w:type="paragraph" w:customStyle="1" w:styleId="Heading1AM">
    <w:name w:val="Heading1_AM"/>
    <w:basedOn w:val="Heading1"/>
    <w:qFormat/>
    <w:rsid w:val="005562EA"/>
    <w:pPr>
      <w:keepNext/>
      <w:keepLines/>
      <w:spacing w:before="480" w:line="240" w:lineRule="auto"/>
    </w:pPr>
    <w:rPr>
      <w:rFonts w:ascii="Times New Roman" w:eastAsiaTheme="majorEastAsia" w:hAnsi="Times New Roman" w:cstheme="majorBidi"/>
      <w:u w:val="single"/>
      <w:lang w:bidi="ar-SA"/>
    </w:rPr>
  </w:style>
  <w:style w:type="paragraph" w:customStyle="1" w:styleId="hEADING2AM">
    <w:name w:val="hEADING2_AM"/>
    <w:basedOn w:val="Heading2"/>
    <w:qFormat/>
    <w:rsid w:val="005562EA"/>
    <w:pPr>
      <w:keepLines/>
      <w:spacing w:before="200" w:line="240" w:lineRule="auto"/>
    </w:pPr>
    <w:rPr>
      <w:rFonts w:ascii="Times New Roman" w:eastAsiaTheme="majorEastAsia" w:hAnsi="Times New Roman" w:cstheme="majorBidi"/>
      <w:iCs w:val="0"/>
      <w:szCs w:val="26"/>
      <w:lang w:bidi="ar-SA"/>
    </w:rPr>
  </w:style>
  <w:style w:type="paragraph" w:customStyle="1" w:styleId="NormalThesis">
    <w:name w:val="Normal Thesis"/>
    <w:basedOn w:val="Normal"/>
    <w:qFormat/>
    <w:rsid w:val="005562EA"/>
    <w:pPr>
      <w:jc w:val="both"/>
    </w:pPr>
    <w:rPr>
      <w:rFonts w:ascii="Times New Roman" w:eastAsia="PMingLiU" w:hAnsi="Times New Roman"/>
      <w:szCs w:val="20"/>
      <w:lang w:bidi="ar-SA"/>
    </w:rPr>
  </w:style>
  <w:style w:type="paragraph" w:customStyle="1" w:styleId="Standard">
    <w:name w:val="Standard"/>
    <w:rsid w:val="005562EA"/>
    <w:pPr>
      <w:widowControl w:val="0"/>
      <w:suppressAutoHyphens/>
      <w:autoSpaceDN w:val="0"/>
      <w:textAlignment w:val="baseline"/>
    </w:pPr>
    <w:rPr>
      <w:rFonts w:ascii="Liberation Serif" w:eastAsia="WenQuanYi Zen Hei" w:hAnsi="Liberation Serif" w:cs="Lohit Devanagari"/>
      <w:kern w:val="3"/>
      <w:sz w:val="24"/>
      <w:szCs w:val="24"/>
      <w:lang w:eastAsia="zh-CN" w:bidi="hi-IN"/>
    </w:rPr>
  </w:style>
  <w:style w:type="character" w:customStyle="1" w:styleId="apple-style-span">
    <w:name w:val="apple-style-span"/>
    <w:basedOn w:val="DefaultParagraphFont"/>
    <w:rsid w:val="005562EA"/>
  </w:style>
  <w:style w:type="character" w:customStyle="1" w:styleId="apple-converted-space">
    <w:name w:val="apple-converted-space"/>
    <w:basedOn w:val="DefaultParagraphFont"/>
    <w:rsid w:val="005562EA"/>
  </w:style>
  <w:style w:type="character" w:customStyle="1" w:styleId="rwrro4">
    <w:name w:val="rwrro4"/>
    <w:basedOn w:val="DefaultParagraphFont"/>
    <w:rsid w:val="005562EA"/>
    <w:rPr>
      <w:strike w:val="0"/>
      <w:dstrike w:val="0"/>
      <w:color w:val="408CD9"/>
      <w:u w:val="none"/>
      <w:effect w:val="none"/>
    </w:rPr>
  </w:style>
  <w:style w:type="character" w:customStyle="1" w:styleId="rwrro">
    <w:name w:val="rwrro"/>
    <w:basedOn w:val="DefaultParagraphFont"/>
    <w:rsid w:val="005562EA"/>
  </w:style>
  <w:style w:type="paragraph" w:styleId="CommentSubject">
    <w:name w:val="annotation subject"/>
    <w:basedOn w:val="CommentText"/>
    <w:next w:val="CommentText"/>
    <w:link w:val="CommentSubjectChar"/>
    <w:semiHidden/>
    <w:unhideWhenUsed/>
    <w:rsid w:val="00A55F68"/>
    <w:pPr>
      <w:spacing w:after="0"/>
    </w:pPr>
    <w:rPr>
      <w:rFonts w:asciiTheme="minorHAnsi" w:hAnsiTheme="minorHAnsi"/>
      <w:b/>
      <w:bCs/>
      <w:lang w:bidi="en-US"/>
    </w:rPr>
  </w:style>
  <w:style w:type="character" w:customStyle="1" w:styleId="CommentSubjectChar">
    <w:name w:val="Comment Subject Char"/>
    <w:basedOn w:val="CommentTextChar"/>
    <w:link w:val="CommentSubject"/>
    <w:semiHidden/>
    <w:rsid w:val="00A55F68"/>
    <w:rPr>
      <w:rFonts w:asciiTheme="minorHAnsi" w:hAnsiTheme="minorHAnsi"/>
      <w:b/>
      <w:bCs/>
      <w:lang w:bidi="en-US"/>
    </w:rPr>
  </w:style>
  <w:style w:type="paragraph" w:styleId="NormalWeb">
    <w:name w:val="Normal (Web)"/>
    <w:basedOn w:val="Normal"/>
    <w:uiPriority w:val="99"/>
    <w:unhideWhenUsed/>
    <w:rsid w:val="002D510D"/>
    <w:pPr>
      <w:spacing w:before="100" w:beforeAutospacing="1" w:after="100" w:afterAutospacing="1" w:line="240" w:lineRule="auto"/>
    </w:pPr>
    <w:rPr>
      <w:rFonts w:ascii="Times New Roman" w:hAnsi="Times New Roman"/>
      <w:lang w:eastAsia="zh-CN" w:bidi="ar-SA"/>
    </w:rPr>
  </w:style>
  <w:style w:type="paragraph" w:styleId="FootnoteText">
    <w:name w:val="footnote text"/>
    <w:basedOn w:val="Normal"/>
    <w:link w:val="FootnoteTextChar"/>
    <w:semiHidden/>
    <w:rsid w:val="00C65A26"/>
    <w:pPr>
      <w:widowControl w:val="0"/>
      <w:snapToGrid w:val="0"/>
      <w:spacing w:line="240" w:lineRule="auto"/>
    </w:pPr>
    <w:rPr>
      <w:rFonts w:ascii="Times New Roman" w:hAnsi="Times New Roman"/>
      <w:kern w:val="2"/>
      <w:sz w:val="18"/>
      <w:szCs w:val="18"/>
      <w:lang w:eastAsia="zh-CN" w:bidi="ar-SA"/>
    </w:rPr>
  </w:style>
  <w:style w:type="character" w:customStyle="1" w:styleId="FootnoteTextChar">
    <w:name w:val="Footnote Text Char"/>
    <w:basedOn w:val="DefaultParagraphFont"/>
    <w:link w:val="FootnoteText"/>
    <w:semiHidden/>
    <w:rsid w:val="00C65A26"/>
    <w:rPr>
      <w:kern w:val="2"/>
      <w:sz w:val="18"/>
      <w:szCs w:val="18"/>
      <w:lang w:eastAsia="zh-CN"/>
    </w:rPr>
  </w:style>
  <w:style w:type="character" w:styleId="FootnoteReference">
    <w:name w:val="footnote reference"/>
    <w:basedOn w:val="DefaultParagraphFont"/>
    <w:semiHidden/>
    <w:rsid w:val="00C65A26"/>
    <w:rPr>
      <w:vertAlign w:val="superscript"/>
    </w:rPr>
  </w:style>
  <w:style w:type="paragraph" w:customStyle="1" w:styleId="a">
    <w:name w:val="表中小五"/>
    <w:basedOn w:val="Normal"/>
    <w:rsid w:val="00C65A26"/>
    <w:pPr>
      <w:widowControl w:val="0"/>
      <w:snapToGrid w:val="0"/>
      <w:spacing w:line="0" w:lineRule="atLeast"/>
      <w:jc w:val="center"/>
    </w:pPr>
    <w:rPr>
      <w:rFonts w:ascii="SimSun" w:hAnsi="SimSun"/>
      <w:color w:val="000000"/>
      <w:kern w:val="2"/>
      <w:sz w:val="18"/>
      <w:szCs w:val="20"/>
      <w:lang w:eastAsia="zh-CN" w:bidi="ar-SA"/>
    </w:rPr>
  </w:style>
  <w:style w:type="paragraph" w:customStyle="1" w:styleId="-">
    <w:name w:val="三级标题-肖七林"/>
    <w:basedOn w:val="Heading3"/>
    <w:next w:val="Heading3"/>
    <w:autoRedefine/>
    <w:rsid w:val="00C65A26"/>
    <w:pPr>
      <w:keepLines/>
      <w:widowControl w:val="0"/>
      <w:tabs>
        <w:tab w:val="num" w:pos="990"/>
        <w:tab w:val="num" w:pos="1512"/>
        <w:tab w:val="num" w:pos="1620"/>
        <w:tab w:val="num" w:pos="1740"/>
      </w:tabs>
      <w:spacing w:line="240" w:lineRule="auto"/>
      <w:jc w:val="left"/>
    </w:pPr>
    <w:rPr>
      <w:rFonts w:ascii="SimHei" w:eastAsia="SimHei" w:hAnsi="SimSun"/>
      <w:bCs w:val="0"/>
      <w:i w:val="0"/>
      <w:color w:val="000000"/>
      <w:kern w:val="2"/>
      <w:lang w:eastAsia="zh-CN" w:bidi="ar-SA"/>
    </w:rPr>
  </w:style>
  <w:style w:type="character" w:styleId="PageNumber">
    <w:name w:val="page number"/>
    <w:basedOn w:val="DefaultParagraphFont"/>
    <w:rsid w:val="00C65A26"/>
  </w:style>
  <w:style w:type="paragraph" w:styleId="BodyTextIndent">
    <w:name w:val="Body Text Indent"/>
    <w:basedOn w:val="Normal"/>
    <w:link w:val="BodyTextIndentChar"/>
    <w:rsid w:val="00C65A26"/>
    <w:pPr>
      <w:widowControl w:val="0"/>
      <w:spacing w:line="240" w:lineRule="auto"/>
      <w:ind w:firstLine="540"/>
      <w:jc w:val="both"/>
    </w:pPr>
    <w:rPr>
      <w:rFonts w:ascii="SimSun" w:hAnsi="SimSun"/>
      <w:b/>
      <w:color w:val="000000"/>
      <w:kern w:val="2"/>
      <w:szCs w:val="20"/>
      <w:lang w:eastAsia="zh-CN" w:bidi="ar-SA"/>
    </w:rPr>
  </w:style>
  <w:style w:type="character" w:customStyle="1" w:styleId="BodyTextIndentChar">
    <w:name w:val="Body Text Indent Char"/>
    <w:basedOn w:val="DefaultParagraphFont"/>
    <w:link w:val="BodyTextIndent"/>
    <w:rsid w:val="00C65A26"/>
    <w:rPr>
      <w:rFonts w:ascii="SimSun" w:hAnsi="SimSun"/>
      <w:b/>
      <w:color w:val="000000"/>
      <w:kern w:val="2"/>
      <w:sz w:val="24"/>
      <w:lang w:eastAsia="zh-CN"/>
    </w:rPr>
  </w:style>
  <w:style w:type="paragraph" w:styleId="Date">
    <w:name w:val="Date"/>
    <w:basedOn w:val="Normal"/>
    <w:next w:val="Normal"/>
    <w:link w:val="DateChar"/>
    <w:rsid w:val="00C65A26"/>
    <w:pPr>
      <w:widowControl w:val="0"/>
      <w:spacing w:line="240" w:lineRule="auto"/>
      <w:ind w:leftChars="2500" w:left="100"/>
      <w:jc w:val="both"/>
    </w:pPr>
    <w:rPr>
      <w:rFonts w:ascii="Times New Roman" w:hAnsi="Times New Roman"/>
      <w:kern w:val="2"/>
      <w:sz w:val="21"/>
      <w:lang w:eastAsia="zh-CN" w:bidi="ar-SA"/>
    </w:rPr>
  </w:style>
  <w:style w:type="character" w:customStyle="1" w:styleId="DateChar">
    <w:name w:val="Date Char"/>
    <w:basedOn w:val="DefaultParagraphFont"/>
    <w:link w:val="Date"/>
    <w:rsid w:val="00C65A26"/>
    <w:rPr>
      <w:kern w:val="2"/>
      <w:sz w:val="21"/>
      <w:szCs w:val="24"/>
      <w:lang w:eastAsia="zh-CN"/>
    </w:rPr>
  </w:style>
  <w:style w:type="character" w:styleId="LineNumber">
    <w:name w:val="line number"/>
    <w:basedOn w:val="DefaultParagraphFont"/>
    <w:rsid w:val="00C65A26"/>
  </w:style>
  <w:style w:type="character" w:customStyle="1" w:styleId="gi">
    <w:name w:val="gi"/>
    <w:basedOn w:val="DefaultParagraphFont"/>
    <w:rsid w:val="00C65A26"/>
  </w:style>
  <w:style w:type="character" w:customStyle="1" w:styleId="st">
    <w:name w:val="st"/>
    <w:basedOn w:val="DefaultParagraphFont"/>
    <w:rsid w:val="00C65A26"/>
  </w:style>
  <w:style w:type="paragraph" w:styleId="Revision">
    <w:name w:val="Revision"/>
    <w:hidden/>
    <w:uiPriority w:val="99"/>
    <w:semiHidden/>
    <w:rsid w:val="00C65A26"/>
    <w:rPr>
      <w:kern w:val="2"/>
      <w:sz w:val="21"/>
      <w:szCs w:val="24"/>
      <w:lang w:eastAsia="zh-CN"/>
    </w:rPr>
  </w:style>
  <w:style w:type="paragraph" w:customStyle="1" w:styleId="-1">
    <w:name w:val="摘要-1 + 小五"/>
    <w:basedOn w:val="Normal"/>
    <w:link w:val="-1CharChar"/>
    <w:rsid w:val="00E50754"/>
    <w:pPr>
      <w:adjustRightInd w:val="0"/>
      <w:snapToGrid w:val="0"/>
      <w:spacing w:line="288" w:lineRule="auto"/>
      <w:jc w:val="both"/>
    </w:pPr>
    <w:rPr>
      <w:rFonts w:ascii="Times New Roman" w:hAnsi="Times New Roman"/>
      <w:bCs/>
      <w:sz w:val="18"/>
      <w:szCs w:val="18"/>
      <w:lang w:bidi="ar-SA"/>
    </w:rPr>
  </w:style>
  <w:style w:type="character" w:customStyle="1" w:styleId="-1CharChar">
    <w:name w:val="摘要-1 + 小五 Char Char"/>
    <w:link w:val="-1"/>
    <w:rsid w:val="00E50754"/>
    <w:rPr>
      <w:bCs/>
      <w:sz w:val="18"/>
      <w:szCs w:val="18"/>
    </w:rPr>
  </w:style>
  <w:style w:type="paragraph" w:customStyle="1" w:styleId="-10">
    <w:name w:val="图表-1 + 左"/>
    <w:basedOn w:val="Normal"/>
    <w:rsid w:val="00A3056C"/>
    <w:pPr>
      <w:spacing w:line="240" w:lineRule="auto"/>
    </w:pPr>
    <w:rPr>
      <w:rFonts w:ascii="Times New Roman" w:hAnsi="Times New Roman" w:cs="SimSun"/>
      <w:b/>
      <w:bCs/>
      <w:sz w:val="18"/>
      <w:szCs w:val="20"/>
      <w:lang w:bidi="ar-SA"/>
    </w:rPr>
  </w:style>
  <w:style w:type="paragraph" w:customStyle="1" w:styleId="-111">
    <w:name w:val="正文-1 + 首行缩进:  1 字符1"/>
    <w:basedOn w:val="Normal"/>
    <w:rsid w:val="0064610B"/>
    <w:pPr>
      <w:adjustRightInd w:val="0"/>
      <w:snapToGrid w:val="0"/>
      <w:spacing w:line="240" w:lineRule="auto"/>
      <w:jc w:val="center"/>
    </w:pPr>
    <w:rPr>
      <w:rFonts w:ascii="Times New Roman" w:hAnsi="Times New Roman" w:cs="SimSun"/>
      <w:sz w:val="21"/>
      <w:szCs w:val="20"/>
      <w:lang w:bidi="ar-SA"/>
    </w:rPr>
  </w:style>
  <w:style w:type="paragraph" w:customStyle="1" w:styleId="-112">
    <w:name w:val="图表-1 + 左 + 行距: 多倍行距 1.2 字行"/>
    <w:basedOn w:val="-10"/>
    <w:autoRedefine/>
    <w:rsid w:val="0064610B"/>
    <w:pPr>
      <w:widowControl w:val="0"/>
      <w:adjustRightInd w:val="0"/>
      <w:snapToGrid w:val="0"/>
      <w:spacing w:line="288" w:lineRule="auto"/>
      <w:jc w:val="both"/>
    </w:pPr>
    <w:rPr>
      <w:rFonts w:cs="Times New Roman"/>
      <w:bCs w:val="0"/>
      <w:szCs w:val="18"/>
      <w:lang w:eastAsia="zh-CN"/>
    </w:rPr>
  </w:style>
  <w:style w:type="paragraph" w:customStyle="1" w:styleId="-11">
    <w:name w:val="标-1"/>
    <w:basedOn w:val="Normal"/>
    <w:link w:val="-1CharChar0"/>
    <w:rsid w:val="008F6879"/>
    <w:pPr>
      <w:spacing w:beforeLines="50" w:afterLines="50" w:line="240" w:lineRule="auto"/>
      <w:jc w:val="both"/>
    </w:pPr>
    <w:rPr>
      <w:rFonts w:ascii="Times New Roman" w:hAnsi="Times New Roman"/>
      <w:b/>
      <w:szCs w:val="18"/>
      <w:lang w:bidi="ar-SA"/>
    </w:rPr>
  </w:style>
  <w:style w:type="character" w:customStyle="1" w:styleId="-1CharChar0">
    <w:name w:val="标-1 Char Char"/>
    <w:link w:val="-11"/>
    <w:rsid w:val="008F6879"/>
    <w:rPr>
      <w:b/>
      <w:sz w:val="24"/>
      <w:szCs w:val="18"/>
    </w:rPr>
  </w:style>
  <w:style w:type="character" w:styleId="FollowedHyperlink">
    <w:name w:val="FollowedHyperlink"/>
    <w:basedOn w:val="DefaultParagraphFont"/>
    <w:uiPriority w:val="99"/>
    <w:semiHidden/>
    <w:unhideWhenUsed/>
    <w:rsid w:val="00DD056E"/>
    <w:rPr>
      <w:color w:val="800080" w:themeColor="followedHyperlink"/>
      <w:u w:val="single"/>
    </w:rPr>
  </w:style>
  <w:style w:type="character" w:customStyle="1" w:styleId="CommentSubjectChar1">
    <w:name w:val="Comment Subject Char1"/>
    <w:basedOn w:val="CommentTextChar"/>
    <w:uiPriority w:val="99"/>
    <w:semiHidden/>
    <w:rsid w:val="00514506"/>
    <w:rPr>
      <w:rFonts w:ascii="Calibri" w:hAnsi="Calibri" w:cs="Times New Roman" w:hint="default"/>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B64ED8"/>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C65A26"/>
    <w:pPr>
      <w:keepNext/>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4ED8"/>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C65A26"/>
    <w:rPr>
      <w:rFonts w:asciiTheme="majorHAnsi" w:hAnsiTheme="majorHAnsi"/>
      <w:b/>
      <w:bCs/>
      <w:iCs/>
      <w:sz w:val="28"/>
      <w:szCs w:val="28"/>
      <w:lang w:bidi="en-US"/>
    </w:rPr>
  </w:style>
  <w:style w:type="character" w:customStyle="1" w:styleId="Heading3Char">
    <w:name w:val="Heading 3 Char"/>
    <w:basedOn w:val="DefaultParagraphFont"/>
    <w:link w:val="Heading3"/>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A75405"/>
    <w:pPr>
      <w:keepNext/>
      <w:tabs>
        <w:tab w:val="left" w:pos="1290"/>
        <w:tab w:val="center" w:pos="4680"/>
      </w:tabs>
    </w:pPr>
    <w:rPr>
      <w:bCs w:val="0"/>
    </w:rPr>
  </w:style>
  <w:style w:type="character" w:customStyle="1" w:styleId="TitleChar">
    <w:name w:val="Title Char"/>
    <w:basedOn w:val="DefaultParagraphFont"/>
    <w:link w:val="Title"/>
    <w:uiPriority w:val="10"/>
    <w:rsid w:val="00A75405"/>
    <w:rPr>
      <w:rFonts w:asciiTheme="majorHAnsi" w:hAnsiTheme="majorHAnsi"/>
      <w:b/>
      <w:sz w:val="28"/>
      <w:szCs w:val="28"/>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semiHidden/>
    <w:unhideWhenUsed/>
    <w:rsid w:val="00730F0A"/>
    <w:rPr>
      <w:rFonts w:ascii="Tahoma" w:hAnsi="Tahoma" w:cs="Tahoma"/>
      <w:sz w:val="16"/>
      <w:szCs w:val="16"/>
    </w:rPr>
  </w:style>
  <w:style w:type="character" w:customStyle="1" w:styleId="BalloonTextChar">
    <w:name w:val="Balloon Text Char"/>
    <w:basedOn w:val="DefaultParagraphFont"/>
    <w:link w:val="BalloonText"/>
    <w:semiHidden/>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unhideWhenUsed/>
    <w:rsid w:val="00F15DED"/>
    <w:rPr>
      <w:sz w:val="16"/>
      <w:szCs w:val="16"/>
    </w:rPr>
  </w:style>
  <w:style w:type="paragraph" w:styleId="CommentText">
    <w:name w:val="annotation text"/>
    <w:basedOn w:val="Normal"/>
    <w:link w:val="CommentTextChar"/>
    <w:uiPriority w:val="99"/>
    <w:unhideWhenUsed/>
    <w:rsid w:val="00F15DED"/>
    <w:pPr>
      <w:spacing w:after="200" w:line="240" w:lineRule="auto"/>
    </w:pPr>
    <w:rPr>
      <w:rFonts w:ascii="Calibri" w:hAnsi="Calibri"/>
      <w:sz w:val="20"/>
      <w:szCs w:val="20"/>
      <w:lang w:bidi="ar-SA"/>
    </w:rPr>
  </w:style>
  <w:style w:type="character" w:customStyle="1" w:styleId="CommentTextChar">
    <w:name w:val="Comment Text Char"/>
    <w:basedOn w:val="DefaultParagraphFont"/>
    <w:link w:val="CommentText"/>
    <w:uiPriority w:val="99"/>
    <w:rsid w:val="00F15DED"/>
    <w:rPr>
      <w:rFonts w:ascii="Calibri" w:hAnsi="Calibri"/>
    </w:rPr>
  </w:style>
  <w:style w:type="paragraph" w:customStyle="1" w:styleId="Default">
    <w:name w:val="Default"/>
    <w:rsid w:val="005562EA"/>
    <w:pPr>
      <w:autoSpaceDE w:val="0"/>
      <w:autoSpaceDN w:val="0"/>
      <w:adjustRightInd w:val="0"/>
    </w:pPr>
    <w:rPr>
      <w:color w:val="000000"/>
      <w:sz w:val="24"/>
      <w:szCs w:val="24"/>
      <w:lang w:eastAsia="zh-CN"/>
    </w:rPr>
  </w:style>
  <w:style w:type="paragraph" w:customStyle="1" w:styleId="AbstractNormalText">
    <w:name w:val="Abstract_Normal_Text"/>
    <w:basedOn w:val="Normal"/>
    <w:rsid w:val="005562EA"/>
    <w:pPr>
      <w:tabs>
        <w:tab w:val="left" w:pos="504"/>
      </w:tabs>
      <w:spacing w:line="240" w:lineRule="auto"/>
      <w:jc w:val="both"/>
    </w:pPr>
    <w:rPr>
      <w:rFonts w:ascii="Times New Roman" w:eastAsia="SimSun" w:hAnsi="Times New Roman"/>
      <w:sz w:val="18"/>
      <w:szCs w:val="20"/>
      <w:lang w:bidi="ar-SA"/>
    </w:rPr>
  </w:style>
  <w:style w:type="paragraph" w:customStyle="1" w:styleId="AbstractSectionHeading">
    <w:name w:val="Abstract_Section_Heading"/>
    <w:basedOn w:val="AbstractNormalText"/>
    <w:rsid w:val="005562EA"/>
  </w:style>
  <w:style w:type="paragraph" w:customStyle="1" w:styleId="Heading1AM">
    <w:name w:val="Heading1_AM"/>
    <w:basedOn w:val="Heading1"/>
    <w:qFormat/>
    <w:rsid w:val="005562EA"/>
    <w:pPr>
      <w:keepNext/>
      <w:keepLines/>
      <w:spacing w:before="480" w:line="240" w:lineRule="auto"/>
    </w:pPr>
    <w:rPr>
      <w:rFonts w:ascii="Times New Roman" w:eastAsiaTheme="majorEastAsia" w:hAnsi="Times New Roman" w:cstheme="majorBidi"/>
      <w:u w:val="single"/>
      <w:lang w:bidi="ar-SA"/>
    </w:rPr>
  </w:style>
  <w:style w:type="paragraph" w:customStyle="1" w:styleId="hEADING2AM">
    <w:name w:val="hEADING2_AM"/>
    <w:basedOn w:val="Heading2"/>
    <w:qFormat/>
    <w:rsid w:val="005562EA"/>
    <w:pPr>
      <w:keepLines/>
      <w:spacing w:before="200" w:line="240" w:lineRule="auto"/>
    </w:pPr>
    <w:rPr>
      <w:rFonts w:ascii="Times New Roman" w:eastAsiaTheme="majorEastAsia" w:hAnsi="Times New Roman" w:cstheme="majorBidi"/>
      <w:iCs w:val="0"/>
      <w:szCs w:val="26"/>
      <w:lang w:bidi="ar-SA"/>
    </w:rPr>
  </w:style>
  <w:style w:type="paragraph" w:customStyle="1" w:styleId="NormalThesis">
    <w:name w:val="Normal Thesis"/>
    <w:basedOn w:val="Normal"/>
    <w:qFormat/>
    <w:rsid w:val="005562EA"/>
    <w:pPr>
      <w:jc w:val="both"/>
    </w:pPr>
    <w:rPr>
      <w:rFonts w:ascii="Times New Roman" w:eastAsia="PMingLiU" w:hAnsi="Times New Roman"/>
      <w:szCs w:val="20"/>
      <w:lang w:bidi="ar-SA"/>
    </w:rPr>
  </w:style>
  <w:style w:type="paragraph" w:customStyle="1" w:styleId="Standard">
    <w:name w:val="Standard"/>
    <w:rsid w:val="005562EA"/>
    <w:pPr>
      <w:widowControl w:val="0"/>
      <w:suppressAutoHyphens/>
      <w:autoSpaceDN w:val="0"/>
      <w:textAlignment w:val="baseline"/>
    </w:pPr>
    <w:rPr>
      <w:rFonts w:ascii="Liberation Serif" w:eastAsia="WenQuanYi Zen Hei" w:hAnsi="Liberation Serif" w:cs="Lohit Devanagari"/>
      <w:kern w:val="3"/>
      <w:sz w:val="24"/>
      <w:szCs w:val="24"/>
      <w:lang w:eastAsia="zh-CN" w:bidi="hi-IN"/>
    </w:rPr>
  </w:style>
  <w:style w:type="character" w:customStyle="1" w:styleId="apple-style-span">
    <w:name w:val="apple-style-span"/>
    <w:basedOn w:val="DefaultParagraphFont"/>
    <w:rsid w:val="005562EA"/>
  </w:style>
  <w:style w:type="character" w:customStyle="1" w:styleId="apple-converted-space">
    <w:name w:val="apple-converted-space"/>
    <w:basedOn w:val="DefaultParagraphFont"/>
    <w:rsid w:val="005562EA"/>
  </w:style>
  <w:style w:type="character" w:customStyle="1" w:styleId="rwrro4">
    <w:name w:val="rwrro4"/>
    <w:basedOn w:val="DefaultParagraphFont"/>
    <w:rsid w:val="005562EA"/>
    <w:rPr>
      <w:strike w:val="0"/>
      <w:dstrike w:val="0"/>
      <w:color w:val="408CD9"/>
      <w:u w:val="none"/>
      <w:effect w:val="none"/>
    </w:rPr>
  </w:style>
  <w:style w:type="character" w:customStyle="1" w:styleId="rwrro">
    <w:name w:val="rwrro"/>
    <w:basedOn w:val="DefaultParagraphFont"/>
    <w:rsid w:val="005562EA"/>
  </w:style>
  <w:style w:type="paragraph" w:styleId="CommentSubject">
    <w:name w:val="annotation subject"/>
    <w:basedOn w:val="CommentText"/>
    <w:next w:val="CommentText"/>
    <w:link w:val="CommentSubjectChar"/>
    <w:semiHidden/>
    <w:unhideWhenUsed/>
    <w:rsid w:val="00A55F68"/>
    <w:pPr>
      <w:spacing w:after="0"/>
    </w:pPr>
    <w:rPr>
      <w:rFonts w:asciiTheme="minorHAnsi" w:hAnsiTheme="minorHAnsi"/>
      <w:b/>
      <w:bCs/>
      <w:lang w:bidi="en-US"/>
    </w:rPr>
  </w:style>
  <w:style w:type="character" w:customStyle="1" w:styleId="CommentSubjectChar">
    <w:name w:val="Comment Subject Char"/>
    <w:basedOn w:val="CommentTextChar"/>
    <w:link w:val="CommentSubject"/>
    <w:semiHidden/>
    <w:rsid w:val="00A55F68"/>
    <w:rPr>
      <w:rFonts w:asciiTheme="minorHAnsi" w:hAnsiTheme="minorHAnsi"/>
      <w:b/>
      <w:bCs/>
      <w:lang w:bidi="en-US"/>
    </w:rPr>
  </w:style>
  <w:style w:type="paragraph" w:styleId="NormalWeb">
    <w:name w:val="Normal (Web)"/>
    <w:basedOn w:val="Normal"/>
    <w:uiPriority w:val="99"/>
    <w:unhideWhenUsed/>
    <w:rsid w:val="002D510D"/>
    <w:pPr>
      <w:spacing w:before="100" w:beforeAutospacing="1" w:after="100" w:afterAutospacing="1" w:line="240" w:lineRule="auto"/>
    </w:pPr>
    <w:rPr>
      <w:rFonts w:ascii="Times New Roman" w:hAnsi="Times New Roman"/>
      <w:lang w:eastAsia="zh-CN" w:bidi="ar-SA"/>
    </w:rPr>
  </w:style>
  <w:style w:type="paragraph" w:styleId="FootnoteText">
    <w:name w:val="footnote text"/>
    <w:basedOn w:val="Normal"/>
    <w:link w:val="FootnoteTextChar"/>
    <w:semiHidden/>
    <w:rsid w:val="00C65A26"/>
    <w:pPr>
      <w:widowControl w:val="0"/>
      <w:snapToGrid w:val="0"/>
      <w:spacing w:line="240" w:lineRule="auto"/>
    </w:pPr>
    <w:rPr>
      <w:rFonts w:ascii="Times New Roman" w:hAnsi="Times New Roman"/>
      <w:kern w:val="2"/>
      <w:sz w:val="18"/>
      <w:szCs w:val="18"/>
      <w:lang w:eastAsia="zh-CN" w:bidi="ar-SA"/>
    </w:rPr>
  </w:style>
  <w:style w:type="character" w:customStyle="1" w:styleId="FootnoteTextChar">
    <w:name w:val="Footnote Text Char"/>
    <w:basedOn w:val="DefaultParagraphFont"/>
    <w:link w:val="FootnoteText"/>
    <w:semiHidden/>
    <w:rsid w:val="00C65A26"/>
    <w:rPr>
      <w:kern w:val="2"/>
      <w:sz w:val="18"/>
      <w:szCs w:val="18"/>
      <w:lang w:eastAsia="zh-CN"/>
    </w:rPr>
  </w:style>
  <w:style w:type="character" w:styleId="FootnoteReference">
    <w:name w:val="footnote reference"/>
    <w:basedOn w:val="DefaultParagraphFont"/>
    <w:semiHidden/>
    <w:rsid w:val="00C65A26"/>
    <w:rPr>
      <w:vertAlign w:val="superscript"/>
    </w:rPr>
  </w:style>
  <w:style w:type="paragraph" w:customStyle="1" w:styleId="a">
    <w:name w:val="表中小五"/>
    <w:basedOn w:val="Normal"/>
    <w:rsid w:val="00C65A26"/>
    <w:pPr>
      <w:widowControl w:val="0"/>
      <w:snapToGrid w:val="0"/>
      <w:spacing w:line="0" w:lineRule="atLeast"/>
      <w:jc w:val="center"/>
    </w:pPr>
    <w:rPr>
      <w:rFonts w:ascii="SimSun" w:hAnsi="SimSun"/>
      <w:color w:val="000000"/>
      <w:kern w:val="2"/>
      <w:sz w:val="18"/>
      <w:szCs w:val="20"/>
      <w:lang w:eastAsia="zh-CN" w:bidi="ar-SA"/>
    </w:rPr>
  </w:style>
  <w:style w:type="paragraph" w:customStyle="1" w:styleId="-">
    <w:name w:val="三级标题-肖七林"/>
    <w:basedOn w:val="Heading3"/>
    <w:next w:val="Heading3"/>
    <w:autoRedefine/>
    <w:rsid w:val="00C65A26"/>
    <w:pPr>
      <w:keepLines/>
      <w:widowControl w:val="0"/>
      <w:tabs>
        <w:tab w:val="num" w:pos="990"/>
        <w:tab w:val="num" w:pos="1512"/>
        <w:tab w:val="num" w:pos="1620"/>
        <w:tab w:val="num" w:pos="1740"/>
      </w:tabs>
      <w:spacing w:line="240" w:lineRule="auto"/>
      <w:jc w:val="left"/>
    </w:pPr>
    <w:rPr>
      <w:rFonts w:ascii="SimHei" w:eastAsia="SimHei" w:hAnsi="SimSun"/>
      <w:bCs w:val="0"/>
      <w:i w:val="0"/>
      <w:color w:val="000000"/>
      <w:kern w:val="2"/>
      <w:lang w:eastAsia="zh-CN" w:bidi="ar-SA"/>
    </w:rPr>
  </w:style>
  <w:style w:type="character" w:styleId="PageNumber">
    <w:name w:val="page number"/>
    <w:basedOn w:val="DefaultParagraphFont"/>
    <w:rsid w:val="00C65A26"/>
  </w:style>
  <w:style w:type="paragraph" w:styleId="BodyTextIndent">
    <w:name w:val="Body Text Indent"/>
    <w:basedOn w:val="Normal"/>
    <w:link w:val="BodyTextIndentChar"/>
    <w:rsid w:val="00C65A26"/>
    <w:pPr>
      <w:widowControl w:val="0"/>
      <w:spacing w:line="240" w:lineRule="auto"/>
      <w:ind w:firstLine="540"/>
      <w:jc w:val="both"/>
    </w:pPr>
    <w:rPr>
      <w:rFonts w:ascii="SimSun" w:hAnsi="SimSun"/>
      <w:b/>
      <w:color w:val="000000"/>
      <w:kern w:val="2"/>
      <w:szCs w:val="20"/>
      <w:lang w:eastAsia="zh-CN" w:bidi="ar-SA"/>
    </w:rPr>
  </w:style>
  <w:style w:type="character" w:customStyle="1" w:styleId="BodyTextIndentChar">
    <w:name w:val="Body Text Indent Char"/>
    <w:basedOn w:val="DefaultParagraphFont"/>
    <w:link w:val="BodyTextIndent"/>
    <w:rsid w:val="00C65A26"/>
    <w:rPr>
      <w:rFonts w:ascii="SimSun" w:hAnsi="SimSun"/>
      <w:b/>
      <w:color w:val="000000"/>
      <w:kern w:val="2"/>
      <w:sz w:val="24"/>
      <w:lang w:eastAsia="zh-CN"/>
    </w:rPr>
  </w:style>
  <w:style w:type="paragraph" w:styleId="Date">
    <w:name w:val="Date"/>
    <w:basedOn w:val="Normal"/>
    <w:next w:val="Normal"/>
    <w:link w:val="DateChar"/>
    <w:rsid w:val="00C65A26"/>
    <w:pPr>
      <w:widowControl w:val="0"/>
      <w:spacing w:line="240" w:lineRule="auto"/>
      <w:ind w:leftChars="2500" w:left="100"/>
      <w:jc w:val="both"/>
    </w:pPr>
    <w:rPr>
      <w:rFonts w:ascii="Times New Roman" w:hAnsi="Times New Roman"/>
      <w:kern w:val="2"/>
      <w:sz w:val="21"/>
      <w:lang w:eastAsia="zh-CN" w:bidi="ar-SA"/>
    </w:rPr>
  </w:style>
  <w:style w:type="character" w:customStyle="1" w:styleId="DateChar">
    <w:name w:val="Date Char"/>
    <w:basedOn w:val="DefaultParagraphFont"/>
    <w:link w:val="Date"/>
    <w:rsid w:val="00C65A26"/>
    <w:rPr>
      <w:kern w:val="2"/>
      <w:sz w:val="21"/>
      <w:szCs w:val="24"/>
      <w:lang w:eastAsia="zh-CN"/>
    </w:rPr>
  </w:style>
  <w:style w:type="character" w:styleId="LineNumber">
    <w:name w:val="line number"/>
    <w:basedOn w:val="DefaultParagraphFont"/>
    <w:rsid w:val="00C65A26"/>
  </w:style>
  <w:style w:type="character" w:customStyle="1" w:styleId="gi">
    <w:name w:val="gi"/>
    <w:basedOn w:val="DefaultParagraphFont"/>
    <w:rsid w:val="00C65A26"/>
  </w:style>
  <w:style w:type="character" w:customStyle="1" w:styleId="st">
    <w:name w:val="st"/>
    <w:basedOn w:val="DefaultParagraphFont"/>
    <w:rsid w:val="00C65A26"/>
  </w:style>
  <w:style w:type="paragraph" w:styleId="Revision">
    <w:name w:val="Revision"/>
    <w:hidden/>
    <w:uiPriority w:val="99"/>
    <w:semiHidden/>
    <w:rsid w:val="00C65A26"/>
    <w:rPr>
      <w:kern w:val="2"/>
      <w:sz w:val="21"/>
      <w:szCs w:val="24"/>
      <w:lang w:eastAsia="zh-CN"/>
    </w:rPr>
  </w:style>
  <w:style w:type="paragraph" w:customStyle="1" w:styleId="-1">
    <w:name w:val="摘要-1 + 小五"/>
    <w:basedOn w:val="Normal"/>
    <w:link w:val="-1CharChar"/>
    <w:rsid w:val="00E50754"/>
    <w:pPr>
      <w:adjustRightInd w:val="0"/>
      <w:snapToGrid w:val="0"/>
      <w:spacing w:line="288" w:lineRule="auto"/>
      <w:jc w:val="both"/>
    </w:pPr>
    <w:rPr>
      <w:rFonts w:ascii="Times New Roman" w:hAnsi="Times New Roman"/>
      <w:bCs/>
      <w:sz w:val="18"/>
      <w:szCs w:val="18"/>
      <w:lang w:bidi="ar-SA"/>
    </w:rPr>
  </w:style>
  <w:style w:type="character" w:customStyle="1" w:styleId="-1CharChar">
    <w:name w:val="摘要-1 + 小五 Char Char"/>
    <w:link w:val="-1"/>
    <w:rsid w:val="00E50754"/>
    <w:rPr>
      <w:bCs/>
      <w:sz w:val="18"/>
      <w:szCs w:val="18"/>
    </w:rPr>
  </w:style>
  <w:style w:type="paragraph" w:customStyle="1" w:styleId="-10">
    <w:name w:val="图表-1 + 左"/>
    <w:basedOn w:val="Normal"/>
    <w:rsid w:val="00A3056C"/>
    <w:pPr>
      <w:spacing w:line="240" w:lineRule="auto"/>
    </w:pPr>
    <w:rPr>
      <w:rFonts w:ascii="Times New Roman" w:hAnsi="Times New Roman" w:cs="SimSun"/>
      <w:b/>
      <w:bCs/>
      <w:sz w:val="18"/>
      <w:szCs w:val="20"/>
      <w:lang w:bidi="ar-SA"/>
    </w:rPr>
  </w:style>
  <w:style w:type="paragraph" w:customStyle="1" w:styleId="-111">
    <w:name w:val="正文-1 + 首行缩进:  1 字符1"/>
    <w:basedOn w:val="Normal"/>
    <w:rsid w:val="0064610B"/>
    <w:pPr>
      <w:adjustRightInd w:val="0"/>
      <w:snapToGrid w:val="0"/>
      <w:spacing w:line="240" w:lineRule="auto"/>
      <w:jc w:val="center"/>
    </w:pPr>
    <w:rPr>
      <w:rFonts w:ascii="Times New Roman" w:hAnsi="Times New Roman" w:cs="SimSun"/>
      <w:sz w:val="21"/>
      <w:szCs w:val="20"/>
      <w:lang w:bidi="ar-SA"/>
    </w:rPr>
  </w:style>
  <w:style w:type="paragraph" w:customStyle="1" w:styleId="-112">
    <w:name w:val="图表-1 + 左 + 行距: 多倍行距 1.2 字行"/>
    <w:basedOn w:val="-10"/>
    <w:autoRedefine/>
    <w:rsid w:val="0064610B"/>
    <w:pPr>
      <w:widowControl w:val="0"/>
      <w:adjustRightInd w:val="0"/>
      <w:snapToGrid w:val="0"/>
      <w:spacing w:line="288" w:lineRule="auto"/>
      <w:jc w:val="both"/>
    </w:pPr>
    <w:rPr>
      <w:rFonts w:cs="Times New Roman"/>
      <w:bCs w:val="0"/>
      <w:szCs w:val="18"/>
      <w:lang w:eastAsia="zh-CN"/>
    </w:rPr>
  </w:style>
  <w:style w:type="paragraph" w:customStyle="1" w:styleId="-11">
    <w:name w:val="标-1"/>
    <w:basedOn w:val="Normal"/>
    <w:link w:val="-1CharChar0"/>
    <w:rsid w:val="008F6879"/>
    <w:pPr>
      <w:spacing w:beforeLines="50" w:afterLines="50" w:line="240" w:lineRule="auto"/>
      <w:jc w:val="both"/>
    </w:pPr>
    <w:rPr>
      <w:rFonts w:ascii="Times New Roman" w:hAnsi="Times New Roman"/>
      <w:b/>
      <w:szCs w:val="18"/>
      <w:lang w:bidi="ar-SA"/>
    </w:rPr>
  </w:style>
  <w:style w:type="character" w:customStyle="1" w:styleId="-1CharChar0">
    <w:name w:val="标-1 Char Char"/>
    <w:link w:val="-11"/>
    <w:rsid w:val="008F6879"/>
    <w:rPr>
      <w:b/>
      <w:sz w:val="24"/>
      <w:szCs w:val="18"/>
    </w:rPr>
  </w:style>
  <w:style w:type="character" w:styleId="FollowedHyperlink">
    <w:name w:val="FollowedHyperlink"/>
    <w:basedOn w:val="DefaultParagraphFont"/>
    <w:uiPriority w:val="99"/>
    <w:semiHidden/>
    <w:unhideWhenUsed/>
    <w:rsid w:val="00DD056E"/>
    <w:rPr>
      <w:color w:val="800080" w:themeColor="followedHyperlink"/>
      <w:u w:val="single"/>
    </w:rPr>
  </w:style>
  <w:style w:type="character" w:customStyle="1" w:styleId="CommentSubjectChar1">
    <w:name w:val="Comment Subject Char1"/>
    <w:basedOn w:val="CommentTextChar"/>
    <w:uiPriority w:val="99"/>
    <w:semiHidden/>
    <w:rsid w:val="00514506"/>
    <w:rPr>
      <w:rFonts w:ascii="Calibri" w:hAnsi="Calibri" w:cs="Times New Roman" w:hint="default"/>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5481">
      <w:bodyDiv w:val="1"/>
      <w:marLeft w:val="0"/>
      <w:marRight w:val="0"/>
      <w:marTop w:val="0"/>
      <w:marBottom w:val="0"/>
      <w:divBdr>
        <w:top w:val="none" w:sz="0" w:space="0" w:color="auto"/>
        <w:left w:val="none" w:sz="0" w:space="0" w:color="auto"/>
        <w:bottom w:val="none" w:sz="0" w:space="0" w:color="auto"/>
        <w:right w:val="none" w:sz="0" w:space="0" w:color="auto"/>
      </w:divBdr>
    </w:div>
    <w:div w:id="26219244">
      <w:bodyDiv w:val="1"/>
      <w:marLeft w:val="0"/>
      <w:marRight w:val="0"/>
      <w:marTop w:val="0"/>
      <w:marBottom w:val="0"/>
      <w:divBdr>
        <w:top w:val="none" w:sz="0" w:space="0" w:color="auto"/>
        <w:left w:val="none" w:sz="0" w:space="0" w:color="auto"/>
        <w:bottom w:val="none" w:sz="0" w:space="0" w:color="auto"/>
        <w:right w:val="none" w:sz="0" w:space="0" w:color="auto"/>
      </w:divBdr>
    </w:div>
    <w:div w:id="92164984">
      <w:bodyDiv w:val="1"/>
      <w:marLeft w:val="0"/>
      <w:marRight w:val="0"/>
      <w:marTop w:val="0"/>
      <w:marBottom w:val="0"/>
      <w:divBdr>
        <w:top w:val="none" w:sz="0" w:space="0" w:color="auto"/>
        <w:left w:val="none" w:sz="0" w:space="0" w:color="auto"/>
        <w:bottom w:val="none" w:sz="0" w:space="0" w:color="auto"/>
        <w:right w:val="none" w:sz="0" w:space="0" w:color="auto"/>
      </w:divBdr>
    </w:div>
    <w:div w:id="141120630">
      <w:bodyDiv w:val="1"/>
      <w:marLeft w:val="0"/>
      <w:marRight w:val="0"/>
      <w:marTop w:val="0"/>
      <w:marBottom w:val="0"/>
      <w:divBdr>
        <w:top w:val="none" w:sz="0" w:space="0" w:color="auto"/>
        <w:left w:val="none" w:sz="0" w:space="0" w:color="auto"/>
        <w:bottom w:val="none" w:sz="0" w:space="0" w:color="auto"/>
        <w:right w:val="none" w:sz="0" w:space="0" w:color="auto"/>
      </w:divBdr>
    </w:div>
    <w:div w:id="191656646">
      <w:bodyDiv w:val="1"/>
      <w:marLeft w:val="0"/>
      <w:marRight w:val="0"/>
      <w:marTop w:val="0"/>
      <w:marBottom w:val="0"/>
      <w:divBdr>
        <w:top w:val="none" w:sz="0" w:space="0" w:color="auto"/>
        <w:left w:val="none" w:sz="0" w:space="0" w:color="auto"/>
        <w:bottom w:val="none" w:sz="0" w:space="0" w:color="auto"/>
        <w:right w:val="none" w:sz="0" w:space="0" w:color="auto"/>
      </w:divBdr>
    </w:div>
    <w:div w:id="194118171">
      <w:bodyDiv w:val="1"/>
      <w:marLeft w:val="0"/>
      <w:marRight w:val="0"/>
      <w:marTop w:val="0"/>
      <w:marBottom w:val="0"/>
      <w:divBdr>
        <w:top w:val="none" w:sz="0" w:space="0" w:color="auto"/>
        <w:left w:val="none" w:sz="0" w:space="0" w:color="auto"/>
        <w:bottom w:val="none" w:sz="0" w:space="0" w:color="auto"/>
        <w:right w:val="none" w:sz="0" w:space="0" w:color="auto"/>
      </w:divBdr>
    </w:div>
    <w:div w:id="258804298">
      <w:bodyDiv w:val="1"/>
      <w:marLeft w:val="0"/>
      <w:marRight w:val="0"/>
      <w:marTop w:val="0"/>
      <w:marBottom w:val="0"/>
      <w:divBdr>
        <w:top w:val="none" w:sz="0" w:space="0" w:color="auto"/>
        <w:left w:val="none" w:sz="0" w:space="0" w:color="auto"/>
        <w:bottom w:val="none" w:sz="0" w:space="0" w:color="auto"/>
        <w:right w:val="none" w:sz="0" w:space="0" w:color="auto"/>
      </w:divBdr>
    </w:div>
    <w:div w:id="268239202">
      <w:bodyDiv w:val="1"/>
      <w:marLeft w:val="0"/>
      <w:marRight w:val="0"/>
      <w:marTop w:val="0"/>
      <w:marBottom w:val="0"/>
      <w:divBdr>
        <w:top w:val="none" w:sz="0" w:space="0" w:color="auto"/>
        <w:left w:val="none" w:sz="0" w:space="0" w:color="auto"/>
        <w:bottom w:val="none" w:sz="0" w:space="0" w:color="auto"/>
        <w:right w:val="none" w:sz="0" w:space="0" w:color="auto"/>
      </w:divBdr>
    </w:div>
    <w:div w:id="270167366">
      <w:bodyDiv w:val="1"/>
      <w:marLeft w:val="0"/>
      <w:marRight w:val="0"/>
      <w:marTop w:val="0"/>
      <w:marBottom w:val="0"/>
      <w:divBdr>
        <w:top w:val="none" w:sz="0" w:space="0" w:color="auto"/>
        <w:left w:val="none" w:sz="0" w:space="0" w:color="auto"/>
        <w:bottom w:val="none" w:sz="0" w:space="0" w:color="auto"/>
        <w:right w:val="none" w:sz="0" w:space="0" w:color="auto"/>
      </w:divBdr>
    </w:div>
    <w:div w:id="383913080">
      <w:bodyDiv w:val="1"/>
      <w:marLeft w:val="0"/>
      <w:marRight w:val="0"/>
      <w:marTop w:val="0"/>
      <w:marBottom w:val="0"/>
      <w:divBdr>
        <w:top w:val="none" w:sz="0" w:space="0" w:color="auto"/>
        <w:left w:val="none" w:sz="0" w:space="0" w:color="auto"/>
        <w:bottom w:val="none" w:sz="0" w:space="0" w:color="auto"/>
        <w:right w:val="none" w:sz="0" w:space="0" w:color="auto"/>
      </w:divBdr>
    </w:div>
    <w:div w:id="433406146">
      <w:bodyDiv w:val="1"/>
      <w:marLeft w:val="0"/>
      <w:marRight w:val="0"/>
      <w:marTop w:val="0"/>
      <w:marBottom w:val="0"/>
      <w:divBdr>
        <w:top w:val="none" w:sz="0" w:space="0" w:color="auto"/>
        <w:left w:val="none" w:sz="0" w:space="0" w:color="auto"/>
        <w:bottom w:val="none" w:sz="0" w:space="0" w:color="auto"/>
        <w:right w:val="none" w:sz="0" w:space="0" w:color="auto"/>
      </w:divBdr>
    </w:div>
    <w:div w:id="436827724">
      <w:bodyDiv w:val="1"/>
      <w:marLeft w:val="0"/>
      <w:marRight w:val="0"/>
      <w:marTop w:val="0"/>
      <w:marBottom w:val="0"/>
      <w:divBdr>
        <w:top w:val="none" w:sz="0" w:space="0" w:color="auto"/>
        <w:left w:val="none" w:sz="0" w:space="0" w:color="auto"/>
        <w:bottom w:val="none" w:sz="0" w:space="0" w:color="auto"/>
        <w:right w:val="none" w:sz="0" w:space="0" w:color="auto"/>
      </w:divBdr>
    </w:div>
    <w:div w:id="511143580">
      <w:bodyDiv w:val="1"/>
      <w:marLeft w:val="0"/>
      <w:marRight w:val="0"/>
      <w:marTop w:val="0"/>
      <w:marBottom w:val="0"/>
      <w:divBdr>
        <w:top w:val="none" w:sz="0" w:space="0" w:color="auto"/>
        <w:left w:val="none" w:sz="0" w:space="0" w:color="auto"/>
        <w:bottom w:val="none" w:sz="0" w:space="0" w:color="auto"/>
        <w:right w:val="none" w:sz="0" w:space="0" w:color="auto"/>
      </w:divBdr>
    </w:div>
    <w:div w:id="518587557">
      <w:bodyDiv w:val="1"/>
      <w:marLeft w:val="0"/>
      <w:marRight w:val="0"/>
      <w:marTop w:val="0"/>
      <w:marBottom w:val="0"/>
      <w:divBdr>
        <w:top w:val="none" w:sz="0" w:space="0" w:color="auto"/>
        <w:left w:val="none" w:sz="0" w:space="0" w:color="auto"/>
        <w:bottom w:val="none" w:sz="0" w:space="0" w:color="auto"/>
        <w:right w:val="none" w:sz="0" w:space="0" w:color="auto"/>
      </w:divBdr>
    </w:div>
    <w:div w:id="600576178">
      <w:bodyDiv w:val="1"/>
      <w:marLeft w:val="0"/>
      <w:marRight w:val="0"/>
      <w:marTop w:val="0"/>
      <w:marBottom w:val="0"/>
      <w:divBdr>
        <w:top w:val="none" w:sz="0" w:space="0" w:color="auto"/>
        <w:left w:val="none" w:sz="0" w:space="0" w:color="auto"/>
        <w:bottom w:val="none" w:sz="0" w:space="0" w:color="auto"/>
        <w:right w:val="none" w:sz="0" w:space="0" w:color="auto"/>
      </w:divBdr>
    </w:div>
    <w:div w:id="632298885">
      <w:bodyDiv w:val="1"/>
      <w:marLeft w:val="0"/>
      <w:marRight w:val="0"/>
      <w:marTop w:val="0"/>
      <w:marBottom w:val="0"/>
      <w:divBdr>
        <w:top w:val="none" w:sz="0" w:space="0" w:color="auto"/>
        <w:left w:val="none" w:sz="0" w:space="0" w:color="auto"/>
        <w:bottom w:val="none" w:sz="0" w:space="0" w:color="auto"/>
        <w:right w:val="none" w:sz="0" w:space="0" w:color="auto"/>
      </w:divBdr>
    </w:div>
    <w:div w:id="669409074">
      <w:bodyDiv w:val="1"/>
      <w:marLeft w:val="0"/>
      <w:marRight w:val="0"/>
      <w:marTop w:val="0"/>
      <w:marBottom w:val="0"/>
      <w:divBdr>
        <w:top w:val="none" w:sz="0" w:space="0" w:color="auto"/>
        <w:left w:val="none" w:sz="0" w:space="0" w:color="auto"/>
        <w:bottom w:val="none" w:sz="0" w:space="0" w:color="auto"/>
        <w:right w:val="none" w:sz="0" w:space="0" w:color="auto"/>
      </w:divBdr>
    </w:div>
    <w:div w:id="696731712">
      <w:bodyDiv w:val="1"/>
      <w:marLeft w:val="0"/>
      <w:marRight w:val="0"/>
      <w:marTop w:val="0"/>
      <w:marBottom w:val="0"/>
      <w:divBdr>
        <w:top w:val="none" w:sz="0" w:space="0" w:color="auto"/>
        <w:left w:val="none" w:sz="0" w:space="0" w:color="auto"/>
        <w:bottom w:val="none" w:sz="0" w:space="0" w:color="auto"/>
        <w:right w:val="none" w:sz="0" w:space="0" w:color="auto"/>
      </w:divBdr>
    </w:div>
    <w:div w:id="937758942">
      <w:bodyDiv w:val="1"/>
      <w:marLeft w:val="0"/>
      <w:marRight w:val="0"/>
      <w:marTop w:val="0"/>
      <w:marBottom w:val="0"/>
      <w:divBdr>
        <w:top w:val="none" w:sz="0" w:space="0" w:color="auto"/>
        <w:left w:val="none" w:sz="0" w:space="0" w:color="auto"/>
        <w:bottom w:val="none" w:sz="0" w:space="0" w:color="auto"/>
        <w:right w:val="none" w:sz="0" w:space="0" w:color="auto"/>
      </w:divBdr>
    </w:div>
    <w:div w:id="95290329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79208986">
      <w:bodyDiv w:val="1"/>
      <w:marLeft w:val="0"/>
      <w:marRight w:val="0"/>
      <w:marTop w:val="0"/>
      <w:marBottom w:val="0"/>
      <w:divBdr>
        <w:top w:val="none" w:sz="0" w:space="0" w:color="auto"/>
        <w:left w:val="none" w:sz="0" w:space="0" w:color="auto"/>
        <w:bottom w:val="none" w:sz="0" w:space="0" w:color="auto"/>
        <w:right w:val="none" w:sz="0" w:space="0" w:color="auto"/>
      </w:divBdr>
    </w:div>
    <w:div w:id="1111702192">
      <w:bodyDiv w:val="1"/>
      <w:marLeft w:val="0"/>
      <w:marRight w:val="0"/>
      <w:marTop w:val="0"/>
      <w:marBottom w:val="0"/>
      <w:divBdr>
        <w:top w:val="none" w:sz="0" w:space="0" w:color="auto"/>
        <w:left w:val="none" w:sz="0" w:space="0" w:color="auto"/>
        <w:bottom w:val="none" w:sz="0" w:space="0" w:color="auto"/>
        <w:right w:val="none" w:sz="0" w:space="0" w:color="auto"/>
      </w:divBdr>
    </w:div>
    <w:div w:id="1130593880">
      <w:bodyDiv w:val="1"/>
      <w:marLeft w:val="0"/>
      <w:marRight w:val="0"/>
      <w:marTop w:val="0"/>
      <w:marBottom w:val="0"/>
      <w:divBdr>
        <w:top w:val="none" w:sz="0" w:space="0" w:color="auto"/>
        <w:left w:val="none" w:sz="0" w:space="0" w:color="auto"/>
        <w:bottom w:val="none" w:sz="0" w:space="0" w:color="auto"/>
        <w:right w:val="none" w:sz="0" w:space="0" w:color="auto"/>
      </w:divBdr>
    </w:div>
    <w:div w:id="1176846613">
      <w:bodyDiv w:val="1"/>
      <w:marLeft w:val="0"/>
      <w:marRight w:val="0"/>
      <w:marTop w:val="0"/>
      <w:marBottom w:val="0"/>
      <w:divBdr>
        <w:top w:val="none" w:sz="0" w:space="0" w:color="auto"/>
        <w:left w:val="none" w:sz="0" w:space="0" w:color="auto"/>
        <w:bottom w:val="none" w:sz="0" w:space="0" w:color="auto"/>
        <w:right w:val="none" w:sz="0" w:space="0" w:color="auto"/>
      </w:divBdr>
    </w:div>
    <w:div w:id="1301837429">
      <w:bodyDiv w:val="1"/>
      <w:marLeft w:val="0"/>
      <w:marRight w:val="0"/>
      <w:marTop w:val="0"/>
      <w:marBottom w:val="0"/>
      <w:divBdr>
        <w:top w:val="none" w:sz="0" w:space="0" w:color="auto"/>
        <w:left w:val="none" w:sz="0" w:space="0" w:color="auto"/>
        <w:bottom w:val="none" w:sz="0" w:space="0" w:color="auto"/>
        <w:right w:val="none" w:sz="0" w:space="0" w:color="auto"/>
      </w:divBdr>
      <w:divsChild>
        <w:div w:id="1614359820">
          <w:marLeft w:val="0"/>
          <w:marRight w:val="0"/>
          <w:marTop w:val="0"/>
          <w:marBottom w:val="0"/>
          <w:divBdr>
            <w:top w:val="none" w:sz="0" w:space="0" w:color="auto"/>
            <w:left w:val="none" w:sz="0" w:space="0" w:color="auto"/>
            <w:bottom w:val="none" w:sz="0" w:space="0" w:color="auto"/>
            <w:right w:val="none" w:sz="0" w:space="0" w:color="auto"/>
          </w:divBdr>
        </w:div>
      </w:divsChild>
    </w:div>
    <w:div w:id="1436516290">
      <w:bodyDiv w:val="1"/>
      <w:marLeft w:val="0"/>
      <w:marRight w:val="0"/>
      <w:marTop w:val="0"/>
      <w:marBottom w:val="0"/>
      <w:divBdr>
        <w:top w:val="none" w:sz="0" w:space="0" w:color="auto"/>
        <w:left w:val="none" w:sz="0" w:space="0" w:color="auto"/>
        <w:bottom w:val="none" w:sz="0" w:space="0" w:color="auto"/>
        <w:right w:val="none" w:sz="0" w:space="0" w:color="auto"/>
      </w:divBdr>
    </w:div>
    <w:div w:id="1645504435">
      <w:bodyDiv w:val="1"/>
      <w:marLeft w:val="0"/>
      <w:marRight w:val="0"/>
      <w:marTop w:val="0"/>
      <w:marBottom w:val="0"/>
      <w:divBdr>
        <w:top w:val="none" w:sz="0" w:space="0" w:color="auto"/>
        <w:left w:val="none" w:sz="0" w:space="0" w:color="auto"/>
        <w:bottom w:val="none" w:sz="0" w:space="0" w:color="auto"/>
        <w:right w:val="none" w:sz="0" w:space="0" w:color="auto"/>
      </w:divBdr>
    </w:div>
    <w:div w:id="1664314459">
      <w:bodyDiv w:val="1"/>
      <w:marLeft w:val="0"/>
      <w:marRight w:val="0"/>
      <w:marTop w:val="0"/>
      <w:marBottom w:val="0"/>
      <w:divBdr>
        <w:top w:val="none" w:sz="0" w:space="0" w:color="auto"/>
        <w:left w:val="none" w:sz="0" w:space="0" w:color="auto"/>
        <w:bottom w:val="none" w:sz="0" w:space="0" w:color="auto"/>
        <w:right w:val="none" w:sz="0" w:space="0" w:color="auto"/>
      </w:divBdr>
    </w:div>
    <w:div w:id="1687975545">
      <w:bodyDiv w:val="1"/>
      <w:marLeft w:val="0"/>
      <w:marRight w:val="0"/>
      <w:marTop w:val="0"/>
      <w:marBottom w:val="0"/>
      <w:divBdr>
        <w:top w:val="none" w:sz="0" w:space="0" w:color="auto"/>
        <w:left w:val="none" w:sz="0" w:space="0" w:color="auto"/>
        <w:bottom w:val="none" w:sz="0" w:space="0" w:color="auto"/>
        <w:right w:val="none" w:sz="0" w:space="0" w:color="auto"/>
      </w:divBdr>
    </w:div>
    <w:div w:id="1703628323">
      <w:bodyDiv w:val="1"/>
      <w:marLeft w:val="0"/>
      <w:marRight w:val="0"/>
      <w:marTop w:val="0"/>
      <w:marBottom w:val="0"/>
      <w:divBdr>
        <w:top w:val="none" w:sz="0" w:space="0" w:color="auto"/>
        <w:left w:val="none" w:sz="0" w:space="0" w:color="auto"/>
        <w:bottom w:val="none" w:sz="0" w:space="0" w:color="auto"/>
        <w:right w:val="none" w:sz="0" w:space="0" w:color="auto"/>
      </w:divBdr>
    </w:div>
    <w:div w:id="1707020225">
      <w:bodyDiv w:val="1"/>
      <w:marLeft w:val="0"/>
      <w:marRight w:val="0"/>
      <w:marTop w:val="0"/>
      <w:marBottom w:val="0"/>
      <w:divBdr>
        <w:top w:val="none" w:sz="0" w:space="0" w:color="auto"/>
        <w:left w:val="none" w:sz="0" w:space="0" w:color="auto"/>
        <w:bottom w:val="none" w:sz="0" w:space="0" w:color="auto"/>
        <w:right w:val="none" w:sz="0" w:space="0" w:color="auto"/>
      </w:divBdr>
    </w:div>
    <w:div w:id="1756442178">
      <w:bodyDiv w:val="1"/>
      <w:marLeft w:val="0"/>
      <w:marRight w:val="0"/>
      <w:marTop w:val="0"/>
      <w:marBottom w:val="0"/>
      <w:divBdr>
        <w:top w:val="none" w:sz="0" w:space="0" w:color="auto"/>
        <w:left w:val="none" w:sz="0" w:space="0" w:color="auto"/>
        <w:bottom w:val="none" w:sz="0" w:space="0" w:color="auto"/>
        <w:right w:val="none" w:sz="0" w:space="0" w:color="auto"/>
      </w:divBdr>
    </w:div>
    <w:div w:id="1771008863">
      <w:bodyDiv w:val="1"/>
      <w:marLeft w:val="0"/>
      <w:marRight w:val="0"/>
      <w:marTop w:val="0"/>
      <w:marBottom w:val="0"/>
      <w:divBdr>
        <w:top w:val="none" w:sz="0" w:space="0" w:color="auto"/>
        <w:left w:val="none" w:sz="0" w:space="0" w:color="auto"/>
        <w:bottom w:val="none" w:sz="0" w:space="0" w:color="auto"/>
        <w:right w:val="none" w:sz="0" w:space="0" w:color="auto"/>
      </w:divBdr>
    </w:div>
    <w:div w:id="1793746121">
      <w:bodyDiv w:val="1"/>
      <w:marLeft w:val="0"/>
      <w:marRight w:val="0"/>
      <w:marTop w:val="0"/>
      <w:marBottom w:val="0"/>
      <w:divBdr>
        <w:top w:val="none" w:sz="0" w:space="0" w:color="auto"/>
        <w:left w:val="none" w:sz="0" w:space="0" w:color="auto"/>
        <w:bottom w:val="none" w:sz="0" w:space="0" w:color="auto"/>
        <w:right w:val="none" w:sz="0" w:space="0" w:color="auto"/>
      </w:divBdr>
    </w:div>
    <w:div w:id="1816295596">
      <w:bodyDiv w:val="1"/>
      <w:marLeft w:val="0"/>
      <w:marRight w:val="0"/>
      <w:marTop w:val="0"/>
      <w:marBottom w:val="0"/>
      <w:divBdr>
        <w:top w:val="none" w:sz="0" w:space="0" w:color="auto"/>
        <w:left w:val="none" w:sz="0" w:space="0" w:color="auto"/>
        <w:bottom w:val="none" w:sz="0" w:space="0" w:color="auto"/>
        <w:right w:val="none" w:sz="0" w:space="0" w:color="auto"/>
      </w:divBdr>
    </w:div>
    <w:div w:id="1877228600">
      <w:bodyDiv w:val="1"/>
      <w:marLeft w:val="0"/>
      <w:marRight w:val="0"/>
      <w:marTop w:val="0"/>
      <w:marBottom w:val="0"/>
      <w:divBdr>
        <w:top w:val="none" w:sz="0" w:space="0" w:color="auto"/>
        <w:left w:val="none" w:sz="0" w:space="0" w:color="auto"/>
        <w:bottom w:val="none" w:sz="0" w:space="0" w:color="auto"/>
        <w:right w:val="none" w:sz="0" w:space="0" w:color="auto"/>
      </w:divBdr>
    </w:div>
    <w:div w:id="1915627667">
      <w:bodyDiv w:val="1"/>
      <w:marLeft w:val="0"/>
      <w:marRight w:val="0"/>
      <w:marTop w:val="0"/>
      <w:marBottom w:val="0"/>
      <w:divBdr>
        <w:top w:val="none" w:sz="0" w:space="0" w:color="auto"/>
        <w:left w:val="none" w:sz="0" w:space="0" w:color="auto"/>
        <w:bottom w:val="none" w:sz="0" w:space="0" w:color="auto"/>
        <w:right w:val="none" w:sz="0" w:space="0" w:color="auto"/>
      </w:divBdr>
    </w:div>
    <w:div w:id="1918976682">
      <w:bodyDiv w:val="1"/>
      <w:marLeft w:val="0"/>
      <w:marRight w:val="0"/>
      <w:marTop w:val="0"/>
      <w:marBottom w:val="0"/>
      <w:divBdr>
        <w:top w:val="none" w:sz="0" w:space="0" w:color="auto"/>
        <w:left w:val="none" w:sz="0" w:space="0" w:color="auto"/>
        <w:bottom w:val="none" w:sz="0" w:space="0" w:color="auto"/>
        <w:right w:val="none" w:sz="0" w:space="0" w:color="auto"/>
      </w:divBdr>
    </w:div>
    <w:div w:id="2000764874">
      <w:bodyDiv w:val="1"/>
      <w:marLeft w:val="0"/>
      <w:marRight w:val="0"/>
      <w:marTop w:val="0"/>
      <w:marBottom w:val="0"/>
      <w:divBdr>
        <w:top w:val="none" w:sz="0" w:space="0" w:color="auto"/>
        <w:left w:val="none" w:sz="0" w:space="0" w:color="auto"/>
        <w:bottom w:val="none" w:sz="0" w:space="0" w:color="auto"/>
        <w:right w:val="none" w:sz="0" w:space="0" w:color="auto"/>
      </w:divBdr>
    </w:div>
    <w:div w:id="2018728128">
      <w:bodyDiv w:val="1"/>
      <w:marLeft w:val="0"/>
      <w:marRight w:val="0"/>
      <w:marTop w:val="0"/>
      <w:marBottom w:val="0"/>
      <w:divBdr>
        <w:top w:val="none" w:sz="0" w:space="0" w:color="auto"/>
        <w:left w:val="none" w:sz="0" w:space="0" w:color="auto"/>
        <w:bottom w:val="none" w:sz="0" w:space="0" w:color="auto"/>
        <w:right w:val="none" w:sz="0" w:space="0" w:color="auto"/>
      </w:divBdr>
    </w:div>
    <w:div w:id="2019772909">
      <w:bodyDiv w:val="1"/>
      <w:marLeft w:val="0"/>
      <w:marRight w:val="0"/>
      <w:marTop w:val="0"/>
      <w:marBottom w:val="0"/>
      <w:divBdr>
        <w:top w:val="none" w:sz="0" w:space="0" w:color="auto"/>
        <w:left w:val="none" w:sz="0" w:space="0" w:color="auto"/>
        <w:bottom w:val="none" w:sz="0" w:space="0" w:color="auto"/>
        <w:right w:val="none" w:sz="0" w:space="0" w:color="auto"/>
      </w:divBdr>
    </w:div>
    <w:div w:id="2023966720">
      <w:bodyDiv w:val="1"/>
      <w:marLeft w:val="0"/>
      <w:marRight w:val="0"/>
      <w:marTop w:val="0"/>
      <w:marBottom w:val="0"/>
      <w:divBdr>
        <w:top w:val="none" w:sz="0" w:space="0" w:color="auto"/>
        <w:left w:val="none" w:sz="0" w:space="0" w:color="auto"/>
        <w:bottom w:val="none" w:sz="0" w:space="0" w:color="auto"/>
        <w:right w:val="none" w:sz="0" w:space="0" w:color="auto"/>
      </w:divBdr>
    </w:div>
    <w:div w:id="2060859690">
      <w:bodyDiv w:val="1"/>
      <w:marLeft w:val="0"/>
      <w:marRight w:val="0"/>
      <w:marTop w:val="0"/>
      <w:marBottom w:val="0"/>
      <w:divBdr>
        <w:top w:val="none" w:sz="0" w:space="0" w:color="auto"/>
        <w:left w:val="none" w:sz="0" w:space="0" w:color="auto"/>
        <w:bottom w:val="none" w:sz="0" w:space="0" w:color="auto"/>
        <w:right w:val="none" w:sz="0" w:space="0" w:color="auto"/>
      </w:divBdr>
    </w:div>
    <w:div w:id="2062441792">
      <w:bodyDiv w:val="1"/>
      <w:marLeft w:val="0"/>
      <w:marRight w:val="0"/>
      <w:marTop w:val="0"/>
      <w:marBottom w:val="0"/>
      <w:divBdr>
        <w:top w:val="none" w:sz="0" w:space="0" w:color="auto"/>
        <w:left w:val="none" w:sz="0" w:space="0" w:color="auto"/>
        <w:bottom w:val="none" w:sz="0" w:space="0" w:color="auto"/>
        <w:right w:val="none" w:sz="0" w:space="0" w:color="auto"/>
      </w:divBdr>
    </w:div>
    <w:div w:id="2135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emf"/><Relationship Id="rId21" Type="http://schemas.openxmlformats.org/officeDocument/2006/relationships/hyperlink" Target="file:///C:\Users\Shiguang\Desktop\Table%20of%20Contents.docx" TargetMode="External"/><Relationship Id="rId42" Type="http://schemas.openxmlformats.org/officeDocument/2006/relationships/hyperlink" Target="file:///C:\Users\Shiguang\Desktop\Table%20of%20Contents.docx" TargetMode="External"/><Relationship Id="rId63" Type="http://schemas.openxmlformats.org/officeDocument/2006/relationships/hyperlink" Target="file:///C:\Users\Shiguang\Desktop\Table%20of%20Contents.docx" TargetMode="External"/><Relationship Id="rId84" Type="http://schemas.openxmlformats.org/officeDocument/2006/relationships/hyperlink" Target="file:///C:\Users\Shiguang\Desktop\Table%20of%20Contents.docx" TargetMode="External"/><Relationship Id="rId138" Type="http://schemas.openxmlformats.org/officeDocument/2006/relationships/image" Target="media/image47.jpeg"/><Relationship Id="rId159" Type="http://schemas.openxmlformats.org/officeDocument/2006/relationships/image" Target="media/image68.jpeg"/><Relationship Id="rId170" Type="http://schemas.openxmlformats.org/officeDocument/2006/relationships/image" Target="media/image79.jpeg"/><Relationship Id="rId191" Type="http://schemas.openxmlformats.org/officeDocument/2006/relationships/image" Target="media/image100.jpeg"/><Relationship Id="rId205" Type="http://schemas.openxmlformats.org/officeDocument/2006/relationships/image" Target="media/image114.jpeg"/><Relationship Id="rId107" Type="http://schemas.openxmlformats.org/officeDocument/2006/relationships/image" Target="media/image16.jpg"/><Relationship Id="rId11" Type="http://schemas.openxmlformats.org/officeDocument/2006/relationships/hyperlink" Target="file:///C:\Users\Shiguang\Desktop\Table%20of%20Contents.docx" TargetMode="External"/><Relationship Id="rId32" Type="http://schemas.openxmlformats.org/officeDocument/2006/relationships/hyperlink" Target="file:///C:\Users\Shiguang\Desktop\Table%20of%20Contents.docx" TargetMode="External"/><Relationship Id="rId37" Type="http://schemas.openxmlformats.org/officeDocument/2006/relationships/hyperlink" Target="file:///C:\Users\Shiguang\Desktop\Table%20of%20Contents.docx" TargetMode="External"/><Relationship Id="rId53" Type="http://schemas.openxmlformats.org/officeDocument/2006/relationships/hyperlink" Target="file:///C:\Users\Shiguang\Desktop\Table%20of%20Contents.docx" TargetMode="External"/><Relationship Id="rId58" Type="http://schemas.openxmlformats.org/officeDocument/2006/relationships/hyperlink" Target="file:///C:\Users\Shiguang\Desktop\Table%20of%20Contents.docx" TargetMode="External"/><Relationship Id="rId74" Type="http://schemas.openxmlformats.org/officeDocument/2006/relationships/hyperlink" Target="file:///C:\Users\Shiguang\Desktop\Table%20of%20Contents.docx" TargetMode="External"/><Relationship Id="rId79" Type="http://schemas.openxmlformats.org/officeDocument/2006/relationships/hyperlink" Target="file:///C:\Users\Shiguang\Desktop\Table%20of%20Contents.docx" TargetMode="External"/><Relationship Id="rId102" Type="http://schemas.openxmlformats.org/officeDocument/2006/relationships/image" Target="media/image11.png"/><Relationship Id="rId123" Type="http://schemas.openxmlformats.org/officeDocument/2006/relationships/image" Target="media/image32.png"/><Relationship Id="rId128" Type="http://schemas.openxmlformats.org/officeDocument/2006/relationships/image" Target="media/image37.jpg"/><Relationship Id="rId144" Type="http://schemas.openxmlformats.org/officeDocument/2006/relationships/image" Target="media/image53.jpg"/><Relationship Id="rId149" Type="http://schemas.openxmlformats.org/officeDocument/2006/relationships/image" Target="media/image58.jpeg"/><Relationship Id="rId5" Type="http://schemas.openxmlformats.org/officeDocument/2006/relationships/settings" Target="settings.xml"/><Relationship Id="rId90" Type="http://schemas.openxmlformats.org/officeDocument/2006/relationships/hyperlink" Target="file:///C:\Users\Shiguang\Desktop\Table%20of%20Contents.docx" TargetMode="External"/><Relationship Id="rId95" Type="http://schemas.openxmlformats.org/officeDocument/2006/relationships/image" Target="media/image4.png"/><Relationship Id="rId160" Type="http://schemas.openxmlformats.org/officeDocument/2006/relationships/image" Target="media/image69.jpeg"/><Relationship Id="rId165" Type="http://schemas.openxmlformats.org/officeDocument/2006/relationships/image" Target="media/image74.jpeg"/><Relationship Id="rId181" Type="http://schemas.openxmlformats.org/officeDocument/2006/relationships/image" Target="media/image90.jpeg"/><Relationship Id="rId186" Type="http://schemas.openxmlformats.org/officeDocument/2006/relationships/image" Target="media/image95.jpeg"/><Relationship Id="rId211" Type="http://schemas.openxmlformats.org/officeDocument/2006/relationships/footer" Target="footer3.xml"/><Relationship Id="rId22" Type="http://schemas.openxmlformats.org/officeDocument/2006/relationships/hyperlink" Target="file:///C:\Users\Shiguang\Desktop\Table%20of%20Contents.docx" TargetMode="External"/><Relationship Id="rId27" Type="http://schemas.openxmlformats.org/officeDocument/2006/relationships/hyperlink" Target="file:///C:\Users\Shiguang\Desktop\Table%20of%20Contents.docx" TargetMode="External"/><Relationship Id="rId43" Type="http://schemas.openxmlformats.org/officeDocument/2006/relationships/hyperlink" Target="file:///C:\Users\Shiguang\Desktop\Table%20of%20Contents.docx" TargetMode="External"/><Relationship Id="rId48" Type="http://schemas.openxmlformats.org/officeDocument/2006/relationships/hyperlink" Target="file:///C:\Users\Shiguang\Desktop\Table%20of%20Contents.docx" TargetMode="External"/><Relationship Id="rId64" Type="http://schemas.openxmlformats.org/officeDocument/2006/relationships/hyperlink" Target="file:///C:\Users\Shiguang\Desktop\Table%20of%20Contents.docx" TargetMode="External"/><Relationship Id="rId69" Type="http://schemas.openxmlformats.org/officeDocument/2006/relationships/hyperlink" Target="file:///C:\Users\Shiguang\Desktop\Table%20of%20Contents.docx" TargetMode="External"/><Relationship Id="rId113" Type="http://schemas.openxmlformats.org/officeDocument/2006/relationships/image" Target="media/image22.png"/><Relationship Id="rId118" Type="http://schemas.openxmlformats.org/officeDocument/2006/relationships/image" Target="media/image27.jpeg"/><Relationship Id="rId134" Type="http://schemas.openxmlformats.org/officeDocument/2006/relationships/image" Target="media/image43.jpeg"/><Relationship Id="rId139" Type="http://schemas.openxmlformats.org/officeDocument/2006/relationships/image" Target="media/image48.jpeg"/><Relationship Id="rId80" Type="http://schemas.openxmlformats.org/officeDocument/2006/relationships/hyperlink" Target="file:///C:\Users\Shiguang\Desktop\Table%20of%20Contents.docx" TargetMode="External"/><Relationship Id="rId85" Type="http://schemas.openxmlformats.org/officeDocument/2006/relationships/hyperlink" Target="file:///C:\Users\Shiguang\Desktop\Table%20of%20Contents.docx" TargetMode="External"/><Relationship Id="rId150" Type="http://schemas.openxmlformats.org/officeDocument/2006/relationships/image" Target="media/image59.jpeg"/><Relationship Id="rId155" Type="http://schemas.openxmlformats.org/officeDocument/2006/relationships/image" Target="media/image64.jpeg"/><Relationship Id="rId171" Type="http://schemas.openxmlformats.org/officeDocument/2006/relationships/image" Target="media/image80.jpeg"/><Relationship Id="rId176" Type="http://schemas.openxmlformats.org/officeDocument/2006/relationships/image" Target="media/image85.jpeg"/><Relationship Id="rId192" Type="http://schemas.openxmlformats.org/officeDocument/2006/relationships/image" Target="media/image101.jpeg"/><Relationship Id="rId197" Type="http://schemas.openxmlformats.org/officeDocument/2006/relationships/image" Target="media/image106.jpeg"/><Relationship Id="rId206" Type="http://schemas.openxmlformats.org/officeDocument/2006/relationships/image" Target="media/image115.emf"/><Relationship Id="rId201" Type="http://schemas.openxmlformats.org/officeDocument/2006/relationships/image" Target="media/image110.jpeg"/><Relationship Id="rId12" Type="http://schemas.openxmlformats.org/officeDocument/2006/relationships/hyperlink" Target="file:///C:\Users\Shiguang\Desktop\Table%20of%20Contents.docx" TargetMode="External"/><Relationship Id="rId17" Type="http://schemas.openxmlformats.org/officeDocument/2006/relationships/hyperlink" Target="file:///C:\Users\Shiguang\Desktop\Table%20of%20Contents.docx" TargetMode="External"/><Relationship Id="rId33" Type="http://schemas.openxmlformats.org/officeDocument/2006/relationships/hyperlink" Target="file:///C:\Users\Shiguang\Desktop\Table%20of%20Contents.docx" TargetMode="External"/><Relationship Id="rId38" Type="http://schemas.openxmlformats.org/officeDocument/2006/relationships/hyperlink" Target="file:///C:\Users\Shiguang\Desktop\Table%20of%20Contents.docx" TargetMode="External"/><Relationship Id="rId59" Type="http://schemas.openxmlformats.org/officeDocument/2006/relationships/hyperlink" Target="file:///C:\Users\Shiguang\Desktop\Table%20of%20Contents.docx" TargetMode="External"/><Relationship Id="rId103" Type="http://schemas.openxmlformats.org/officeDocument/2006/relationships/image" Target="media/image12.png"/><Relationship Id="rId108" Type="http://schemas.openxmlformats.org/officeDocument/2006/relationships/image" Target="media/image17.emf"/><Relationship Id="rId124" Type="http://schemas.openxmlformats.org/officeDocument/2006/relationships/image" Target="media/image33.png"/><Relationship Id="rId129" Type="http://schemas.openxmlformats.org/officeDocument/2006/relationships/image" Target="media/image38.png"/><Relationship Id="rId54" Type="http://schemas.openxmlformats.org/officeDocument/2006/relationships/hyperlink" Target="file:///C:\Users\Shiguang\Desktop\Table%20of%20Contents.docx" TargetMode="External"/><Relationship Id="rId70" Type="http://schemas.openxmlformats.org/officeDocument/2006/relationships/hyperlink" Target="file:///C:\Users\Shiguang\Desktop\Table%20of%20Contents.docx" TargetMode="External"/><Relationship Id="rId75" Type="http://schemas.openxmlformats.org/officeDocument/2006/relationships/hyperlink" Target="file:///C:\Users\Shiguang\Desktop\Table%20of%20Contents.docx" TargetMode="External"/><Relationship Id="rId91" Type="http://schemas.openxmlformats.org/officeDocument/2006/relationships/footer" Target="footer2.xml"/><Relationship Id="rId96" Type="http://schemas.openxmlformats.org/officeDocument/2006/relationships/image" Target="media/image5.png"/><Relationship Id="rId140" Type="http://schemas.openxmlformats.org/officeDocument/2006/relationships/image" Target="media/image49.jpg"/><Relationship Id="rId145" Type="http://schemas.openxmlformats.org/officeDocument/2006/relationships/image" Target="media/image54.jpeg"/><Relationship Id="rId161" Type="http://schemas.openxmlformats.org/officeDocument/2006/relationships/image" Target="media/image70.jpeg"/><Relationship Id="rId166" Type="http://schemas.openxmlformats.org/officeDocument/2006/relationships/image" Target="media/image75.jpeg"/><Relationship Id="rId182" Type="http://schemas.openxmlformats.org/officeDocument/2006/relationships/image" Target="media/image91.jpeg"/><Relationship Id="rId187" Type="http://schemas.openxmlformats.org/officeDocument/2006/relationships/image" Target="media/image96.jpe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ntTable" Target="fontTable.xml"/><Relationship Id="rId23" Type="http://schemas.openxmlformats.org/officeDocument/2006/relationships/hyperlink" Target="file:///C:\Users\Shiguang\Desktop\Table%20of%20Contents.docx" TargetMode="External"/><Relationship Id="rId28" Type="http://schemas.openxmlformats.org/officeDocument/2006/relationships/hyperlink" Target="file:///C:\Users\Shiguang\Desktop\Table%20of%20Contents.docx" TargetMode="External"/><Relationship Id="rId49" Type="http://schemas.openxmlformats.org/officeDocument/2006/relationships/hyperlink" Target="file:///C:\Users\Shiguang\Desktop\Table%20of%20Contents.docx" TargetMode="External"/><Relationship Id="rId114" Type="http://schemas.openxmlformats.org/officeDocument/2006/relationships/image" Target="media/image23.jpeg"/><Relationship Id="rId119" Type="http://schemas.openxmlformats.org/officeDocument/2006/relationships/image" Target="media/image28.jpeg"/><Relationship Id="rId44" Type="http://schemas.openxmlformats.org/officeDocument/2006/relationships/hyperlink" Target="file:///C:\Users\Shiguang\Desktop\Table%20of%20Contents.docx" TargetMode="External"/><Relationship Id="rId60" Type="http://schemas.openxmlformats.org/officeDocument/2006/relationships/hyperlink" Target="file:///C:\Users\Shiguang\Desktop\Table%20of%20Contents.docx" TargetMode="External"/><Relationship Id="rId65" Type="http://schemas.openxmlformats.org/officeDocument/2006/relationships/hyperlink" Target="file:///C:\Users\Shiguang\Desktop\Table%20of%20Contents.docx" TargetMode="External"/><Relationship Id="rId81" Type="http://schemas.openxmlformats.org/officeDocument/2006/relationships/hyperlink" Target="file:///C:\Users\Shiguang\Desktop\Table%20of%20Contents.docx" TargetMode="External"/><Relationship Id="rId86" Type="http://schemas.openxmlformats.org/officeDocument/2006/relationships/hyperlink" Target="file:///C:\Users\Shiguang\Desktop\Table%20of%20Contents.docx" TargetMode="External"/><Relationship Id="rId130" Type="http://schemas.openxmlformats.org/officeDocument/2006/relationships/image" Target="media/image39.png"/><Relationship Id="rId135" Type="http://schemas.openxmlformats.org/officeDocument/2006/relationships/image" Target="media/image44.jpeg"/><Relationship Id="rId151" Type="http://schemas.openxmlformats.org/officeDocument/2006/relationships/image" Target="media/image60.jpeg"/><Relationship Id="rId156" Type="http://schemas.openxmlformats.org/officeDocument/2006/relationships/image" Target="media/image65.jpeg"/><Relationship Id="rId177" Type="http://schemas.openxmlformats.org/officeDocument/2006/relationships/image" Target="media/image86.jpeg"/><Relationship Id="rId198" Type="http://schemas.openxmlformats.org/officeDocument/2006/relationships/image" Target="media/image107.jpeg"/><Relationship Id="rId172" Type="http://schemas.openxmlformats.org/officeDocument/2006/relationships/image" Target="media/image81.jpeg"/><Relationship Id="rId193" Type="http://schemas.openxmlformats.org/officeDocument/2006/relationships/image" Target="media/image102.jpeg"/><Relationship Id="rId202" Type="http://schemas.openxmlformats.org/officeDocument/2006/relationships/image" Target="media/image111.jpeg"/><Relationship Id="rId207" Type="http://schemas.openxmlformats.org/officeDocument/2006/relationships/image" Target="media/image116.jpeg"/><Relationship Id="rId13" Type="http://schemas.openxmlformats.org/officeDocument/2006/relationships/hyperlink" Target="file:///C:\Users\Shiguang\Desktop\Table%20of%20Contents.docx" TargetMode="External"/><Relationship Id="rId18" Type="http://schemas.openxmlformats.org/officeDocument/2006/relationships/hyperlink" Target="file:///C:\Users\Shiguang\Desktop\Table%20of%20Contents.docx" TargetMode="External"/><Relationship Id="rId39" Type="http://schemas.openxmlformats.org/officeDocument/2006/relationships/hyperlink" Target="file:///C:\Users\Shiguang\Desktop\Table%20of%20Contents.docx" TargetMode="External"/><Relationship Id="rId109" Type="http://schemas.openxmlformats.org/officeDocument/2006/relationships/image" Target="media/image18.emf"/><Relationship Id="rId34" Type="http://schemas.openxmlformats.org/officeDocument/2006/relationships/hyperlink" Target="file:///C:\Users\Shiguang\Desktop\Table%20of%20Contents.docx" TargetMode="External"/><Relationship Id="rId50" Type="http://schemas.openxmlformats.org/officeDocument/2006/relationships/hyperlink" Target="file:///C:\Users\Shiguang\Desktop\Table%20of%20Contents.docx" TargetMode="External"/><Relationship Id="rId55" Type="http://schemas.openxmlformats.org/officeDocument/2006/relationships/hyperlink" Target="file:///C:\Users\Shiguang\Desktop\Table%20of%20Contents.docx" TargetMode="External"/><Relationship Id="rId76" Type="http://schemas.openxmlformats.org/officeDocument/2006/relationships/hyperlink" Target="file:///C:\Users\Shiguang\Desktop\Table%20of%20Contents.docx" TargetMode="External"/><Relationship Id="rId97" Type="http://schemas.openxmlformats.org/officeDocument/2006/relationships/image" Target="media/image6.png"/><Relationship Id="rId104" Type="http://schemas.openxmlformats.org/officeDocument/2006/relationships/image" Target="media/image13.png"/><Relationship Id="rId120" Type="http://schemas.openxmlformats.org/officeDocument/2006/relationships/image" Target="media/image29.png"/><Relationship Id="rId125" Type="http://schemas.openxmlformats.org/officeDocument/2006/relationships/image" Target="media/image34.jpg"/><Relationship Id="rId141" Type="http://schemas.openxmlformats.org/officeDocument/2006/relationships/image" Target="media/image50.emf"/><Relationship Id="rId146" Type="http://schemas.openxmlformats.org/officeDocument/2006/relationships/image" Target="media/image55.png"/><Relationship Id="rId167" Type="http://schemas.openxmlformats.org/officeDocument/2006/relationships/image" Target="media/image76.jpeg"/><Relationship Id="rId188" Type="http://schemas.openxmlformats.org/officeDocument/2006/relationships/image" Target="media/image97.jpeg"/><Relationship Id="rId7" Type="http://schemas.openxmlformats.org/officeDocument/2006/relationships/footnotes" Target="footnotes.xml"/><Relationship Id="rId71" Type="http://schemas.openxmlformats.org/officeDocument/2006/relationships/hyperlink" Target="file:///C:\Users\Shiguang\Desktop\Table%20of%20Contents.docx" TargetMode="External"/><Relationship Id="rId92" Type="http://schemas.openxmlformats.org/officeDocument/2006/relationships/image" Target="media/image1.png"/><Relationship Id="rId162" Type="http://schemas.openxmlformats.org/officeDocument/2006/relationships/image" Target="media/image71.png"/><Relationship Id="rId183" Type="http://schemas.openxmlformats.org/officeDocument/2006/relationships/image" Target="media/image92.jpeg"/><Relationship Id="rId213"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hyperlink" Target="file:///C:\Users\Shiguang\Desktop\Table%20of%20Contents.docx" TargetMode="External"/><Relationship Id="rId24" Type="http://schemas.openxmlformats.org/officeDocument/2006/relationships/hyperlink" Target="file:///C:\Users\Shiguang\Desktop\Table%20of%20Contents.docx" TargetMode="External"/><Relationship Id="rId40" Type="http://schemas.openxmlformats.org/officeDocument/2006/relationships/hyperlink" Target="file:///C:\Users\Shiguang\Desktop\Table%20of%20Contents.docx" TargetMode="External"/><Relationship Id="rId45" Type="http://schemas.openxmlformats.org/officeDocument/2006/relationships/hyperlink" Target="file:///C:\Users\Shiguang\Desktop\Table%20of%20Contents.docx" TargetMode="External"/><Relationship Id="rId66" Type="http://schemas.openxmlformats.org/officeDocument/2006/relationships/hyperlink" Target="file:///C:\Users\Shiguang\Desktop\Table%20of%20Contents.docx" TargetMode="External"/><Relationship Id="rId87" Type="http://schemas.openxmlformats.org/officeDocument/2006/relationships/hyperlink" Target="file:///C:\Users\Shiguang\Desktop\Table%20of%20Contents.docx" TargetMode="External"/><Relationship Id="rId110" Type="http://schemas.openxmlformats.org/officeDocument/2006/relationships/image" Target="media/image19.jpeg"/><Relationship Id="rId115" Type="http://schemas.openxmlformats.org/officeDocument/2006/relationships/image" Target="media/image24.jpeg"/><Relationship Id="rId131" Type="http://schemas.openxmlformats.org/officeDocument/2006/relationships/image" Target="media/image40.jpeg"/><Relationship Id="rId136" Type="http://schemas.openxmlformats.org/officeDocument/2006/relationships/image" Target="media/image45.jpeg"/><Relationship Id="rId157" Type="http://schemas.openxmlformats.org/officeDocument/2006/relationships/image" Target="media/image66.jpeg"/><Relationship Id="rId178" Type="http://schemas.openxmlformats.org/officeDocument/2006/relationships/image" Target="media/image87.jpeg"/><Relationship Id="rId61" Type="http://schemas.openxmlformats.org/officeDocument/2006/relationships/hyperlink" Target="file:///C:\Users\Shiguang\Desktop\Table%20of%20Contents.docx" TargetMode="External"/><Relationship Id="rId82" Type="http://schemas.openxmlformats.org/officeDocument/2006/relationships/hyperlink" Target="file:///C:\Users\Shiguang\Desktop\Table%20of%20Contents.docx" TargetMode="External"/><Relationship Id="rId152" Type="http://schemas.openxmlformats.org/officeDocument/2006/relationships/image" Target="media/image61.jpeg"/><Relationship Id="rId173" Type="http://schemas.openxmlformats.org/officeDocument/2006/relationships/image" Target="media/image82.jpeg"/><Relationship Id="rId194" Type="http://schemas.openxmlformats.org/officeDocument/2006/relationships/image" Target="media/image103.jpeg"/><Relationship Id="rId199" Type="http://schemas.openxmlformats.org/officeDocument/2006/relationships/image" Target="media/image108.jpeg"/><Relationship Id="rId203" Type="http://schemas.openxmlformats.org/officeDocument/2006/relationships/image" Target="media/image112.png"/><Relationship Id="rId208" Type="http://schemas.openxmlformats.org/officeDocument/2006/relationships/image" Target="media/image117.jpeg"/><Relationship Id="rId19" Type="http://schemas.openxmlformats.org/officeDocument/2006/relationships/hyperlink" Target="file:///C:\Users\Shiguang\Desktop\Table%20of%20Contents.docx" TargetMode="External"/><Relationship Id="rId14" Type="http://schemas.openxmlformats.org/officeDocument/2006/relationships/hyperlink" Target="file:///C:\Users\Shiguang\Desktop\Table%20of%20Contents.docx" TargetMode="External"/><Relationship Id="rId30" Type="http://schemas.openxmlformats.org/officeDocument/2006/relationships/hyperlink" Target="file:///C:\Users\Shiguang\Desktop\Table%20of%20Contents.docx" TargetMode="External"/><Relationship Id="rId35" Type="http://schemas.openxmlformats.org/officeDocument/2006/relationships/hyperlink" Target="file:///C:\Users\Shiguang\Desktop\Table%20of%20Contents.docx" TargetMode="External"/><Relationship Id="rId56" Type="http://schemas.openxmlformats.org/officeDocument/2006/relationships/hyperlink" Target="file:///C:\Users\Shiguang\Desktop\Table%20of%20Contents.docx" TargetMode="External"/><Relationship Id="rId77" Type="http://schemas.openxmlformats.org/officeDocument/2006/relationships/hyperlink" Target="file:///C:\Users\Shiguang\Desktop\Table%20of%20Contents.docx" TargetMode="External"/><Relationship Id="rId100" Type="http://schemas.openxmlformats.org/officeDocument/2006/relationships/image" Target="media/image9.png"/><Relationship Id="rId105" Type="http://schemas.openxmlformats.org/officeDocument/2006/relationships/image" Target="media/image14.png"/><Relationship Id="rId126" Type="http://schemas.openxmlformats.org/officeDocument/2006/relationships/image" Target="media/image35.emf"/><Relationship Id="rId147" Type="http://schemas.openxmlformats.org/officeDocument/2006/relationships/image" Target="media/image56.jpeg"/><Relationship Id="rId168" Type="http://schemas.openxmlformats.org/officeDocument/2006/relationships/image" Target="media/image77.png"/><Relationship Id="rId8" Type="http://schemas.openxmlformats.org/officeDocument/2006/relationships/endnotes" Target="endnotes.xml"/><Relationship Id="rId51" Type="http://schemas.openxmlformats.org/officeDocument/2006/relationships/hyperlink" Target="file:///C:\Users\Shiguang\Desktop\Table%20of%20Contents.docx" TargetMode="External"/><Relationship Id="rId72" Type="http://schemas.openxmlformats.org/officeDocument/2006/relationships/hyperlink" Target="file:///C:\Users\Shiguang\Desktop\Table%20of%20Contents.docx" TargetMode="External"/><Relationship Id="rId93" Type="http://schemas.openxmlformats.org/officeDocument/2006/relationships/image" Target="media/image2.png"/><Relationship Id="rId98" Type="http://schemas.openxmlformats.org/officeDocument/2006/relationships/image" Target="media/image7.png"/><Relationship Id="rId121" Type="http://schemas.openxmlformats.org/officeDocument/2006/relationships/image" Target="media/image30.jpg"/><Relationship Id="rId142" Type="http://schemas.openxmlformats.org/officeDocument/2006/relationships/image" Target="media/image51.emf"/><Relationship Id="rId163" Type="http://schemas.openxmlformats.org/officeDocument/2006/relationships/image" Target="media/image72.emf"/><Relationship Id="rId184" Type="http://schemas.openxmlformats.org/officeDocument/2006/relationships/image" Target="media/image93.jpeg"/><Relationship Id="rId189" Type="http://schemas.openxmlformats.org/officeDocument/2006/relationships/image" Target="media/image98.jpeg"/><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file:///C:\Users\Shiguang\Desktop\Table%20of%20Contents.docx" TargetMode="External"/><Relationship Id="rId46" Type="http://schemas.openxmlformats.org/officeDocument/2006/relationships/hyperlink" Target="file:///C:\Users\Shiguang\Desktop\Table%20of%20Contents.docx" TargetMode="External"/><Relationship Id="rId67" Type="http://schemas.openxmlformats.org/officeDocument/2006/relationships/hyperlink" Target="file:///C:\Users\Shiguang\Desktop\Table%20of%20Contents.docx" TargetMode="External"/><Relationship Id="rId116" Type="http://schemas.openxmlformats.org/officeDocument/2006/relationships/image" Target="media/image25.jpg"/><Relationship Id="rId137" Type="http://schemas.openxmlformats.org/officeDocument/2006/relationships/image" Target="media/image46.jpeg"/><Relationship Id="rId158" Type="http://schemas.openxmlformats.org/officeDocument/2006/relationships/image" Target="media/image67.jpeg"/><Relationship Id="rId20" Type="http://schemas.openxmlformats.org/officeDocument/2006/relationships/hyperlink" Target="file:///C:\Users\Shiguang\Desktop\Table%20of%20Contents.docx" TargetMode="External"/><Relationship Id="rId41" Type="http://schemas.openxmlformats.org/officeDocument/2006/relationships/hyperlink" Target="file:///C:\Users\Shiguang\Desktop\Table%20of%20Contents.docx" TargetMode="External"/><Relationship Id="rId62" Type="http://schemas.openxmlformats.org/officeDocument/2006/relationships/hyperlink" Target="file:///C:\Users\Shiguang\Desktop\Table%20of%20Contents.docx" TargetMode="External"/><Relationship Id="rId83" Type="http://schemas.openxmlformats.org/officeDocument/2006/relationships/hyperlink" Target="file:///C:\Users\Shiguang\Desktop\Table%20of%20Contents.docx" TargetMode="External"/><Relationship Id="rId88" Type="http://schemas.openxmlformats.org/officeDocument/2006/relationships/hyperlink" Target="file:///C:\Users\Shiguang\Desktop\Table%20of%20Contents.docx" TargetMode="External"/><Relationship Id="rId111" Type="http://schemas.openxmlformats.org/officeDocument/2006/relationships/image" Target="media/image20.jpeg"/><Relationship Id="rId132" Type="http://schemas.openxmlformats.org/officeDocument/2006/relationships/image" Target="media/image41.jpeg"/><Relationship Id="rId153" Type="http://schemas.openxmlformats.org/officeDocument/2006/relationships/image" Target="media/image62.jpeg"/><Relationship Id="rId174" Type="http://schemas.openxmlformats.org/officeDocument/2006/relationships/image" Target="media/image83.jpeg"/><Relationship Id="rId179" Type="http://schemas.openxmlformats.org/officeDocument/2006/relationships/image" Target="media/image88.jpeg"/><Relationship Id="rId195" Type="http://schemas.openxmlformats.org/officeDocument/2006/relationships/image" Target="media/image104.jpeg"/><Relationship Id="rId209" Type="http://schemas.openxmlformats.org/officeDocument/2006/relationships/image" Target="media/image118.jpeg"/><Relationship Id="rId190" Type="http://schemas.openxmlformats.org/officeDocument/2006/relationships/image" Target="media/image99.jpeg"/><Relationship Id="rId204" Type="http://schemas.openxmlformats.org/officeDocument/2006/relationships/image" Target="media/image113.png"/><Relationship Id="rId15" Type="http://schemas.openxmlformats.org/officeDocument/2006/relationships/hyperlink" Target="file:///C:\Users\Shiguang\Desktop\Table%20of%20Contents.docx" TargetMode="External"/><Relationship Id="rId36" Type="http://schemas.openxmlformats.org/officeDocument/2006/relationships/hyperlink" Target="file:///C:\Users\Shiguang\Desktop\Table%20of%20Contents.docx" TargetMode="External"/><Relationship Id="rId57" Type="http://schemas.openxmlformats.org/officeDocument/2006/relationships/hyperlink" Target="file:///C:\Users\Shiguang\Desktop\Table%20of%20Contents.docx" TargetMode="External"/><Relationship Id="rId106" Type="http://schemas.openxmlformats.org/officeDocument/2006/relationships/image" Target="media/image15.emf"/><Relationship Id="rId127" Type="http://schemas.openxmlformats.org/officeDocument/2006/relationships/image" Target="media/image36.png"/><Relationship Id="rId10" Type="http://schemas.openxmlformats.org/officeDocument/2006/relationships/hyperlink" Target="file:///C:\Users\Shiguang\Desktop\Table%20of%20Contents.docx" TargetMode="External"/><Relationship Id="rId31" Type="http://schemas.openxmlformats.org/officeDocument/2006/relationships/hyperlink" Target="file:///C:\Users\Shiguang\Desktop\Table%20of%20Contents.docx" TargetMode="External"/><Relationship Id="rId52" Type="http://schemas.openxmlformats.org/officeDocument/2006/relationships/hyperlink" Target="file:///C:\Users\Shiguang\Desktop\Table%20of%20Contents.docx" TargetMode="External"/><Relationship Id="rId73" Type="http://schemas.openxmlformats.org/officeDocument/2006/relationships/hyperlink" Target="file:///C:\Users\Shiguang\Desktop\Table%20of%20Contents.docx" TargetMode="External"/><Relationship Id="rId78" Type="http://schemas.openxmlformats.org/officeDocument/2006/relationships/hyperlink" Target="file:///C:\Users\Shiguang\Desktop\Table%20of%20Contents.docx" TargetMode="External"/><Relationship Id="rId94" Type="http://schemas.openxmlformats.org/officeDocument/2006/relationships/image" Target="media/image3.png"/><Relationship Id="rId99" Type="http://schemas.openxmlformats.org/officeDocument/2006/relationships/image" Target="media/image8.png"/><Relationship Id="rId101" Type="http://schemas.openxmlformats.org/officeDocument/2006/relationships/image" Target="media/image10.png"/><Relationship Id="rId122" Type="http://schemas.openxmlformats.org/officeDocument/2006/relationships/image" Target="media/image31.emf"/><Relationship Id="rId143" Type="http://schemas.openxmlformats.org/officeDocument/2006/relationships/image" Target="media/image52.emf"/><Relationship Id="rId148" Type="http://schemas.openxmlformats.org/officeDocument/2006/relationships/image" Target="media/image57.jpeg"/><Relationship Id="rId164" Type="http://schemas.openxmlformats.org/officeDocument/2006/relationships/image" Target="media/image73.jpeg"/><Relationship Id="rId169" Type="http://schemas.openxmlformats.org/officeDocument/2006/relationships/image" Target="media/image78.jpeg"/><Relationship Id="rId185" Type="http://schemas.openxmlformats.org/officeDocument/2006/relationships/image" Target="media/image94.jpeg"/><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image" Target="media/image89.jpeg"/><Relationship Id="rId210" Type="http://schemas.openxmlformats.org/officeDocument/2006/relationships/image" Target="media/image119.jpeg"/><Relationship Id="rId26" Type="http://schemas.openxmlformats.org/officeDocument/2006/relationships/hyperlink" Target="file:///C:\Users\Shiguang\Desktop\Table%20of%20Contents.docx" TargetMode="External"/><Relationship Id="rId47" Type="http://schemas.openxmlformats.org/officeDocument/2006/relationships/hyperlink" Target="file:///C:\Users\Shiguang\Desktop\Table%20of%20Contents.docx" TargetMode="External"/><Relationship Id="rId68" Type="http://schemas.openxmlformats.org/officeDocument/2006/relationships/hyperlink" Target="file:///C:\Users\Shiguang\Desktop\Table%20of%20Contents.docx" TargetMode="External"/><Relationship Id="rId89" Type="http://schemas.openxmlformats.org/officeDocument/2006/relationships/hyperlink" Target="file:///C:\Users\Shiguang\Desktop\Table%20of%20Contents.docx" TargetMode="External"/><Relationship Id="rId112" Type="http://schemas.openxmlformats.org/officeDocument/2006/relationships/image" Target="media/image21.emf"/><Relationship Id="rId133" Type="http://schemas.openxmlformats.org/officeDocument/2006/relationships/image" Target="media/image42.emf"/><Relationship Id="rId154" Type="http://schemas.openxmlformats.org/officeDocument/2006/relationships/image" Target="media/image63.jpeg"/><Relationship Id="rId175" Type="http://schemas.openxmlformats.org/officeDocument/2006/relationships/image" Target="media/image84.jpeg"/><Relationship Id="rId196" Type="http://schemas.openxmlformats.org/officeDocument/2006/relationships/image" Target="media/image105.jpeg"/><Relationship Id="rId200" Type="http://schemas.openxmlformats.org/officeDocument/2006/relationships/image" Target="media/image109.jpeg"/><Relationship Id="rId16" Type="http://schemas.openxmlformats.org/officeDocument/2006/relationships/hyperlink" Target="file:///C:\Users\Shiguang\Desktop\Table%20of%20Contents.doc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197ECEE5B1A349AFB02C8593683F88F4"/>
        <w:category>
          <w:name w:val="General"/>
          <w:gallery w:val="placeholder"/>
        </w:category>
        <w:types>
          <w:type w:val="bbPlcHdr"/>
        </w:types>
        <w:behaviors>
          <w:behavior w:val="content"/>
        </w:behaviors>
        <w:guid w:val="{D068D477-CFEC-48FE-9E17-34FE32EAE4ED}"/>
      </w:docPartPr>
      <w:docPartBody>
        <w:p w:rsidR="00E61600" w:rsidRDefault="00C76F96" w:rsidP="00C76F96">
          <w:pPr>
            <w:pStyle w:val="197ECEE5B1A349AFB02C8593683F88F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MS Mincho"/>
    <w:panose1 w:val="00000000000000000000"/>
    <w:charset w:val="80"/>
    <w:family w:val="roman"/>
    <w:notTrueType/>
    <w:pitch w:val="variable"/>
    <w:sig w:usb0="00000001" w:usb1="08070000" w:usb2="00000010" w:usb3="00000000" w:csb0="00020000" w:csb1="00000000"/>
  </w:font>
  <w:font w:name="WenQuanYi Zen Hei">
    <w:altName w:val="MS Mincho"/>
    <w:panose1 w:val="00000000000000000000"/>
    <w:charset w:val="80"/>
    <w:family w:val="auto"/>
    <w:notTrueType/>
    <w:pitch w:val="variable"/>
    <w:sig w:usb0="00000001" w:usb1="08070000" w:usb2="00000010" w:usb3="00000000" w:csb0="00020000" w:csb1="00000000"/>
  </w:font>
  <w:font w:name="Lohit Devanagari">
    <w:altName w:val="MS Mincho"/>
    <w:panose1 w:val="00000000000000000000"/>
    <w:charset w:val="80"/>
    <w:family w:val="auto"/>
    <w:notTrueType/>
    <w:pitch w:val="variable"/>
    <w:sig w:usb0="00000001" w:usb1="08070000" w:usb2="00000010" w:usb3="00000000" w:csb0="00020000" w:csb1="00000000"/>
  </w:font>
  <w:font w:name="+mn-ea">
    <w:altName w:val="Times New Roman"/>
    <w:panose1 w:val="00000000000000000000"/>
    <w:charset w:val="00"/>
    <w:family w:val="roman"/>
    <w:notTrueType/>
    <w:pitch w:val="default"/>
  </w:font>
  <w:font w:name="AGaramond-Regular">
    <w:altName w:val="Arial Unicode MS"/>
    <w:panose1 w:val="00000000000000000000"/>
    <w:charset w:val="86"/>
    <w:family w:val="roman"/>
    <w:notTrueType/>
    <w:pitch w:val="default"/>
    <w:sig w:usb0="00000001" w:usb1="080E0000" w:usb2="00000010" w:usb3="00000000" w:csb0="00040000" w:csb1="00000000"/>
  </w:font>
  <w:font w:name="AdvEPSTIM">
    <w:altName w:val="Arial Unicode MS"/>
    <w:panose1 w:val="00000000000000000000"/>
    <w:charset w:val="86"/>
    <w:family w:val="auto"/>
    <w:notTrueType/>
    <w:pitch w:val="default"/>
    <w:sig w:usb0="00000000" w:usb1="080E0000" w:usb2="00000010" w:usb3="00000000" w:csb0="00040000" w:csb1="00000000"/>
  </w:font>
  <w:font w:name="Palatino-Roman">
    <w:altName w:val="Arial Unicode MS"/>
    <w:panose1 w:val="00000000000000000000"/>
    <w:charset w:val="86"/>
    <w:family w:val="auto"/>
    <w:notTrueType/>
    <w:pitch w:val="default"/>
    <w:sig w:usb0="00000000" w:usb1="080E0000" w:usb2="00000010"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720"/>
  <w:characterSpacingControl w:val="doNotCompress"/>
  <w:compat>
    <w:useFELayout/>
    <w:compatSetting w:name="compatibilityMode" w:uri="http://schemas.microsoft.com/office/word" w:val="12"/>
  </w:compat>
  <w:rsids>
    <w:rsidRoot w:val="00DD6093"/>
    <w:rsid w:val="000010DE"/>
    <w:rsid w:val="0000496B"/>
    <w:rsid w:val="000364CD"/>
    <w:rsid w:val="00051883"/>
    <w:rsid w:val="0005280B"/>
    <w:rsid w:val="0009042A"/>
    <w:rsid w:val="00092894"/>
    <w:rsid w:val="00094BFA"/>
    <w:rsid w:val="000A06BC"/>
    <w:rsid w:val="000C2A99"/>
    <w:rsid w:val="000F21D2"/>
    <w:rsid w:val="00140330"/>
    <w:rsid w:val="0015246B"/>
    <w:rsid w:val="00154401"/>
    <w:rsid w:val="00157E68"/>
    <w:rsid w:val="00190672"/>
    <w:rsid w:val="001B2B89"/>
    <w:rsid w:val="001E0983"/>
    <w:rsid w:val="001E1A0C"/>
    <w:rsid w:val="0025369A"/>
    <w:rsid w:val="00276951"/>
    <w:rsid w:val="00282C65"/>
    <w:rsid w:val="00293081"/>
    <w:rsid w:val="002A0314"/>
    <w:rsid w:val="002F3F80"/>
    <w:rsid w:val="00313015"/>
    <w:rsid w:val="0031512A"/>
    <w:rsid w:val="00332741"/>
    <w:rsid w:val="00353668"/>
    <w:rsid w:val="00394B2D"/>
    <w:rsid w:val="00417EAE"/>
    <w:rsid w:val="00425B2D"/>
    <w:rsid w:val="004675B3"/>
    <w:rsid w:val="004676C5"/>
    <w:rsid w:val="00490A8F"/>
    <w:rsid w:val="004950C2"/>
    <w:rsid w:val="004B4E10"/>
    <w:rsid w:val="00522189"/>
    <w:rsid w:val="00525BAB"/>
    <w:rsid w:val="0052759D"/>
    <w:rsid w:val="00560ACB"/>
    <w:rsid w:val="00572AB3"/>
    <w:rsid w:val="005844EF"/>
    <w:rsid w:val="00584932"/>
    <w:rsid w:val="005902A4"/>
    <w:rsid w:val="005A141E"/>
    <w:rsid w:val="005B5577"/>
    <w:rsid w:val="005D41D5"/>
    <w:rsid w:val="006050ED"/>
    <w:rsid w:val="00640C84"/>
    <w:rsid w:val="006A6B9A"/>
    <w:rsid w:val="006B53FA"/>
    <w:rsid w:val="006C213C"/>
    <w:rsid w:val="006D0BF6"/>
    <w:rsid w:val="006F0172"/>
    <w:rsid w:val="006F2892"/>
    <w:rsid w:val="006F31CD"/>
    <w:rsid w:val="0070539A"/>
    <w:rsid w:val="00752706"/>
    <w:rsid w:val="0076496A"/>
    <w:rsid w:val="00787914"/>
    <w:rsid w:val="007A04BC"/>
    <w:rsid w:val="007A41C9"/>
    <w:rsid w:val="007B6280"/>
    <w:rsid w:val="007D4A83"/>
    <w:rsid w:val="007F1224"/>
    <w:rsid w:val="007F499C"/>
    <w:rsid w:val="0082032A"/>
    <w:rsid w:val="00854BCA"/>
    <w:rsid w:val="00875ABD"/>
    <w:rsid w:val="008813C3"/>
    <w:rsid w:val="00937158"/>
    <w:rsid w:val="009435D1"/>
    <w:rsid w:val="00950CA5"/>
    <w:rsid w:val="009546A0"/>
    <w:rsid w:val="009952E7"/>
    <w:rsid w:val="009B6099"/>
    <w:rsid w:val="009B6304"/>
    <w:rsid w:val="00A1320C"/>
    <w:rsid w:val="00A343F1"/>
    <w:rsid w:val="00A353F4"/>
    <w:rsid w:val="00A452FD"/>
    <w:rsid w:val="00AB53D0"/>
    <w:rsid w:val="00AD2A5A"/>
    <w:rsid w:val="00B12AB3"/>
    <w:rsid w:val="00B17593"/>
    <w:rsid w:val="00B45E76"/>
    <w:rsid w:val="00B46CD3"/>
    <w:rsid w:val="00B46EE0"/>
    <w:rsid w:val="00B54168"/>
    <w:rsid w:val="00BB4110"/>
    <w:rsid w:val="00BF7D14"/>
    <w:rsid w:val="00C34CDD"/>
    <w:rsid w:val="00C36473"/>
    <w:rsid w:val="00C403A0"/>
    <w:rsid w:val="00C4291C"/>
    <w:rsid w:val="00C600C3"/>
    <w:rsid w:val="00C61DF4"/>
    <w:rsid w:val="00C738D6"/>
    <w:rsid w:val="00C76F96"/>
    <w:rsid w:val="00CA39D2"/>
    <w:rsid w:val="00CC0016"/>
    <w:rsid w:val="00CE0595"/>
    <w:rsid w:val="00D0725E"/>
    <w:rsid w:val="00D40503"/>
    <w:rsid w:val="00DB4A48"/>
    <w:rsid w:val="00DD6093"/>
    <w:rsid w:val="00DE5E08"/>
    <w:rsid w:val="00E144A3"/>
    <w:rsid w:val="00E55777"/>
    <w:rsid w:val="00E61600"/>
    <w:rsid w:val="00E86C09"/>
    <w:rsid w:val="00EA0276"/>
    <w:rsid w:val="00EA03EB"/>
    <w:rsid w:val="00EC0509"/>
    <w:rsid w:val="00EC2C17"/>
    <w:rsid w:val="00ED1562"/>
    <w:rsid w:val="00EF14E5"/>
    <w:rsid w:val="00EF1C1C"/>
    <w:rsid w:val="00F05CF4"/>
    <w:rsid w:val="00F3056F"/>
    <w:rsid w:val="00F553F0"/>
    <w:rsid w:val="00F622F9"/>
    <w:rsid w:val="00F80430"/>
    <w:rsid w:val="00F96C78"/>
    <w:rsid w:val="00FF08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75B3"/>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197ECEE5B1A349AFB02C8593683F88F4">
    <w:name w:val="197ECEE5B1A349AFB02C8593683F88F4"/>
    <w:rsid w:val="00C76F96"/>
    <w:pPr>
      <w:spacing w:after="160" w:line="259" w:lineRule="auto"/>
    </w:pPr>
    <w:rPr>
      <w:lang w:eastAsia="zh-CN"/>
    </w:rPr>
  </w:style>
  <w:style w:type="paragraph" w:customStyle="1" w:styleId="D3670F0FB16C415B9C2626DAC0870453">
    <w:name w:val="D3670F0FB16C415B9C2626DAC0870453"/>
    <w:rsid w:val="00C76F96"/>
    <w:pPr>
      <w:spacing w:after="160" w:line="259" w:lineRule="auto"/>
    </w:pPr>
    <w:rPr>
      <w:lang w:eastAsia="zh-CN"/>
    </w:rPr>
  </w:style>
  <w:style w:type="paragraph" w:customStyle="1" w:styleId="B70A474918474784831F7F415B8BAD5C">
    <w:name w:val="B70A474918474784831F7F415B8BAD5C"/>
    <w:rsid w:val="00C76F96"/>
    <w:pPr>
      <w:spacing w:after="160" w:line="259" w:lineRule="auto"/>
    </w:pPr>
    <w:rPr>
      <w:lang w:eastAsia="zh-CN"/>
    </w:rPr>
  </w:style>
  <w:style w:type="paragraph" w:customStyle="1" w:styleId="5C309F911A9645CCA3C71C36F8636241">
    <w:name w:val="5C309F911A9645CCA3C71C36F8636241"/>
    <w:rsid w:val="00C76F96"/>
    <w:pPr>
      <w:spacing w:after="160" w:line="259" w:lineRule="auto"/>
    </w:pPr>
    <w:rPr>
      <w:lang w:eastAsia="zh-CN"/>
    </w:rPr>
  </w:style>
  <w:style w:type="paragraph" w:customStyle="1" w:styleId="18D839820C6047A88A6AD14760124101">
    <w:name w:val="18D839820C6047A88A6AD14760124101"/>
    <w:rsid w:val="00DE5E08"/>
    <w:pPr>
      <w:widowControl w:val="0"/>
      <w:spacing w:after="0" w:line="240" w:lineRule="auto"/>
      <w:jc w:val="both"/>
    </w:pPr>
    <w:rPr>
      <w:kern w:val="2"/>
      <w:sz w:val="21"/>
      <w:lang w:eastAsia="zh-CN"/>
    </w:rPr>
  </w:style>
  <w:style w:type="paragraph" w:customStyle="1" w:styleId="8F9289C2452C4F1AA9511B17715A7D10">
    <w:name w:val="8F9289C2452C4F1AA9511B17715A7D10"/>
    <w:rsid w:val="00DE5E08"/>
    <w:pPr>
      <w:widowControl w:val="0"/>
      <w:spacing w:after="0" w:line="240" w:lineRule="auto"/>
      <w:jc w:val="both"/>
    </w:pPr>
    <w:rPr>
      <w:kern w:val="2"/>
      <w:sz w:val="21"/>
      <w:lang w:eastAsia="zh-CN"/>
    </w:rPr>
  </w:style>
  <w:style w:type="paragraph" w:customStyle="1" w:styleId="69C6869F7FD843F3892059613E3B834C">
    <w:name w:val="69C6869F7FD843F3892059613E3B834C"/>
    <w:rsid w:val="00B54168"/>
    <w:rPr>
      <w:lang w:eastAsia="zh-CN"/>
    </w:rPr>
  </w:style>
  <w:style w:type="paragraph" w:customStyle="1" w:styleId="8C16FA96AE4C4D91A21BE04275CD2048">
    <w:name w:val="8C16FA96AE4C4D91A21BE04275CD2048"/>
    <w:rsid w:val="00CE0595"/>
    <w:rPr>
      <w:lang w:eastAsia="zh-CN"/>
    </w:rPr>
  </w:style>
  <w:style w:type="paragraph" w:customStyle="1" w:styleId="69F8886970AD41CEAEF0B48899C48952">
    <w:name w:val="69F8886970AD41CEAEF0B48899C48952"/>
    <w:rsid w:val="006F0172"/>
  </w:style>
  <w:style w:type="paragraph" w:customStyle="1" w:styleId="FFD798F84D5345DAB6B63DE14238B047">
    <w:name w:val="FFD798F84D5345DAB6B63DE14238B047"/>
    <w:rsid w:val="00F622F9"/>
  </w:style>
  <w:style w:type="paragraph" w:customStyle="1" w:styleId="3EE597ADF61B49CD85FE972157A197F0">
    <w:name w:val="3EE597ADF61B49CD85FE972157A197F0"/>
    <w:rsid w:val="00F622F9"/>
  </w:style>
  <w:style w:type="paragraph" w:customStyle="1" w:styleId="BE0F7FBF56104626BB87194DA9CC5B55">
    <w:name w:val="BE0F7FBF56104626BB87194DA9CC5B55"/>
    <w:rsid w:val="00F622F9"/>
  </w:style>
  <w:style w:type="paragraph" w:customStyle="1" w:styleId="D764C3D63FEC4589AE2E24ACEF5173F5">
    <w:name w:val="D764C3D63FEC4589AE2E24ACEF5173F5"/>
    <w:rsid w:val="00F622F9"/>
  </w:style>
  <w:style w:type="paragraph" w:customStyle="1" w:styleId="729E4FEF6CF242F389F70F0FD01B6748">
    <w:name w:val="729E4FEF6CF242F389F70F0FD01B6748"/>
    <w:rsid w:val="00F622F9"/>
  </w:style>
  <w:style w:type="paragraph" w:customStyle="1" w:styleId="93F4DFBE4EEC47739EA174C418087940">
    <w:name w:val="93F4DFBE4EEC47739EA174C418087940"/>
    <w:rsid w:val="0070539A"/>
  </w:style>
  <w:style w:type="paragraph" w:customStyle="1" w:styleId="45BAC24321454D23A114BB029B020BCA">
    <w:name w:val="45BAC24321454D23A114BB029B020BCA"/>
    <w:rsid w:val="0070539A"/>
  </w:style>
  <w:style w:type="paragraph" w:customStyle="1" w:styleId="3E9871F5F94041AA9AE58FD4FA5BD11D">
    <w:name w:val="3E9871F5F94041AA9AE58FD4FA5BD11D"/>
    <w:rsid w:val="004675B3"/>
  </w:style>
  <w:style w:type="paragraph" w:customStyle="1" w:styleId="7AA8D1AE11264380A529E99AEFB2E6E0">
    <w:name w:val="7AA8D1AE11264380A529E99AEFB2E6E0"/>
    <w:rsid w:val="004675B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38B1-EBB9-4987-AFF5-BCA8AAD4E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273</Pages>
  <Words>42114</Words>
  <Characters>240053</Characters>
  <Application>Microsoft Office Word</Application>
  <DocSecurity>0</DocSecurity>
  <Lines>2000</Lines>
  <Paragraphs>563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281604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Zou, Fuge (MRO)</cp:lastModifiedBy>
  <cp:revision>25</cp:revision>
  <cp:lastPrinted>2015-05-08T02:58:00Z</cp:lastPrinted>
  <dcterms:created xsi:type="dcterms:W3CDTF">2015-05-08T00:58:00Z</dcterms:created>
  <dcterms:modified xsi:type="dcterms:W3CDTF">2015-05-08T14:16:00Z</dcterms:modified>
</cp:coreProperties>
</file>